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6508B13C" w:rsidR="00B60939" w:rsidRPr="00484AE9" w:rsidRDefault="00F421ED" w:rsidP="00F76D9A">
      <w:pPr>
        <w:pStyle w:val="1-MainHeading"/>
        <w:ind w:left="851" w:hanging="851"/>
      </w:pPr>
      <w:bookmarkStart w:id="0" w:name="_Toc144920955"/>
      <w:bookmarkStart w:id="1" w:name="_Toc145506583"/>
      <w:r w:rsidRPr="00484AE9">
        <w:t>6.0</w:t>
      </w:r>
      <w:r w:rsidR="008D0044" w:rsidRPr="00484AE9">
        <w:t>7</w:t>
      </w:r>
      <w:r w:rsidR="009C0646" w:rsidRPr="00484AE9">
        <w:tab/>
      </w:r>
      <w:r w:rsidR="00390AFF" w:rsidRPr="00484AE9">
        <w:t>NIRMATRELVIR AND RITONAVIR</w:t>
      </w:r>
      <w:r w:rsidR="00163F66" w:rsidRPr="00484AE9">
        <w:t>,</w:t>
      </w:r>
      <w:r w:rsidR="00163F66" w:rsidRPr="00484AE9">
        <w:br/>
      </w:r>
      <w:r w:rsidR="00F819D0" w:rsidRPr="00484AE9">
        <w:t>Pack containing 4</w:t>
      </w:r>
      <w:r w:rsidR="00665B4C" w:rsidRPr="00484AE9">
        <w:t> </w:t>
      </w:r>
      <w:r w:rsidR="00F819D0" w:rsidRPr="00484AE9">
        <w:t>tablets nirmatrelvir 150</w:t>
      </w:r>
      <w:r w:rsidR="00665B4C" w:rsidRPr="00484AE9">
        <w:t> </w:t>
      </w:r>
      <w:r w:rsidR="00F819D0" w:rsidRPr="00484AE9">
        <w:t>mg and 2</w:t>
      </w:r>
      <w:r w:rsidR="00665B4C" w:rsidRPr="00484AE9">
        <w:t> </w:t>
      </w:r>
      <w:r w:rsidR="00F819D0" w:rsidRPr="00484AE9">
        <w:t>tablets ritonavir 100</w:t>
      </w:r>
      <w:r w:rsidR="00665B4C" w:rsidRPr="00484AE9">
        <w:t> </w:t>
      </w:r>
      <w:r w:rsidR="00F819D0" w:rsidRPr="00484AE9">
        <w:t>mg, 5</w:t>
      </w:r>
      <w:r w:rsidR="00DF3920" w:rsidRPr="00484AE9">
        <w:br/>
      </w:r>
      <w:r w:rsidR="00F819D0" w:rsidRPr="00484AE9">
        <w:t>Paxlovid®</w:t>
      </w:r>
      <w:r w:rsidR="004A6040" w:rsidRPr="00484AE9">
        <w:t>,</w:t>
      </w:r>
      <w:r w:rsidR="004A6040" w:rsidRPr="00484AE9">
        <w:br/>
      </w:r>
      <w:r w:rsidR="0090406C" w:rsidRPr="00484AE9">
        <w:t>P</w:t>
      </w:r>
      <w:r w:rsidR="00867046" w:rsidRPr="00484AE9">
        <w:t>fizer Australia Pty Ltd</w:t>
      </w:r>
      <w:r w:rsidR="00B60939" w:rsidRPr="00484AE9">
        <w:t>.</w:t>
      </w:r>
      <w:bookmarkEnd w:id="0"/>
      <w:bookmarkEnd w:id="1"/>
    </w:p>
    <w:p w14:paraId="11C00795" w14:textId="3DFB6D23" w:rsidR="00B50DB8" w:rsidRPr="00484AE9" w:rsidRDefault="00B50DB8" w:rsidP="004A6040">
      <w:pPr>
        <w:pStyle w:val="2-SectionHeading"/>
      </w:pPr>
      <w:bookmarkStart w:id="2" w:name="_Toc144920958"/>
      <w:bookmarkStart w:id="3" w:name="_Toc145506586"/>
      <w:r w:rsidRPr="00484AE9">
        <w:t xml:space="preserve">Purpose of </w:t>
      </w:r>
      <w:r w:rsidR="00CD7193" w:rsidRPr="00484AE9">
        <w:t>s</w:t>
      </w:r>
      <w:r w:rsidR="00BB3A45" w:rsidRPr="00484AE9">
        <w:t>ubmission</w:t>
      </w:r>
      <w:bookmarkEnd w:id="2"/>
      <w:bookmarkEnd w:id="3"/>
    </w:p>
    <w:p w14:paraId="030E1D18" w14:textId="35BA7441" w:rsidR="006F6E74" w:rsidRPr="00484AE9" w:rsidRDefault="006F6E74" w:rsidP="00826E25">
      <w:pPr>
        <w:pStyle w:val="3-BodyText"/>
      </w:pPr>
      <w:r w:rsidRPr="00484AE9">
        <w:t xml:space="preserve">The Category </w:t>
      </w:r>
      <w:r w:rsidR="009E17E2" w:rsidRPr="00484AE9">
        <w:t>1</w:t>
      </w:r>
      <w:r w:rsidRPr="00484AE9">
        <w:t xml:space="preserve"> submission requested maintenance of </w:t>
      </w:r>
      <w:r w:rsidR="00A675F2" w:rsidRPr="00484AE9">
        <w:t>the current</w:t>
      </w:r>
      <w:r w:rsidRPr="00484AE9">
        <w:t xml:space="preserve"> General Schedule Authority Required (STREAMLINED) listing for the treatment of patients with mild to moderate Coronavirus disease (COVID-19) who are at high risk of severe disease requiring hospitalisation.</w:t>
      </w:r>
      <w:r w:rsidR="00A675F2" w:rsidRPr="00484AE9">
        <w:t xml:space="preserve"> Four high</w:t>
      </w:r>
      <w:r w:rsidR="00555547" w:rsidRPr="00484AE9">
        <w:noBreakHyphen/>
      </w:r>
      <w:r w:rsidR="00A675F2" w:rsidRPr="00484AE9">
        <w:t>risk populations</w:t>
      </w:r>
      <w:r w:rsidR="00E62C0D" w:rsidRPr="00484AE9">
        <w:t xml:space="preserve"> are currently eligible to be prescribed nirmatrelvir and ritonavir under the Pharmaceutical Benefits Scheme (PBS):</w:t>
      </w:r>
    </w:p>
    <w:p w14:paraId="607AA541" w14:textId="4F40CAC3" w:rsidR="009F56FC" w:rsidRPr="00484AE9" w:rsidRDefault="009F56FC" w:rsidP="00826E25">
      <w:pPr>
        <w:pStyle w:val="3-BodyText"/>
        <w:numPr>
          <w:ilvl w:val="2"/>
          <w:numId w:val="1"/>
        </w:numPr>
        <w:ind w:left="1080"/>
      </w:pPr>
      <w:r w:rsidRPr="00484AE9">
        <w:t>Persons aged ≥ 70 years</w:t>
      </w:r>
    </w:p>
    <w:p w14:paraId="5C228D8C" w14:textId="08007369" w:rsidR="009F56FC" w:rsidRPr="00484AE9" w:rsidRDefault="009F56FC" w:rsidP="00826E25">
      <w:pPr>
        <w:pStyle w:val="3-BodyText"/>
        <w:numPr>
          <w:ilvl w:val="2"/>
          <w:numId w:val="1"/>
        </w:numPr>
        <w:ind w:left="1080"/>
      </w:pPr>
      <w:r w:rsidRPr="00484AE9">
        <w:t>Persons aged ≥18 years who are moderately to severely immunocompromised</w:t>
      </w:r>
      <w:r w:rsidR="00E27F27" w:rsidRPr="00484AE9">
        <w:t xml:space="preserve"> or had previously </w:t>
      </w:r>
      <w:r w:rsidR="002300F8" w:rsidRPr="00484AE9">
        <w:t>required</w:t>
      </w:r>
      <w:r w:rsidR="00E27F27" w:rsidRPr="00484AE9">
        <w:t xml:space="preserve"> hospitalis</w:t>
      </w:r>
      <w:r w:rsidR="002300F8" w:rsidRPr="00484AE9">
        <w:t>ation</w:t>
      </w:r>
      <w:r w:rsidR="00E27F27" w:rsidRPr="00484AE9">
        <w:t xml:space="preserve"> for </w:t>
      </w:r>
      <w:r w:rsidR="00E27F27" w:rsidRPr="00826E25">
        <w:t>COVID</w:t>
      </w:r>
      <w:r w:rsidR="00E27F27" w:rsidRPr="00826E25">
        <w:noBreakHyphen/>
        <w:t>19</w:t>
      </w:r>
    </w:p>
    <w:p w14:paraId="349D1305" w14:textId="716F1FED" w:rsidR="009F56FC" w:rsidRPr="00484AE9" w:rsidRDefault="009F56FC" w:rsidP="00826E25">
      <w:pPr>
        <w:pStyle w:val="3-BodyText"/>
        <w:numPr>
          <w:ilvl w:val="2"/>
          <w:numId w:val="1"/>
        </w:numPr>
        <w:ind w:left="1080"/>
      </w:pPr>
      <w:r w:rsidRPr="00484AE9">
        <w:t>Aboriginal and Torres Strait Islander persons aged ≥30 with ≥1 risk factor</w:t>
      </w:r>
    </w:p>
    <w:p w14:paraId="383AF1F4" w14:textId="20264B5E" w:rsidR="00E62C0D" w:rsidRPr="00484AE9" w:rsidRDefault="009F56FC" w:rsidP="00826E25">
      <w:pPr>
        <w:pStyle w:val="3-BodyText"/>
        <w:numPr>
          <w:ilvl w:val="2"/>
          <w:numId w:val="1"/>
        </w:numPr>
        <w:ind w:left="1080"/>
      </w:pPr>
      <w:r w:rsidRPr="00484AE9">
        <w:t>Persons aged 50-69 years with ≥1 risk factor</w:t>
      </w:r>
      <w:r w:rsidR="00097C8A" w:rsidRPr="00484AE9">
        <w:t>.</w:t>
      </w:r>
    </w:p>
    <w:p w14:paraId="3838C0C6" w14:textId="27F6A3B3" w:rsidR="00854C6E" w:rsidRPr="00484AE9" w:rsidRDefault="00854C6E" w:rsidP="00854C6E">
      <w:pPr>
        <w:pStyle w:val="3-BodyText"/>
      </w:pPr>
      <w:r w:rsidRPr="00484AE9">
        <w:t xml:space="preserve">It is not clear that patients aged 50-69 years with only one </w:t>
      </w:r>
      <w:r w:rsidR="002B22B5" w:rsidRPr="00484AE9">
        <w:t xml:space="preserve">additional </w:t>
      </w:r>
      <w:r w:rsidRPr="00484AE9">
        <w:t>risk factor should be considered to be at high risk of severe disease requiring hospitalisation.</w:t>
      </w:r>
      <w:bookmarkStart w:id="4" w:name="_Ref144144311"/>
      <w:r w:rsidRPr="00484AE9">
        <w:t xml:space="preserve"> The PBAC recommended amendments of the restriction for nirmatrelvir and ritonavir at its out-of-session meetings in February 2023 and June 2023. In February 2023, the PBAC recommended amendments to permit PBS-reimbursed prescribing of nirmatrelvir and ritonavir for patients aged 60-69 year and one additional risk factor. In June 2023, the PBAC recommended further amendments permitting PBS-reimbursed prescribing of nirmatrelvir and ritonavir in patients aged 50-59 years with one additional risk factor. As detailed in paragraph </w:t>
      </w:r>
      <w:r w:rsidRPr="00484AE9">
        <w:fldChar w:fldCharType="begin"/>
      </w:r>
      <w:r w:rsidRPr="00484AE9">
        <w:instrText xml:space="preserve"> REF _Ref144149929 \r \h  \* MERGEFORMAT </w:instrText>
      </w:r>
      <w:r w:rsidRPr="00484AE9">
        <w:fldChar w:fldCharType="separate"/>
      </w:r>
      <w:r w:rsidR="00872657">
        <w:t>2.12</w:t>
      </w:r>
      <w:r w:rsidRPr="00484AE9">
        <w:fldChar w:fldCharType="end"/>
      </w:r>
      <w:r w:rsidRPr="00484AE9">
        <w:t>, these amendments of the restriction for nirmatrelvir and ritonavir were intended to apply only on a temporary basis i.e., until the Commonwealth purchased stock was exhausted or had expired.</w:t>
      </w:r>
      <w:bookmarkEnd w:id="4"/>
    </w:p>
    <w:p w14:paraId="1F4E085B" w14:textId="68E430B6" w:rsidR="00FC6C2A" w:rsidRPr="00484AE9" w:rsidRDefault="005D14BA" w:rsidP="00EB65CC">
      <w:pPr>
        <w:pStyle w:val="3-BodyText"/>
      </w:pPr>
      <w:bookmarkStart w:id="5" w:name="_Ref150978046"/>
      <w:r w:rsidRPr="00484AE9">
        <w:t xml:space="preserve">The sponsor </w:t>
      </w:r>
      <w:r w:rsidR="00EB65CC" w:rsidRPr="00484AE9">
        <w:t>also requested maintenance of the Prescriber bag listing of nirmatrelvir and ritonavir</w:t>
      </w:r>
      <w:r w:rsidR="00A57368" w:rsidRPr="00484AE9">
        <w:t>,</w:t>
      </w:r>
      <w:r w:rsidR="00EB65CC" w:rsidRPr="00484AE9">
        <w:t xml:space="preserve"> </w:t>
      </w:r>
      <w:r w:rsidR="00881FAF" w:rsidRPr="00484AE9">
        <w:t xml:space="preserve">for both Medical Practitioners and Nurse Practitioners, </w:t>
      </w:r>
      <w:r w:rsidR="00EB65CC" w:rsidRPr="00484AE9">
        <w:t xml:space="preserve">with the quantity being </w:t>
      </w:r>
      <w:r w:rsidR="00A57368" w:rsidRPr="00484AE9">
        <w:t>sufficient for two courses of nirmatrelvir and ritonavir.</w:t>
      </w:r>
      <w:r w:rsidR="001D6C1E" w:rsidRPr="00484AE9">
        <w:t xml:space="preserve"> The submission stated that the </w:t>
      </w:r>
      <w:r w:rsidR="00DA4498" w:rsidRPr="00484AE9">
        <w:t xml:space="preserve">Prescriber Bag listing remained necessary </w:t>
      </w:r>
      <w:r w:rsidR="001D6C1E" w:rsidRPr="00484AE9">
        <w:rPr>
          <w:lang w:eastAsia="en-US"/>
        </w:rPr>
        <w:t>due to the urgency of commencing treatment as soon as possible after a diagnosis of COVID-19 has been made, and within 5 days of symptom onset.</w:t>
      </w:r>
      <w:bookmarkEnd w:id="5"/>
    </w:p>
    <w:p w14:paraId="6687A8FD" w14:textId="77777777" w:rsidR="00D23F75" w:rsidRPr="00484AE9" w:rsidRDefault="00E65180" w:rsidP="004E18E9">
      <w:pPr>
        <w:pStyle w:val="3-BodyText"/>
      </w:pPr>
      <w:r w:rsidRPr="00484AE9">
        <w:t>Continued l</w:t>
      </w:r>
      <w:r w:rsidR="005750C5" w:rsidRPr="00484AE9">
        <w:t xml:space="preserve">isting was requested on the basis of cost-effectiveness analysis versus </w:t>
      </w:r>
      <w:r w:rsidR="0045301C" w:rsidRPr="00484AE9">
        <w:t xml:space="preserve">placebo (for </w:t>
      </w:r>
      <w:r w:rsidR="00BB738F" w:rsidRPr="00484AE9">
        <w:t>no antiviral medication) and versus molnupiravir</w:t>
      </w:r>
      <w:r w:rsidR="005750C5" w:rsidRPr="00484AE9">
        <w:t>.</w:t>
      </w:r>
    </w:p>
    <w:p w14:paraId="4E9FBCB5" w14:textId="3F7B2CF7" w:rsidR="00C2778B" w:rsidRPr="00484AE9" w:rsidRDefault="00D71614" w:rsidP="004E18E9">
      <w:pPr>
        <w:pStyle w:val="3-BodyText"/>
      </w:pPr>
      <w:r w:rsidRPr="00484AE9">
        <w:lastRenderedPageBreak/>
        <w:fldChar w:fldCharType="begin"/>
      </w:r>
      <w:r w:rsidRPr="00484AE9">
        <w:instrText xml:space="preserve"> REF _Ref144502169 \h </w:instrText>
      </w:r>
      <w:r w:rsidRPr="00484AE9">
        <w:fldChar w:fldCharType="separate"/>
      </w:r>
      <w:r w:rsidR="00872657" w:rsidRPr="00484AE9">
        <w:t xml:space="preserve">Table </w:t>
      </w:r>
      <w:r w:rsidR="00872657">
        <w:rPr>
          <w:noProof/>
        </w:rPr>
        <w:t>1</w:t>
      </w:r>
      <w:r w:rsidRPr="00484AE9">
        <w:fldChar w:fldCharType="end"/>
      </w:r>
      <w:r w:rsidR="00D23F75" w:rsidRPr="00484AE9">
        <w:t xml:space="preserve"> summarises the key components of </w:t>
      </w:r>
      <w:r w:rsidR="00957757" w:rsidRPr="00484AE9">
        <w:t xml:space="preserve">the </w:t>
      </w:r>
      <w:r w:rsidR="00D23F75" w:rsidRPr="00484AE9">
        <w:t>research question addressed by the submission (as stated in the submission).</w:t>
      </w:r>
      <w:r w:rsidR="00BC591F" w:rsidRPr="00484AE9">
        <w:t xml:space="preserve"> </w:t>
      </w:r>
    </w:p>
    <w:p w14:paraId="3718DE61" w14:textId="1EAC507F" w:rsidR="008B1757" w:rsidRPr="00484AE9" w:rsidRDefault="00D71614" w:rsidP="00D71614">
      <w:pPr>
        <w:pStyle w:val="Caption"/>
        <w:rPr>
          <w:rStyle w:val="CommentReference"/>
          <w:b/>
          <w:szCs w:val="24"/>
        </w:rPr>
      </w:pPr>
      <w:bookmarkStart w:id="6" w:name="_Ref144502169"/>
      <w:r w:rsidRPr="00484AE9">
        <w:t xml:space="preserve">Table </w:t>
      </w:r>
      <w:fldSimple w:instr=" SEQ Table \* ARABIC ">
        <w:r w:rsidR="00872657">
          <w:rPr>
            <w:noProof/>
          </w:rPr>
          <w:t>1</w:t>
        </w:r>
      </w:fldSimple>
      <w:bookmarkEnd w:id="6"/>
      <w:r w:rsidR="00696EF9" w:rsidRPr="00484AE9">
        <w:t>:</w:t>
      </w:r>
      <w:r w:rsidR="00D059BC" w:rsidRPr="00484AE9">
        <w:rPr>
          <w:rStyle w:val="CommentReference"/>
          <w:b/>
          <w:szCs w:val="24"/>
        </w:rPr>
        <w:t xml:space="preserve"> </w:t>
      </w:r>
      <w:r w:rsidR="008B1757" w:rsidRPr="00484AE9">
        <w:rPr>
          <w:rStyle w:val="CommentReference"/>
          <w:b/>
          <w:szCs w:val="24"/>
        </w:rPr>
        <w:t>Key components of the clinical issue addressed by the submission</w:t>
      </w:r>
      <w:r w:rsidR="007170DA" w:rsidRPr="00484AE9">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8B6130" w:rsidRPr="00484AE9" w14:paraId="569F5103" w14:textId="77777777" w:rsidTr="002A2ADE">
        <w:trPr>
          <w:cantSplit/>
          <w:tblHeader/>
        </w:trPr>
        <w:tc>
          <w:tcPr>
            <w:tcW w:w="924" w:type="pct"/>
            <w:shd w:val="clear" w:color="auto" w:fill="auto"/>
          </w:tcPr>
          <w:p w14:paraId="501803FB" w14:textId="77777777" w:rsidR="008B1757" w:rsidRPr="00484AE9" w:rsidRDefault="008B1757" w:rsidP="004A6040">
            <w:pPr>
              <w:pStyle w:val="In-tableHeading"/>
              <w:rPr>
                <w:szCs w:val="20"/>
                <w:lang w:val="en-AU"/>
              </w:rPr>
            </w:pPr>
            <w:r w:rsidRPr="00484AE9">
              <w:rPr>
                <w:lang w:val="en-AU"/>
              </w:rPr>
              <w:t>Component</w:t>
            </w:r>
          </w:p>
        </w:tc>
        <w:tc>
          <w:tcPr>
            <w:tcW w:w="4076" w:type="pct"/>
            <w:shd w:val="clear" w:color="auto" w:fill="auto"/>
          </w:tcPr>
          <w:p w14:paraId="445D9EBB" w14:textId="77777777" w:rsidR="008B1757" w:rsidRPr="00484AE9" w:rsidRDefault="008B1757" w:rsidP="004A6040">
            <w:pPr>
              <w:pStyle w:val="In-tableHeading"/>
              <w:rPr>
                <w:lang w:val="en-AU"/>
              </w:rPr>
            </w:pPr>
            <w:r w:rsidRPr="00484AE9">
              <w:rPr>
                <w:lang w:val="en-AU"/>
              </w:rPr>
              <w:t>Description</w:t>
            </w:r>
          </w:p>
        </w:tc>
      </w:tr>
      <w:tr w:rsidR="008B6130" w:rsidRPr="00484AE9" w14:paraId="2EB546E2" w14:textId="77777777" w:rsidTr="002A2ADE">
        <w:trPr>
          <w:cantSplit/>
        </w:trPr>
        <w:tc>
          <w:tcPr>
            <w:tcW w:w="924" w:type="pct"/>
            <w:shd w:val="clear" w:color="auto" w:fill="auto"/>
          </w:tcPr>
          <w:p w14:paraId="38F3BB34" w14:textId="3C1F5CFE" w:rsidR="00837ADC" w:rsidRPr="00484AE9" w:rsidRDefault="00837ADC" w:rsidP="00837ADC">
            <w:pPr>
              <w:pStyle w:val="TableText0"/>
            </w:pPr>
            <w:r w:rsidRPr="00484AE9">
              <w:t>Population</w:t>
            </w:r>
          </w:p>
        </w:tc>
        <w:tc>
          <w:tcPr>
            <w:tcW w:w="4076" w:type="pct"/>
            <w:shd w:val="clear" w:color="auto" w:fill="auto"/>
          </w:tcPr>
          <w:p w14:paraId="7665A38C" w14:textId="0FCB8885" w:rsidR="00837ADC" w:rsidRPr="00484AE9" w:rsidRDefault="00837ADC" w:rsidP="00837ADC">
            <w:pPr>
              <w:pStyle w:val="TableText0"/>
            </w:pPr>
            <w:r w:rsidRPr="00484AE9">
              <w:t xml:space="preserve">Four high-risk sub-populations defined by the current </w:t>
            </w:r>
            <w:r w:rsidR="000607AB" w:rsidRPr="00484AE9">
              <w:t>nir</w:t>
            </w:r>
            <w:r w:rsidR="003F5964" w:rsidRPr="00484AE9">
              <w:t>matrelvir</w:t>
            </w:r>
            <w:r w:rsidR="004D7AA4" w:rsidRPr="00484AE9">
              <w:t xml:space="preserve"> and </w:t>
            </w:r>
            <w:r w:rsidR="003F5964" w:rsidRPr="00484AE9">
              <w:t>ritonavir</w:t>
            </w:r>
            <w:r w:rsidR="003F209C" w:rsidRPr="00484AE9">
              <w:t xml:space="preserve"> </w:t>
            </w:r>
            <w:r w:rsidRPr="00484AE9">
              <w:t>PBS listing:</w:t>
            </w:r>
          </w:p>
          <w:p w14:paraId="197DBCE3" w14:textId="77777777" w:rsidR="00252BC1" w:rsidRPr="00484AE9" w:rsidRDefault="00252BC1" w:rsidP="00F22594">
            <w:pPr>
              <w:pStyle w:val="TableText0"/>
              <w:numPr>
                <w:ilvl w:val="0"/>
                <w:numId w:val="9"/>
              </w:numPr>
              <w:ind w:left="360"/>
              <w:rPr>
                <w:szCs w:val="20"/>
              </w:rPr>
            </w:pPr>
            <w:r w:rsidRPr="00484AE9">
              <w:rPr>
                <w:szCs w:val="20"/>
              </w:rPr>
              <w:t>Persons aged ≥70 years</w:t>
            </w:r>
          </w:p>
          <w:p w14:paraId="07C40EBC" w14:textId="65ADF5B2" w:rsidR="00252BC1" w:rsidRPr="00484AE9" w:rsidRDefault="00252BC1" w:rsidP="00F22594">
            <w:pPr>
              <w:pStyle w:val="TableText0"/>
              <w:numPr>
                <w:ilvl w:val="0"/>
                <w:numId w:val="9"/>
              </w:numPr>
              <w:ind w:left="360"/>
              <w:rPr>
                <w:szCs w:val="20"/>
              </w:rPr>
            </w:pPr>
            <w:r w:rsidRPr="00484AE9">
              <w:rPr>
                <w:szCs w:val="20"/>
              </w:rPr>
              <w:t>Persons aged ≥18 years who are moderately to severely immunocompromised</w:t>
            </w:r>
            <w:r w:rsidR="006D5443" w:rsidRPr="00484AE9">
              <w:rPr>
                <w:iCs/>
                <w:szCs w:val="20"/>
              </w:rPr>
              <w:t xml:space="preserve"> or had previously </w:t>
            </w:r>
            <w:r w:rsidR="0075793E" w:rsidRPr="00484AE9">
              <w:rPr>
                <w:iCs/>
                <w:szCs w:val="20"/>
              </w:rPr>
              <w:t>required hospitalisation</w:t>
            </w:r>
            <w:r w:rsidR="006D5443" w:rsidRPr="00484AE9">
              <w:rPr>
                <w:iCs/>
                <w:szCs w:val="20"/>
              </w:rPr>
              <w:t xml:space="preserve"> for </w:t>
            </w:r>
            <w:r w:rsidR="006D5443" w:rsidRPr="00484AE9">
              <w:rPr>
                <w:rStyle w:val="normaltextrun"/>
                <w:iCs/>
                <w:szCs w:val="20"/>
              </w:rPr>
              <w:t>COVID</w:t>
            </w:r>
            <w:r w:rsidR="006D5443" w:rsidRPr="00484AE9">
              <w:rPr>
                <w:rStyle w:val="normaltextrun"/>
                <w:iCs/>
                <w:szCs w:val="20"/>
              </w:rPr>
              <w:noBreakHyphen/>
              <w:t>19</w:t>
            </w:r>
          </w:p>
          <w:p w14:paraId="0775F39A" w14:textId="77777777" w:rsidR="00252BC1" w:rsidRPr="00484AE9" w:rsidRDefault="00252BC1" w:rsidP="00F22594">
            <w:pPr>
              <w:pStyle w:val="TableText0"/>
              <w:numPr>
                <w:ilvl w:val="0"/>
                <w:numId w:val="9"/>
              </w:numPr>
              <w:ind w:left="360"/>
              <w:rPr>
                <w:szCs w:val="20"/>
              </w:rPr>
            </w:pPr>
            <w:r w:rsidRPr="00484AE9">
              <w:rPr>
                <w:szCs w:val="20"/>
              </w:rPr>
              <w:t>Aboriginal and Torres Strait Islander persons aged ≥30 with ≥1 risk factor</w:t>
            </w:r>
          </w:p>
          <w:p w14:paraId="79618EEE" w14:textId="530F225A" w:rsidR="00252BC1" w:rsidRPr="00484AE9" w:rsidRDefault="00252BC1" w:rsidP="00F22594">
            <w:pPr>
              <w:pStyle w:val="TableText0"/>
              <w:numPr>
                <w:ilvl w:val="0"/>
                <w:numId w:val="9"/>
              </w:numPr>
              <w:ind w:left="360"/>
              <w:rPr>
                <w:szCs w:val="20"/>
              </w:rPr>
            </w:pPr>
            <w:r w:rsidRPr="00484AE9">
              <w:rPr>
                <w:szCs w:val="20"/>
              </w:rPr>
              <w:t>Persons aged 50-69 years with ≥1 risk factor</w:t>
            </w:r>
          </w:p>
        </w:tc>
      </w:tr>
      <w:tr w:rsidR="008B6130" w:rsidRPr="00484AE9" w14:paraId="22223890" w14:textId="77777777" w:rsidTr="002A2ADE">
        <w:trPr>
          <w:cantSplit/>
        </w:trPr>
        <w:tc>
          <w:tcPr>
            <w:tcW w:w="924" w:type="pct"/>
            <w:shd w:val="clear" w:color="auto" w:fill="auto"/>
          </w:tcPr>
          <w:p w14:paraId="0FC8FCE0" w14:textId="0B03FB68" w:rsidR="00837ADC" w:rsidRPr="00484AE9" w:rsidRDefault="00837ADC" w:rsidP="00837ADC">
            <w:pPr>
              <w:pStyle w:val="TableText0"/>
            </w:pPr>
            <w:r w:rsidRPr="00484AE9">
              <w:t>Intervention</w:t>
            </w:r>
          </w:p>
        </w:tc>
        <w:tc>
          <w:tcPr>
            <w:tcW w:w="4076" w:type="pct"/>
            <w:shd w:val="clear" w:color="auto" w:fill="auto"/>
          </w:tcPr>
          <w:p w14:paraId="2C99C4DE" w14:textId="57CEA425" w:rsidR="00837ADC" w:rsidRPr="00484AE9" w:rsidRDefault="00837ADC" w:rsidP="00837ADC">
            <w:pPr>
              <w:pStyle w:val="TableText0"/>
              <w:rPr>
                <w:rFonts w:eastAsia="Times New Roman" w:cs="Arial"/>
                <w:bCs w:val="0"/>
                <w:snapToGrid w:val="0"/>
                <w:szCs w:val="20"/>
              </w:rPr>
            </w:pPr>
            <w:r w:rsidRPr="00484AE9">
              <w:t>Paxlovid (2 x 150 mg nirmatrelvir tablets and 1 x 100 mg ritonavir tablet)</w:t>
            </w:r>
            <w:r w:rsidR="00252BC1" w:rsidRPr="00484AE9">
              <w:t xml:space="preserve"> taken together orally every 12 hours for 5 days</w:t>
            </w:r>
          </w:p>
        </w:tc>
      </w:tr>
      <w:tr w:rsidR="008B6130" w:rsidRPr="00484AE9" w14:paraId="08288373" w14:textId="77777777" w:rsidTr="002A2ADE">
        <w:trPr>
          <w:cantSplit/>
        </w:trPr>
        <w:tc>
          <w:tcPr>
            <w:tcW w:w="924" w:type="pct"/>
            <w:shd w:val="clear" w:color="auto" w:fill="auto"/>
          </w:tcPr>
          <w:p w14:paraId="2EB549D2" w14:textId="4081C241" w:rsidR="00252BC1" w:rsidRPr="00484AE9" w:rsidRDefault="00252BC1" w:rsidP="00252BC1">
            <w:pPr>
              <w:pStyle w:val="TableText0"/>
            </w:pPr>
            <w:r w:rsidRPr="00484AE9">
              <w:t>Main comparator</w:t>
            </w:r>
          </w:p>
        </w:tc>
        <w:tc>
          <w:tcPr>
            <w:tcW w:w="4076" w:type="pct"/>
            <w:shd w:val="clear" w:color="auto" w:fill="auto"/>
          </w:tcPr>
          <w:p w14:paraId="7BDDD45A" w14:textId="4D060504" w:rsidR="00252BC1" w:rsidRPr="00484AE9" w:rsidRDefault="00252BC1" w:rsidP="00252BC1">
            <w:pPr>
              <w:pStyle w:val="TableText0"/>
            </w:pPr>
            <w:r w:rsidRPr="00484AE9">
              <w:t>N</w:t>
            </w:r>
            <w:bookmarkStart w:id="7" w:name="_Hlk144167446"/>
            <w:r w:rsidRPr="00484AE9">
              <w:t>o SARS-CoV-2 antiviral medication (pl</w:t>
            </w:r>
            <w:bookmarkEnd w:id="7"/>
            <w:r w:rsidRPr="00484AE9">
              <w:t>acebo)</w:t>
            </w:r>
          </w:p>
        </w:tc>
      </w:tr>
      <w:tr w:rsidR="008B6130" w:rsidRPr="00484AE9" w14:paraId="5010CBFE" w14:textId="77777777" w:rsidTr="002A2ADE">
        <w:trPr>
          <w:cantSplit/>
        </w:trPr>
        <w:tc>
          <w:tcPr>
            <w:tcW w:w="924" w:type="pct"/>
            <w:shd w:val="clear" w:color="auto" w:fill="auto"/>
          </w:tcPr>
          <w:p w14:paraId="07A680E1" w14:textId="00F2FC49" w:rsidR="00252BC1" w:rsidRPr="00484AE9" w:rsidRDefault="00252BC1" w:rsidP="00252BC1">
            <w:pPr>
              <w:pStyle w:val="TableText0"/>
            </w:pPr>
            <w:r w:rsidRPr="00484AE9">
              <w:t>Secondary comparator</w:t>
            </w:r>
          </w:p>
        </w:tc>
        <w:tc>
          <w:tcPr>
            <w:tcW w:w="4076" w:type="pct"/>
            <w:shd w:val="clear" w:color="auto" w:fill="auto"/>
          </w:tcPr>
          <w:p w14:paraId="19E952F3" w14:textId="77777777" w:rsidR="00252BC1" w:rsidRPr="00484AE9" w:rsidRDefault="00252BC1" w:rsidP="00252BC1">
            <w:pPr>
              <w:pStyle w:val="TableText0"/>
            </w:pPr>
            <w:r w:rsidRPr="00484AE9">
              <w:t>Molnupiravir (Lagevrio</w:t>
            </w:r>
            <w:r w:rsidRPr="00484AE9">
              <w:rPr>
                <w:vertAlign w:val="superscript"/>
              </w:rPr>
              <w:t>®</w:t>
            </w:r>
            <w:r w:rsidRPr="00484AE9">
              <w:t>)</w:t>
            </w:r>
          </w:p>
          <w:p w14:paraId="19AAFF4C" w14:textId="4421BD31" w:rsidR="00CC0A4B" w:rsidRPr="00484AE9" w:rsidRDefault="00CC0A4B" w:rsidP="00252BC1">
            <w:pPr>
              <w:pStyle w:val="TableText0"/>
            </w:pPr>
            <w:r w:rsidRPr="00484AE9">
              <w:rPr>
                <w:szCs w:val="20"/>
              </w:rPr>
              <w:t xml:space="preserve">The recommended dose of </w:t>
            </w:r>
            <w:r w:rsidR="00370864" w:rsidRPr="00484AE9">
              <w:rPr>
                <w:szCs w:val="20"/>
              </w:rPr>
              <w:t>molnupiravir</w:t>
            </w:r>
            <w:r w:rsidRPr="00484AE9">
              <w:rPr>
                <w:szCs w:val="20"/>
              </w:rPr>
              <w:t xml:space="preserve"> in adult patients is 800 mg (four 200 mg capsules) taken orally every 12 hours for 5 days, with or without food.</w:t>
            </w:r>
          </w:p>
        </w:tc>
      </w:tr>
      <w:tr w:rsidR="008B6130" w:rsidRPr="00484AE9" w14:paraId="6DECDA29" w14:textId="77777777" w:rsidTr="002A2ADE">
        <w:trPr>
          <w:cantSplit/>
        </w:trPr>
        <w:tc>
          <w:tcPr>
            <w:tcW w:w="924" w:type="pct"/>
            <w:shd w:val="clear" w:color="auto" w:fill="auto"/>
          </w:tcPr>
          <w:p w14:paraId="7442EE7D" w14:textId="570A7CB1" w:rsidR="00837ADC" w:rsidRPr="00484AE9" w:rsidRDefault="0059643E" w:rsidP="00837ADC">
            <w:pPr>
              <w:pStyle w:val="TableText0"/>
            </w:pPr>
            <w:r w:rsidRPr="00484AE9">
              <w:t>Outcomes</w:t>
            </w:r>
          </w:p>
        </w:tc>
        <w:tc>
          <w:tcPr>
            <w:tcW w:w="4076" w:type="pct"/>
            <w:shd w:val="clear" w:color="auto" w:fill="auto"/>
          </w:tcPr>
          <w:p w14:paraId="0C57339C" w14:textId="77777777" w:rsidR="007A09EB" w:rsidRPr="00484AE9" w:rsidRDefault="007A09EB" w:rsidP="007A09EB">
            <w:pPr>
              <w:pStyle w:val="TableText0"/>
            </w:pPr>
            <w:r w:rsidRPr="00484AE9">
              <w:t>COVID related hospitalisations</w:t>
            </w:r>
          </w:p>
          <w:p w14:paraId="08638EDD" w14:textId="77777777" w:rsidR="007A09EB" w:rsidRPr="00484AE9" w:rsidRDefault="007A09EB" w:rsidP="007A09EB">
            <w:pPr>
              <w:pStyle w:val="TableText0"/>
            </w:pPr>
            <w:r w:rsidRPr="00484AE9">
              <w:t>COVID related deaths</w:t>
            </w:r>
          </w:p>
          <w:p w14:paraId="6E6C67AF" w14:textId="77777777" w:rsidR="007A09EB" w:rsidRPr="00484AE9" w:rsidRDefault="007A09EB" w:rsidP="007A09EB">
            <w:pPr>
              <w:pStyle w:val="TableText0"/>
            </w:pPr>
            <w:r w:rsidRPr="00484AE9">
              <w:t>Incidence of treatment-emergent adverse events (TEAEs)</w:t>
            </w:r>
          </w:p>
          <w:p w14:paraId="46C425D9" w14:textId="4FD295A4" w:rsidR="0059643E" w:rsidRPr="00484AE9" w:rsidRDefault="007A09EB" w:rsidP="007A09EB">
            <w:pPr>
              <w:pStyle w:val="TableText0"/>
            </w:pPr>
            <w:r w:rsidRPr="00484AE9">
              <w:t>Incidence of serious adverse events (SAEs) and adverse events (AEs) leading to discontinuations</w:t>
            </w:r>
          </w:p>
        </w:tc>
      </w:tr>
      <w:tr w:rsidR="008B6130" w:rsidRPr="00484AE9" w14:paraId="274CB441" w14:textId="77777777" w:rsidTr="002A2ADE">
        <w:trPr>
          <w:cantSplit/>
        </w:trPr>
        <w:tc>
          <w:tcPr>
            <w:tcW w:w="924" w:type="pct"/>
            <w:shd w:val="clear" w:color="auto" w:fill="auto"/>
          </w:tcPr>
          <w:p w14:paraId="36BA0C71" w14:textId="7A0E4020" w:rsidR="00837ADC" w:rsidRPr="00484AE9" w:rsidRDefault="007A09EB" w:rsidP="00837ADC">
            <w:pPr>
              <w:pStyle w:val="TableText0"/>
            </w:pPr>
            <w:r w:rsidRPr="00484AE9">
              <w:t>Clinical claim</w:t>
            </w:r>
          </w:p>
        </w:tc>
        <w:tc>
          <w:tcPr>
            <w:tcW w:w="4076" w:type="pct"/>
            <w:shd w:val="clear" w:color="auto" w:fill="auto"/>
          </w:tcPr>
          <w:p w14:paraId="15693B42" w14:textId="77777777" w:rsidR="00BA2F49" w:rsidRPr="00484AE9" w:rsidRDefault="00BA2F49" w:rsidP="00BA2F49">
            <w:pPr>
              <w:pStyle w:val="TableText0"/>
            </w:pPr>
            <w:r w:rsidRPr="00484AE9">
              <w:t>The clinical claim for efficacy and safety is based on the primary outcomes of the EPIC-HR trial and supported by observational studies conducted in a highly vaccinated population during the Omicron era.</w:t>
            </w:r>
          </w:p>
          <w:p w14:paraId="01130316" w14:textId="00D4FBE2" w:rsidR="00BA2F49" w:rsidRPr="00484AE9" w:rsidRDefault="00BA2F49" w:rsidP="00F22594">
            <w:pPr>
              <w:pStyle w:val="TableText0"/>
              <w:numPr>
                <w:ilvl w:val="0"/>
                <w:numId w:val="9"/>
              </w:numPr>
              <w:ind w:left="360"/>
              <w:rPr>
                <w:szCs w:val="20"/>
              </w:rPr>
            </w:pPr>
            <w:r w:rsidRPr="00484AE9">
              <w:rPr>
                <w:szCs w:val="20"/>
              </w:rPr>
              <w:t xml:space="preserve">Nirmatrelvir/ritonavir is superior in terms of efficacy compared with placebo </w:t>
            </w:r>
          </w:p>
          <w:p w14:paraId="1A7C22B8" w14:textId="0B1F21D8" w:rsidR="00837ADC" w:rsidRPr="00484AE9" w:rsidRDefault="00BA2F49" w:rsidP="00F22594">
            <w:pPr>
              <w:pStyle w:val="TableText0"/>
              <w:numPr>
                <w:ilvl w:val="0"/>
                <w:numId w:val="9"/>
              </w:numPr>
              <w:ind w:left="360"/>
            </w:pPr>
            <w:r w:rsidRPr="00484AE9">
              <w:rPr>
                <w:szCs w:val="20"/>
              </w:rPr>
              <w:t>Nirmatrelvir/ritonavir is similar in terms of safety compared with placebo</w:t>
            </w:r>
          </w:p>
        </w:tc>
      </w:tr>
    </w:tbl>
    <w:p w14:paraId="527CA7F0" w14:textId="7F7895B5" w:rsidR="004E43B2" w:rsidRPr="00484AE9" w:rsidRDefault="008B1757" w:rsidP="004A6040">
      <w:pPr>
        <w:pStyle w:val="FooterTableFigure"/>
        <w:rPr>
          <w:sz w:val="20"/>
        </w:rPr>
      </w:pPr>
      <w:r w:rsidRPr="00484AE9">
        <w:t xml:space="preserve">Source: </w:t>
      </w:r>
      <w:r w:rsidR="00651357" w:rsidRPr="00484AE9">
        <w:t>Table 1.1.1</w:t>
      </w:r>
      <w:r w:rsidRPr="00484AE9">
        <w:t>, p</w:t>
      </w:r>
      <w:r w:rsidR="00B162BB" w:rsidRPr="00484AE9">
        <w:t xml:space="preserve">4 </w:t>
      </w:r>
      <w:r w:rsidRPr="00484AE9">
        <w:t>of the submission.</w:t>
      </w:r>
    </w:p>
    <w:p w14:paraId="6B4AB6C2" w14:textId="7F01D731" w:rsidR="005C25FF" w:rsidRPr="00484AE9" w:rsidRDefault="005C25FF" w:rsidP="004A6040">
      <w:pPr>
        <w:pStyle w:val="2-SectionHeading"/>
      </w:pPr>
      <w:bookmarkStart w:id="8" w:name="_Toc144920959"/>
      <w:bookmarkStart w:id="9" w:name="_Toc145506587"/>
      <w:r w:rsidRPr="00484AE9">
        <w:t>Background</w:t>
      </w:r>
      <w:bookmarkEnd w:id="8"/>
      <w:bookmarkEnd w:id="9"/>
    </w:p>
    <w:p w14:paraId="2C521D6D" w14:textId="78CF03EE" w:rsidR="005C25FF" w:rsidRPr="00484AE9" w:rsidRDefault="005C25FF" w:rsidP="00F40641">
      <w:pPr>
        <w:pStyle w:val="4-SubsectionHeading"/>
      </w:pPr>
      <w:bookmarkStart w:id="10" w:name="_Toc22897638"/>
      <w:bookmarkStart w:id="11" w:name="_Toc144920960"/>
      <w:bookmarkStart w:id="12" w:name="_Toc145506588"/>
      <w:r w:rsidRPr="00484AE9">
        <w:t>Registration status</w:t>
      </w:r>
      <w:bookmarkEnd w:id="10"/>
      <w:bookmarkEnd w:id="11"/>
      <w:bookmarkEnd w:id="12"/>
    </w:p>
    <w:p w14:paraId="41E38709" w14:textId="52BA2C15" w:rsidR="005D14BA" w:rsidRPr="00484AE9" w:rsidRDefault="0029215E" w:rsidP="008B03CB">
      <w:pPr>
        <w:pStyle w:val="3-BodyText"/>
      </w:pPr>
      <w:r w:rsidRPr="00484AE9">
        <w:t>N</w:t>
      </w:r>
      <w:r w:rsidR="00C71E66" w:rsidRPr="00484AE9">
        <w:t>irmatrelvir and ritonavir</w:t>
      </w:r>
      <w:r w:rsidRPr="00484AE9">
        <w:t xml:space="preserve"> </w:t>
      </w:r>
      <w:r w:rsidR="005C25FF" w:rsidRPr="00484AE9">
        <w:t xml:space="preserve">was </w:t>
      </w:r>
      <w:r w:rsidRPr="00484AE9">
        <w:t>granted provision</w:t>
      </w:r>
      <w:r w:rsidR="00A2275F" w:rsidRPr="00484AE9">
        <w:t>al</w:t>
      </w:r>
      <w:r w:rsidRPr="00484AE9">
        <w:t xml:space="preserve"> approval by the </w:t>
      </w:r>
      <w:r w:rsidR="00F353C4" w:rsidRPr="00484AE9">
        <w:t>Therapeutic Goods Administration (</w:t>
      </w:r>
      <w:r w:rsidR="005C25FF" w:rsidRPr="00484AE9">
        <w:t>TGA</w:t>
      </w:r>
      <w:r w:rsidR="00F353C4" w:rsidRPr="00484AE9">
        <w:t>)</w:t>
      </w:r>
      <w:r w:rsidR="005C25FF" w:rsidRPr="00484AE9">
        <w:t xml:space="preserve"> on </w:t>
      </w:r>
      <w:r w:rsidR="00B31DF7" w:rsidRPr="00484AE9">
        <w:t>20 January 2022</w:t>
      </w:r>
      <w:r w:rsidR="005C25FF" w:rsidRPr="00484AE9">
        <w:t xml:space="preserve"> for</w:t>
      </w:r>
      <w:r w:rsidR="00A40B35" w:rsidRPr="00484AE9">
        <w:t xml:space="preserve"> the treatment of coronavirus disease 2019 (</w:t>
      </w:r>
      <w:r w:rsidR="009C3063" w:rsidRPr="00484AE9">
        <w:t>COVID-19</w:t>
      </w:r>
      <w:r w:rsidR="00A40B35" w:rsidRPr="00484AE9">
        <w:t xml:space="preserve">) in adults 18 years of age and older, who do not require initiation of supplemental oxygen due to </w:t>
      </w:r>
      <w:r w:rsidR="009C3063" w:rsidRPr="00484AE9">
        <w:t>COVID-19</w:t>
      </w:r>
      <w:r w:rsidR="00A40B35" w:rsidRPr="00484AE9">
        <w:t xml:space="preserve"> and are at increased risk of progression to hospitalisation or death.</w:t>
      </w:r>
      <w:r w:rsidR="00810AE5" w:rsidRPr="00484AE9">
        <w:t xml:space="preserve"> The provisional registration was </w:t>
      </w:r>
      <w:r w:rsidR="0037376D" w:rsidRPr="00484AE9">
        <w:t xml:space="preserve">based on </w:t>
      </w:r>
      <w:r w:rsidR="00810AE5" w:rsidRPr="00484AE9">
        <w:t>short term efficacy and safety data</w:t>
      </w:r>
      <w:r w:rsidR="0037376D" w:rsidRPr="00484AE9">
        <w:t xml:space="preserve"> and</w:t>
      </w:r>
      <w:r w:rsidR="00810AE5" w:rsidRPr="00484AE9">
        <w:t xml:space="preserve"> </w:t>
      </w:r>
      <w:r w:rsidR="0037376D" w:rsidRPr="00484AE9">
        <w:t>c</w:t>
      </w:r>
      <w:r w:rsidR="00810AE5" w:rsidRPr="00484AE9">
        <w:t xml:space="preserve">ontinued approval </w:t>
      </w:r>
      <w:r w:rsidR="0037376D" w:rsidRPr="00484AE9">
        <w:t xml:space="preserve">is contingent on provision of </w:t>
      </w:r>
      <w:r w:rsidR="00810AE5" w:rsidRPr="00484AE9">
        <w:t>efficacy and safety data from ongoing clinical trials and post-market assessment</w:t>
      </w:r>
      <w:r w:rsidR="00A62B3A" w:rsidRPr="00484AE9">
        <w:t xml:space="preserve">. </w:t>
      </w:r>
      <w:r w:rsidR="007E278A" w:rsidRPr="00484AE9">
        <w:t xml:space="preserve">The provisional registration period is 2 years starting on the day registration commences. </w:t>
      </w:r>
      <w:r w:rsidR="005D14BA" w:rsidRPr="00484AE9">
        <w:rPr>
          <w:iCs/>
        </w:rPr>
        <w:t xml:space="preserve">The </w:t>
      </w:r>
      <w:r w:rsidR="00A31543" w:rsidRPr="00A31543">
        <w:rPr>
          <w:iCs/>
        </w:rPr>
        <w:t>Pre-Sub-Committee Response (</w:t>
      </w:r>
      <w:r w:rsidR="005D14BA" w:rsidRPr="00A31543">
        <w:rPr>
          <w:iCs/>
        </w:rPr>
        <w:t>PSCR</w:t>
      </w:r>
      <w:r w:rsidR="00A31543" w:rsidRPr="00A31543">
        <w:rPr>
          <w:iCs/>
        </w:rPr>
        <w:t>)</w:t>
      </w:r>
      <w:r w:rsidR="005D14BA" w:rsidRPr="00484AE9">
        <w:rPr>
          <w:iCs/>
        </w:rPr>
        <w:t xml:space="preserve"> reported that provisional registration has been extended to 18 Jan 2026.</w:t>
      </w:r>
    </w:p>
    <w:p w14:paraId="5374AD55" w14:textId="3622EFC5" w:rsidR="005C25FF" w:rsidRPr="00484AE9" w:rsidRDefault="005C25FF" w:rsidP="002415CB">
      <w:pPr>
        <w:pStyle w:val="3-BodyText"/>
      </w:pPr>
      <w:r w:rsidRPr="00484AE9">
        <w:t xml:space="preserve">The submission stated that </w:t>
      </w:r>
      <w:r w:rsidR="00FF4A73" w:rsidRPr="00484AE9">
        <w:t>Pfizer is working to address the post-approval commitments associated with the provisional registration</w:t>
      </w:r>
      <w:r w:rsidR="008F54DC" w:rsidRPr="00484AE9">
        <w:t xml:space="preserve"> and that, o</w:t>
      </w:r>
      <w:r w:rsidR="00FF4A73" w:rsidRPr="00484AE9">
        <w:t xml:space="preserve">nce the data for the commitments currently under evaluation are accepted by the TGA, Pfizer will lodge an application to request conversion to full registration. </w:t>
      </w:r>
      <w:r w:rsidR="00C814EB" w:rsidRPr="00484AE9">
        <w:t>The submission state</w:t>
      </w:r>
      <w:r w:rsidR="00A13FD0" w:rsidRPr="00484AE9">
        <w:t>d</w:t>
      </w:r>
      <w:r w:rsidR="00C814EB" w:rsidRPr="00484AE9">
        <w:t xml:space="preserve"> that nirmatrelvir and ritonavir </w:t>
      </w:r>
      <w:r w:rsidR="008551CE" w:rsidRPr="00484AE9">
        <w:t>“</w:t>
      </w:r>
      <w:r w:rsidR="00FF4A73" w:rsidRPr="00484AE9">
        <w:t>is not currently expected to have full registration by 1</w:t>
      </w:r>
      <w:r w:rsidR="00FD64F9" w:rsidRPr="00484AE9">
        <w:t> </w:t>
      </w:r>
      <w:r w:rsidR="00FF4A73" w:rsidRPr="00484AE9">
        <w:t>April 2024</w:t>
      </w:r>
      <w:r w:rsidR="008551CE" w:rsidRPr="00484AE9">
        <w:t>”</w:t>
      </w:r>
      <w:r w:rsidR="00FF4A73" w:rsidRPr="00484AE9">
        <w:t>.</w:t>
      </w:r>
      <w:r w:rsidR="002B19D8" w:rsidRPr="00484AE9">
        <w:t xml:space="preserve"> </w:t>
      </w:r>
      <w:r w:rsidR="00955547" w:rsidRPr="00484AE9">
        <w:rPr>
          <w:iCs/>
        </w:rPr>
        <w:t>The PSCR reported that an application</w:t>
      </w:r>
      <w:r w:rsidR="0067781C" w:rsidRPr="00484AE9">
        <w:rPr>
          <w:iCs/>
        </w:rPr>
        <w:t xml:space="preserve"> to convert the provisional registration to full approval was </w:t>
      </w:r>
      <w:r w:rsidR="004C086A" w:rsidRPr="00484AE9">
        <w:rPr>
          <w:iCs/>
        </w:rPr>
        <w:t>submitted to the TGA on 30 August 2023.</w:t>
      </w:r>
    </w:p>
    <w:p w14:paraId="3E2A6EAB" w14:textId="031D8D51" w:rsidR="005C25FF" w:rsidRPr="00484AE9" w:rsidRDefault="005C25FF" w:rsidP="00F40641">
      <w:pPr>
        <w:pStyle w:val="4-SubsectionHeading"/>
      </w:pPr>
      <w:bookmarkStart w:id="13" w:name="_Toc22897639"/>
      <w:bookmarkStart w:id="14" w:name="_Toc144920961"/>
      <w:bookmarkStart w:id="15" w:name="_Toc145506589"/>
      <w:r w:rsidRPr="00484AE9">
        <w:lastRenderedPageBreak/>
        <w:t>Previous PBAC consideration</w:t>
      </w:r>
      <w:bookmarkEnd w:id="13"/>
      <w:r w:rsidR="002415CB" w:rsidRPr="00484AE9">
        <w:t>s</w:t>
      </w:r>
      <w:bookmarkEnd w:id="14"/>
      <w:bookmarkEnd w:id="15"/>
    </w:p>
    <w:p w14:paraId="4F972146" w14:textId="1E7BAD07" w:rsidR="00B94C40" w:rsidRPr="00484AE9" w:rsidRDefault="00BD23A8" w:rsidP="002E4F02">
      <w:pPr>
        <w:pStyle w:val="3-BodyText"/>
      </w:pPr>
      <w:r w:rsidRPr="00484AE9">
        <w:t xml:space="preserve">As part of its response to the </w:t>
      </w:r>
      <w:r w:rsidR="00B94C40" w:rsidRPr="00484AE9">
        <w:t>COVID-19 pandemic, the Australian Government Department of Health</w:t>
      </w:r>
      <w:r w:rsidR="00D74198" w:rsidRPr="00484AE9">
        <w:t xml:space="preserve"> and Aged Care</w:t>
      </w:r>
      <w:r w:rsidR="00B94C40" w:rsidRPr="00484AE9">
        <w:t xml:space="preserve">, with advice from the COVID-19 Vaccines and Treatments for Australia – Science and Industry Technical Advisory Group (SITAG), made commitments to pre-purchase promising vaccines and therapeutics for COVID-19, subject to TGA registration. </w:t>
      </w:r>
      <w:r w:rsidR="00F34F12" w:rsidRPr="00484AE9">
        <w:t>One of these was nirmatrelvir and ritonavir, for which a commitment to purchase 500,000 courses for delivery into the National Medical Stockpile (NMS) during 2022 was made.</w:t>
      </w:r>
      <w:r w:rsidR="00657688" w:rsidRPr="00484AE9">
        <w:t xml:space="preserve"> </w:t>
      </w:r>
    </w:p>
    <w:p w14:paraId="3FC730DD" w14:textId="423E74E7" w:rsidR="00702E20" w:rsidRPr="00484AE9" w:rsidRDefault="00702E20" w:rsidP="003E2A1F">
      <w:pPr>
        <w:pStyle w:val="3-BodyText"/>
      </w:pPr>
      <w:r w:rsidRPr="00484AE9">
        <w:rPr>
          <w:b/>
          <w:bCs/>
        </w:rPr>
        <w:t>January 2022</w:t>
      </w:r>
      <w:r w:rsidRPr="00484AE9">
        <w:t>: The PBAC convened a special meeting on 18 January 2022 to provide preliminary advice to the Minister for Health (Minister) as to whether the drugs, nirmatrelvir and ritonavir (Paxlovid®) and/or molnupiravir (Lagevrio®) and/or tixagevimab with cilgavimab (Evusheld®) could be made available as a pharmaceutical benefit under Part VII of the National Health Act 1953 (Act) for the treatment of SARS-CoV</w:t>
      </w:r>
      <w:r w:rsidR="0012208D" w:rsidRPr="00484AE9">
        <w:t>-</w:t>
      </w:r>
      <w:r w:rsidRPr="00484AE9">
        <w:t>2 infection in non-hospitalised patients who are at high risk of progression to severe COVID-19 (nirmatrelvir and ritonavir; and molnupiravir) and for Pre-Exposure Prophylaxis (PrEP, Evusheld) in patients at high risk.</w:t>
      </w:r>
      <w:r w:rsidR="00582F27" w:rsidRPr="00484AE9">
        <w:t xml:space="preserve"> T</w:t>
      </w:r>
      <w:r w:rsidRPr="00484AE9">
        <w:t>he PBAC advised the Minister it consider</w:t>
      </w:r>
      <w:r w:rsidR="00582F27" w:rsidRPr="00484AE9">
        <w:t>ed</w:t>
      </w:r>
      <w:r w:rsidRPr="00484AE9">
        <w:t xml:space="preserve"> these drugs </w:t>
      </w:r>
      <w:r w:rsidR="00582F27" w:rsidRPr="00484AE9">
        <w:t>we</w:t>
      </w:r>
      <w:r w:rsidRPr="00484AE9">
        <w:t>re suitable for supply to patients through the PBS, subject to approval by the TGA and the requirements of the National Health Act 1953 being met.</w:t>
      </w:r>
    </w:p>
    <w:p w14:paraId="6795F185" w14:textId="6761B636" w:rsidR="0092323F" w:rsidRPr="00484AE9" w:rsidRDefault="0092323F" w:rsidP="003E2A1F">
      <w:pPr>
        <w:pStyle w:val="3-BodyText"/>
      </w:pPr>
      <w:r w:rsidRPr="00484AE9">
        <w:rPr>
          <w:rFonts w:cstheme="minorHAnsi"/>
        </w:rPr>
        <w:t xml:space="preserve">Rapid health technology assessments (rapid HTAs) of </w:t>
      </w:r>
      <w:r w:rsidR="003513D9" w:rsidRPr="00484AE9">
        <w:rPr>
          <w:rFonts w:cstheme="minorHAnsi"/>
        </w:rPr>
        <w:t>various treatments for COVID</w:t>
      </w:r>
      <w:r w:rsidR="007839A5" w:rsidRPr="00484AE9">
        <w:rPr>
          <w:rFonts w:cstheme="minorHAnsi"/>
        </w:rPr>
        <w:noBreakHyphen/>
      </w:r>
      <w:r w:rsidR="003513D9" w:rsidRPr="00484AE9">
        <w:rPr>
          <w:rFonts w:cstheme="minorHAnsi"/>
        </w:rPr>
        <w:t>19, including</w:t>
      </w:r>
      <w:r w:rsidRPr="00484AE9">
        <w:rPr>
          <w:rFonts w:cstheme="minorHAnsi"/>
        </w:rPr>
        <w:t xml:space="preserve"> nirmatrelvir and ritonavir</w:t>
      </w:r>
      <w:r w:rsidR="007F500E" w:rsidRPr="00484AE9">
        <w:rPr>
          <w:rFonts w:cstheme="minorHAnsi"/>
        </w:rPr>
        <w:t>,</w:t>
      </w:r>
      <w:r w:rsidRPr="00484AE9">
        <w:rPr>
          <w:rFonts w:cstheme="minorHAnsi"/>
        </w:rPr>
        <w:t xml:space="preserve"> were commissioned by the Department</w:t>
      </w:r>
      <w:r w:rsidR="00FD691B" w:rsidRPr="00484AE9">
        <w:rPr>
          <w:rFonts w:cstheme="minorHAnsi"/>
        </w:rPr>
        <w:t xml:space="preserve"> to inform PBAC decision-making</w:t>
      </w:r>
      <w:r w:rsidRPr="00484AE9">
        <w:rPr>
          <w:rFonts w:cstheme="minorHAnsi"/>
        </w:rPr>
        <w:t>.</w:t>
      </w:r>
    </w:p>
    <w:p w14:paraId="455C0F66" w14:textId="65270762" w:rsidR="00951688" w:rsidRPr="00484AE9" w:rsidRDefault="00951688" w:rsidP="00951688">
      <w:pPr>
        <w:pStyle w:val="3-BodyText"/>
      </w:pPr>
      <w:r w:rsidRPr="00484AE9">
        <w:t xml:space="preserve">Pfizer </w:t>
      </w:r>
      <w:r w:rsidR="00EF5BEB" w:rsidRPr="00484AE9">
        <w:t>did not</w:t>
      </w:r>
      <w:r w:rsidRPr="00484AE9">
        <w:t xml:space="preserve"> </w:t>
      </w:r>
      <w:r w:rsidR="00EF5BEB" w:rsidRPr="00484AE9">
        <w:t>submit</w:t>
      </w:r>
      <w:r w:rsidRPr="00484AE9">
        <w:t xml:space="preserve"> an application for the PBS listing of nirmatrelvir and ritonavir. However, Pfizer agreed to the Commonwealth being the Responsible Person for nirmatrelvir and ritonavir for PBS purposes. </w:t>
      </w:r>
      <w:r w:rsidRPr="00484AE9">
        <w:rPr>
          <w:rFonts w:cstheme="minorHAnsi"/>
        </w:rPr>
        <w:t>Pfizer remained the sponsor of nirmatrelvir and ritonavir for the purposes of registration.</w:t>
      </w:r>
      <w:r w:rsidR="00D95BAD" w:rsidRPr="00484AE9">
        <w:rPr>
          <w:rFonts w:cstheme="minorHAnsi"/>
        </w:rPr>
        <w:t xml:space="preserve"> To enable PBS supply</w:t>
      </w:r>
      <w:r w:rsidR="00B9728B" w:rsidRPr="00484AE9">
        <w:rPr>
          <w:rFonts w:cstheme="minorHAnsi"/>
        </w:rPr>
        <w:t>,</w:t>
      </w:r>
      <w:r w:rsidR="00D95BAD" w:rsidRPr="00484AE9">
        <w:rPr>
          <w:rFonts w:cstheme="minorHAnsi"/>
        </w:rPr>
        <w:t xml:space="preserve"> the Commonwealth committed to purchase an additional 500,000 courses, following advice from the SITAG.</w:t>
      </w:r>
    </w:p>
    <w:p w14:paraId="467BD283" w14:textId="79D03478" w:rsidR="008B1331" w:rsidRPr="00484AE9" w:rsidRDefault="005166F6" w:rsidP="00285987">
      <w:pPr>
        <w:pStyle w:val="3-BodyText"/>
        <w:rPr>
          <w:u w:val="single"/>
        </w:rPr>
      </w:pPr>
      <w:bookmarkStart w:id="16" w:name="_Ref144566933"/>
      <w:r w:rsidRPr="00484AE9">
        <w:rPr>
          <w:b/>
          <w:bCs/>
        </w:rPr>
        <w:t>March 2022</w:t>
      </w:r>
      <w:r w:rsidRPr="00484AE9">
        <w:t xml:space="preserve">: </w:t>
      </w:r>
      <w:r w:rsidR="00FD691B" w:rsidRPr="00484AE9">
        <w:t xml:space="preserve">The PBAC considered the </w:t>
      </w:r>
      <w:r w:rsidR="003513D9" w:rsidRPr="00484AE9">
        <w:t xml:space="preserve">report of the </w:t>
      </w:r>
      <w:r w:rsidR="002129BA" w:rsidRPr="00484AE9">
        <w:t xml:space="preserve">rapid HTA of nirmatrelvir and ritonavir. </w:t>
      </w:r>
      <w:r w:rsidR="00B650CE" w:rsidRPr="00484AE9">
        <w:t>The primary source of evidence reviewed in the rapid HTA was the EPIC-HR trial</w:t>
      </w:r>
      <w:r w:rsidR="004951F9" w:rsidRPr="00484AE9">
        <w:t>.</w:t>
      </w:r>
      <w:r w:rsidR="00856A2F" w:rsidRPr="00484AE9">
        <w:t xml:space="preserve"> The EPIC-HR trial was conducted in a population of unvaccinated, non</w:t>
      </w:r>
      <w:r w:rsidR="00A678F5" w:rsidRPr="00484AE9">
        <w:noBreakHyphen/>
      </w:r>
      <w:r w:rsidR="00856A2F" w:rsidRPr="00484AE9">
        <w:t xml:space="preserve">hospitalised adults (aged ≥18 years) with mildly to moderately symptomatic, confirmed COVID-19 (≤ 5 days from onset of symptoms), </w:t>
      </w:r>
      <w:r w:rsidR="00505598" w:rsidRPr="00484AE9">
        <w:t>and at least</w:t>
      </w:r>
      <w:r w:rsidR="00856A2F" w:rsidRPr="00484AE9">
        <w:t xml:space="preserve"> one risk factor putting them at high risk of progression to severe COVID-19, which may cause hospitalisation or death.</w:t>
      </w:r>
      <w:r w:rsidR="004951F9" w:rsidRPr="00484AE9">
        <w:t xml:space="preserve"> The</w:t>
      </w:r>
      <w:r w:rsidR="00FB6E9F" w:rsidRPr="00484AE9">
        <w:t xml:space="preserve"> EPIC-SR trial </w:t>
      </w:r>
      <w:r w:rsidR="00810EC3" w:rsidRPr="00484AE9">
        <w:t>was</w:t>
      </w:r>
      <w:r w:rsidR="00294BFE" w:rsidRPr="00484AE9">
        <w:t xml:space="preserve"> ongoing at the time of preparation of the rapid HTA. The EPIC-SR trial was</w:t>
      </w:r>
      <w:r w:rsidR="004951F9" w:rsidRPr="00484AE9">
        <w:t xml:space="preserve"> conducted in </w:t>
      </w:r>
      <w:r w:rsidR="00AE0183" w:rsidRPr="00484AE9">
        <w:t xml:space="preserve">a population of unvaccinated adults with symptomatic </w:t>
      </w:r>
      <w:r w:rsidR="009C3063" w:rsidRPr="00484AE9">
        <w:t>COVID-19</w:t>
      </w:r>
      <w:r w:rsidR="00AE0183" w:rsidRPr="00484AE9">
        <w:t xml:space="preserve"> who are at ‘standard risk’ of hospitalisation or death as well as vaccinated adults with symptomatic COVID-19 who had one or more risk factors for progressing to severe illness.</w:t>
      </w:r>
      <w:bookmarkStart w:id="17" w:name="_Hlk144566965"/>
      <w:r w:rsidR="00335E7E" w:rsidRPr="00484AE9">
        <w:t xml:space="preserve"> </w:t>
      </w:r>
      <w:r w:rsidR="00D36003" w:rsidRPr="00484AE9">
        <w:t xml:space="preserve">A number of analysis sets were defined for the EPIC-HR trial. No analyses of outcomes were performed using the full analysis set (FAS). The modified Intent to Treat 2 (mITT2) population </w:t>
      </w:r>
      <w:r w:rsidR="00E61778" w:rsidRPr="00484AE9">
        <w:t>was considered</w:t>
      </w:r>
      <w:r w:rsidR="00D36003" w:rsidRPr="00484AE9">
        <w:t xml:space="preserve"> the analysis </w:t>
      </w:r>
      <w:r w:rsidR="00D36003" w:rsidRPr="00484AE9">
        <w:lastRenderedPageBreak/>
        <w:t>set that most closely resemble</w:t>
      </w:r>
      <w:r w:rsidR="00E61778" w:rsidRPr="00484AE9">
        <w:t>d</w:t>
      </w:r>
      <w:r w:rsidR="00D36003" w:rsidRPr="00484AE9">
        <w:t xml:space="preserve"> the ITT (FAS) analysis set as it included all patients who received at least one dose of study intervention.</w:t>
      </w:r>
      <w:bookmarkEnd w:id="17"/>
      <w:r w:rsidR="00967479" w:rsidRPr="00484AE9">
        <w:t xml:space="preserve"> </w:t>
      </w:r>
      <w:r w:rsidR="00335E7E" w:rsidRPr="00484AE9">
        <w:t>The results of the EPIC-HR trial</w:t>
      </w:r>
      <w:r w:rsidR="0057413B" w:rsidRPr="00484AE9">
        <w:t xml:space="preserve"> indicated a benefit</w:t>
      </w:r>
      <w:r w:rsidR="0034473D" w:rsidRPr="00484AE9">
        <w:t xml:space="preserve"> from treatment with nirmatrelvir and ritonavir, as summarised in </w:t>
      </w:r>
      <w:r w:rsidR="00A54D10" w:rsidRPr="00484AE9">
        <w:fldChar w:fldCharType="begin"/>
      </w:r>
      <w:r w:rsidR="00A54D10" w:rsidRPr="00484AE9">
        <w:instrText xml:space="preserve"> REF _Ref144502213 \h </w:instrText>
      </w:r>
      <w:r w:rsidR="00A678F5" w:rsidRPr="00484AE9">
        <w:instrText xml:space="preserve"> \* MERGEFORMAT </w:instrText>
      </w:r>
      <w:r w:rsidR="00A54D10" w:rsidRPr="00484AE9">
        <w:fldChar w:fldCharType="separate"/>
      </w:r>
      <w:r w:rsidR="00872657" w:rsidRPr="00484AE9">
        <w:t xml:space="preserve">Table </w:t>
      </w:r>
      <w:r w:rsidR="00872657">
        <w:t>2</w:t>
      </w:r>
      <w:r w:rsidR="00A54D10" w:rsidRPr="00484AE9">
        <w:fldChar w:fldCharType="end"/>
      </w:r>
      <w:r w:rsidR="0002278E" w:rsidRPr="00484AE9">
        <w:t xml:space="preserve">, and </w:t>
      </w:r>
      <w:r w:rsidR="00AB2F61" w:rsidRPr="00484AE9">
        <w:t xml:space="preserve">indicated </w:t>
      </w:r>
      <w:r w:rsidR="004F04A2" w:rsidRPr="00484AE9">
        <w:t xml:space="preserve">that it was </w:t>
      </w:r>
      <w:r w:rsidR="0096623B" w:rsidRPr="00484AE9">
        <w:t xml:space="preserve">generally well tolerated. </w:t>
      </w:r>
      <w:r w:rsidR="004A5FC1" w:rsidRPr="00484AE9">
        <w:t xml:space="preserve">However, </w:t>
      </w:r>
      <w:r w:rsidR="004A12D4" w:rsidRPr="00484AE9">
        <w:t>it was noted that the</w:t>
      </w:r>
      <w:r w:rsidR="004A5FC1" w:rsidRPr="00484AE9">
        <w:t xml:space="preserve"> use of nirmatrelvir and ritonavir</w:t>
      </w:r>
      <w:r w:rsidR="004A12D4" w:rsidRPr="00484AE9">
        <w:t xml:space="preserve"> was contraindicated in a number of patient groups: </w:t>
      </w:r>
      <w:r w:rsidR="007C4073" w:rsidRPr="00484AE9">
        <w:t xml:space="preserve">patients with </w:t>
      </w:r>
      <w:r w:rsidR="00FF6B08" w:rsidRPr="00484AE9">
        <w:rPr>
          <w:rFonts w:cstheme="minorHAnsi"/>
        </w:rPr>
        <w:t>severe renal impairment</w:t>
      </w:r>
      <w:r w:rsidR="00C91C2D" w:rsidRPr="00484AE9">
        <w:rPr>
          <w:rFonts w:cstheme="minorHAnsi"/>
        </w:rPr>
        <w:t xml:space="preserve">, </w:t>
      </w:r>
      <w:r w:rsidR="007C4073" w:rsidRPr="00484AE9">
        <w:rPr>
          <w:rFonts w:cstheme="minorHAnsi"/>
        </w:rPr>
        <w:t xml:space="preserve">patients with </w:t>
      </w:r>
      <w:r w:rsidR="00FF6B08" w:rsidRPr="00484AE9">
        <w:rPr>
          <w:rFonts w:cstheme="minorHAnsi"/>
        </w:rPr>
        <w:t>severe hepatic impairment</w:t>
      </w:r>
      <w:r w:rsidR="007C4073" w:rsidRPr="00484AE9">
        <w:rPr>
          <w:rFonts w:cstheme="minorHAnsi"/>
        </w:rPr>
        <w:t xml:space="preserve">s, </w:t>
      </w:r>
      <w:r w:rsidR="00FF6B08" w:rsidRPr="00484AE9">
        <w:rPr>
          <w:rFonts w:cstheme="minorHAnsi"/>
        </w:rPr>
        <w:t xml:space="preserve">patients </w:t>
      </w:r>
      <w:r w:rsidR="007C4073" w:rsidRPr="00484AE9">
        <w:rPr>
          <w:rFonts w:cstheme="minorHAnsi"/>
        </w:rPr>
        <w:t>on medications</w:t>
      </w:r>
      <w:r w:rsidR="00FF6B08" w:rsidRPr="00484AE9">
        <w:rPr>
          <w:rFonts w:cstheme="minorHAnsi"/>
        </w:rPr>
        <w:t xml:space="preserve"> that are highly dependent on </w:t>
      </w:r>
      <w:r w:rsidR="003953A3" w:rsidRPr="00484AE9">
        <w:rPr>
          <w:rFonts w:cstheme="minorHAnsi"/>
        </w:rPr>
        <w:t xml:space="preserve">cytochrome P4503A (CYP3A) </w:t>
      </w:r>
      <w:r w:rsidR="00FF6B08" w:rsidRPr="00484AE9">
        <w:rPr>
          <w:rFonts w:cstheme="minorHAnsi"/>
        </w:rPr>
        <w:t>for clearance and for which elevated concentrations are associated with serious and/or life-threatening reactions</w:t>
      </w:r>
      <w:r w:rsidR="001E64F3" w:rsidRPr="00484AE9">
        <w:rPr>
          <w:rFonts w:cstheme="minorHAnsi"/>
        </w:rPr>
        <w:t xml:space="preserve"> and patients on medications </w:t>
      </w:r>
      <w:r w:rsidR="00FF6B08" w:rsidRPr="00484AE9">
        <w:rPr>
          <w:rFonts w:cstheme="minorHAnsi"/>
        </w:rPr>
        <w:t>that are potent CYP3A inducers</w:t>
      </w:r>
      <w:r w:rsidR="00E95E85" w:rsidRPr="00484AE9">
        <w:rPr>
          <w:rFonts w:cstheme="minorHAnsi"/>
        </w:rPr>
        <w:t>.</w:t>
      </w:r>
      <w:bookmarkEnd w:id="16"/>
    </w:p>
    <w:p w14:paraId="1F3E5168" w14:textId="6C8C58EB" w:rsidR="001E1BFA" w:rsidRPr="00484AE9" w:rsidRDefault="00D71614" w:rsidP="00D71614">
      <w:pPr>
        <w:pStyle w:val="Caption"/>
        <w:jc w:val="left"/>
      </w:pPr>
      <w:bookmarkStart w:id="18" w:name="_Ref144502213"/>
      <w:bookmarkStart w:id="19" w:name="_Ref90321022"/>
      <w:r w:rsidRPr="00484AE9">
        <w:t xml:space="preserve">Table </w:t>
      </w:r>
      <w:fldSimple w:instr=" SEQ Table \* ARABIC ">
        <w:r w:rsidR="00872657">
          <w:rPr>
            <w:noProof/>
          </w:rPr>
          <w:t>2</w:t>
        </w:r>
      </w:fldSimple>
      <w:bookmarkEnd w:id="18"/>
      <w:r w:rsidRPr="00484AE9">
        <w:t>:</w:t>
      </w:r>
      <w:bookmarkEnd w:id="19"/>
      <w:r w:rsidR="00D059BC" w:rsidRPr="00484AE9">
        <w:t xml:space="preserve"> </w:t>
      </w:r>
      <w:r w:rsidR="001E1BFA" w:rsidRPr="00484AE9">
        <w:t>Hospitalisation or death through Day 28 unadjusted results from the final analysis of outcomes in various populations of patients recruited to the EPIC-HR trial who completed Day 28 assessments (data cutoff 9 December 2021)</w:t>
      </w:r>
    </w:p>
    <w:tbl>
      <w:tblPr>
        <w:tblW w:w="9072" w:type="dxa"/>
        <w:tblInd w:w="-5"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701"/>
        <w:gridCol w:w="1474"/>
        <w:gridCol w:w="1474"/>
        <w:gridCol w:w="1474"/>
        <w:gridCol w:w="1474"/>
        <w:gridCol w:w="1475"/>
      </w:tblGrid>
      <w:tr w:rsidR="008B6130" w:rsidRPr="00484AE9" w14:paraId="72ACD665" w14:textId="77777777" w:rsidTr="00A93EDC">
        <w:trPr>
          <w:trHeight w:val="20"/>
        </w:trPr>
        <w:tc>
          <w:tcPr>
            <w:tcW w:w="1701" w:type="dxa"/>
            <w:shd w:val="clear" w:color="auto" w:fill="auto"/>
            <w:vAlign w:val="center"/>
          </w:tcPr>
          <w:p w14:paraId="34C5BF06" w14:textId="77777777" w:rsidR="001E1BFA" w:rsidRPr="00484AE9" w:rsidRDefault="001E1BFA" w:rsidP="00A93EDC">
            <w:pPr>
              <w:pStyle w:val="TableText0"/>
              <w:rPr>
                <w:b/>
                <w:bCs w:val="0"/>
              </w:rPr>
            </w:pPr>
            <w:r w:rsidRPr="00484AE9">
              <w:rPr>
                <w:b/>
                <w:bCs w:val="0"/>
              </w:rPr>
              <w:t>Population</w:t>
            </w:r>
          </w:p>
        </w:tc>
        <w:tc>
          <w:tcPr>
            <w:tcW w:w="1474" w:type="dxa"/>
            <w:shd w:val="clear" w:color="auto" w:fill="auto"/>
            <w:vAlign w:val="center"/>
          </w:tcPr>
          <w:p w14:paraId="213E2485" w14:textId="77777777" w:rsidR="001E1BFA" w:rsidRPr="00484AE9" w:rsidRDefault="001E1BFA" w:rsidP="00A93EDC">
            <w:pPr>
              <w:pStyle w:val="TableText0"/>
              <w:jc w:val="center"/>
              <w:rPr>
                <w:b/>
                <w:bCs w:val="0"/>
              </w:rPr>
            </w:pPr>
            <w:r w:rsidRPr="00484AE9">
              <w:rPr>
                <w:b/>
                <w:bCs w:val="0"/>
              </w:rPr>
              <w:t>PAXLOVID</w:t>
            </w:r>
          </w:p>
        </w:tc>
        <w:tc>
          <w:tcPr>
            <w:tcW w:w="1474" w:type="dxa"/>
            <w:shd w:val="clear" w:color="auto" w:fill="auto"/>
            <w:vAlign w:val="center"/>
          </w:tcPr>
          <w:p w14:paraId="680BC5E6" w14:textId="77777777" w:rsidR="001E1BFA" w:rsidRPr="00484AE9" w:rsidRDefault="001E1BFA" w:rsidP="00A93EDC">
            <w:pPr>
              <w:pStyle w:val="TableText0"/>
              <w:jc w:val="center"/>
              <w:rPr>
                <w:b/>
                <w:bCs w:val="0"/>
              </w:rPr>
            </w:pPr>
            <w:r w:rsidRPr="00484AE9">
              <w:rPr>
                <w:b/>
                <w:bCs w:val="0"/>
              </w:rPr>
              <w:t>Placebo</w:t>
            </w:r>
          </w:p>
        </w:tc>
        <w:tc>
          <w:tcPr>
            <w:tcW w:w="1474" w:type="dxa"/>
            <w:shd w:val="clear" w:color="auto" w:fill="auto"/>
            <w:vAlign w:val="center"/>
          </w:tcPr>
          <w:p w14:paraId="26B4029D" w14:textId="77777777" w:rsidR="001E1BFA" w:rsidRPr="00484AE9" w:rsidRDefault="001E1BFA" w:rsidP="00A93EDC">
            <w:pPr>
              <w:pStyle w:val="TableText0"/>
              <w:jc w:val="center"/>
              <w:rPr>
                <w:b/>
                <w:bCs w:val="0"/>
              </w:rPr>
            </w:pPr>
            <w:r w:rsidRPr="00484AE9">
              <w:rPr>
                <w:b/>
                <w:bCs w:val="0"/>
              </w:rPr>
              <w:t>Risk difference</w:t>
            </w:r>
          </w:p>
          <w:p w14:paraId="62D516C0" w14:textId="77777777" w:rsidR="001E1BFA" w:rsidRPr="00484AE9" w:rsidRDefault="001E1BFA" w:rsidP="00A93EDC">
            <w:pPr>
              <w:pStyle w:val="TableText0"/>
              <w:jc w:val="center"/>
              <w:rPr>
                <w:b/>
                <w:bCs w:val="0"/>
              </w:rPr>
            </w:pPr>
            <w:r w:rsidRPr="00484AE9">
              <w:rPr>
                <w:b/>
                <w:bCs w:val="0"/>
              </w:rPr>
              <w:t>(95% CI)</w:t>
            </w:r>
          </w:p>
        </w:tc>
        <w:tc>
          <w:tcPr>
            <w:tcW w:w="1474" w:type="dxa"/>
            <w:shd w:val="clear" w:color="auto" w:fill="auto"/>
            <w:vAlign w:val="center"/>
          </w:tcPr>
          <w:p w14:paraId="23D6BC29" w14:textId="77777777" w:rsidR="001E1BFA" w:rsidRPr="00484AE9" w:rsidRDefault="001E1BFA" w:rsidP="00A93EDC">
            <w:pPr>
              <w:pStyle w:val="TableText0"/>
              <w:jc w:val="center"/>
              <w:rPr>
                <w:b/>
                <w:bCs w:val="0"/>
              </w:rPr>
            </w:pPr>
            <w:r w:rsidRPr="00484AE9">
              <w:rPr>
                <w:b/>
                <w:bCs w:val="0"/>
              </w:rPr>
              <w:t>Relative risk</w:t>
            </w:r>
          </w:p>
          <w:p w14:paraId="7FFD46C2" w14:textId="77777777" w:rsidR="001E1BFA" w:rsidRPr="00484AE9" w:rsidRDefault="001E1BFA" w:rsidP="00A93EDC">
            <w:pPr>
              <w:pStyle w:val="TableText0"/>
              <w:jc w:val="center"/>
              <w:rPr>
                <w:b/>
                <w:bCs w:val="0"/>
              </w:rPr>
            </w:pPr>
            <w:r w:rsidRPr="00484AE9">
              <w:rPr>
                <w:b/>
                <w:bCs w:val="0"/>
              </w:rPr>
              <w:t>(95% CI)</w:t>
            </w:r>
          </w:p>
        </w:tc>
        <w:tc>
          <w:tcPr>
            <w:tcW w:w="1475" w:type="dxa"/>
            <w:shd w:val="clear" w:color="auto" w:fill="auto"/>
            <w:vAlign w:val="center"/>
          </w:tcPr>
          <w:p w14:paraId="329086D3" w14:textId="77777777" w:rsidR="001E1BFA" w:rsidRPr="00484AE9" w:rsidRDefault="001E1BFA" w:rsidP="00A93EDC">
            <w:pPr>
              <w:pStyle w:val="TableText0"/>
              <w:jc w:val="center"/>
              <w:rPr>
                <w:b/>
                <w:bCs w:val="0"/>
              </w:rPr>
            </w:pPr>
            <w:r w:rsidRPr="00484AE9">
              <w:rPr>
                <w:b/>
                <w:bCs w:val="0"/>
              </w:rPr>
              <w:t>Odds ratio</w:t>
            </w:r>
          </w:p>
          <w:p w14:paraId="6D911A5A" w14:textId="77777777" w:rsidR="001E1BFA" w:rsidRPr="00484AE9" w:rsidRDefault="001E1BFA" w:rsidP="00A93EDC">
            <w:pPr>
              <w:pStyle w:val="TableText0"/>
              <w:jc w:val="center"/>
              <w:rPr>
                <w:b/>
                <w:bCs w:val="0"/>
              </w:rPr>
            </w:pPr>
            <w:r w:rsidRPr="00484AE9">
              <w:rPr>
                <w:b/>
                <w:bCs w:val="0"/>
              </w:rPr>
              <w:t>(95% CI)</w:t>
            </w:r>
          </w:p>
        </w:tc>
      </w:tr>
      <w:tr w:rsidR="008B6130" w:rsidRPr="00484AE9" w14:paraId="5A2648E5" w14:textId="77777777" w:rsidTr="00A93EDC">
        <w:trPr>
          <w:trHeight w:val="20"/>
        </w:trPr>
        <w:tc>
          <w:tcPr>
            <w:tcW w:w="1701" w:type="dxa"/>
            <w:vAlign w:val="center"/>
          </w:tcPr>
          <w:p w14:paraId="6BA9C984" w14:textId="77777777" w:rsidR="001E1BFA" w:rsidRPr="00484AE9" w:rsidRDefault="001E1BFA" w:rsidP="00A93EDC">
            <w:pPr>
              <w:pStyle w:val="TableText0"/>
            </w:pPr>
            <w:r w:rsidRPr="00484AE9">
              <w:t>mITT2</w:t>
            </w:r>
          </w:p>
        </w:tc>
        <w:tc>
          <w:tcPr>
            <w:tcW w:w="1474" w:type="dxa"/>
            <w:vAlign w:val="center"/>
          </w:tcPr>
          <w:p w14:paraId="6BA4AB49" w14:textId="77777777" w:rsidR="001E1BFA" w:rsidRPr="00484AE9" w:rsidRDefault="001E1BFA" w:rsidP="00A93EDC">
            <w:pPr>
              <w:pStyle w:val="TableText0"/>
              <w:jc w:val="center"/>
            </w:pPr>
            <w:r w:rsidRPr="00484AE9">
              <w:t>9/1109</w:t>
            </w:r>
            <w:r w:rsidRPr="00484AE9">
              <w:br/>
              <w:t>(0.8%)</w:t>
            </w:r>
          </w:p>
        </w:tc>
        <w:tc>
          <w:tcPr>
            <w:tcW w:w="1474" w:type="dxa"/>
            <w:vAlign w:val="center"/>
          </w:tcPr>
          <w:p w14:paraId="274C03BC" w14:textId="77777777" w:rsidR="001E1BFA" w:rsidRPr="00484AE9" w:rsidRDefault="001E1BFA" w:rsidP="00A93EDC">
            <w:pPr>
              <w:pStyle w:val="TableText0"/>
              <w:jc w:val="center"/>
            </w:pPr>
            <w:r w:rsidRPr="00484AE9">
              <w:t>68/1115</w:t>
            </w:r>
            <w:r w:rsidRPr="00484AE9">
              <w:br/>
              <w:t>(6.1%)</w:t>
            </w:r>
          </w:p>
        </w:tc>
        <w:tc>
          <w:tcPr>
            <w:tcW w:w="1474" w:type="dxa"/>
            <w:vAlign w:val="center"/>
          </w:tcPr>
          <w:p w14:paraId="2A3812A6" w14:textId="1895B441" w:rsidR="001E1BFA" w:rsidRPr="00484AE9" w:rsidRDefault="00665A7F" w:rsidP="00A93EDC">
            <w:pPr>
              <w:pStyle w:val="TableText0"/>
              <w:jc w:val="center"/>
              <w:rPr>
                <w:b/>
              </w:rPr>
            </w:pPr>
            <m:oMath>
              <m:r>
                <m:rPr>
                  <m:sty m:val="b"/>
                </m:rPr>
                <w:rPr>
                  <w:rFonts w:ascii="Cambria Math" w:hAnsi="Cambria Math"/>
                </w:rPr>
                <m:t>-</m:t>
              </m:r>
            </m:oMath>
            <w:r w:rsidR="001E1BFA" w:rsidRPr="00484AE9">
              <w:rPr>
                <w:b/>
              </w:rPr>
              <w:t>5.3%</w:t>
            </w:r>
            <w:r w:rsidR="001E1BFA" w:rsidRPr="00484AE9">
              <w:rPr>
                <w:b/>
              </w:rPr>
              <w:br/>
              <w:t>(</w:t>
            </w:r>
            <m:oMath>
              <m:r>
                <m:rPr>
                  <m:sty m:val="b"/>
                </m:rPr>
                <w:rPr>
                  <w:rFonts w:ascii="Cambria Math" w:hAnsi="Cambria Math"/>
                </w:rPr>
                <m:t>-</m:t>
              </m:r>
            </m:oMath>
            <w:r w:rsidR="001E1BFA" w:rsidRPr="00484AE9">
              <w:rPr>
                <w:b/>
              </w:rPr>
              <w:t xml:space="preserve">6.8%, </w:t>
            </w:r>
            <m:oMath>
              <m:r>
                <m:rPr>
                  <m:sty m:val="b"/>
                </m:rPr>
                <w:rPr>
                  <w:rFonts w:ascii="Cambria Math" w:hAnsi="Cambria Math"/>
                </w:rPr>
                <m:t>-</m:t>
              </m:r>
            </m:oMath>
            <w:r w:rsidR="001E1BFA" w:rsidRPr="00484AE9">
              <w:rPr>
                <w:b/>
              </w:rPr>
              <w:t>3.8%)</w:t>
            </w:r>
          </w:p>
        </w:tc>
        <w:tc>
          <w:tcPr>
            <w:tcW w:w="1474" w:type="dxa"/>
            <w:shd w:val="clear" w:color="auto" w:fill="auto"/>
            <w:vAlign w:val="center"/>
          </w:tcPr>
          <w:p w14:paraId="44302B7E" w14:textId="77777777" w:rsidR="001E1BFA" w:rsidRPr="00484AE9" w:rsidRDefault="001E1BFA" w:rsidP="00A93EDC">
            <w:pPr>
              <w:pStyle w:val="TableText0"/>
              <w:jc w:val="center"/>
              <w:rPr>
                <w:b/>
              </w:rPr>
            </w:pPr>
            <w:r w:rsidRPr="00484AE9">
              <w:rPr>
                <w:b/>
              </w:rPr>
              <w:t>0.133</w:t>
            </w:r>
            <w:r w:rsidRPr="00484AE9">
              <w:rPr>
                <w:b/>
              </w:rPr>
              <w:br/>
              <w:t>(0.067, 0.265)</w:t>
            </w:r>
          </w:p>
        </w:tc>
        <w:tc>
          <w:tcPr>
            <w:tcW w:w="1475" w:type="dxa"/>
            <w:shd w:val="clear" w:color="auto" w:fill="auto"/>
            <w:vAlign w:val="center"/>
          </w:tcPr>
          <w:p w14:paraId="07015BAA" w14:textId="77777777" w:rsidR="001E1BFA" w:rsidRPr="00484AE9" w:rsidRDefault="001E1BFA" w:rsidP="00A93EDC">
            <w:pPr>
              <w:pStyle w:val="TableText0"/>
              <w:jc w:val="center"/>
              <w:rPr>
                <w:b/>
              </w:rPr>
            </w:pPr>
            <w:r w:rsidRPr="00484AE9">
              <w:rPr>
                <w:b/>
              </w:rPr>
              <w:t>0.126</w:t>
            </w:r>
            <w:r w:rsidRPr="00484AE9">
              <w:rPr>
                <w:b/>
              </w:rPr>
              <w:br/>
              <w:t>(0.063, 0.250)</w:t>
            </w:r>
          </w:p>
        </w:tc>
      </w:tr>
      <w:tr w:rsidR="008B6130" w:rsidRPr="00484AE9" w14:paraId="2D18F9FE" w14:textId="77777777" w:rsidTr="00A93EDC">
        <w:trPr>
          <w:trHeight w:val="20"/>
        </w:trPr>
        <w:tc>
          <w:tcPr>
            <w:tcW w:w="1701" w:type="dxa"/>
            <w:vAlign w:val="center"/>
          </w:tcPr>
          <w:p w14:paraId="09C7659E" w14:textId="77777777" w:rsidR="001E1BFA" w:rsidRPr="00484AE9" w:rsidRDefault="001E1BFA" w:rsidP="00A93EDC">
            <w:pPr>
              <w:pStyle w:val="TableText0"/>
            </w:pPr>
            <w:r w:rsidRPr="00484AE9">
              <w:t>mITT1 (no mAb)</w:t>
            </w:r>
          </w:p>
        </w:tc>
        <w:tc>
          <w:tcPr>
            <w:tcW w:w="1474" w:type="dxa"/>
            <w:vAlign w:val="center"/>
          </w:tcPr>
          <w:p w14:paraId="41920B81" w14:textId="77777777" w:rsidR="001E1BFA" w:rsidRPr="00484AE9" w:rsidRDefault="001E1BFA" w:rsidP="00A93EDC">
            <w:pPr>
              <w:pStyle w:val="TableText0"/>
              <w:jc w:val="center"/>
            </w:pPr>
            <w:r w:rsidRPr="00484AE9">
              <w:t>8/1039</w:t>
            </w:r>
            <w:r w:rsidRPr="00484AE9">
              <w:br/>
              <w:t>(0.8%)</w:t>
            </w:r>
          </w:p>
        </w:tc>
        <w:tc>
          <w:tcPr>
            <w:tcW w:w="1474" w:type="dxa"/>
            <w:vAlign w:val="center"/>
          </w:tcPr>
          <w:p w14:paraId="1AD03B0B" w14:textId="77777777" w:rsidR="001E1BFA" w:rsidRPr="00484AE9" w:rsidRDefault="001E1BFA" w:rsidP="00A93EDC">
            <w:pPr>
              <w:pStyle w:val="TableText0"/>
              <w:jc w:val="center"/>
            </w:pPr>
            <w:r w:rsidRPr="00484AE9">
              <w:t>66/1046</w:t>
            </w:r>
            <w:r w:rsidRPr="00484AE9">
              <w:br/>
              <w:t>(6.3%)</w:t>
            </w:r>
          </w:p>
        </w:tc>
        <w:tc>
          <w:tcPr>
            <w:tcW w:w="1474" w:type="dxa"/>
            <w:vAlign w:val="center"/>
          </w:tcPr>
          <w:p w14:paraId="4175CD0B" w14:textId="12C30480" w:rsidR="001E1BFA" w:rsidRPr="00484AE9" w:rsidRDefault="00665A7F" w:rsidP="00A93EDC">
            <w:pPr>
              <w:pStyle w:val="TableText0"/>
              <w:jc w:val="center"/>
              <w:rPr>
                <w:b/>
              </w:rPr>
            </w:pPr>
            <m:oMath>
              <m:r>
                <m:rPr>
                  <m:sty m:val="b"/>
                </m:rPr>
                <w:rPr>
                  <w:rFonts w:ascii="Cambria Math" w:hAnsi="Cambria Math"/>
                </w:rPr>
                <m:t>-</m:t>
              </m:r>
            </m:oMath>
            <w:r w:rsidR="001E1BFA" w:rsidRPr="00484AE9">
              <w:rPr>
                <w:b/>
              </w:rPr>
              <w:t>5.5%</w:t>
            </w:r>
            <w:r w:rsidR="001E1BFA" w:rsidRPr="00484AE9">
              <w:rPr>
                <w:b/>
              </w:rPr>
              <w:br/>
              <w:t>(</w:t>
            </w:r>
            <m:oMath>
              <m:r>
                <m:rPr>
                  <m:sty m:val="b"/>
                </m:rPr>
                <w:rPr>
                  <w:rFonts w:ascii="Cambria Math" w:hAnsi="Cambria Math"/>
                </w:rPr>
                <m:t>-</m:t>
              </m:r>
            </m:oMath>
            <w:r w:rsidR="001E1BFA" w:rsidRPr="00484AE9">
              <w:rPr>
                <w:b/>
              </w:rPr>
              <w:t xml:space="preserve">7.1%, </w:t>
            </w:r>
            <m:oMath>
              <m:r>
                <m:rPr>
                  <m:sty m:val="b"/>
                </m:rPr>
                <w:rPr>
                  <w:rFonts w:ascii="Cambria Math" w:hAnsi="Cambria Math"/>
                </w:rPr>
                <m:t>-</m:t>
              </m:r>
            </m:oMath>
            <w:r w:rsidR="001E1BFA" w:rsidRPr="00484AE9">
              <w:rPr>
                <w:b/>
              </w:rPr>
              <w:t>4.0%)</w:t>
            </w:r>
          </w:p>
        </w:tc>
        <w:tc>
          <w:tcPr>
            <w:tcW w:w="1474" w:type="dxa"/>
            <w:shd w:val="clear" w:color="auto" w:fill="auto"/>
            <w:vAlign w:val="center"/>
          </w:tcPr>
          <w:p w14:paraId="5F47F3BD" w14:textId="77777777" w:rsidR="001E1BFA" w:rsidRPr="00484AE9" w:rsidRDefault="001E1BFA" w:rsidP="00A93EDC">
            <w:pPr>
              <w:pStyle w:val="TableText0"/>
              <w:jc w:val="center"/>
              <w:rPr>
                <w:b/>
              </w:rPr>
            </w:pPr>
            <w:r w:rsidRPr="00484AE9">
              <w:rPr>
                <w:b/>
              </w:rPr>
              <w:t>0.122</w:t>
            </w:r>
            <w:r w:rsidRPr="00484AE9">
              <w:rPr>
                <w:b/>
              </w:rPr>
              <w:br/>
              <w:t>(0.059, 0.252)</w:t>
            </w:r>
          </w:p>
        </w:tc>
        <w:tc>
          <w:tcPr>
            <w:tcW w:w="1475" w:type="dxa"/>
            <w:shd w:val="clear" w:color="auto" w:fill="auto"/>
            <w:vAlign w:val="center"/>
          </w:tcPr>
          <w:p w14:paraId="665E8435" w14:textId="77777777" w:rsidR="001E1BFA" w:rsidRPr="00484AE9" w:rsidRDefault="001E1BFA" w:rsidP="00A93EDC">
            <w:pPr>
              <w:pStyle w:val="TableText0"/>
              <w:jc w:val="center"/>
              <w:rPr>
                <w:b/>
              </w:rPr>
            </w:pPr>
            <w:r w:rsidRPr="00484AE9">
              <w:rPr>
                <w:b/>
              </w:rPr>
              <w:t>0.115</w:t>
            </w:r>
          </w:p>
          <w:p w14:paraId="5302CA55" w14:textId="77777777" w:rsidR="001E1BFA" w:rsidRPr="00484AE9" w:rsidRDefault="001E1BFA" w:rsidP="00A93EDC">
            <w:pPr>
              <w:pStyle w:val="TableText0"/>
              <w:jc w:val="center"/>
              <w:rPr>
                <w:b/>
              </w:rPr>
            </w:pPr>
            <w:r w:rsidRPr="00484AE9">
              <w:rPr>
                <w:b/>
              </w:rPr>
              <w:t>(0.056, 0.238)</w:t>
            </w:r>
          </w:p>
        </w:tc>
      </w:tr>
      <w:tr w:rsidR="008B6130" w:rsidRPr="00484AE9" w14:paraId="11C7D832" w14:textId="77777777" w:rsidTr="00A93EDC">
        <w:trPr>
          <w:trHeight w:val="20"/>
        </w:trPr>
        <w:tc>
          <w:tcPr>
            <w:tcW w:w="1701" w:type="dxa"/>
            <w:vAlign w:val="center"/>
          </w:tcPr>
          <w:p w14:paraId="323B5A51" w14:textId="77777777" w:rsidR="001E1BFA" w:rsidRPr="00484AE9" w:rsidRDefault="001E1BFA" w:rsidP="00A93EDC">
            <w:pPr>
              <w:pStyle w:val="TableText0"/>
            </w:pPr>
            <w:r w:rsidRPr="00484AE9">
              <w:t>mITT (no mAb &amp; ≤3 days from symptom onset)</w:t>
            </w:r>
          </w:p>
        </w:tc>
        <w:tc>
          <w:tcPr>
            <w:tcW w:w="1474" w:type="dxa"/>
            <w:vAlign w:val="center"/>
          </w:tcPr>
          <w:p w14:paraId="2A04B57C" w14:textId="77777777" w:rsidR="001E1BFA" w:rsidRPr="00484AE9" w:rsidRDefault="001E1BFA" w:rsidP="00A93EDC">
            <w:pPr>
              <w:pStyle w:val="TableText0"/>
              <w:jc w:val="center"/>
            </w:pPr>
            <w:r w:rsidRPr="00484AE9">
              <w:t>5/697</w:t>
            </w:r>
            <w:r w:rsidRPr="00484AE9">
              <w:br/>
              <w:t>(0.7%)</w:t>
            </w:r>
          </w:p>
        </w:tc>
        <w:tc>
          <w:tcPr>
            <w:tcW w:w="1474" w:type="dxa"/>
            <w:vAlign w:val="center"/>
          </w:tcPr>
          <w:p w14:paraId="11B32AA5" w14:textId="77777777" w:rsidR="001E1BFA" w:rsidRPr="00484AE9" w:rsidRDefault="001E1BFA" w:rsidP="00A93EDC">
            <w:pPr>
              <w:pStyle w:val="TableText0"/>
              <w:jc w:val="center"/>
            </w:pPr>
            <w:r w:rsidRPr="00484AE9">
              <w:t>44/682</w:t>
            </w:r>
            <w:r w:rsidRPr="00484AE9">
              <w:br/>
              <w:t>(6.5%)</w:t>
            </w:r>
          </w:p>
        </w:tc>
        <w:tc>
          <w:tcPr>
            <w:tcW w:w="1474" w:type="dxa"/>
            <w:vAlign w:val="center"/>
          </w:tcPr>
          <w:p w14:paraId="2177B231" w14:textId="7CB02798" w:rsidR="001E1BFA" w:rsidRPr="00484AE9" w:rsidRDefault="00665A7F" w:rsidP="00A93EDC">
            <w:pPr>
              <w:pStyle w:val="TableText0"/>
              <w:jc w:val="center"/>
              <w:rPr>
                <w:b/>
              </w:rPr>
            </w:pPr>
            <m:oMath>
              <m:r>
                <m:rPr>
                  <m:sty m:val="b"/>
                </m:rPr>
                <w:rPr>
                  <w:rFonts w:ascii="Cambria Math" w:hAnsi="Cambria Math"/>
                </w:rPr>
                <m:t>-</m:t>
              </m:r>
            </m:oMath>
            <w:r w:rsidR="001E1BFA" w:rsidRPr="00484AE9">
              <w:rPr>
                <w:b/>
              </w:rPr>
              <w:t>5.7%</w:t>
            </w:r>
            <w:r w:rsidR="001E1BFA" w:rsidRPr="00484AE9">
              <w:rPr>
                <w:b/>
              </w:rPr>
              <w:br/>
              <w:t>(</w:t>
            </w:r>
            <m:oMath>
              <m:r>
                <m:rPr>
                  <m:sty m:val="b"/>
                </m:rPr>
                <w:rPr>
                  <w:rFonts w:ascii="Cambria Math" w:hAnsi="Cambria Math"/>
                </w:rPr>
                <m:t>-</m:t>
              </m:r>
            </m:oMath>
            <w:r w:rsidR="001E1BFA" w:rsidRPr="00484AE9">
              <w:rPr>
                <w:b/>
              </w:rPr>
              <w:t xml:space="preserve">7.7%, </w:t>
            </w:r>
            <m:oMath>
              <m:r>
                <m:rPr>
                  <m:sty m:val="b"/>
                </m:rPr>
                <w:rPr>
                  <w:rFonts w:ascii="Cambria Math" w:hAnsi="Cambria Math"/>
                </w:rPr>
                <m:t>-</m:t>
              </m:r>
            </m:oMath>
            <w:r w:rsidR="001E1BFA" w:rsidRPr="00484AE9">
              <w:rPr>
                <w:b/>
              </w:rPr>
              <w:t>3.8%)</w:t>
            </w:r>
          </w:p>
        </w:tc>
        <w:tc>
          <w:tcPr>
            <w:tcW w:w="1474" w:type="dxa"/>
            <w:shd w:val="clear" w:color="auto" w:fill="auto"/>
            <w:vAlign w:val="center"/>
          </w:tcPr>
          <w:p w14:paraId="07FBC8C3" w14:textId="77777777" w:rsidR="001E1BFA" w:rsidRPr="00484AE9" w:rsidRDefault="001E1BFA" w:rsidP="00A93EDC">
            <w:pPr>
              <w:pStyle w:val="TableText0"/>
              <w:jc w:val="center"/>
              <w:rPr>
                <w:b/>
              </w:rPr>
            </w:pPr>
            <w:r w:rsidRPr="00484AE9">
              <w:rPr>
                <w:b/>
              </w:rPr>
              <w:t>0.111</w:t>
            </w:r>
            <w:r w:rsidRPr="00484AE9">
              <w:rPr>
                <w:b/>
              </w:rPr>
              <w:br/>
              <w:t>(0.044, 0.279)</w:t>
            </w:r>
          </w:p>
        </w:tc>
        <w:tc>
          <w:tcPr>
            <w:tcW w:w="1475" w:type="dxa"/>
            <w:shd w:val="clear" w:color="auto" w:fill="auto"/>
            <w:vAlign w:val="center"/>
          </w:tcPr>
          <w:p w14:paraId="615194D7" w14:textId="77777777" w:rsidR="001E1BFA" w:rsidRPr="00484AE9" w:rsidRDefault="001E1BFA" w:rsidP="00A93EDC">
            <w:pPr>
              <w:pStyle w:val="TableText0"/>
              <w:jc w:val="center"/>
              <w:rPr>
                <w:b/>
              </w:rPr>
            </w:pPr>
            <w:r w:rsidRPr="00484AE9">
              <w:rPr>
                <w:b/>
              </w:rPr>
              <w:t>0.105</w:t>
            </w:r>
            <w:r w:rsidRPr="00484AE9">
              <w:rPr>
                <w:b/>
              </w:rPr>
              <w:br/>
              <w:t>(0.043, 0.258)</w:t>
            </w:r>
          </w:p>
        </w:tc>
      </w:tr>
    </w:tbl>
    <w:p w14:paraId="3ABDB2B5" w14:textId="77777777" w:rsidR="001E1BFA" w:rsidRPr="00826E25" w:rsidRDefault="001E1BFA" w:rsidP="00427E89">
      <w:pPr>
        <w:pStyle w:val="TableText0"/>
        <w:rPr>
          <w:sz w:val="18"/>
          <w:szCs w:val="22"/>
        </w:rPr>
      </w:pPr>
      <w:r w:rsidRPr="00826E25">
        <w:rPr>
          <w:sz w:val="18"/>
          <w:szCs w:val="22"/>
        </w:rPr>
        <w:t>Statistically significant differences are shown in bolded typeface</w:t>
      </w:r>
    </w:p>
    <w:p w14:paraId="50FA9606" w14:textId="15BDBAC8" w:rsidR="00B6071A" w:rsidRPr="00826E25" w:rsidRDefault="00B6071A" w:rsidP="00427E89">
      <w:pPr>
        <w:pStyle w:val="TableText0"/>
        <w:rPr>
          <w:b/>
          <w:sz w:val="18"/>
          <w:szCs w:val="22"/>
        </w:rPr>
      </w:pPr>
      <w:r w:rsidRPr="00826E25">
        <w:rPr>
          <w:sz w:val="18"/>
          <w:szCs w:val="22"/>
        </w:rPr>
        <w:t xml:space="preserve">Populations: </w:t>
      </w:r>
      <w:r w:rsidR="00A64088" w:rsidRPr="00826E25">
        <w:rPr>
          <w:sz w:val="18"/>
          <w:szCs w:val="22"/>
        </w:rPr>
        <w:t xml:space="preserve">mITT2 population </w:t>
      </w:r>
      <w:r w:rsidR="004424A1" w:rsidRPr="00826E25">
        <w:rPr>
          <w:sz w:val="18"/>
          <w:szCs w:val="22"/>
        </w:rPr>
        <w:t xml:space="preserve">= </w:t>
      </w:r>
      <w:r w:rsidR="00A64088" w:rsidRPr="00826E25">
        <w:rPr>
          <w:sz w:val="18"/>
          <w:szCs w:val="22"/>
        </w:rPr>
        <w:t xml:space="preserve">all participants randomly assigned to study intervention, who took at least one dose of study intervention, and with at least one post-baseline visit through Day 28 regardless of treatment with monoclonal antibody [mAb] and regardless of time since symptom onset); mITT population </w:t>
      </w:r>
      <w:r w:rsidR="004424A1" w:rsidRPr="00826E25">
        <w:rPr>
          <w:sz w:val="18"/>
          <w:szCs w:val="22"/>
        </w:rPr>
        <w:t xml:space="preserve">= </w:t>
      </w:r>
      <w:r w:rsidR="00A64088" w:rsidRPr="00826E25">
        <w:rPr>
          <w:sz w:val="18"/>
          <w:szCs w:val="22"/>
        </w:rPr>
        <w:t xml:space="preserve">all participants randomly assigned to study intervention, who took at least one dose of study intervention, with at least one post-baseline visit through Day 28 visit, who at baseline did not receive nor were expected to receive COVID-19 therapeutic monoclonal antibody [mAb] treatment and were treated ≤3 days of symptom onset); mITT1 population </w:t>
      </w:r>
      <w:r w:rsidR="00533383" w:rsidRPr="00826E25">
        <w:rPr>
          <w:sz w:val="18"/>
          <w:szCs w:val="22"/>
        </w:rPr>
        <w:t xml:space="preserve">= </w:t>
      </w:r>
      <w:r w:rsidR="00A64088" w:rsidRPr="00826E25">
        <w:rPr>
          <w:sz w:val="18"/>
          <w:szCs w:val="22"/>
        </w:rPr>
        <w:t>all participants randomly assigned to study intervention, who took at least one dose of study intervention, with at least one post-baseline visit through Day 28 visit who, at baseline, did not receive nor were expected to receive COVID-19 therapeutic mAb treatment</w:t>
      </w:r>
    </w:p>
    <w:p w14:paraId="7644DB35" w14:textId="15A369BE" w:rsidR="003244F8" w:rsidRPr="00826E25" w:rsidRDefault="001E1BFA" w:rsidP="006853BD">
      <w:pPr>
        <w:pStyle w:val="TableText0"/>
        <w:spacing w:after="120"/>
        <w:rPr>
          <w:sz w:val="18"/>
          <w:szCs w:val="22"/>
        </w:rPr>
      </w:pPr>
      <w:r w:rsidRPr="00826E25">
        <w:rPr>
          <w:sz w:val="18"/>
          <w:szCs w:val="22"/>
        </w:rPr>
        <w:t xml:space="preserve">Sources: </w:t>
      </w:r>
      <w:r w:rsidRPr="00826E25">
        <w:rPr>
          <w:sz w:val="18"/>
          <w:szCs w:val="22"/>
        </w:rPr>
        <w:tab/>
        <w:t>Table 14.2.1.22, Table 13 and Table 11 of the Final Clinical Study Report (data cutoff: 9 December 2021) for the EPIC-HR trial</w:t>
      </w:r>
    </w:p>
    <w:p w14:paraId="3195A783" w14:textId="52D604EF" w:rsidR="000547FA" w:rsidRPr="00484AE9" w:rsidRDefault="00341FF9" w:rsidP="00D13A3D">
      <w:pPr>
        <w:pStyle w:val="3-BodyText"/>
      </w:pPr>
      <w:r w:rsidRPr="00484AE9">
        <w:t xml:space="preserve">An economic analysis was presented </w:t>
      </w:r>
      <w:r w:rsidR="00F132CA" w:rsidRPr="00484AE9">
        <w:t xml:space="preserve">in the report of the rapid HTA </w:t>
      </w:r>
      <w:r w:rsidRPr="00484AE9">
        <w:t>that indicated</w:t>
      </w:r>
      <w:r w:rsidR="003339A7" w:rsidRPr="00484AE9">
        <w:t xml:space="preserve"> that nirmatrelvir and ritonavir was cost-effective</w:t>
      </w:r>
      <w:r w:rsidR="00A85AF2" w:rsidRPr="00484AE9">
        <w:t xml:space="preserve"> </w:t>
      </w:r>
      <w:r w:rsidR="00007AD4" w:rsidRPr="00484AE9">
        <w:t xml:space="preserve">when used in a population consistent with the full population recruited to the EPIC-HR trial i.e., unvaccinated patients </w:t>
      </w:r>
      <w:r w:rsidR="00940C6A" w:rsidRPr="00484AE9">
        <w:t>at high risk of hospitalisation or death</w:t>
      </w:r>
      <w:r w:rsidR="00007AD4" w:rsidRPr="00484AE9">
        <w:t>.</w:t>
      </w:r>
      <w:r w:rsidR="009C161B" w:rsidRPr="00484AE9">
        <w:t xml:space="preserve"> However, sensitivity analyses indicated </w:t>
      </w:r>
      <w:r w:rsidR="00F13DAC" w:rsidRPr="00484AE9">
        <w:t>that the results of the analyses were highly sensitive to the</w:t>
      </w:r>
      <w:r w:rsidR="009C161B" w:rsidRPr="00484AE9">
        <w:t xml:space="preserve"> baseline rate of hospitalisation</w:t>
      </w:r>
      <w:r w:rsidR="00F13DAC" w:rsidRPr="00484AE9">
        <w:t xml:space="preserve"> applied in the economic </w:t>
      </w:r>
      <w:r w:rsidR="00220EA5" w:rsidRPr="00484AE9">
        <w:t>analysis</w:t>
      </w:r>
      <w:r w:rsidR="00D125BD" w:rsidRPr="00484AE9">
        <w:t xml:space="preserve"> and noted that there was uncertainty</w:t>
      </w:r>
      <w:r w:rsidR="00406D1E" w:rsidRPr="00484AE9">
        <w:t xml:space="preserve"> in what value was applicable in </w:t>
      </w:r>
      <w:r w:rsidR="00604162" w:rsidRPr="00484AE9">
        <w:t xml:space="preserve">the </w:t>
      </w:r>
      <w:r w:rsidR="00406D1E" w:rsidRPr="00484AE9">
        <w:t xml:space="preserve">Australian </w:t>
      </w:r>
      <w:r w:rsidR="00604162" w:rsidRPr="00484AE9">
        <w:t>setting</w:t>
      </w:r>
      <w:r w:rsidR="00842759" w:rsidRPr="00484AE9">
        <w:t xml:space="preserve"> e.g.,</w:t>
      </w:r>
      <w:r w:rsidR="00604162" w:rsidRPr="00484AE9">
        <w:t xml:space="preserve"> </w:t>
      </w:r>
      <w:r w:rsidR="00F00B34" w:rsidRPr="00484AE9">
        <w:t>vaccinated patients ha</w:t>
      </w:r>
      <w:r w:rsidR="00F5615C" w:rsidRPr="00484AE9">
        <w:t>d</w:t>
      </w:r>
      <w:r w:rsidR="00F00B34" w:rsidRPr="00484AE9">
        <w:t xml:space="preserve"> a lower baseline risk of hospitalisation and the risk of hospitalisation with the Omicron variant </w:t>
      </w:r>
      <w:r w:rsidR="00604162" w:rsidRPr="00484AE9">
        <w:t xml:space="preserve">was </w:t>
      </w:r>
      <w:r w:rsidR="00F00B34" w:rsidRPr="00484AE9">
        <w:t>lower than the risk with previous SARS-CoV</w:t>
      </w:r>
      <w:r w:rsidR="0012208D" w:rsidRPr="00484AE9">
        <w:t>-</w:t>
      </w:r>
      <w:r w:rsidR="00F00B34" w:rsidRPr="00484AE9">
        <w:t>2 variants</w:t>
      </w:r>
      <w:r w:rsidR="00A62B3A" w:rsidRPr="00484AE9">
        <w:t xml:space="preserve">. </w:t>
      </w:r>
      <w:r w:rsidR="00574147" w:rsidRPr="00484AE9">
        <w:t>The PBAC agreed that</w:t>
      </w:r>
      <w:r w:rsidR="00551D78" w:rsidRPr="00484AE9">
        <w:t>,</w:t>
      </w:r>
      <w:r w:rsidR="00574147" w:rsidRPr="00484AE9">
        <w:t xml:space="preserve"> based on the available evidence and the health technology assessment, nirmatrelvir and ritonavir treatment </w:t>
      </w:r>
      <w:r w:rsidR="00302473" w:rsidRPr="00484AE9">
        <w:t>was</w:t>
      </w:r>
      <w:r w:rsidR="00574147" w:rsidRPr="00484AE9">
        <w:t xml:space="preserve"> cost-effective for some patients </w:t>
      </w:r>
      <w:r w:rsidR="00B43007" w:rsidRPr="00484AE9">
        <w:t xml:space="preserve">and </w:t>
      </w:r>
      <w:r w:rsidR="00574147" w:rsidRPr="00484AE9">
        <w:t xml:space="preserve">recommended that nirmatrelvir and ritonavir should be available on the PBS as an Authority Required (STREAMLINED) benefit for the same </w:t>
      </w:r>
      <w:r w:rsidR="002372A2" w:rsidRPr="00484AE9">
        <w:t>high</w:t>
      </w:r>
      <w:r w:rsidR="00E700FA" w:rsidRPr="00484AE9">
        <w:t>-</w:t>
      </w:r>
      <w:r w:rsidR="002372A2" w:rsidRPr="00484AE9">
        <w:t xml:space="preserve">risk </w:t>
      </w:r>
      <w:r w:rsidR="00574147" w:rsidRPr="00484AE9">
        <w:t xml:space="preserve">patients </w:t>
      </w:r>
      <w:r w:rsidR="00A13FD0" w:rsidRPr="00484AE9">
        <w:t xml:space="preserve">was </w:t>
      </w:r>
      <w:r w:rsidR="00574147" w:rsidRPr="00484AE9">
        <w:t>eligible for PBS</w:t>
      </w:r>
      <w:r w:rsidR="00D26DF5" w:rsidRPr="00484AE9">
        <w:t>-</w:t>
      </w:r>
      <w:r w:rsidR="00574147" w:rsidRPr="00484AE9">
        <w:t>subsidised molnupiravir.</w:t>
      </w:r>
    </w:p>
    <w:p w14:paraId="1099FCF5" w14:textId="3C6F585F" w:rsidR="00220EA5" w:rsidRPr="00484AE9" w:rsidRDefault="00574147" w:rsidP="00285987">
      <w:pPr>
        <w:pStyle w:val="3-BodyText"/>
      </w:pPr>
      <w:r w:rsidRPr="00484AE9">
        <w:t>The PBAC advised that the cost-effectiveness of nirmatrelvir and ritonavir, should be reviewed</w:t>
      </w:r>
      <w:r w:rsidR="00A452D6" w:rsidRPr="00484AE9">
        <w:t xml:space="preserve"> but did not specify a timeline for the review</w:t>
      </w:r>
      <w:r w:rsidRPr="00484AE9">
        <w:t>.</w:t>
      </w:r>
    </w:p>
    <w:p w14:paraId="5D615B3D" w14:textId="77777777" w:rsidR="007B3335" w:rsidRPr="00484AE9" w:rsidRDefault="00A1259C" w:rsidP="007B3335">
      <w:pPr>
        <w:pStyle w:val="3-BodyText"/>
      </w:pPr>
      <w:bookmarkStart w:id="20" w:name="_Ref152085488"/>
      <w:r w:rsidRPr="00484AE9">
        <w:lastRenderedPageBreak/>
        <w:t>The listing of nirmatrelvir and ritonavir was implemented on 1 May 2022.</w:t>
      </w:r>
      <w:bookmarkStart w:id="21" w:name="_Ref134304076"/>
      <w:bookmarkStart w:id="22" w:name="_Hlk134310052"/>
      <w:bookmarkEnd w:id="20"/>
    </w:p>
    <w:p w14:paraId="4F1DCAFD" w14:textId="5AFADC4A" w:rsidR="007B3335" w:rsidRPr="00484AE9" w:rsidRDefault="001E39F5" w:rsidP="00F76D9A">
      <w:pPr>
        <w:pStyle w:val="3-BodyText"/>
      </w:pPr>
      <w:r w:rsidRPr="00484AE9">
        <w:t>O</w:t>
      </w:r>
      <w:r w:rsidR="00BD3E85" w:rsidRPr="00484AE9">
        <w:t xml:space="preserve">ver time, </w:t>
      </w:r>
      <w:r w:rsidR="006F6A65" w:rsidRPr="00484AE9">
        <w:t xml:space="preserve">the PBAC recommended various </w:t>
      </w:r>
      <w:r w:rsidR="00593F44" w:rsidRPr="00484AE9">
        <w:t>ame</w:t>
      </w:r>
      <w:r w:rsidR="00CE0365" w:rsidRPr="00484AE9">
        <w:t>nd</w:t>
      </w:r>
      <w:r w:rsidR="00593F44" w:rsidRPr="00484AE9">
        <w:t xml:space="preserve">ments </w:t>
      </w:r>
      <w:r w:rsidR="006F6A65" w:rsidRPr="00484AE9">
        <w:t xml:space="preserve">to the PBS listing of </w:t>
      </w:r>
      <w:r w:rsidR="00A37211" w:rsidRPr="00484AE9">
        <w:t>nirmatrelvir and ritonavir</w:t>
      </w:r>
      <w:r w:rsidR="006F6A65" w:rsidRPr="00484AE9">
        <w:t>.</w:t>
      </w:r>
      <w:bookmarkStart w:id="23" w:name="_Ref134302992"/>
      <w:bookmarkEnd w:id="21"/>
      <w:bookmarkEnd w:id="22"/>
      <w:r w:rsidR="00453642" w:rsidRPr="00484AE9">
        <w:t xml:space="preserve"> </w:t>
      </w:r>
      <w:bookmarkStart w:id="24" w:name="_Hlk144646213"/>
      <w:r w:rsidR="004A1BAD" w:rsidRPr="00484AE9">
        <w:t>As at 1 February 2023, nirmatrelvir and ritonavir</w:t>
      </w:r>
      <w:r w:rsidR="00467090" w:rsidRPr="00484AE9">
        <w:t>, and also molnupira</w:t>
      </w:r>
      <w:r w:rsidR="00854F07" w:rsidRPr="00484AE9">
        <w:t>vir, were</w:t>
      </w:r>
      <w:r w:rsidR="00E1642D" w:rsidRPr="00484AE9">
        <w:t xml:space="preserve"> PBS</w:t>
      </w:r>
      <w:r w:rsidR="005B60E0" w:rsidRPr="00484AE9">
        <w:t>-listed for the following high-risk populations:</w:t>
      </w:r>
    </w:p>
    <w:p w14:paraId="44901A00" w14:textId="6AE01011" w:rsidR="007B3335" w:rsidRPr="00484AE9" w:rsidRDefault="007B3335" w:rsidP="00F76D9A">
      <w:pPr>
        <w:pStyle w:val="3-BodyText"/>
        <w:numPr>
          <w:ilvl w:val="0"/>
          <w:numId w:val="10"/>
        </w:numPr>
        <w:ind w:left="1134" w:hanging="414"/>
      </w:pPr>
      <w:r w:rsidRPr="00484AE9">
        <w:t>people aged ≥ 70 years;</w:t>
      </w:r>
    </w:p>
    <w:p w14:paraId="77CB6D19" w14:textId="76A1AB06" w:rsidR="007B3335" w:rsidRPr="00484AE9" w:rsidRDefault="007B3335" w:rsidP="00F76D9A">
      <w:pPr>
        <w:pStyle w:val="3-BodyText"/>
        <w:numPr>
          <w:ilvl w:val="0"/>
          <w:numId w:val="10"/>
        </w:numPr>
        <w:ind w:left="1134" w:hanging="414"/>
      </w:pPr>
      <w:r w:rsidRPr="00484AE9">
        <w:t>people aged ≥ 18 years who are either moderately to severely</w:t>
      </w:r>
      <w:r w:rsidR="00212FEE" w:rsidRPr="00484AE9">
        <w:t xml:space="preserve"> </w:t>
      </w:r>
      <w:r w:rsidRPr="00484AE9">
        <w:t xml:space="preserve">immunocompromised with risk of progression to severe COVID-19 disease or have experienced past COVID-19 infection resulting in hospitalisation; </w:t>
      </w:r>
    </w:p>
    <w:p w14:paraId="52255849" w14:textId="2EDA8742" w:rsidR="007B3335" w:rsidRPr="00484AE9" w:rsidRDefault="007B3335" w:rsidP="00F300F8">
      <w:pPr>
        <w:pStyle w:val="3-BodyText"/>
        <w:numPr>
          <w:ilvl w:val="0"/>
          <w:numId w:val="10"/>
        </w:numPr>
        <w:ind w:left="1134" w:hanging="414"/>
      </w:pPr>
      <w:r w:rsidRPr="00484AE9">
        <w:t>Aboriginal or Torres Strait Islander people aged ≥ 30 years with one or more risk factors</w:t>
      </w:r>
      <w:r w:rsidR="00DD5F53" w:rsidRPr="00484AE9">
        <w:t xml:space="preserve"> (with prior hospitalisation for COVID-19 included as risk factor)</w:t>
      </w:r>
      <w:r w:rsidR="00020CA8" w:rsidRPr="00484AE9">
        <w:t>; and</w:t>
      </w:r>
    </w:p>
    <w:p w14:paraId="0591FD21" w14:textId="53984528" w:rsidR="00020CA8" w:rsidRPr="00484AE9" w:rsidRDefault="00020CA8" w:rsidP="00F300F8">
      <w:pPr>
        <w:pStyle w:val="3-BodyText"/>
        <w:numPr>
          <w:ilvl w:val="0"/>
          <w:numId w:val="10"/>
        </w:numPr>
        <w:ind w:left="1134" w:hanging="414"/>
      </w:pPr>
      <w:bookmarkStart w:id="25" w:name="_Hlk144637301"/>
      <w:r w:rsidRPr="00484AE9">
        <w:t xml:space="preserve">people aged </w:t>
      </w:r>
      <w:r w:rsidR="00513426" w:rsidRPr="00484AE9">
        <w:t xml:space="preserve">50 – 69 </w:t>
      </w:r>
      <w:r w:rsidRPr="00484AE9">
        <w:t xml:space="preserve">years with two or more </w:t>
      </w:r>
      <w:r w:rsidR="00064B77" w:rsidRPr="00484AE9">
        <w:t xml:space="preserve">additional </w:t>
      </w:r>
      <w:r w:rsidRPr="00484AE9">
        <w:t>risk factors or a past COVID-19 infection episode resulting in hospitalisation</w:t>
      </w:r>
      <w:r w:rsidR="009A7758" w:rsidRPr="00484AE9">
        <w:t>.</w:t>
      </w:r>
      <w:bookmarkEnd w:id="24"/>
    </w:p>
    <w:p w14:paraId="5672C6D1" w14:textId="60466A22" w:rsidR="00F1159D" w:rsidRPr="00484AE9" w:rsidRDefault="00FC76E7" w:rsidP="00A3638F">
      <w:pPr>
        <w:pStyle w:val="3-BodyText"/>
      </w:pPr>
      <w:bookmarkStart w:id="26" w:name="_Ref144149929"/>
      <w:bookmarkEnd w:id="23"/>
      <w:bookmarkEnd w:id="25"/>
      <w:r w:rsidRPr="00484AE9">
        <w:rPr>
          <w:b/>
          <w:bCs/>
        </w:rPr>
        <w:t xml:space="preserve">February </w:t>
      </w:r>
      <w:r w:rsidR="00D87884" w:rsidRPr="00484AE9">
        <w:rPr>
          <w:b/>
          <w:bCs/>
        </w:rPr>
        <w:t xml:space="preserve">2023 </w:t>
      </w:r>
      <w:r w:rsidRPr="00484AE9">
        <w:rPr>
          <w:b/>
          <w:bCs/>
        </w:rPr>
        <w:t xml:space="preserve">&amp; </w:t>
      </w:r>
      <w:r w:rsidR="001020E2" w:rsidRPr="00484AE9">
        <w:rPr>
          <w:b/>
          <w:bCs/>
        </w:rPr>
        <w:t>June 2023:</w:t>
      </w:r>
      <w:r w:rsidR="001020E2" w:rsidRPr="00484AE9">
        <w:t xml:space="preserve"> </w:t>
      </w:r>
      <w:r w:rsidR="00885E12" w:rsidRPr="00484AE9">
        <w:t>T</w:t>
      </w:r>
      <w:r w:rsidR="001020E2" w:rsidRPr="00484AE9">
        <w:t>he PBAC recommended amendment</w:t>
      </w:r>
      <w:r w:rsidR="00BA50F0" w:rsidRPr="00484AE9">
        <w:t>s</w:t>
      </w:r>
      <w:r w:rsidR="001020E2" w:rsidRPr="00484AE9">
        <w:t xml:space="preserve"> of the restriction for nirmatrelvir and ritonavir at its out-of-session meeting</w:t>
      </w:r>
      <w:r w:rsidR="00BA50F0" w:rsidRPr="00484AE9">
        <w:t>s</w:t>
      </w:r>
      <w:r w:rsidR="001020E2" w:rsidRPr="00484AE9">
        <w:t xml:space="preserve"> in </w:t>
      </w:r>
      <w:r w:rsidR="00BA50F0" w:rsidRPr="00484AE9">
        <w:t xml:space="preserve">February </w:t>
      </w:r>
      <w:r w:rsidR="003F172D" w:rsidRPr="00484AE9">
        <w:t xml:space="preserve">2023 and </w:t>
      </w:r>
      <w:r w:rsidR="001020E2" w:rsidRPr="00484AE9">
        <w:t xml:space="preserve">June 2023. </w:t>
      </w:r>
      <w:r w:rsidR="00911BB2" w:rsidRPr="00484AE9">
        <w:t>In February 2023, t</w:t>
      </w:r>
      <w:r w:rsidR="001020E2" w:rsidRPr="00484AE9">
        <w:t>he</w:t>
      </w:r>
      <w:r w:rsidR="002C2A1F" w:rsidRPr="00484AE9">
        <w:t xml:space="preserve"> PBAC recommended amendments </w:t>
      </w:r>
      <w:r w:rsidR="001020E2" w:rsidRPr="00484AE9">
        <w:t xml:space="preserve">to </w:t>
      </w:r>
      <w:r w:rsidR="00911BB2" w:rsidRPr="00484AE9">
        <w:t>permit</w:t>
      </w:r>
      <w:r w:rsidR="006C53D9" w:rsidRPr="00484AE9">
        <w:t xml:space="preserve"> </w:t>
      </w:r>
      <w:r w:rsidR="00613EB2" w:rsidRPr="00484AE9">
        <w:t>PBS-reimbursed prescribing of nirmatrelvir and ritonavir for</w:t>
      </w:r>
      <w:r w:rsidR="00911BB2" w:rsidRPr="00484AE9">
        <w:t xml:space="preserve"> patients aged </w:t>
      </w:r>
      <w:r w:rsidR="006C53D9" w:rsidRPr="00484AE9">
        <w:t>60-69 year and one additional risk factor</w:t>
      </w:r>
      <w:r w:rsidR="00613EB2" w:rsidRPr="00484AE9">
        <w:t>. In June 2023</w:t>
      </w:r>
      <w:r w:rsidR="00AA317D" w:rsidRPr="00484AE9">
        <w:t xml:space="preserve">, the PBAC </w:t>
      </w:r>
      <w:r w:rsidR="00D65A6D" w:rsidRPr="00484AE9">
        <w:t xml:space="preserve">recommended further amendments permitting </w:t>
      </w:r>
      <w:r w:rsidR="00AA317D" w:rsidRPr="00484AE9">
        <w:t xml:space="preserve">PBS-reimbursed prescribing of nirmatrelvir and ritonavir in </w:t>
      </w:r>
      <w:r w:rsidR="001020E2" w:rsidRPr="00484AE9">
        <w:t xml:space="preserve">patients </w:t>
      </w:r>
      <w:r w:rsidR="00D65A6D" w:rsidRPr="00484AE9">
        <w:t xml:space="preserve">aged </w:t>
      </w:r>
      <w:r w:rsidR="001020E2" w:rsidRPr="00484AE9">
        <w:t>50-59 years with one additional risk factor.</w:t>
      </w:r>
      <w:r w:rsidR="003D3E57" w:rsidRPr="00484AE9">
        <w:t xml:space="preserve"> These </w:t>
      </w:r>
      <w:r w:rsidR="001020E2" w:rsidRPr="00484AE9">
        <w:t>amendment</w:t>
      </w:r>
      <w:r w:rsidR="003D3E57" w:rsidRPr="00484AE9">
        <w:t>s</w:t>
      </w:r>
      <w:r w:rsidR="001020E2" w:rsidRPr="00484AE9">
        <w:t xml:space="preserve"> of the restriction</w:t>
      </w:r>
      <w:r w:rsidR="003D3E57" w:rsidRPr="00484AE9">
        <w:t xml:space="preserve"> for nirmatrelvir and ritonavir</w:t>
      </w:r>
      <w:r w:rsidR="001020E2" w:rsidRPr="00484AE9">
        <w:t xml:space="preserve"> w</w:t>
      </w:r>
      <w:r w:rsidR="003D3E57" w:rsidRPr="00484AE9">
        <w:t>ere</w:t>
      </w:r>
      <w:r w:rsidR="001020E2" w:rsidRPr="00484AE9">
        <w:t xml:space="preserve"> intended to apply only on a temporary basis. The PBAC considered that the cost associated with dispensing nirmatrelvir and ritonavir to the expanded population was justified by the benefit of treatment in that population, taking into account that: the costs for each patient course to be supplied under the PBS had already been incurred by the Commonwealth; the proposed approach would potentially reduce the risk of product wastage; and there would be no incremental additional expenditure to the Commonwealth. Given the particular circumstances, the PBAC considered that the </w:t>
      </w:r>
      <w:r w:rsidR="007D118D" w:rsidRPr="00484AE9">
        <w:t xml:space="preserve">amended restrictions </w:t>
      </w:r>
      <w:r w:rsidR="001020E2" w:rsidRPr="00484AE9">
        <w:t>would be cost</w:t>
      </w:r>
      <w:r w:rsidR="007257AA" w:rsidRPr="00484AE9">
        <w:noBreakHyphen/>
      </w:r>
      <w:r w:rsidR="001020E2" w:rsidRPr="00484AE9">
        <w:t>effective in the expanded population</w:t>
      </w:r>
      <w:r w:rsidR="0008118C" w:rsidRPr="00484AE9">
        <w:t>s</w:t>
      </w:r>
      <w:r w:rsidR="001020E2" w:rsidRPr="00484AE9">
        <w:t xml:space="preserve"> only </w:t>
      </w:r>
      <w:r w:rsidR="001020E2" w:rsidRPr="00484AE9">
        <w:rPr>
          <w:iCs/>
        </w:rPr>
        <w:t>“for so long as pharmaceutical benefits dispensed are sourced from the stock already purchased by the Commonwealth, and which might otherwise expire unused.”</w:t>
      </w:r>
      <w:r w:rsidR="001020E2" w:rsidRPr="00484AE9">
        <w:t xml:space="preserve"> Consistent with this, the PBAC recommended that </w:t>
      </w:r>
      <w:r w:rsidR="00EC468B" w:rsidRPr="00484AE9">
        <w:t>the</w:t>
      </w:r>
      <w:r w:rsidR="001020E2" w:rsidRPr="00484AE9">
        <w:t xml:space="preserve"> expansion</w:t>
      </w:r>
      <w:r w:rsidR="00EC468B" w:rsidRPr="00484AE9">
        <w:t>s</w:t>
      </w:r>
      <w:r w:rsidR="001020E2" w:rsidRPr="00484AE9">
        <w:t xml:space="preserve"> of patient eligibility should only apply until the Commonwealth purchased stock was exhausted or had expired.</w:t>
      </w:r>
      <w:bookmarkEnd w:id="26"/>
    </w:p>
    <w:p w14:paraId="76E4EF3C" w14:textId="13040F70" w:rsidR="00B60939" w:rsidRPr="00484AE9" w:rsidRDefault="00B50DB8" w:rsidP="00E25EE8">
      <w:pPr>
        <w:pStyle w:val="2-SectionHeading"/>
        <w:keepLines/>
      </w:pPr>
      <w:bookmarkStart w:id="27" w:name="_Toc107902078"/>
      <w:bookmarkStart w:id="28" w:name="_Toc144920962"/>
      <w:bookmarkStart w:id="29" w:name="_Toc145506590"/>
      <w:bookmarkEnd w:id="27"/>
      <w:r w:rsidRPr="00484AE9">
        <w:t>Requested listing</w:t>
      </w:r>
      <w:bookmarkEnd w:id="28"/>
      <w:bookmarkEnd w:id="29"/>
    </w:p>
    <w:p w14:paraId="33A03882" w14:textId="77777777" w:rsidR="001E4E4D" w:rsidRPr="00484AE9" w:rsidRDefault="001E4E4D" w:rsidP="001E4E4D">
      <w:pPr>
        <w:pStyle w:val="3-BodyText"/>
      </w:pPr>
      <w:bookmarkStart w:id="30" w:name="_Ref144678049"/>
      <w:r w:rsidRPr="00484AE9">
        <w:t>The Commonwealth currently holds the role of Responsible Person for the supply and distribution of nirmatrelvir and ritonavir through the PBS. The submission requested PBS listing of nirmatrelvir and ritonavir from 1 April 2024, with Pfizer as the Responsible Person.</w:t>
      </w:r>
    </w:p>
    <w:p w14:paraId="782DBA89" w14:textId="19C0E6FD" w:rsidR="000F53FB" w:rsidRPr="00484AE9" w:rsidRDefault="003C5158" w:rsidP="00E25EE8">
      <w:pPr>
        <w:pStyle w:val="3-BodyText"/>
        <w:keepNext/>
        <w:keepLines/>
      </w:pPr>
      <w:r w:rsidRPr="00484AE9">
        <w:lastRenderedPageBreak/>
        <w:fldChar w:fldCharType="begin"/>
      </w:r>
      <w:r w:rsidRPr="00484AE9">
        <w:instrText xml:space="preserve"> REF _Ref144903551 \h </w:instrText>
      </w:r>
      <w:r w:rsidRPr="00484AE9">
        <w:fldChar w:fldCharType="separate"/>
      </w:r>
      <w:r w:rsidR="00872657" w:rsidRPr="00484AE9">
        <w:t xml:space="preserve">Table </w:t>
      </w:r>
      <w:r w:rsidR="00872657">
        <w:rPr>
          <w:noProof/>
        </w:rPr>
        <w:t>3</w:t>
      </w:r>
      <w:r w:rsidRPr="00484AE9">
        <w:fldChar w:fldCharType="end"/>
      </w:r>
      <w:r w:rsidRPr="00484AE9">
        <w:t xml:space="preserve"> </w:t>
      </w:r>
      <w:r w:rsidR="00664DF7" w:rsidRPr="00484AE9">
        <w:t xml:space="preserve">summarises the key elements of the proposed listing of nirmatrelvir and ritonavir. The key difference between the proposed and current listing is in the price </w:t>
      </w:r>
      <w:r w:rsidR="00A81E3F" w:rsidRPr="00484AE9">
        <w:t xml:space="preserve">per course of </w:t>
      </w:r>
      <w:r w:rsidR="00664DF7" w:rsidRPr="00484AE9">
        <w:t>nirmatrelvir and ritonavir.</w:t>
      </w:r>
      <w:r w:rsidR="00704759" w:rsidRPr="00484AE9">
        <w:t xml:space="preserve"> The current ex-manufacturer price is $1</w:t>
      </w:r>
      <w:r w:rsidR="000444E7" w:rsidRPr="00484AE9">
        <w:t>,</w:t>
      </w:r>
      <w:r w:rsidR="00704759" w:rsidRPr="00484AE9">
        <w:t>000 per pack</w:t>
      </w:r>
      <w:r w:rsidR="00C15ACE" w:rsidRPr="00484AE9">
        <w:t xml:space="preserve">. </w:t>
      </w:r>
      <w:r w:rsidR="00346F1E" w:rsidRPr="00484AE9">
        <w:t>The submission request</w:t>
      </w:r>
      <w:r w:rsidR="00677B75" w:rsidRPr="00484AE9">
        <w:t>ed</w:t>
      </w:r>
      <w:r w:rsidR="00346F1E" w:rsidRPr="00484AE9">
        <w:t xml:space="preserve"> </w:t>
      </w:r>
      <w:r w:rsidR="00346F1E" w:rsidRPr="004528EE">
        <w:t>a</w:t>
      </w:r>
      <w:r w:rsidR="00696519" w:rsidRPr="00696519">
        <w:t xml:space="preserve"> </w:t>
      </w:r>
      <w:r w:rsidR="00696519" w:rsidRPr="00872657">
        <w:rPr>
          <w:color w:val="000000"/>
          <w:w w:val="15"/>
          <w:shd w:val="solid" w:color="000000" w:fill="000000"/>
          <w:fitText w:val="-20" w:id="-1032089088"/>
          <w14:textFill>
            <w14:solidFill>
              <w14:srgbClr w14:val="000000">
                <w14:alpha w14:val="100000"/>
              </w14:srgbClr>
            </w14:solidFill>
          </w14:textFill>
        </w:rPr>
        <w:t xml:space="preserve">| </w:t>
      </w:r>
      <w:r w:rsidR="00696519" w:rsidRPr="00872657">
        <w:rPr>
          <w:color w:val="000000"/>
          <w:spacing w:val="-61"/>
          <w:w w:val="15"/>
          <w:shd w:val="solid" w:color="000000" w:fill="000000"/>
          <w:fitText w:val="-20" w:id="-1032089088"/>
          <w14:textFill>
            <w14:solidFill>
              <w14:srgbClr w14:val="000000">
                <w14:alpha w14:val="100000"/>
              </w14:srgbClr>
            </w14:solidFill>
          </w14:textFill>
        </w:rPr>
        <w:t>|</w:t>
      </w:r>
      <w:r w:rsidR="00DF19D1" w:rsidRPr="00DB6CD9">
        <w:t>%</w:t>
      </w:r>
      <w:r w:rsidR="00DF19D1" w:rsidRPr="00484AE9">
        <w:t xml:space="preserve"> increase in the ex-manufacturer price</w:t>
      </w:r>
      <w:r w:rsidR="003D189A" w:rsidRPr="00484AE9">
        <w:t xml:space="preserve"> to </w:t>
      </w:r>
      <w:r w:rsidR="00696519" w:rsidRPr="00696519">
        <w:t>$</w:t>
      </w:r>
      <w:bookmarkEnd w:id="30"/>
      <w:r w:rsidR="00696519" w:rsidRPr="00872657">
        <w:rPr>
          <w:color w:val="000000"/>
          <w:w w:val="15"/>
          <w:shd w:val="solid" w:color="000000" w:fill="000000"/>
          <w:fitText w:val="-20" w:id="-1032089087"/>
          <w14:textFill>
            <w14:solidFill>
              <w14:srgbClr w14:val="000000">
                <w14:alpha w14:val="100000"/>
              </w14:srgbClr>
            </w14:solidFill>
          </w14:textFill>
        </w:rPr>
        <w:t xml:space="preserve">| </w:t>
      </w:r>
      <w:r w:rsidR="00696519" w:rsidRPr="00872657">
        <w:rPr>
          <w:color w:val="000000"/>
          <w:spacing w:val="-61"/>
          <w:w w:val="15"/>
          <w:shd w:val="solid" w:color="000000" w:fill="000000"/>
          <w:fitText w:val="-20" w:id="-1032089087"/>
          <w14:textFill>
            <w14:solidFill>
              <w14:srgbClr w14:val="000000">
                <w14:alpha w14:val="100000"/>
              </w14:srgbClr>
            </w14:solidFill>
          </w14:textFill>
        </w:rPr>
        <w:t>|</w:t>
      </w:r>
      <w:r w:rsidR="00A62B3A" w:rsidRPr="00DB6CD9">
        <w:t>.</w:t>
      </w:r>
      <w:r w:rsidR="00A62B3A" w:rsidRPr="00484AE9">
        <w:t xml:space="preserve"> </w:t>
      </w:r>
      <w:r w:rsidR="00A13FD0" w:rsidRPr="00484AE9">
        <w:t xml:space="preserve">The pre-PBAC response offered a revised ex-manufacturer price of </w:t>
      </w:r>
      <w:r w:rsidR="00696519" w:rsidRPr="00696519">
        <w:t>$</w:t>
      </w:r>
      <w:r w:rsidR="00696519" w:rsidRPr="00872657">
        <w:rPr>
          <w:color w:val="000000"/>
          <w:w w:val="15"/>
          <w:shd w:val="solid" w:color="000000" w:fill="000000"/>
          <w:fitText w:val="-20" w:id="-1032089086"/>
          <w14:textFill>
            <w14:solidFill>
              <w14:srgbClr w14:val="000000">
                <w14:alpha w14:val="100000"/>
              </w14:srgbClr>
            </w14:solidFill>
          </w14:textFill>
        </w:rPr>
        <w:t xml:space="preserve">| </w:t>
      </w:r>
      <w:r w:rsidR="00696519" w:rsidRPr="00872657">
        <w:rPr>
          <w:color w:val="000000"/>
          <w:spacing w:val="-61"/>
          <w:w w:val="15"/>
          <w:shd w:val="solid" w:color="000000" w:fill="000000"/>
          <w:fitText w:val="-20" w:id="-1032089086"/>
          <w14:textFill>
            <w14:solidFill>
              <w14:srgbClr w14:val="000000">
                <w14:alpha w14:val="100000"/>
              </w14:srgbClr>
            </w14:solidFill>
          </w14:textFill>
        </w:rPr>
        <w:t>|</w:t>
      </w:r>
      <w:r w:rsidR="00A13FD0" w:rsidRPr="00484AE9">
        <w:t xml:space="preserve"> per pack</w:t>
      </w:r>
      <w:r w:rsidR="00A84179" w:rsidRPr="00484AE9">
        <w:t xml:space="preserve"> (corresponding to a</w:t>
      </w:r>
      <w:r w:rsidR="00696519" w:rsidRPr="00696519">
        <w:t xml:space="preserve"> </w:t>
      </w:r>
      <w:r w:rsidR="00696519" w:rsidRPr="00872657">
        <w:rPr>
          <w:color w:val="000000"/>
          <w:w w:val="15"/>
          <w:shd w:val="solid" w:color="000000" w:fill="000000"/>
          <w:fitText w:val="-20" w:id="-1032089085"/>
          <w14:textFill>
            <w14:solidFill>
              <w14:srgbClr w14:val="000000">
                <w14:alpha w14:val="100000"/>
              </w14:srgbClr>
            </w14:solidFill>
          </w14:textFill>
        </w:rPr>
        <w:t xml:space="preserve">| </w:t>
      </w:r>
      <w:r w:rsidR="00696519" w:rsidRPr="00872657">
        <w:rPr>
          <w:color w:val="000000"/>
          <w:spacing w:val="-61"/>
          <w:w w:val="15"/>
          <w:shd w:val="solid" w:color="000000" w:fill="000000"/>
          <w:fitText w:val="-20" w:id="-1032089085"/>
          <w14:textFill>
            <w14:solidFill>
              <w14:srgbClr w14:val="000000">
                <w14:alpha w14:val="100000"/>
              </w14:srgbClr>
            </w14:solidFill>
          </w14:textFill>
        </w:rPr>
        <w:t>|</w:t>
      </w:r>
      <w:r w:rsidR="00A84179" w:rsidRPr="00484AE9">
        <w:t xml:space="preserve">% increase in the </w:t>
      </w:r>
      <w:r w:rsidR="0055678C" w:rsidRPr="00484AE9">
        <w:t xml:space="preserve">current </w:t>
      </w:r>
      <w:r w:rsidR="00A84179" w:rsidRPr="00484AE9">
        <w:t>ex</w:t>
      </w:r>
      <w:r w:rsidR="0055678C" w:rsidRPr="00484AE9">
        <w:t>-manufacturer price)</w:t>
      </w:r>
      <w:r w:rsidR="00A13FD0" w:rsidRPr="00484AE9">
        <w:t>.</w:t>
      </w:r>
    </w:p>
    <w:p w14:paraId="2CC14464" w14:textId="4D556D55" w:rsidR="00CE540B" w:rsidRPr="00484AE9" w:rsidRDefault="00CE540B" w:rsidP="00CE540B">
      <w:pPr>
        <w:pStyle w:val="COMexecsumnumberedpara"/>
        <w:numPr>
          <w:ilvl w:val="1"/>
          <w:numId w:val="1"/>
        </w:numPr>
        <w:rPr>
          <w:snapToGrid/>
        </w:rPr>
      </w:pPr>
      <w:r w:rsidRPr="00484AE9">
        <w:t>Ordinarily, flow-on price reductions apply for combination items when there is a statutory price reduction of a component drug</w:t>
      </w:r>
      <w:r w:rsidR="00A62B3A" w:rsidRPr="00484AE9">
        <w:t xml:space="preserve">. </w:t>
      </w:r>
      <w:r w:rsidRPr="00484AE9">
        <w:t>A price reduction to single-ingredient ritonavir (Norvir) came into effect on 1</w:t>
      </w:r>
      <w:r w:rsidR="000915C3" w:rsidRPr="00484AE9">
        <w:t> </w:t>
      </w:r>
      <w:r w:rsidRPr="00484AE9">
        <w:t>April</w:t>
      </w:r>
      <w:r w:rsidR="000915C3" w:rsidRPr="00484AE9">
        <w:t> </w:t>
      </w:r>
      <w:r w:rsidRPr="00484AE9">
        <w:t>2023</w:t>
      </w:r>
      <w:r w:rsidRPr="00484AE9">
        <w:rPr>
          <w:rStyle w:val="FootnoteReference"/>
        </w:rPr>
        <w:footnoteReference w:id="2"/>
      </w:r>
      <w:r w:rsidRPr="00484AE9">
        <w:t xml:space="preserve">, however the price of Paxlovid was </w:t>
      </w:r>
      <w:r w:rsidRPr="00DB6CD9">
        <w:t>unchanged on that date</w:t>
      </w:r>
      <w:r w:rsidR="00A62B3A" w:rsidRPr="00DB6CD9">
        <w:t xml:space="preserve">. </w:t>
      </w:r>
      <w:r w:rsidRPr="00DB6CD9">
        <w:t>The Secretariat note</w:t>
      </w:r>
      <w:r w:rsidR="001B385B" w:rsidRPr="00DB6CD9">
        <w:t>d</w:t>
      </w:r>
      <w:r w:rsidRPr="00DB6CD9">
        <w:t xml:space="preserve"> that a Ministerial discretion under the </w:t>
      </w:r>
      <w:r w:rsidRPr="00F76D9A">
        <w:rPr>
          <w:i/>
          <w:iCs/>
        </w:rPr>
        <w:t>National Health Act 1953</w:t>
      </w:r>
      <w:r w:rsidRPr="00DB6CD9">
        <w:t xml:space="preserve"> in relation to nirmatrelvir and ritonavir was exercised, with the determination giving</w:t>
      </w:r>
      <w:r w:rsidRPr="00484AE9">
        <w:t xml:space="preserve"> effect prior to 31 March 2023</w:t>
      </w:r>
      <w:r w:rsidR="00A62B3A" w:rsidRPr="00484AE9">
        <w:t xml:space="preserve">. </w:t>
      </w:r>
      <w:r w:rsidRPr="00484AE9">
        <w:t>The determination is published on the Federal Register of Legislation and can be accessed at</w:t>
      </w:r>
      <w:r w:rsidR="00F76D9A">
        <w:t xml:space="preserve"> </w:t>
      </w:r>
      <w:r w:rsidR="00F34C05" w:rsidRPr="00484AE9">
        <w:t>www.legislation.gov.au/Details/F2023N00031</w:t>
      </w:r>
      <w:r w:rsidRPr="00484AE9">
        <w:t>.</w:t>
      </w:r>
    </w:p>
    <w:p w14:paraId="17D6F854" w14:textId="059BAEDE" w:rsidR="00E25EE8" w:rsidRPr="00484AE9" w:rsidRDefault="00E25EE8" w:rsidP="00E25EE8">
      <w:pPr>
        <w:pStyle w:val="3-BodyText"/>
      </w:pPr>
      <w:r w:rsidRPr="00484AE9">
        <w:t xml:space="preserve">The restrictions proposed for: (i) patients aged 70 or more, (ii) patients who are immunocompromised or have previously experienced a COVID-19 infection resulting in hospitalisation; (iii) patients identifying as Aboriginal or Torres Strait and at high risk; and (iv) patients aged 50 – 69 years at high risk are shown in </w:t>
      </w:r>
      <w:r w:rsidRPr="00484AE9">
        <w:fldChar w:fldCharType="begin"/>
      </w:r>
      <w:r w:rsidRPr="00484AE9">
        <w:instrText xml:space="preserve"> REF _Ref144502388 \h </w:instrText>
      </w:r>
      <w:r w:rsidRPr="00484AE9">
        <w:fldChar w:fldCharType="separate"/>
      </w:r>
      <w:r w:rsidR="00872657" w:rsidRPr="00484AE9">
        <w:t xml:space="preserve">Table </w:t>
      </w:r>
      <w:r w:rsidR="00872657">
        <w:rPr>
          <w:noProof/>
        </w:rPr>
        <w:t>4</w:t>
      </w:r>
      <w:r w:rsidRPr="00484AE9">
        <w:fldChar w:fldCharType="end"/>
      </w:r>
      <w:r w:rsidRPr="00484AE9">
        <w:t xml:space="preserve">, </w:t>
      </w:r>
      <w:r w:rsidRPr="00484AE9">
        <w:fldChar w:fldCharType="begin"/>
      </w:r>
      <w:r w:rsidRPr="00484AE9">
        <w:instrText xml:space="preserve"> REF _Ref144502391 \h </w:instrText>
      </w:r>
      <w:r w:rsidRPr="00484AE9">
        <w:fldChar w:fldCharType="separate"/>
      </w:r>
      <w:r w:rsidR="00872657" w:rsidRPr="00484AE9">
        <w:t xml:space="preserve">Table </w:t>
      </w:r>
      <w:r w:rsidR="00872657">
        <w:rPr>
          <w:noProof/>
        </w:rPr>
        <w:t>5</w:t>
      </w:r>
      <w:r w:rsidRPr="00484AE9">
        <w:fldChar w:fldCharType="end"/>
      </w:r>
      <w:r w:rsidRPr="00484AE9">
        <w:t xml:space="preserve">, </w:t>
      </w:r>
      <w:r w:rsidRPr="00484AE9">
        <w:fldChar w:fldCharType="begin"/>
      </w:r>
      <w:r w:rsidRPr="00484AE9">
        <w:instrText xml:space="preserve"> REF _Ref144502393 \h </w:instrText>
      </w:r>
      <w:r w:rsidRPr="00484AE9">
        <w:fldChar w:fldCharType="separate"/>
      </w:r>
      <w:r w:rsidR="00872657" w:rsidRPr="00484AE9">
        <w:t xml:space="preserve">Table </w:t>
      </w:r>
      <w:r w:rsidR="00872657">
        <w:rPr>
          <w:noProof/>
        </w:rPr>
        <w:t>6</w:t>
      </w:r>
      <w:r w:rsidRPr="00484AE9">
        <w:fldChar w:fldCharType="end"/>
      </w:r>
      <w:r w:rsidRPr="00484AE9">
        <w:t xml:space="preserve"> and </w:t>
      </w:r>
      <w:r w:rsidRPr="00484AE9">
        <w:fldChar w:fldCharType="begin"/>
      </w:r>
      <w:r w:rsidRPr="00484AE9">
        <w:instrText xml:space="preserve"> REF _Ref144502395 \h </w:instrText>
      </w:r>
      <w:r w:rsidRPr="00484AE9">
        <w:fldChar w:fldCharType="separate"/>
      </w:r>
      <w:r w:rsidR="00872657" w:rsidRPr="00484AE9">
        <w:t xml:space="preserve">Table </w:t>
      </w:r>
      <w:r w:rsidR="00872657">
        <w:rPr>
          <w:noProof/>
        </w:rPr>
        <w:t>7</w:t>
      </w:r>
      <w:r w:rsidRPr="00484AE9">
        <w:fldChar w:fldCharType="end"/>
      </w:r>
      <w:r w:rsidRPr="00484AE9">
        <w:t xml:space="preserve">, respectively. </w:t>
      </w:r>
    </w:p>
    <w:p w14:paraId="1504626C" w14:textId="0BC5971A" w:rsidR="00C23544" w:rsidRPr="00484AE9" w:rsidRDefault="00E25EE8" w:rsidP="00621F34">
      <w:pPr>
        <w:pStyle w:val="3-BodyText"/>
      </w:pPr>
      <w:bookmarkStart w:id="31" w:name="_Ref150962896"/>
      <w:r w:rsidRPr="00484AE9">
        <w:t>The proposed restrictions are identical to the current restrictions except that, as shown in each of the tables, the submission proposed removal of the ‘Caution’ which is noted in the current restrictions regarding significant drug-drug interactions on the grounds that drug-drug interactions with nirmatrelvir and ritonavir are due to the ritonavir component (which is an inhibitor of CYP3A), with little or no contribution from nirmatrelvir and that the ’Caution’ is not included in the ritonavir (Norvir®) PBS restriction</w:t>
      </w:r>
      <w:r w:rsidR="00A62B3A" w:rsidRPr="00484AE9">
        <w:t xml:space="preserve">. </w:t>
      </w:r>
      <w:r w:rsidR="00C23544" w:rsidRPr="00484AE9">
        <w:t>It was noted that many commonly used medicines can be safely co-administered with nirmatrelvir and ritonavir and some drug interactions can be safely managed under appropriate clinical supervision</w:t>
      </w:r>
      <w:r w:rsidR="00A62B3A" w:rsidRPr="00484AE9">
        <w:t xml:space="preserve">. </w:t>
      </w:r>
      <w:r w:rsidR="00C23544" w:rsidRPr="00484AE9">
        <w:t>Several tools are available to assist clinicians to identify and manage drug-drug interactions; such as: Liverpool COVID 19 Interactions tool; COVID-19 - National Clinical Evidence Taskforce; Pfizer Australia Medical Information; and NIH COVID-19 Treatment Guidelines.</w:t>
      </w:r>
      <w:bookmarkEnd w:id="31"/>
    </w:p>
    <w:p w14:paraId="7F004225" w14:textId="4FCD396D" w:rsidR="00F33489" w:rsidRPr="00484AE9" w:rsidRDefault="00F33489" w:rsidP="00E25EE8">
      <w:pPr>
        <w:pStyle w:val="3-BodyText"/>
      </w:pPr>
      <w:r w:rsidRPr="00484AE9">
        <w:t>The DUSC considered the ‘Caution’ could be retained for nirmatrelvir and ritonavir due to the risk of serious adverse reactions due to interactions with other medicines as documented in the TGA-approved Product Information.</w:t>
      </w:r>
    </w:p>
    <w:p w14:paraId="2D57AEBB" w14:textId="0863F495" w:rsidR="00E25EE8" w:rsidRPr="00484AE9" w:rsidRDefault="006E3375" w:rsidP="00E25EE8">
      <w:pPr>
        <w:pStyle w:val="3-BodyText"/>
      </w:pPr>
      <w:bookmarkStart w:id="32" w:name="_Ref150962897"/>
      <w:r w:rsidRPr="00484AE9">
        <w:rPr>
          <w:iCs/>
        </w:rPr>
        <w:t xml:space="preserve">The </w:t>
      </w:r>
      <w:r w:rsidR="00D172AA" w:rsidRPr="00484AE9">
        <w:rPr>
          <w:rFonts w:cstheme="minorHAnsi"/>
        </w:rPr>
        <w:t>ESC noted that nirmatrelvir and ritonavir is prescribed under Section</w:t>
      </w:r>
      <w:r w:rsidR="00742D8B" w:rsidRPr="00484AE9">
        <w:rPr>
          <w:rFonts w:cstheme="minorHAnsi"/>
        </w:rPr>
        <w:t> </w:t>
      </w:r>
      <w:r w:rsidR="00D172AA" w:rsidRPr="00484AE9">
        <w:rPr>
          <w:rFonts w:cstheme="minorHAnsi"/>
        </w:rPr>
        <w:t>85 for the general community. In contrast, ritonavir as a single agent is listed under Section 100 as a highly specialised drug</w:t>
      </w:r>
      <w:r w:rsidR="00C5087D" w:rsidRPr="00484AE9">
        <w:rPr>
          <w:rFonts w:cstheme="minorHAnsi"/>
        </w:rPr>
        <w:t xml:space="preserve">, managed by prescribers who are familiar with the </w:t>
      </w:r>
      <w:r w:rsidR="00C5087D" w:rsidRPr="00484AE9">
        <w:rPr>
          <w:rFonts w:cstheme="minorHAnsi"/>
        </w:rPr>
        <w:lastRenderedPageBreak/>
        <w:t>medicine and its interactions</w:t>
      </w:r>
      <w:r w:rsidR="00D172AA" w:rsidRPr="00484AE9">
        <w:rPr>
          <w:rFonts w:cstheme="minorHAnsi"/>
        </w:rPr>
        <w:t xml:space="preserve">. </w:t>
      </w:r>
      <w:r w:rsidRPr="00484AE9">
        <w:rPr>
          <w:rFonts w:cstheme="minorHAnsi"/>
        </w:rPr>
        <w:t xml:space="preserve">The </w:t>
      </w:r>
      <w:r w:rsidR="00D172AA" w:rsidRPr="00484AE9">
        <w:rPr>
          <w:rFonts w:cstheme="minorHAnsi"/>
        </w:rPr>
        <w:t>ESC considered that removal of the caution was not advisable</w:t>
      </w:r>
      <w:r w:rsidR="00AF232A" w:rsidRPr="00484AE9">
        <w:rPr>
          <w:rFonts w:cstheme="minorHAnsi"/>
        </w:rPr>
        <w:t xml:space="preserve"> given broad use in a general community setting</w:t>
      </w:r>
      <w:r w:rsidR="00D172AA" w:rsidRPr="00484AE9">
        <w:rPr>
          <w:rFonts w:cstheme="minorHAnsi"/>
        </w:rPr>
        <w:t>.</w:t>
      </w:r>
      <w:bookmarkEnd w:id="32"/>
    </w:p>
    <w:p w14:paraId="085703BC" w14:textId="1847E09C" w:rsidR="00CE540B" w:rsidRPr="00484AE9" w:rsidRDefault="000F612B" w:rsidP="00CE540B">
      <w:pPr>
        <w:pStyle w:val="3-BodyText"/>
      </w:pPr>
      <w:r w:rsidRPr="00484AE9">
        <w:t xml:space="preserve">The submission sought continued listing of nirmatrelvir and ritonavir as currently applies i.e., including patients aged 50-69 years with only one additional risk factor. </w:t>
      </w:r>
      <w:r w:rsidR="00991FBA" w:rsidRPr="00484AE9">
        <w:t>However,</w:t>
      </w:r>
      <w:r w:rsidRPr="00484AE9">
        <w:t xml:space="preserve"> the pre-PBAC response acknowledged that amendments of the restriction for nirmatrelvir and ritonavir to include access for these patients were intended to apply only on a temporary basis</w:t>
      </w:r>
      <w:r w:rsidR="00A62B3A" w:rsidRPr="00484AE9">
        <w:t xml:space="preserve">. </w:t>
      </w:r>
      <w:r w:rsidRPr="00484AE9">
        <w:t xml:space="preserve">The possibility that the eligibility criteria for people aged 50-59 and 60-69 years revert to “with at least two additional risk factors” was accounted for in scenario analyses </w:t>
      </w:r>
      <w:r w:rsidR="00F0181B" w:rsidRPr="00484AE9">
        <w:t>presented in the submission</w:t>
      </w:r>
      <w:r w:rsidRPr="00484AE9">
        <w:t xml:space="preserve">. </w:t>
      </w:r>
      <w:r w:rsidR="002D2FD0" w:rsidRPr="00484AE9">
        <w:t xml:space="preserve">The pre-PBAC response acknowledged that </w:t>
      </w:r>
      <w:r w:rsidRPr="00484AE9">
        <w:t xml:space="preserve">the cost-effectiveness of Paxlovid in the 50-69 year old subgroup with one additional risk factor is </w:t>
      </w:r>
      <w:r w:rsidR="00F90551" w:rsidRPr="00484AE9">
        <w:t>higher than in</w:t>
      </w:r>
      <w:r w:rsidRPr="00484AE9">
        <w:t xml:space="preserve"> other patient subgroups</w:t>
      </w:r>
      <w:r w:rsidR="002D2FD0" w:rsidRPr="00484AE9">
        <w:t xml:space="preserve"> </w:t>
      </w:r>
      <w:r w:rsidR="00B85C63" w:rsidRPr="00484AE9">
        <w:t xml:space="preserve">as set out the in the ESC advice </w:t>
      </w:r>
      <w:r w:rsidR="002D2FD0" w:rsidRPr="00484AE9">
        <w:t>(</w:t>
      </w:r>
      <w:r w:rsidR="00B85C63" w:rsidRPr="00484AE9">
        <w:t xml:space="preserve">see paragraph </w:t>
      </w:r>
      <w:r w:rsidR="00B85C63" w:rsidRPr="00484AE9">
        <w:fldChar w:fldCharType="begin"/>
      </w:r>
      <w:r w:rsidR="00B85C63" w:rsidRPr="00484AE9">
        <w:instrText xml:space="preserve"> REF _Ref150978151 \r \h </w:instrText>
      </w:r>
      <w:r w:rsidR="00B85C63" w:rsidRPr="00484AE9">
        <w:fldChar w:fldCharType="separate"/>
      </w:r>
      <w:r w:rsidR="00872657">
        <w:t>6.72</w:t>
      </w:r>
      <w:r w:rsidR="00B85C63" w:rsidRPr="00484AE9">
        <w:fldChar w:fldCharType="end"/>
      </w:r>
      <w:r w:rsidR="00B85C63" w:rsidRPr="00484AE9">
        <w:t>)</w:t>
      </w:r>
      <w:r w:rsidR="00A62B3A" w:rsidRPr="00484AE9">
        <w:t xml:space="preserve">. </w:t>
      </w:r>
      <w:r w:rsidR="002D2FD0" w:rsidRPr="00484AE9">
        <w:t xml:space="preserve">The pre-PBAC response presented analyses </w:t>
      </w:r>
      <w:r w:rsidRPr="00484AE9">
        <w:t>based on the following four subgroups only: People aged 70 years old and older, People aged 50-69 years old with at least two additional risk factors, Aboriginal or Torres Strait Islander people aged 30 years and older with at least one additional risk factor and people aged 18 years and older who are moderately or severely immunocompromised.</w:t>
      </w:r>
    </w:p>
    <w:p w14:paraId="1B423B86" w14:textId="1293BEA9" w:rsidR="003A4C14" w:rsidRPr="00484AE9" w:rsidRDefault="001C1661" w:rsidP="00CE540B">
      <w:pPr>
        <w:pStyle w:val="Caption"/>
      </w:pPr>
      <w:bookmarkStart w:id="33" w:name="_Ref144903551"/>
      <w:r w:rsidRPr="00484AE9">
        <w:t xml:space="preserve">Table </w:t>
      </w:r>
      <w:fldSimple w:instr=" SEQ Table \* ARABIC ">
        <w:r w:rsidR="00872657">
          <w:rPr>
            <w:noProof/>
          </w:rPr>
          <w:t>3</w:t>
        </w:r>
      </w:fldSimple>
      <w:bookmarkEnd w:id="33"/>
      <w:r w:rsidR="00C03E81" w:rsidRPr="00484AE9">
        <w:t xml:space="preserve">: </w:t>
      </w:r>
      <w:r w:rsidR="008C501D" w:rsidRPr="00484AE9">
        <w:t>Essential elements of the proposed listing of nirmatrelvir and ritonavir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9"/>
        <w:gridCol w:w="1832"/>
        <w:gridCol w:w="986"/>
        <w:gridCol w:w="986"/>
        <w:gridCol w:w="705"/>
        <w:gridCol w:w="1549"/>
      </w:tblGrid>
      <w:tr w:rsidR="0008138F" w:rsidRPr="00484AE9" w14:paraId="73E16E29" w14:textId="77777777" w:rsidTr="00714655">
        <w:trPr>
          <w:cantSplit/>
          <w:trHeight w:val="20"/>
        </w:trPr>
        <w:tc>
          <w:tcPr>
            <w:tcW w:w="1640" w:type="pct"/>
            <w:vAlign w:val="center"/>
          </w:tcPr>
          <w:p w14:paraId="4660296B" w14:textId="77777777" w:rsidR="00046D64" w:rsidRPr="00484AE9" w:rsidRDefault="00046D64" w:rsidP="00CE540B">
            <w:pPr>
              <w:keepNext/>
              <w:keepLines/>
              <w:rPr>
                <w:rFonts w:ascii="Arial Narrow" w:hAnsi="Arial Narrow"/>
                <w:b/>
                <w:bCs/>
                <w:sz w:val="20"/>
                <w:szCs w:val="20"/>
              </w:rPr>
            </w:pPr>
            <w:bookmarkStart w:id="34" w:name="_Hlk104809055"/>
            <w:r w:rsidRPr="00484AE9">
              <w:rPr>
                <w:rFonts w:ascii="Arial Narrow" w:hAnsi="Arial Narrow"/>
                <w:b/>
                <w:bCs/>
                <w:sz w:val="20"/>
                <w:szCs w:val="20"/>
              </w:rPr>
              <w:t>MEDICINAL PRODUCT</w:t>
            </w:r>
          </w:p>
          <w:p w14:paraId="7221C2FD" w14:textId="77777777" w:rsidR="00046D64" w:rsidRPr="00484AE9" w:rsidRDefault="00046D64" w:rsidP="00CE540B">
            <w:pPr>
              <w:keepNext/>
              <w:keepLines/>
              <w:rPr>
                <w:rFonts w:ascii="Arial Narrow" w:hAnsi="Arial Narrow"/>
                <w:b/>
                <w:sz w:val="20"/>
                <w:szCs w:val="20"/>
              </w:rPr>
            </w:pPr>
            <w:r w:rsidRPr="00484AE9">
              <w:rPr>
                <w:rFonts w:ascii="Arial Narrow" w:hAnsi="Arial Narrow"/>
                <w:b/>
                <w:bCs/>
                <w:sz w:val="20"/>
                <w:szCs w:val="20"/>
              </w:rPr>
              <w:t>medicinal product pack</w:t>
            </w:r>
          </w:p>
        </w:tc>
        <w:tc>
          <w:tcPr>
            <w:tcW w:w="1016" w:type="pct"/>
            <w:vAlign w:val="center"/>
          </w:tcPr>
          <w:p w14:paraId="14424AF1" w14:textId="54369E4C" w:rsidR="00046D64" w:rsidRPr="00484AE9" w:rsidRDefault="00C61A59" w:rsidP="00CE540B">
            <w:pPr>
              <w:pStyle w:val="TableText0"/>
              <w:rPr>
                <w:b/>
                <w:bCs w:val="0"/>
                <w:szCs w:val="20"/>
              </w:rPr>
            </w:pPr>
            <w:r w:rsidRPr="00484AE9">
              <w:rPr>
                <w:b/>
                <w:bCs w:val="0"/>
                <w:snapToGrid w:val="0"/>
              </w:rPr>
              <w:t xml:space="preserve">Dispensed Price for Max. Qty </w:t>
            </w:r>
          </w:p>
        </w:tc>
        <w:tc>
          <w:tcPr>
            <w:tcW w:w="547" w:type="pct"/>
            <w:vAlign w:val="center"/>
          </w:tcPr>
          <w:p w14:paraId="4E41A9BC" w14:textId="0E3A90D0" w:rsidR="00046D64" w:rsidRPr="00484AE9" w:rsidRDefault="00046D64" w:rsidP="00CE540B">
            <w:pPr>
              <w:keepNext/>
              <w:keepLines/>
              <w:jc w:val="center"/>
              <w:rPr>
                <w:rFonts w:ascii="Arial Narrow" w:hAnsi="Arial Narrow"/>
                <w:b/>
                <w:sz w:val="20"/>
                <w:szCs w:val="20"/>
              </w:rPr>
            </w:pPr>
            <w:r w:rsidRPr="00484AE9">
              <w:rPr>
                <w:rFonts w:ascii="Arial Narrow" w:hAnsi="Arial Narrow"/>
                <w:b/>
                <w:sz w:val="20"/>
                <w:szCs w:val="20"/>
              </w:rPr>
              <w:t>Max. qty packs</w:t>
            </w:r>
          </w:p>
        </w:tc>
        <w:tc>
          <w:tcPr>
            <w:tcW w:w="547" w:type="pct"/>
            <w:vAlign w:val="center"/>
          </w:tcPr>
          <w:p w14:paraId="48197540" w14:textId="77777777" w:rsidR="00046D64" w:rsidRPr="00484AE9" w:rsidRDefault="00046D64" w:rsidP="00CE540B">
            <w:pPr>
              <w:keepNext/>
              <w:keepLines/>
              <w:jc w:val="center"/>
              <w:rPr>
                <w:rFonts w:ascii="Arial Narrow" w:hAnsi="Arial Narrow"/>
                <w:b/>
                <w:sz w:val="20"/>
                <w:szCs w:val="20"/>
              </w:rPr>
            </w:pPr>
            <w:r w:rsidRPr="00484AE9">
              <w:rPr>
                <w:rFonts w:ascii="Arial Narrow" w:hAnsi="Arial Narrow"/>
                <w:b/>
                <w:sz w:val="20"/>
                <w:szCs w:val="20"/>
              </w:rPr>
              <w:t>Max. qty units</w:t>
            </w:r>
          </w:p>
        </w:tc>
        <w:tc>
          <w:tcPr>
            <w:tcW w:w="391" w:type="pct"/>
            <w:vAlign w:val="center"/>
          </w:tcPr>
          <w:p w14:paraId="13B3FDEE" w14:textId="77777777" w:rsidR="00046D64" w:rsidRPr="00484AE9" w:rsidRDefault="00046D64" w:rsidP="00CE540B">
            <w:pPr>
              <w:keepNext/>
              <w:keepLines/>
              <w:jc w:val="center"/>
              <w:rPr>
                <w:rFonts w:ascii="Arial Narrow" w:hAnsi="Arial Narrow"/>
                <w:b/>
                <w:sz w:val="20"/>
                <w:szCs w:val="20"/>
              </w:rPr>
            </w:pPr>
            <w:r w:rsidRPr="00484AE9">
              <w:rPr>
                <w:rFonts w:ascii="Arial Narrow" w:hAnsi="Arial Narrow"/>
                <w:b/>
                <w:sz w:val="20"/>
                <w:szCs w:val="20"/>
              </w:rPr>
              <w:t>№.of</w:t>
            </w:r>
          </w:p>
          <w:p w14:paraId="7B215997" w14:textId="77777777" w:rsidR="00046D64" w:rsidRPr="00484AE9" w:rsidRDefault="00046D64" w:rsidP="00CE540B">
            <w:pPr>
              <w:keepNext/>
              <w:keepLines/>
              <w:jc w:val="center"/>
              <w:rPr>
                <w:rFonts w:ascii="Arial Narrow" w:hAnsi="Arial Narrow"/>
                <w:b/>
                <w:sz w:val="20"/>
                <w:szCs w:val="20"/>
              </w:rPr>
            </w:pPr>
            <w:r w:rsidRPr="00484AE9">
              <w:rPr>
                <w:rFonts w:ascii="Arial Narrow" w:hAnsi="Arial Narrow"/>
                <w:b/>
                <w:sz w:val="20"/>
                <w:szCs w:val="20"/>
              </w:rPr>
              <w:t>Rpts</w:t>
            </w:r>
          </w:p>
        </w:tc>
        <w:tc>
          <w:tcPr>
            <w:tcW w:w="860" w:type="pct"/>
            <w:vAlign w:val="center"/>
          </w:tcPr>
          <w:p w14:paraId="4976F6A8" w14:textId="77777777" w:rsidR="00046D64" w:rsidRPr="00484AE9" w:rsidRDefault="00046D64" w:rsidP="00CE540B">
            <w:pPr>
              <w:keepNext/>
              <w:keepLines/>
              <w:rPr>
                <w:rFonts w:ascii="Arial Narrow" w:hAnsi="Arial Narrow"/>
                <w:b/>
                <w:sz w:val="20"/>
                <w:szCs w:val="20"/>
              </w:rPr>
            </w:pPr>
            <w:r w:rsidRPr="00484AE9">
              <w:rPr>
                <w:rFonts w:ascii="Arial Narrow" w:hAnsi="Arial Narrow"/>
                <w:b/>
                <w:sz w:val="20"/>
                <w:szCs w:val="20"/>
              </w:rPr>
              <w:t>Available brands</w:t>
            </w:r>
          </w:p>
        </w:tc>
      </w:tr>
      <w:tr w:rsidR="008B6130" w:rsidRPr="00484AE9" w14:paraId="40C1AD8E" w14:textId="77777777" w:rsidTr="00674093">
        <w:trPr>
          <w:cantSplit/>
          <w:trHeight w:val="20"/>
        </w:trPr>
        <w:tc>
          <w:tcPr>
            <w:tcW w:w="5000" w:type="pct"/>
            <w:gridSpan w:val="6"/>
            <w:vAlign w:val="center"/>
          </w:tcPr>
          <w:p w14:paraId="2A4C00A6" w14:textId="33B0EC1D" w:rsidR="00046D64" w:rsidRPr="00484AE9" w:rsidRDefault="004F0AA3" w:rsidP="00A2021E">
            <w:pPr>
              <w:pStyle w:val="TableText0"/>
              <w:rPr>
                <w:rFonts w:cs="Arial"/>
                <w:szCs w:val="20"/>
              </w:rPr>
            </w:pPr>
            <w:r w:rsidRPr="00484AE9">
              <w:t>NIRMATRELVIR</w:t>
            </w:r>
            <w:r w:rsidR="00EF1B23" w:rsidRPr="00484AE9">
              <w:t xml:space="preserve"> (&amp;) RITONAVIR</w:t>
            </w:r>
          </w:p>
        </w:tc>
      </w:tr>
      <w:tr w:rsidR="008B6130" w:rsidRPr="00484AE9" w14:paraId="6446D25E" w14:textId="77777777" w:rsidTr="00674093">
        <w:trPr>
          <w:cantSplit/>
          <w:trHeight w:val="20"/>
        </w:trPr>
        <w:tc>
          <w:tcPr>
            <w:tcW w:w="5000" w:type="pct"/>
            <w:gridSpan w:val="6"/>
            <w:vAlign w:val="center"/>
          </w:tcPr>
          <w:p w14:paraId="343805E4" w14:textId="067B924D" w:rsidR="0064195E" w:rsidRPr="00484AE9" w:rsidRDefault="006C5F71" w:rsidP="00A2021E">
            <w:pPr>
              <w:pStyle w:val="TableText0"/>
            </w:pPr>
            <w:r w:rsidRPr="00484AE9">
              <w:rPr>
                <w:u w:val="single"/>
              </w:rPr>
              <w:t>Authority Required (STREAMLINE</w:t>
            </w:r>
            <w:r w:rsidR="00301C6B" w:rsidRPr="00484AE9">
              <w:rPr>
                <w:u w:val="single"/>
              </w:rPr>
              <w:t>D</w:t>
            </w:r>
            <w:r w:rsidRPr="00484AE9">
              <w:t>)</w:t>
            </w:r>
          </w:p>
        </w:tc>
      </w:tr>
      <w:tr w:rsidR="0008138F" w:rsidRPr="00484AE9" w14:paraId="1DC2CC67" w14:textId="77777777" w:rsidTr="00714655">
        <w:trPr>
          <w:cantSplit/>
          <w:trHeight w:val="20"/>
        </w:trPr>
        <w:tc>
          <w:tcPr>
            <w:tcW w:w="1640" w:type="pct"/>
            <w:vAlign w:val="center"/>
          </w:tcPr>
          <w:p w14:paraId="612C04D7" w14:textId="1F831A6A" w:rsidR="002C36E3" w:rsidRPr="00484AE9" w:rsidRDefault="00B97482" w:rsidP="007C2868">
            <w:pPr>
              <w:pStyle w:val="TableText0"/>
              <w:keepLines/>
            </w:pPr>
            <w:r w:rsidRPr="00484AE9">
              <w:t>nirmatrelvir 150 mg tablet [4] (&amp;) ritonavir 100 mg tablet [2], 5 x 6</w:t>
            </w:r>
          </w:p>
        </w:tc>
        <w:tc>
          <w:tcPr>
            <w:tcW w:w="1016" w:type="pct"/>
            <w:vAlign w:val="center"/>
          </w:tcPr>
          <w:p w14:paraId="1C600887" w14:textId="34B6D507" w:rsidR="002C36E3" w:rsidRPr="00A31543" w:rsidRDefault="00696519" w:rsidP="00664DF7">
            <w:pPr>
              <w:pStyle w:val="TableText0"/>
              <w:jc w:val="center"/>
            </w:pPr>
            <w:r w:rsidRPr="00696519">
              <w:t>$</w:t>
            </w:r>
            <w:r w:rsidRPr="00696519">
              <w:rPr>
                <w:color w:val="000000"/>
                <w:spacing w:val="204"/>
                <w:shd w:val="solid" w:color="000000" w:fill="000000"/>
                <w:fitText w:val="290" w:id="-1032089084"/>
                <w14:textFill>
                  <w14:solidFill>
                    <w14:srgbClr w14:val="000000">
                      <w14:alpha w14:val="100000"/>
                    </w14:srgbClr>
                  </w14:solidFill>
                </w14:textFill>
              </w:rPr>
              <w:t>|</w:t>
            </w:r>
            <w:r w:rsidRPr="00696519">
              <w:rPr>
                <w:color w:val="000000"/>
                <w:shd w:val="solid" w:color="000000" w:fill="000000"/>
                <w:fitText w:val="290" w:id="-1032089084"/>
                <w14:textFill>
                  <w14:solidFill>
                    <w14:srgbClr w14:val="000000">
                      <w14:alpha w14:val="100000"/>
                    </w14:srgbClr>
                  </w14:solidFill>
                </w14:textFill>
              </w:rPr>
              <w:t>|</w:t>
            </w:r>
            <w:r w:rsidR="00C15ACE" w:rsidRPr="00A31543">
              <w:t xml:space="preserve"> [</w:t>
            </w:r>
            <w:r w:rsidR="002E6687" w:rsidRPr="00A31543">
              <w:t>submission</w:t>
            </w:r>
            <w:r w:rsidR="00C15ACE" w:rsidRPr="00A31543">
              <w:t>]</w:t>
            </w:r>
          </w:p>
          <w:p w14:paraId="3C70FEAC" w14:textId="77777777" w:rsidR="002E6687" w:rsidRPr="00A31543" w:rsidRDefault="002E6687" w:rsidP="00664DF7">
            <w:pPr>
              <w:pStyle w:val="TableText0"/>
              <w:jc w:val="center"/>
            </w:pPr>
          </w:p>
          <w:p w14:paraId="70C2874A" w14:textId="47D85AC2" w:rsidR="002E6687" w:rsidRPr="00A31543" w:rsidRDefault="00696519" w:rsidP="00664DF7">
            <w:pPr>
              <w:pStyle w:val="TableText0"/>
              <w:jc w:val="center"/>
              <w:rPr>
                <w:szCs w:val="20"/>
              </w:rPr>
            </w:pPr>
            <w:r w:rsidRPr="00696519">
              <w:t>$</w:t>
            </w:r>
            <w:r w:rsidRPr="00696519">
              <w:rPr>
                <w:color w:val="000000"/>
                <w:spacing w:val="46"/>
                <w:shd w:val="solid" w:color="000000" w:fill="000000"/>
                <w:fitText w:val="220" w:id="-1032089083"/>
                <w14:textFill>
                  <w14:solidFill>
                    <w14:srgbClr w14:val="000000">
                      <w14:alpha w14:val="100000"/>
                    </w14:srgbClr>
                  </w14:solidFill>
                </w14:textFill>
              </w:rPr>
              <w:t>||</w:t>
            </w:r>
            <w:r w:rsidRPr="00696519">
              <w:rPr>
                <w:color w:val="000000"/>
                <w:spacing w:val="1"/>
                <w:shd w:val="solid" w:color="000000" w:fill="000000"/>
                <w:fitText w:val="220" w:id="-1032089083"/>
                <w14:textFill>
                  <w14:solidFill>
                    <w14:srgbClr w14:val="000000">
                      <w14:alpha w14:val="100000"/>
                    </w14:srgbClr>
                  </w14:solidFill>
                </w14:textFill>
              </w:rPr>
              <w:t>|</w:t>
            </w:r>
            <w:r w:rsidR="00287824">
              <w:t xml:space="preserve"> </w:t>
            </w:r>
            <w:r w:rsidR="002E6687" w:rsidRPr="00A31543">
              <w:t>[pre-PBAC response]</w:t>
            </w:r>
          </w:p>
        </w:tc>
        <w:tc>
          <w:tcPr>
            <w:tcW w:w="547" w:type="pct"/>
            <w:vAlign w:val="center"/>
          </w:tcPr>
          <w:p w14:paraId="71CD2441" w14:textId="767F3936" w:rsidR="002C36E3" w:rsidRPr="00484AE9" w:rsidRDefault="00D87E8B" w:rsidP="002C36E3">
            <w:pPr>
              <w:keepLines/>
              <w:jc w:val="center"/>
              <w:rPr>
                <w:rFonts w:ascii="Arial Narrow" w:hAnsi="Arial Narrow"/>
                <w:sz w:val="20"/>
                <w:szCs w:val="20"/>
              </w:rPr>
            </w:pPr>
            <w:r w:rsidRPr="00484AE9">
              <w:rPr>
                <w:rFonts w:ascii="Arial Narrow" w:hAnsi="Arial Narrow"/>
                <w:sz w:val="20"/>
              </w:rPr>
              <w:t>1</w:t>
            </w:r>
          </w:p>
        </w:tc>
        <w:tc>
          <w:tcPr>
            <w:tcW w:w="547" w:type="pct"/>
            <w:vAlign w:val="center"/>
          </w:tcPr>
          <w:p w14:paraId="65F4D3E9" w14:textId="0065F81A" w:rsidR="002C36E3" w:rsidRPr="00484AE9" w:rsidRDefault="00FD209E" w:rsidP="002C36E3">
            <w:pPr>
              <w:keepLines/>
              <w:jc w:val="center"/>
              <w:rPr>
                <w:rFonts w:ascii="Arial Narrow" w:hAnsi="Arial Narrow"/>
                <w:sz w:val="20"/>
                <w:szCs w:val="20"/>
              </w:rPr>
            </w:pPr>
            <w:r w:rsidRPr="00484AE9">
              <w:rPr>
                <w:rFonts w:ascii="Arial Narrow" w:hAnsi="Arial Narrow"/>
                <w:sz w:val="20"/>
                <w:szCs w:val="20"/>
              </w:rPr>
              <w:t>1</w:t>
            </w:r>
          </w:p>
        </w:tc>
        <w:tc>
          <w:tcPr>
            <w:tcW w:w="391" w:type="pct"/>
            <w:vAlign w:val="center"/>
          </w:tcPr>
          <w:p w14:paraId="7C728D0C" w14:textId="036D4028" w:rsidR="002C36E3" w:rsidRPr="00484AE9" w:rsidRDefault="00D87E8B" w:rsidP="002C36E3">
            <w:pPr>
              <w:keepLines/>
              <w:jc w:val="center"/>
              <w:rPr>
                <w:rFonts w:ascii="Arial Narrow" w:hAnsi="Arial Narrow"/>
                <w:sz w:val="20"/>
                <w:szCs w:val="20"/>
              </w:rPr>
            </w:pPr>
            <w:r w:rsidRPr="00484AE9">
              <w:rPr>
                <w:rFonts w:ascii="Arial Narrow" w:hAnsi="Arial Narrow"/>
                <w:sz w:val="20"/>
              </w:rPr>
              <w:t>0</w:t>
            </w:r>
          </w:p>
        </w:tc>
        <w:tc>
          <w:tcPr>
            <w:tcW w:w="860" w:type="pct"/>
            <w:vAlign w:val="center"/>
          </w:tcPr>
          <w:p w14:paraId="519A0BC8" w14:textId="59C6CA79" w:rsidR="002C36E3" w:rsidRPr="00484AE9" w:rsidRDefault="00D87E8B" w:rsidP="002C36E3">
            <w:pPr>
              <w:keepLines/>
              <w:rPr>
                <w:rFonts w:ascii="Arial Narrow" w:hAnsi="Arial Narrow"/>
                <w:sz w:val="20"/>
                <w:szCs w:val="20"/>
              </w:rPr>
            </w:pPr>
            <w:r w:rsidRPr="00484AE9">
              <w:rPr>
                <w:rFonts w:ascii="Arial Narrow" w:hAnsi="Arial Narrow"/>
                <w:sz w:val="20"/>
                <w:szCs w:val="20"/>
              </w:rPr>
              <w:t>P</w:t>
            </w:r>
            <w:r w:rsidR="00664DF7" w:rsidRPr="00484AE9">
              <w:rPr>
                <w:rFonts w:ascii="Arial Narrow" w:hAnsi="Arial Narrow"/>
                <w:sz w:val="20"/>
                <w:szCs w:val="20"/>
              </w:rPr>
              <w:t>axlovid</w:t>
            </w:r>
          </w:p>
        </w:tc>
      </w:tr>
      <w:tr w:rsidR="008B6130" w:rsidRPr="00484AE9" w14:paraId="730C8D37" w14:textId="77777777" w:rsidTr="00674093">
        <w:trPr>
          <w:cantSplit/>
          <w:trHeight w:val="20"/>
        </w:trPr>
        <w:tc>
          <w:tcPr>
            <w:tcW w:w="5000" w:type="pct"/>
            <w:gridSpan w:val="6"/>
            <w:vAlign w:val="center"/>
          </w:tcPr>
          <w:p w14:paraId="359D6A87" w14:textId="5E2F27F6" w:rsidR="00301C6B" w:rsidRPr="00A31543" w:rsidRDefault="00301C6B" w:rsidP="003E2A1F">
            <w:pPr>
              <w:pStyle w:val="TableText0"/>
              <w:rPr>
                <w:u w:val="single"/>
              </w:rPr>
            </w:pPr>
            <w:bookmarkStart w:id="35" w:name="_Hlk104809082"/>
            <w:bookmarkEnd w:id="34"/>
            <w:r w:rsidRPr="00A31543">
              <w:rPr>
                <w:u w:val="single"/>
              </w:rPr>
              <w:t>Prescriber bag</w:t>
            </w:r>
          </w:p>
        </w:tc>
      </w:tr>
      <w:tr w:rsidR="0008138F" w:rsidRPr="00484AE9" w14:paraId="45086BC5" w14:textId="77777777" w:rsidTr="00714655">
        <w:trPr>
          <w:cantSplit/>
          <w:trHeight w:val="20"/>
        </w:trPr>
        <w:tc>
          <w:tcPr>
            <w:tcW w:w="1640" w:type="pct"/>
            <w:vAlign w:val="center"/>
          </w:tcPr>
          <w:p w14:paraId="43925E75" w14:textId="77777777" w:rsidR="00301C6B" w:rsidRPr="00484AE9" w:rsidRDefault="00301C6B" w:rsidP="003E2A1F">
            <w:pPr>
              <w:pStyle w:val="TableText0"/>
              <w:keepLines/>
            </w:pPr>
            <w:r w:rsidRPr="00484AE9">
              <w:t>nirmatrelvir 150 mg tablet [4] (&amp;) ritonavir 100 mg tablet [2], 5 x 6</w:t>
            </w:r>
          </w:p>
        </w:tc>
        <w:tc>
          <w:tcPr>
            <w:tcW w:w="1016" w:type="pct"/>
            <w:vAlign w:val="center"/>
          </w:tcPr>
          <w:p w14:paraId="7027E8B3" w14:textId="4633BD49" w:rsidR="00301C6B" w:rsidRPr="00A31543" w:rsidRDefault="00696519" w:rsidP="003E2A1F">
            <w:pPr>
              <w:pStyle w:val="TableText0"/>
              <w:jc w:val="center"/>
            </w:pPr>
            <w:r w:rsidRPr="00696519">
              <w:t>$</w:t>
            </w:r>
            <w:r w:rsidRPr="00696519">
              <w:rPr>
                <w:color w:val="000000"/>
                <w:spacing w:val="204"/>
                <w:shd w:val="solid" w:color="000000" w:fill="000000"/>
                <w:fitText w:val="290" w:id="-1032089082"/>
                <w14:textFill>
                  <w14:solidFill>
                    <w14:srgbClr w14:val="000000">
                      <w14:alpha w14:val="100000"/>
                    </w14:srgbClr>
                  </w14:solidFill>
                </w14:textFill>
              </w:rPr>
              <w:t>|</w:t>
            </w:r>
            <w:r w:rsidRPr="00696519">
              <w:rPr>
                <w:color w:val="000000"/>
                <w:shd w:val="solid" w:color="000000" w:fill="000000"/>
                <w:fitText w:val="290" w:id="-1032089082"/>
                <w14:textFill>
                  <w14:solidFill>
                    <w14:srgbClr w14:val="000000">
                      <w14:alpha w14:val="100000"/>
                    </w14:srgbClr>
                  </w14:solidFill>
                </w14:textFill>
              </w:rPr>
              <w:t>|</w:t>
            </w:r>
            <w:r w:rsidRPr="00696519">
              <w:t xml:space="preserve"> </w:t>
            </w:r>
            <w:r w:rsidR="00FF6F76" w:rsidRPr="00A31543">
              <w:t>[</w:t>
            </w:r>
            <w:r w:rsidR="002E6687" w:rsidRPr="00A31543">
              <w:t>submission</w:t>
            </w:r>
            <w:r w:rsidR="00FF6F76" w:rsidRPr="00A31543">
              <w:t>]</w:t>
            </w:r>
          </w:p>
          <w:p w14:paraId="12BC4DC9" w14:textId="1F7368D9" w:rsidR="002E6687" w:rsidRPr="00A31543" w:rsidRDefault="002E6687" w:rsidP="003E2A1F">
            <w:pPr>
              <w:pStyle w:val="TableText0"/>
              <w:jc w:val="center"/>
            </w:pPr>
          </w:p>
          <w:p w14:paraId="613E827F" w14:textId="4E4DE8D1" w:rsidR="002E6687" w:rsidRPr="00A31543" w:rsidRDefault="00696519" w:rsidP="003E2A1F">
            <w:pPr>
              <w:pStyle w:val="TableText0"/>
              <w:jc w:val="center"/>
            </w:pPr>
            <w:r w:rsidRPr="00696519">
              <w:t>$</w:t>
            </w:r>
            <w:r w:rsidRPr="00696519">
              <w:rPr>
                <w:color w:val="000000"/>
                <w:spacing w:val="46"/>
                <w:shd w:val="solid" w:color="000000" w:fill="000000"/>
                <w:fitText w:val="220" w:id="-1032089081"/>
                <w14:textFill>
                  <w14:solidFill>
                    <w14:srgbClr w14:val="000000">
                      <w14:alpha w14:val="100000"/>
                    </w14:srgbClr>
                  </w14:solidFill>
                </w14:textFill>
              </w:rPr>
              <w:t>||</w:t>
            </w:r>
            <w:r w:rsidRPr="00696519">
              <w:rPr>
                <w:color w:val="000000"/>
                <w:spacing w:val="1"/>
                <w:shd w:val="solid" w:color="000000" w:fill="000000"/>
                <w:fitText w:val="220" w:id="-1032089081"/>
                <w14:textFill>
                  <w14:solidFill>
                    <w14:srgbClr w14:val="000000">
                      <w14:alpha w14:val="100000"/>
                    </w14:srgbClr>
                  </w14:solidFill>
                </w14:textFill>
              </w:rPr>
              <w:t>|</w:t>
            </w:r>
            <w:r w:rsidR="00F23EA5">
              <w:t xml:space="preserve"> [</w:t>
            </w:r>
            <w:r w:rsidR="002E6687" w:rsidRPr="00A31543">
              <w:t>pre-PBAC response]</w:t>
            </w:r>
          </w:p>
        </w:tc>
        <w:tc>
          <w:tcPr>
            <w:tcW w:w="547" w:type="pct"/>
            <w:vAlign w:val="center"/>
          </w:tcPr>
          <w:p w14:paraId="362133BB" w14:textId="736A90C0" w:rsidR="00301C6B" w:rsidRPr="00484AE9" w:rsidRDefault="005768F2" w:rsidP="003E2A1F">
            <w:pPr>
              <w:keepLines/>
              <w:jc w:val="center"/>
              <w:rPr>
                <w:rFonts w:ascii="Arial Narrow" w:hAnsi="Arial Narrow"/>
                <w:sz w:val="20"/>
                <w:szCs w:val="20"/>
              </w:rPr>
            </w:pPr>
            <w:r w:rsidRPr="00484AE9">
              <w:rPr>
                <w:rFonts w:ascii="Arial Narrow" w:hAnsi="Arial Narrow"/>
                <w:sz w:val="20"/>
              </w:rPr>
              <w:t>2</w:t>
            </w:r>
          </w:p>
        </w:tc>
        <w:tc>
          <w:tcPr>
            <w:tcW w:w="547" w:type="pct"/>
            <w:vAlign w:val="center"/>
          </w:tcPr>
          <w:p w14:paraId="32CA4E7F" w14:textId="4E0CD6B1" w:rsidR="00301C6B" w:rsidRPr="00484AE9" w:rsidRDefault="00FD209E" w:rsidP="003E2A1F">
            <w:pPr>
              <w:keepLines/>
              <w:jc w:val="center"/>
              <w:rPr>
                <w:rFonts w:ascii="Arial Narrow" w:hAnsi="Arial Narrow"/>
                <w:sz w:val="20"/>
                <w:szCs w:val="20"/>
              </w:rPr>
            </w:pPr>
            <w:r w:rsidRPr="00484AE9">
              <w:rPr>
                <w:rFonts w:ascii="Arial Narrow" w:hAnsi="Arial Narrow"/>
                <w:sz w:val="20"/>
              </w:rPr>
              <w:t>2</w:t>
            </w:r>
          </w:p>
        </w:tc>
        <w:tc>
          <w:tcPr>
            <w:tcW w:w="391" w:type="pct"/>
            <w:vAlign w:val="center"/>
          </w:tcPr>
          <w:p w14:paraId="16323582" w14:textId="77777777" w:rsidR="00301C6B" w:rsidRPr="00484AE9" w:rsidRDefault="00301C6B" w:rsidP="003E2A1F">
            <w:pPr>
              <w:keepLines/>
              <w:jc w:val="center"/>
              <w:rPr>
                <w:rFonts w:ascii="Arial Narrow" w:hAnsi="Arial Narrow"/>
                <w:sz w:val="20"/>
                <w:szCs w:val="20"/>
              </w:rPr>
            </w:pPr>
            <w:r w:rsidRPr="00484AE9">
              <w:rPr>
                <w:rFonts w:ascii="Arial Narrow" w:hAnsi="Arial Narrow"/>
                <w:sz w:val="20"/>
              </w:rPr>
              <w:t>0</w:t>
            </w:r>
          </w:p>
        </w:tc>
        <w:tc>
          <w:tcPr>
            <w:tcW w:w="860" w:type="pct"/>
            <w:vAlign w:val="center"/>
          </w:tcPr>
          <w:p w14:paraId="1F3B67C3" w14:textId="77777777" w:rsidR="00301C6B" w:rsidRPr="00484AE9" w:rsidRDefault="00301C6B" w:rsidP="003E2A1F">
            <w:pPr>
              <w:keepLines/>
              <w:rPr>
                <w:rFonts w:ascii="Arial Narrow" w:hAnsi="Arial Narrow"/>
                <w:sz w:val="20"/>
                <w:szCs w:val="20"/>
              </w:rPr>
            </w:pPr>
            <w:r w:rsidRPr="00484AE9">
              <w:rPr>
                <w:rFonts w:ascii="Arial Narrow" w:hAnsi="Arial Narrow"/>
                <w:sz w:val="20"/>
                <w:szCs w:val="20"/>
              </w:rPr>
              <w:t>Paxlovid</w:t>
            </w:r>
          </w:p>
        </w:tc>
      </w:tr>
    </w:tbl>
    <w:p w14:paraId="35EB7158" w14:textId="04D0CED5" w:rsidR="00832417" w:rsidRPr="00484AE9" w:rsidRDefault="002F49BC" w:rsidP="002F49BC">
      <w:pPr>
        <w:pStyle w:val="Caption"/>
      </w:pPr>
      <w:bookmarkStart w:id="36" w:name="_Ref144502388"/>
      <w:r w:rsidRPr="00484AE9">
        <w:t xml:space="preserve">Table </w:t>
      </w:r>
      <w:fldSimple w:instr=" SEQ Table \* ARABIC ">
        <w:r w:rsidR="00872657">
          <w:rPr>
            <w:noProof/>
          </w:rPr>
          <w:t>4</w:t>
        </w:r>
      </w:fldSimple>
      <w:bookmarkEnd w:id="36"/>
      <w:r w:rsidRPr="00484AE9">
        <w:t>:</w:t>
      </w:r>
      <w:r w:rsidR="00BE6A50" w:rsidRPr="00484AE9">
        <w:t xml:space="preserve"> </w:t>
      </w:r>
      <w:r w:rsidR="00832417" w:rsidRPr="00484AE9">
        <w:t xml:space="preserve">Proposed restriction for nirmatrelvir and ritonavir for patients aged </w:t>
      </w:r>
      <w:r w:rsidR="003D639C" w:rsidRPr="00484AE9">
        <w:t xml:space="preserve">≥ </w:t>
      </w:r>
      <w:r w:rsidR="00316FB1" w:rsidRPr="00484AE9">
        <w:t>70 years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57" w:type="dxa"/>
          <w:bottom w:w="15" w:type="dxa"/>
          <w:right w:w="57" w:type="dxa"/>
        </w:tblCellMar>
        <w:tblLook w:val="04A0" w:firstRow="1" w:lastRow="0" w:firstColumn="1" w:lastColumn="0" w:noHBand="0" w:noVBand="1"/>
      </w:tblPr>
      <w:tblGrid>
        <w:gridCol w:w="9017"/>
      </w:tblGrid>
      <w:tr w:rsidR="008B6130" w:rsidRPr="00484AE9" w14:paraId="486AF2EE" w14:textId="77777777" w:rsidTr="003E2A1F">
        <w:trPr>
          <w:trHeight w:val="20"/>
        </w:trPr>
        <w:tc>
          <w:tcPr>
            <w:tcW w:w="5000" w:type="pct"/>
          </w:tcPr>
          <w:p w14:paraId="246817EF" w14:textId="77777777" w:rsidR="00832417" w:rsidRPr="00484AE9" w:rsidRDefault="00832417" w:rsidP="003E2A1F">
            <w:pPr>
              <w:pStyle w:val="TableText0"/>
              <w:keepNext w:val="0"/>
              <w:rPr>
                <w:szCs w:val="20"/>
              </w:rPr>
            </w:pPr>
            <w:r w:rsidRPr="00484AE9">
              <w:rPr>
                <w:b/>
                <w:szCs w:val="20"/>
              </w:rPr>
              <w:t xml:space="preserve">Category / Program: </w:t>
            </w:r>
            <w:r w:rsidRPr="00484AE9">
              <w:rPr>
                <w:szCs w:val="20"/>
              </w:rPr>
              <w:t>General Schedule</w:t>
            </w:r>
          </w:p>
        </w:tc>
      </w:tr>
      <w:tr w:rsidR="008B6130" w:rsidRPr="00484AE9" w14:paraId="101D18B0" w14:textId="77777777" w:rsidTr="003E2A1F">
        <w:trPr>
          <w:trHeight w:val="20"/>
        </w:trPr>
        <w:tc>
          <w:tcPr>
            <w:tcW w:w="5000" w:type="pct"/>
          </w:tcPr>
          <w:p w14:paraId="49F67CC3" w14:textId="051D9F7C" w:rsidR="00832417" w:rsidRPr="00484AE9" w:rsidRDefault="00832417" w:rsidP="003E2A1F">
            <w:pPr>
              <w:pStyle w:val="TableText0"/>
              <w:keepNext w:val="0"/>
              <w:rPr>
                <w:b/>
                <w:szCs w:val="20"/>
              </w:rPr>
            </w:pPr>
            <w:r w:rsidRPr="00484AE9">
              <w:rPr>
                <w:b/>
                <w:szCs w:val="20"/>
              </w:rPr>
              <w:t xml:space="preserve">Prescriber type: </w:t>
            </w:r>
            <w:r w:rsidRPr="00484AE9">
              <w:rPr>
                <w:szCs w:val="20"/>
              </w:rPr>
              <w:fldChar w:fldCharType="begin">
                <w:ffData>
                  <w:name w:val="Check1"/>
                  <w:enabled/>
                  <w:calcOnExit w:val="0"/>
                  <w:checkBox>
                    <w:sizeAuto/>
                    <w:default w:val="0"/>
                  </w:checkBox>
                </w:ffData>
              </w:fldChar>
            </w:r>
            <w:r w:rsidRPr="00484AE9">
              <w:rPr>
                <w:szCs w:val="20"/>
              </w:rPr>
              <w:instrText xml:space="preserve"> FORMCHECKBOX </w:instrText>
            </w:r>
            <w:r w:rsidR="00872657">
              <w:rPr>
                <w:szCs w:val="20"/>
              </w:rPr>
            </w:r>
            <w:r w:rsidR="00872657">
              <w:rPr>
                <w:szCs w:val="20"/>
              </w:rPr>
              <w:fldChar w:fldCharType="separate"/>
            </w:r>
            <w:r w:rsidRPr="00484AE9">
              <w:rPr>
                <w:szCs w:val="20"/>
              </w:rPr>
              <w:fldChar w:fldCharType="end"/>
            </w:r>
            <w:r w:rsidRPr="00484AE9">
              <w:rPr>
                <w:szCs w:val="20"/>
              </w:rPr>
              <w:t xml:space="preserve">Dental </w:t>
            </w:r>
            <w:r w:rsidRPr="00484AE9">
              <w:rPr>
                <w:szCs w:val="20"/>
              </w:rPr>
              <w:fldChar w:fldCharType="begin">
                <w:ffData>
                  <w:name w:val=""/>
                  <w:enabled/>
                  <w:calcOnExit w:val="0"/>
                  <w:checkBox>
                    <w:sizeAuto/>
                    <w:default w:val="1"/>
                  </w:checkBox>
                </w:ffData>
              </w:fldChar>
            </w:r>
            <w:r w:rsidRPr="00484AE9">
              <w:rPr>
                <w:szCs w:val="20"/>
              </w:rPr>
              <w:instrText xml:space="preserve"> FORMCHECKBOX </w:instrText>
            </w:r>
            <w:r w:rsidR="00872657">
              <w:rPr>
                <w:szCs w:val="20"/>
              </w:rPr>
            </w:r>
            <w:r w:rsidR="00872657">
              <w:rPr>
                <w:szCs w:val="20"/>
              </w:rPr>
              <w:fldChar w:fldCharType="separate"/>
            </w:r>
            <w:r w:rsidRPr="00484AE9">
              <w:rPr>
                <w:szCs w:val="20"/>
              </w:rPr>
              <w:fldChar w:fldCharType="end"/>
            </w:r>
            <w:r w:rsidRPr="00484AE9">
              <w:rPr>
                <w:szCs w:val="20"/>
              </w:rPr>
              <w:t xml:space="preserve">Medical Practitioners </w:t>
            </w:r>
            <w:r w:rsidR="00A60CE1" w:rsidRPr="00484AE9">
              <w:rPr>
                <w:szCs w:val="20"/>
              </w:rPr>
              <w:fldChar w:fldCharType="begin">
                <w:ffData>
                  <w:name w:val="Check3"/>
                  <w:enabled/>
                  <w:calcOnExit w:val="0"/>
                  <w:checkBox>
                    <w:sizeAuto/>
                    <w:default w:val="1"/>
                  </w:checkBox>
                </w:ffData>
              </w:fldChar>
            </w:r>
            <w:bookmarkStart w:id="37" w:name="Check3"/>
            <w:r w:rsidR="00A60CE1" w:rsidRPr="00484AE9">
              <w:rPr>
                <w:szCs w:val="20"/>
              </w:rPr>
              <w:instrText xml:space="preserve"> FORMCHECKBOX </w:instrText>
            </w:r>
            <w:r w:rsidR="00872657">
              <w:rPr>
                <w:szCs w:val="20"/>
              </w:rPr>
            </w:r>
            <w:r w:rsidR="00872657">
              <w:rPr>
                <w:szCs w:val="20"/>
              </w:rPr>
              <w:fldChar w:fldCharType="separate"/>
            </w:r>
            <w:r w:rsidR="00A60CE1" w:rsidRPr="00484AE9">
              <w:rPr>
                <w:szCs w:val="20"/>
              </w:rPr>
              <w:fldChar w:fldCharType="end"/>
            </w:r>
            <w:bookmarkEnd w:id="37"/>
            <w:r w:rsidRPr="00484AE9">
              <w:rPr>
                <w:szCs w:val="20"/>
              </w:rPr>
              <w:t xml:space="preserve">Nurse practitioners </w:t>
            </w:r>
            <w:r w:rsidRPr="00484AE9">
              <w:rPr>
                <w:szCs w:val="20"/>
              </w:rPr>
              <w:fldChar w:fldCharType="begin">
                <w:ffData>
                  <w:name w:val=""/>
                  <w:enabled/>
                  <w:calcOnExit w:val="0"/>
                  <w:checkBox>
                    <w:sizeAuto/>
                    <w:default w:val="0"/>
                  </w:checkBox>
                </w:ffData>
              </w:fldChar>
            </w:r>
            <w:r w:rsidRPr="00484AE9">
              <w:rPr>
                <w:szCs w:val="20"/>
              </w:rPr>
              <w:instrText xml:space="preserve"> FORMCHECKBOX </w:instrText>
            </w:r>
            <w:r w:rsidR="00872657">
              <w:rPr>
                <w:szCs w:val="20"/>
              </w:rPr>
            </w:r>
            <w:r w:rsidR="00872657">
              <w:rPr>
                <w:szCs w:val="20"/>
              </w:rPr>
              <w:fldChar w:fldCharType="separate"/>
            </w:r>
            <w:r w:rsidRPr="00484AE9">
              <w:rPr>
                <w:szCs w:val="20"/>
              </w:rPr>
              <w:fldChar w:fldCharType="end"/>
            </w:r>
            <w:r w:rsidRPr="00484AE9">
              <w:rPr>
                <w:szCs w:val="20"/>
              </w:rPr>
              <w:t xml:space="preserve">Optometrists </w:t>
            </w:r>
            <w:r w:rsidRPr="00484AE9">
              <w:rPr>
                <w:szCs w:val="20"/>
              </w:rPr>
              <w:fldChar w:fldCharType="begin">
                <w:ffData>
                  <w:name w:val="Check5"/>
                  <w:enabled/>
                  <w:calcOnExit w:val="0"/>
                  <w:checkBox>
                    <w:sizeAuto/>
                    <w:default w:val="0"/>
                  </w:checkBox>
                </w:ffData>
              </w:fldChar>
            </w:r>
            <w:r w:rsidRPr="00484AE9">
              <w:rPr>
                <w:szCs w:val="20"/>
              </w:rPr>
              <w:instrText xml:space="preserve"> FORMCHECKBOX </w:instrText>
            </w:r>
            <w:r w:rsidR="00872657">
              <w:rPr>
                <w:szCs w:val="20"/>
              </w:rPr>
            </w:r>
            <w:r w:rsidR="00872657">
              <w:rPr>
                <w:szCs w:val="20"/>
              </w:rPr>
              <w:fldChar w:fldCharType="separate"/>
            </w:r>
            <w:r w:rsidRPr="00484AE9">
              <w:rPr>
                <w:szCs w:val="20"/>
              </w:rPr>
              <w:fldChar w:fldCharType="end"/>
            </w:r>
          </w:p>
        </w:tc>
      </w:tr>
      <w:tr w:rsidR="008B6130" w:rsidRPr="00484AE9" w14:paraId="5029023D" w14:textId="77777777" w:rsidTr="003E2A1F">
        <w:trPr>
          <w:trHeight w:val="20"/>
        </w:trPr>
        <w:tc>
          <w:tcPr>
            <w:tcW w:w="5000" w:type="pct"/>
          </w:tcPr>
          <w:p w14:paraId="4748D53B" w14:textId="4BA902FD" w:rsidR="00832417" w:rsidRPr="00484AE9" w:rsidRDefault="00832417" w:rsidP="003E2A1F">
            <w:pPr>
              <w:pStyle w:val="TableText0"/>
              <w:keepNext w:val="0"/>
              <w:rPr>
                <w:rFonts w:eastAsia="Times New Roman"/>
                <w:szCs w:val="20"/>
              </w:rPr>
            </w:pPr>
            <w:r w:rsidRPr="00484AE9">
              <w:rPr>
                <w:b/>
                <w:szCs w:val="20"/>
              </w:rPr>
              <w:t>Restriction type:</w:t>
            </w:r>
            <w:r w:rsidR="00F76D9A">
              <w:rPr>
                <w:b/>
                <w:szCs w:val="20"/>
              </w:rPr>
              <w:t xml:space="preserve"> </w:t>
            </w:r>
            <w:r w:rsidRPr="00484AE9">
              <w:rPr>
                <w:rFonts w:eastAsia="Times New Roman"/>
                <w:szCs w:val="20"/>
              </w:rPr>
              <w:fldChar w:fldCharType="begin">
                <w:ffData>
                  <w:name w:val=""/>
                  <w:enabled/>
                  <w:calcOnExit w:val="0"/>
                  <w:checkBox>
                    <w:sizeAuto/>
                    <w:default w:val="1"/>
                  </w:checkBox>
                </w:ffData>
              </w:fldChar>
            </w:r>
            <w:r w:rsidRPr="00484AE9">
              <w:rPr>
                <w:rFonts w:eastAsia="Times New Roman"/>
                <w:szCs w:val="20"/>
              </w:rPr>
              <w:instrText xml:space="preserve"> FORMCHECKBOX </w:instrText>
            </w:r>
            <w:r w:rsidR="00872657">
              <w:rPr>
                <w:rFonts w:eastAsia="Times New Roman"/>
                <w:szCs w:val="20"/>
              </w:rPr>
            </w:r>
            <w:r w:rsidR="00872657">
              <w:rPr>
                <w:rFonts w:eastAsia="Times New Roman"/>
                <w:szCs w:val="20"/>
              </w:rPr>
              <w:fldChar w:fldCharType="separate"/>
            </w:r>
            <w:r w:rsidRPr="00484AE9">
              <w:rPr>
                <w:rFonts w:eastAsia="Times New Roman"/>
                <w:szCs w:val="20"/>
              </w:rPr>
              <w:fldChar w:fldCharType="end"/>
            </w:r>
            <w:r w:rsidRPr="00484AE9">
              <w:rPr>
                <w:rFonts w:eastAsia="Times New Roman"/>
                <w:szCs w:val="20"/>
              </w:rPr>
              <w:t xml:space="preserve">Authority Required (STREAMLINED) </w:t>
            </w:r>
          </w:p>
        </w:tc>
      </w:tr>
      <w:tr w:rsidR="008B6130" w:rsidRPr="00484AE9" w14:paraId="69EF0F3B" w14:textId="77777777" w:rsidTr="003E2A1F">
        <w:trPr>
          <w:trHeight w:val="20"/>
        </w:trPr>
        <w:tc>
          <w:tcPr>
            <w:tcW w:w="5000" w:type="pct"/>
            <w:vAlign w:val="center"/>
            <w:hideMark/>
          </w:tcPr>
          <w:p w14:paraId="5047B4C7" w14:textId="77777777" w:rsidR="00832417" w:rsidRPr="00484AE9" w:rsidRDefault="00832417" w:rsidP="003E2A1F">
            <w:pPr>
              <w:pStyle w:val="TableText0"/>
              <w:keepNext w:val="0"/>
              <w:rPr>
                <w:szCs w:val="20"/>
              </w:rPr>
            </w:pPr>
            <w:r w:rsidRPr="00484AE9">
              <w:rPr>
                <w:b/>
                <w:szCs w:val="20"/>
              </w:rPr>
              <w:t>Indication:</w:t>
            </w:r>
            <w:r w:rsidRPr="00484AE9">
              <w:rPr>
                <w:szCs w:val="20"/>
              </w:rPr>
              <w:t xml:space="preserve"> </w:t>
            </w:r>
            <w:r w:rsidRPr="00484AE9">
              <w:rPr>
                <w:bCs w:val="0"/>
                <w:szCs w:val="20"/>
              </w:rPr>
              <w:t>SARS-CoV-2 infection</w:t>
            </w:r>
          </w:p>
        </w:tc>
      </w:tr>
      <w:tr w:rsidR="008B6130" w:rsidRPr="00484AE9" w14:paraId="09825AE3" w14:textId="77777777" w:rsidTr="003E2A1F">
        <w:trPr>
          <w:trHeight w:val="20"/>
        </w:trPr>
        <w:tc>
          <w:tcPr>
            <w:tcW w:w="5000" w:type="pct"/>
            <w:vAlign w:val="center"/>
            <w:hideMark/>
          </w:tcPr>
          <w:p w14:paraId="13283B94" w14:textId="77777777" w:rsidR="00832417" w:rsidRPr="00484AE9" w:rsidRDefault="00832417" w:rsidP="003E2A1F">
            <w:pPr>
              <w:pStyle w:val="TableText0"/>
              <w:keepNext w:val="0"/>
              <w:rPr>
                <w:szCs w:val="20"/>
              </w:rPr>
            </w:pPr>
            <w:r w:rsidRPr="00484AE9">
              <w:rPr>
                <w:b/>
                <w:szCs w:val="20"/>
              </w:rPr>
              <w:t>Clinical criteria:</w:t>
            </w:r>
          </w:p>
        </w:tc>
      </w:tr>
      <w:tr w:rsidR="008B6130" w:rsidRPr="00484AE9" w14:paraId="41B41007" w14:textId="77777777" w:rsidTr="003E2A1F">
        <w:trPr>
          <w:trHeight w:val="20"/>
        </w:trPr>
        <w:tc>
          <w:tcPr>
            <w:tcW w:w="5000" w:type="pct"/>
            <w:vAlign w:val="center"/>
            <w:hideMark/>
          </w:tcPr>
          <w:p w14:paraId="55F34D7F" w14:textId="77777777" w:rsidR="00A819A0" w:rsidRDefault="00832417" w:rsidP="003E2A1F">
            <w:pPr>
              <w:pStyle w:val="TableText0"/>
              <w:keepNext w:val="0"/>
              <w:rPr>
                <w:rFonts w:cs="Arial"/>
                <w:szCs w:val="20"/>
              </w:rPr>
            </w:pPr>
            <w:r w:rsidRPr="00484AE9">
              <w:rPr>
                <w:rFonts w:cs="Arial"/>
                <w:szCs w:val="20"/>
              </w:rPr>
              <w:t xml:space="preserve">Patient must have received a positive polymerase chain reaction (PCR) test result; </w:t>
            </w:r>
            <w:r w:rsidR="00447750" w:rsidRPr="00484AE9">
              <w:rPr>
                <w:rFonts w:cs="Arial"/>
                <w:szCs w:val="20"/>
              </w:rPr>
              <w:t>OR</w:t>
            </w:r>
            <w:r w:rsidR="00696519" w:rsidRPr="00696519">
              <w:rPr>
                <w:rFonts w:cs="Arial"/>
                <w:szCs w:val="20"/>
              </w:rPr>
              <w:t xml:space="preserve">                          </w:t>
            </w:r>
          </w:p>
          <w:p w14:paraId="68E559D4" w14:textId="16019665" w:rsidR="00832417" w:rsidRPr="00484AE9" w:rsidRDefault="00832417" w:rsidP="003E2A1F">
            <w:pPr>
              <w:pStyle w:val="TableText0"/>
              <w:keepNext w:val="0"/>
              <w:rPr>
                <w:szCs w:val="20"/>
              </w:rPr>
            </w:pPr>
            <w:r w:rsidRPr="00484AE9">
              <w:rPr>
                <w:rFonts w:cs="Arial"/>
                <w:szCs w:val="20"/>
              </w:rPr>
              <w:t>Patient must have received a positive rapid antigen test (RAT) result</w:t>
            </w:r>
          </w:p>
        </w:tc>
      </w:tr>
      <w:tr w:rsidR="008B6130" w:rsidRPr="00484AE9" w14:paraId="47C902B5" w14:textId="77777777" w:rsidTr="003E2A1F">
        <w:trPr>
          <w:trHeight w:val="20"/>
        </w:trPr>
        <w:tc>
          <w:tcPr>
            <w:tcW w:w="5000" w:type="pct"/>
            <w:vAlign w:val="center"/>
          </w:tcPr>
          <w:p w14:paraId="0815CF94" w14:textId="77777777" w:rsidR="00832417" w:rsidRPr="00484AE9" w:rsidRDefault="00832417" w:rsidP="003E2A1F">
            <w:pPr>
              <w:pStyle w:val="TableText0"/>
              <w:keepNext w:val="0"/>
              <w:rPr>
                <w:rFonts w:cs="Arial"/>
                <w:szCs w:val="20"/>
              </w:rPr>
            </w:pPr>
            <w:r w:rsidRPr="00484AE9">
              <w:rPr>
                <w:b/>
                <w:szCs w:val="20"/>
              </w:rPr>
              <w:t>AND</w:t>
            </w:r>
          </w:p>
        </w:tc>
      </w:tr>
      <w:tr w:rsidR="008B6130" w:rsidRPr="00484AE9" w14:paraId="2A8C6D24" w14:textId="77777777" w:rsidTr="003E2A1F">
        <w:trPr>
          <w:trHeight w:val="20"/>
        </w:trPr>
        <w:tc>
          <w:tcPr>
            <w:tcW w:w="5000" w:type="pct"/>
            <w:vAlign w:val="center"/>
          </w:tcPr>
          <w:p w14:paraId="0579BE76" w14:textId="77777777" w:rsidR="00832417" w:rsidRPr="00484AE9" w:rsidRDefault="00832417" w:rsidP="003E2A1F">
            <w:pPr>
              <w:pStyle w:val="TableText0"/>
              <w:keepNext w:val="0"/>
              <w:rPr>
                <w:rFonts w:cs="Arial"/>
                <w:szCs w:val="20"/>
              </w:rPr>
            </w:pPr>
            <w:r w:rsidRPr="00484AE9">
              <w:rPr>
                <w:rFonts w:cs="Arial"/>
                <w:szCs w:val="20"/>
              </w:rPr>
              <w:t>Patient must not require hospitalisation for COVID-19 infection at the time of prescribing</w:t>
            </w:r>
          </w:p>
        </w:tc>
      </w:tr>
      <w:tr w:rsidR="008B6130" w:rsidRPr="00484AE9" w14:paraId="0A5DEAF9" w14:textId="77777777" w:rsidTr="003E2A1F">
        <w:trPr>
          <w:trHeight w:val="20"/>
        </w:trPr>
        <w:tc>
          <w:tcPr>
            <w:tcW w:w="5000" w:type="pct"/>
            <w:vAlign w:val="center"/>
          </w:tcPr>
          <w:p w14:paraId="6843C15D" w14:textId="77777777" w:rsidR="00832417" w:rsidRPr="00484AE9" w:rsidRDefault="00832417" w:rsidP="003E2A1F">
            <w:pPr>
              <w:pStyle w:val="TableText0"/>
              <w:keepNext w:val="0"/>
              <w:rPr>
                <w:rFonts w:cs="Arial"/>
                <w:szCs w:val="20"/>
              </w:rPr>
            </w:pPr>
            <w:r w:rsidRPr="00484AE9">
              <w:rPr>
                <w:b/>
                <w:szCs w:val="20"/>
              </w:rPr>
              <w:t>AND</w:t>
            </w:r>
          </w:p>
        </w:tc>
      </w:tr>
      <w:tr w:rsidR="008B6130" w:rsidRPr="00484AE9" w14:paraId="7A26BE27" w14:textId="77777777" w:rsidTr="003E2A1F">
        <w:trPr>
          <w:trHeight w:val="20"/>
        </w:trPr>
        <w:tc>
          <w:tcPr>
            <w:tcW w:w="5000" w:type="pct"/>
            <w:vAlign w:val="center"/>
          </w:tcPr>
          <w:p w14:paraId="4C2CA6E7" w14:textId="77777777" w:rsidR="00447750" w:rsidRPr="00484AE9" w:rsidRDefault="00832417" w:rsidP="00447750">
            <w:pPr>
              <w:pStyle w:val="TableText0"/>
              <w:rPr>
                <w:rFonts w:cs="Arial"/>
                <w:szCs w:val="20"/>
              </w:rPr>
            </w:pPr>
            <w:r w:rsidRPr="00484AE9">
              <w:rPr>
                <w:rFonts w:cs="Arial"/>
                <w:szCs w:val="20"/>
              </w:rPr>
              <w:t>The treatment must be initiated within 5 days of symptom onset</w:t>
            </w:r>
            <w:r w:rsidR="00265738" w:rsidRPr="00484AE9">
              <w:rPr>
                <w:rFonts w:cs="Arial"/>
                <w:szCs w:val="20"/>
              </w:rPr>
              <w:t xml:space="preserve">; </w:t>
            </w:r>
            <w:r w:rsidR="00447750" w:rsidRPr="00484AE9">
              <w:rPr>
                <w:rFonts w:cs="Arial"/>
                <w:szCs w:val="20"/>
              </w:rPr>
              <w:t>OR</w:t>
            </w:r>
          </w:p>
          <w:p w14:paraId="500C124C" w14:textId="286EE0FA" w:rsidR="00832417" w:rsidRPr="00484AE9" w:rsidRDefault="00447750" w:rsidP="00447750">
            <w:pPr>
              <w:pStyle w:val="TableText0"/>
              <w:keepNext w:val="0"/>
              <w:rPr>
                <w:rFonts w:cs="Arial"/>
                <w:szCs w:val="20"/>
              </w:rPr>
            </w:pPr>
            <w:r w:rsidRPr="00484AE9">
              <w:rPr>
                <w:rFonts w:cs="Arial"/>
                <w:szCs w:val="20"/>
              </w:rPr>
              <w:t>The treatment must be initiated as soon as possible after a diagnosis is confirmed where asymptomatic.</w:t>
            </w:r>
          </w:p>
        </w:tc>
      </w:tr>
      <w:tr w:rsidR="008B6130" w:rsidRPr="00484AE9" w14:paraId="0338C2E1" w14:textId="77777777" w:rsidTr="003E2A1F">
        <w:trPr>
          <w:trHeight w:val="20"/>
        </w:trPr>
        <w:tc>
          <w:tcPr>
            <w:tcW w:w="5000" w:type="pct"/>
            <w:vAlign w:val="center"/>
            <w:hideMark/>
          </w:tcPr>
          <w:p w14:paraId="3B59E87C" w14:textId="77777777" w:rsidR="00832417" w:rsidRPr="00484AE9" w:rsidRDefault="00832417" w:rsidP="003E2A1F">
            <w:pPr>
              <w:pStyle w:val="TableText0"/>
              <w:keepNext w:val="0"/>
              <w:rPr>
                <w:szCs w:val="20"/>
              </w:rPr>
            </w:pPr>
            <w:r w:rsidRPr="00484AE9">
              <w:rPr>
                <w:b/>
                <w:szCs w:val="20"/>
              </w:rPr>
              <w:t>Population criteria:</w:t>
            </w:r>
          </w:p>
        </w:tc>
      </w:tr>
      <w:tr w:rsidR="008B6130" w:rsidRPr="00484AE9" w14:paraId="0AC0EA9E" w14:textId="77777777" w:rsidTr="003E2A1F">
        <w:trPr>
          <w:trHeight w:val="20"/>
        </w:trPr>
        <w:tc>
          <w:tcPr>
            <w:tcW w:w="5000" w:type="pct"/>
            <w:vAlign w:val="center"/>
          </w:tcPr>
          <w:p w14:paraId="3398DF72" w14:textId="3CD6AAAF" w:rsidR="00832417" w:rsidRPr="00484AE9" w:rsidRDefault="001A43EF" w:rsidP="003E2A1F">
            <w:pPr>
              <w:autoSpaceDE w:val="0"/>
              <w:autoSpaceDN w:val="0"/>
              <w:adjustRightInd w:val="0"/>
              <w:rPr>
                <w:rFonts w:ascii="Arial Narrow" w:hAnsi="Arial Narrow"/>
                <w:sz w:val="20"/>
                <w:szCs w:val="20"/>
              </w:rPr>
            </w:pPr>
            <w:r w:rsidRPr="00484AE9">
              <w:rPr>
                <w:rFonts w:ascii="Arial Narrow" w:hAnsi="Arial Narrow"/>
                <w:sz w:val="20"/>
                <w:szCs w:val="20"/>
              </w:rPr>
              <w:t>Patient must be at least 70 years of age.</w:t>
            </w:r>
          </w:p>
        </w:tc>
      </w:tr>
      <w:tr w:rsidR="008B6130" w:rsidRPr="00484AE9" w14:paraId="24C9B5E2" w14:textId="77777777" w:rsidTr="003E2A1F">
        <w:trPr>
          <w:trHeight w:val="20"/>
        </w:trPr>
        <w:tc>
          <w:tcPr>
            <w:tcW w:w="5000" w:type="pct"/>
            <w:vAlign w:val="center"/>
            <w:hideMark/>
          </w:tcPr>
          <w:p w14:paraId="6DA22D1D" w14:textId="77777777" w:rsidR="00832417" w:rsidRPr="00484AE9" w:rsidRDefault="00832417" w:rsidP="003E2A1F">
            <w:pPr>
              <w:pStyle w:val="TableText0"/>
              <w:keepNext w:val="0"/>
              <w:rPr>
                <w:b/>
                <w:szCs w:val="20"/>
              </w:rPr>
            </w:pPr>
            <w:r w:rsidRPr="00484AE9">
              <w:rPr>
                <w:b/>
                <w:szCs w:val="20"/>
              </w:rPr>
              <w:t xml:space="preserve">Prescribing Instructions: </w:t>
            </w:r>
          </w:p>
          <w:p w14:paraId="32DC8AAB" w14:textId="77777777" w:rsidR="00832417" w:rsidRPr="00484AE9" w:rsidRDefault="00832417" w:rsidP="003E2A1F">
            <w:pPr>
              <w:pStyle w:val="TableText0"/>
              <w:keepNext w:val="0"/>
              <w:rPr>
                <w:szCs w:val="20"/>
              </w:rPr>
            </w:pPr>
            <w:r w:rsidRPr="00484AE9">
              <w:rPr>
                <w:szCs w:val="20"/>
              </w:rPr>
              <w:lastRenderedPageBreak/>
              <w:t>Access to this drug through this restriction is permitted irrespective of vaccination status.</w:t>
            </w:r>
          </w:p>
          <w:p w14:paraId="51C07EF6" w14:textId="77777777" w:rsidR="00832417" w:rsidRPr="00484AE9" w:rsidRDefault="00832417" w:rsidP="003E2A1F">
            <w:pPr>
              <w:pStyle w:val="TableText0"/>
              <w:keepNext w:val="0"/>
              <w:rPr>
                <w:szCs w:val="20"/>
              </w:rPr>
            </w:pPr>
          </w:p>
          <w:p w14:paraId="60D39016" w14:textId="77777777" w:rsidR="00832417" w:rsidRPr="00484AE9" w:rsidRDefault="00832417" w:rsidP="003E2A1F">
            <w:pPr>
              <w:pStyle w:val="TableText0"/>
              <w:keepNext w:val="0"/>
              <w:rPr>
                <w:szCs w:val="20"/>
              </w:rPr>
            </w:pPr>
            <w:r w:rsidRPr="00484AE9">
              <w:rPr>
                <w:szCs w:val="20"/>
              </w:rPr>
              <w:t>Where PCR is used to confirm diagnosis, the result, testing date, location and test provider must be recorded on the patient record.</w:t>
            </w:r>
          </w:p>
          <w:p w14:paraId="2F4B8B56" w14:textId="77777777" w:rsidR="00832417" w:rsidRPr="00484AE9" w:rsidRDefault="00832417" w:rsidP="003E2A1F">
            <w:pPr>
              <w:pStyle w:val="TableText0"/>
              <w:keepNext w:val="0"/>
              <w:rPr>
                <w:szCs w:val="20"/>
              </w:rPr>
            </w:pPr>
          </w:p>
          <w:p w14:paraId="002D38F0" w14:textId="77777777" w:rsidR="00832417" w:rsidRPr="00484AE9" w:rsidRDefault="00832417" w:rsidP="003E2A1F">
            <w:pPr>
              <w:pStyle w:val="TableText0"/>
              <w:keepNext w:val="0"/>
              <w:rPr>
                <w:szCs w:val="20"/>
              </w:rPr>
            </w:pPr>
            <w:r w:rsidRPr="00484AE9">
              <w:rPr>
                <w:szCs w:val="20"/>
              </w:rPr>
              <w:t>Where a RAT is used to confirm diagnosis, available information about the test result, testing date, location and test provider (where relevant) must be recorded on the patient record.</w:t>
            </w:r>
          </w:p>
          <w:p w14:paraId="61EE08BB" w14:textId="77777777" w:rsidR="00832417" w:rsidRPr="00484AE9" w:rsidRDefault="00832417" w:rsidP="003E2A1F">
            <w:pPr>
              <w:pStyle w:val="TableText0"/>
              <w:keepNext w:val="0"/>
              <w:rPr>
                <w:szCs w:val="20"/>
              </w:rPr>
            </w:pPr>
          </w:p>
          <w:p w14:paraId="03D1DAF6" w14:textId="77777777" w:rsidR="00832417" w:rsidRPr="00484AE9" w:rsidRDefault="00832417" w:rsidP="003E2A1F">
            <w:pPr>
              <w:pStyle w:val="TableText0"/>
              <w:keepNext w:val="0"/>
              <w:rPr>
                <w:szCs w:val="20"/>
              </w:rPr>
            </w:pPr>
            <w:r w:rsidRPr="00484AE9">
              <w:rPr>
                <w:szCs w:val="20"/>
              </w:rPr>
              <w:t>This drug is not PBS-subsidised for pre-exposure or post-exposure prophylaxis for the prevention of SARS-CoV-2 infection.</w:t>
            </w:r>
          </w:p>
        </w:tc>
      </w:tr>
      <w:tr w:rsidR="00832417" w:rsidRPr="00484AE9" w14:paraId="3EAA7162" w14:textId="77777777" w:rsidTr="003E2A1F">
        <w:trPr>
          <w:trHeight w:val="20"/>
        </w:trPr>
        <w:tc>
          <w:tcPr>
            <w:tcW w:w="5000" w:type="pct"/>
            <w:vAlign w:val="center"/>
            <w:hideMark/>
          </w:tcPr>
          <w:p w14:paraId="69536083" w14:textId="77777777" w:rsidR="00832417" w:rsidRPr="00484AE9" w:rsidRDefault="00832417" w:rsidP="003E2A1F">
            <w:pPr>
              <w:pStyle w:val="TableText0"/>
              <w:keepNext w:val="0"/>
              <w:rPr>
                <w:szCs w:val="20"/>
              </w:rPr>
            </w:pPr>
            <w:r w:rsidRPr="00484AE9">
              <w:rPr>
                <w:b/>
                <w:szCs w:val="20"/>
              </w:rPr>
              <w:lastRenderedPageBreak/>
              <w:t>Caution:</w:t>
            </w:r>
            <w:r w:rsidRPr="00484AE9">
              <w:rPr>
                <w:b/>
                <w:szCs w:val="20"/>
              </w:rPr>
              <w:br/>
            </w:r>
            <w:r w:rsidRPr="00484AE9">
              <w:rPr>
                <w:bCs w:val="0"/>
                <w:strike/>
                <w:szCs w:val="20"/>
              </w:rPr>
              <w:t>Nirmatrelvir with ritonavir has significant drug-drug interactions. Please refer to the TGA approved Paxlovid Product Information. Prescribers and dispensers should carefully review a patient's concomitant medications including over-the-counter medications, herbal supplements, and recreational drugs.</w:t>
            </w:r>
          </w:p>
        </w:tc>
      </w:tr>
    </w:tbl>
    <w:p w14:paraId="64DFC709" w14:textId="5A7DB7BD" w:rsidR="00316FB1" w:rsidRPr="00484AE9" w:rsidRDefault="00316FB1">
      <w:pPr>
        <w:jc w:val="left"/>
      </w:pPr>
    </w:p>
    <w:p w14:paraId="77E38B98" w14:textId="455C3837" w:rsidR="00646000" w:rsidRPr="00484AE9" w:rsidRDefault="002F49BC" w:rsidP="002F49BC">
      <w:pPr>
        <w:pStyle w:val="Caption"/>
      </w:pPr>
      <w:bookmarkStart w:id="38" w:name="_Ref144502391"/>
      <w:r w:rsidRPr="00484AE9">
        <w:t xml:space="preserve">Table </w:t>
      </w:r>
      <w:fldSimple w:instr=" SEQ Table \* ARABIC ">
        <w:r w:rsidR="00872657">
          <w:rPr>
            <w:noProof/>
          </w:rPr>
          <w:t>5</w:t>
        </w:r>
      </w:fldSimple>
      <w:bookmarkEnd w:id="38"/>
      <w:r w:rsidRPr="00484AE9">
        <w:t>:</w:t>
      </w:r>
      <w:r w:rsidR="00BE6A50" w:rsidRPr="00484AE9">
        <w:t xml:space="preserve"> </w:t>
      </w:r>
      <w:r w:rsidR="00646000" w:rsidRPr="00484AE9">
        <w:t xml:space="preserve">Proposed restriction for nirmatrelvir and ritonavir for patients </w:t>
      </w:r>
      <w:r w:rsidR="003D639C" w:rsidRPr="00484AE9">
        <w:t>who are immunocompromised or have previously experienced a COVID-19 infection resulting in hospitalisation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57" w:type="dxa"/>
          <w:bottom w:w="15" w:type="dxa"/>
          <w:right w:w="57" w:type="dxa"/>
        </w:tblCellMar>
        <w:tblLook w:val="04A0" w:firstRow="1" w:lastRow="0" w:firstColumn="1" w:lastColumn="0" w:noHBand="0" w:noVBand="1"/>
      </w:tblPr>
      <w:tblGrid>
        <w:gridCol w:w="9017"/>
      </w:tblGrid>
      <w:tr w:rsidR="008B6130" w:rsidRPr="00484AE9" w14:paraId="17F3B155" w14:textId="77777777" w:rsidTr="003E2A1F">
        <w:trPr>
          <w:trHeight w:val="20"/>
        </w:trPr>
        <w:tc>
          <w:tcPr>
            <w:tcW w:w="5000" w:type="pct"/>
          </w:tcPr>
          <w:p w14:paraId="6F6F3290" w14:textId="77777777" w:rsidR="00646000" w:rsidRPr="00484AE9" w:rsidRDefault="00646000" w:rsidP="00E25EE8">
            <w:pPr>
              <w:pStyle w:val="TableText0"/>
              <w:keepNext w:val="0"/>
              <w:rPr>
                <w:szCs w:val="20"/>
              </w:rPr>
            </w:pPr>
            <w:r w:rsidRPr="00484AE9">
              <w:rPr>
                <w:b/>
                <w:szCs w:val="20"/>
              </w:rPr>
              <w:t xml:space="preserve">Category / Program: </w:t>
            </w:r>
            <w:r w:rsidRPr="00484AE9">
              <w:rPr>
                <w:szCs w:val="20"/>
              </w:rPr>
              <w:t>General Schedule</w:t>
            </w:r>
          </w:p>
        </w:tc>
      </w:tr>
      <w:tr w:rsidR="008B6130" w:rsidRPr="00484AE9" w14:paraId="7FF2A9A0" w14:textId="77777777" w:rsidTr="003E2A1F">
        <w:trPr>
          <w:trHeight w:val="20"/>
        </w:trPr>
        <w:tc>
          <w:tcPr>
            <w:tcW w:w="5000" w:type="pct"/>
          </w:tcPr>
          <w:p w14:paraId="7AE6B675" w14:textId="67D664F9" w:rsidR="00646000" w:rsidRPr="00484AE9" w:rsidRDefault="00646000" w:rsidP="00E25EE8">
            <w:pPr>
              <w:pStyle w:val="TableText0"/>
              <w:keepNext w:val="0"/>
              <w:rPr>
                <w:b/>
                <w:szCs w:val="20"/>
              </w:rPr>
            </w:pPr>
            <w:r w:rsidRPr="00484AE9">
              <w:rPr>
                <w:b/>
                <w:szCs w:val="20"/>
              </w:rPr>
              <w:t xml:space="preserve">Prescriber type: </w:t>
            </w:r>
            <w:r w:rsidRPr="00484AE9">
              <w:rPr>
                <w:szCs w:val="20"/>
              </w:rPr>
              <w:fldChar w:fldCharType="begin">
                <w:ffData>
                  <w:name w:val="Check1"/>
                  <w:enabled/>
                  <w:calcOnExit w:val="0"/>
                  <w:checkBox>
                    <w:sizeAuto/>
                    <w:default w:val="0"/>
                  </w:checkBox>
                </w:ffData>
              </w:fldChar>
            </w:r>
            <w:r w:rsidRPr="00484AE9">
              <w:rPr>
                <w:szCs w:val="20"/>
              </w:rPr>
              <w:instrText xml:space="preserve"> FORMCHECKBOX </w:instrText>
            </w:r>
            <w:r w:rsidR="00872657">
              <w:rPr>
                <w:szCs w:val="20"/>
              </w:rPr>
            </w:r>
            <w:r w:rsidR="00872657">
              <w:rPr>
                <w:szCs w:val="20"/>
              </w:rPr>
              <w:fldChar w:fldCharType="separate"/>
            </w:r>
            <w:r w:rsidRPr="00484AE9">
              <w:rPr>
                <w:szCs w:val="20"/>
              </w:rPr>
              <w:fldChar w:fldCharType="end"/>
            </w:r>
            <w:r w:rsidRPr="00484AE9">
              <w:rPr>
                <w:szCs w:val="20"/>
              </w:rPr>
              <w:t xml:space="preserve">Dental </w:t>
            </w:r>
            <w:r w:rsidRPr="00484AE9">
              <w:rPr>
                <w:szCs w:val="20"/>
              </w:rPr>
              <w:fldChar w:fldCharType="begin">
                <w:ffData>
                  <w:name w:val=""/>
                  <w:enabled/>
                  <w:calcOnExit w:val="0"/>
                  <w:checkBox>
                    <w:sizeAuto/>
                    <w:default w:val="1"/>
                  </w:checkBox>
                </w:ffData>
              </w:fldChar>
            </w:r>
            <w:r w:rsidRPr="00484AE9">
              <w:rPr>
                <w:szCs w:val="20"/>
              </w:rPr>
              <w:instrText xml:space="preserve"> FORMCHECKBOX </w:instrText>
            </w:r>
            <w:r w:rsidR="00872657">
              <w:rPr>
                <w:szCs w:val="20"/>
              </w:rPr>
            </w:r>
            <w:r w:rsidR="00872657">
              <w:rPr>
                <w:szCs w:val="20"/>
              </w:rPr>
              <w:fldChar w:fldCharType="separate"/>
            </w:r>
            <w:r w:rsidRPr="00484AE9">
              <w:rPr>
                <w:szCs w:val="20"/>
              </w:rPr>
              <w:fldChar w:fldCharType="end"/>
            </w:r>
            <w:r w:rsidRPr="00484AE9">
              <w:rPr>
                <w:szCs w:val="20"/>
              </w:rPr>
              <w:t xml:space="preserve">Medical Practitioners </w:t>
            </w:r>
            <w:r w:rsidR="003D639C" w:rsidRPr="00484AE9">
              <w:rPr>
                <w:szCs w:val="20"/>
              </w:rPr>
              <w:fldChar w:fldCharType="begin">
                <w:ffData>
                  <w:name w:val=""/>
                  <w:enabled/>
                  <w:calcOnExit w:val="0"/>
                  <w:checkBox>
                    <w:sizeAuto/>
                    <w:default w:val="1"/>
                  </w:checkBox>
                </w:ffData>
              </w:fldChar>
            </w:r>
            <w:r w:rsidR="003D639C" w:rsidRPr="00484AE9">
              <w:rPr>
                <w:szCs w:val="20"/>
              </w:rPr>
              <w:instrText xml:space="preserve"> FORMCHECKBOX </w:instrText>
            </w:r>
            <w:r w:rsidR="00872657">
              <w:rPr>
                <w:szCs w:val="20"/>
              </w:rPr>
            </w:r>
            <w:r w:rsidR="00872657">
              <w:rPr>
                <w:szCs w:val="20"/>
              </w:rPr>
              <w:fldChar w:fldCharType="separate"/>
            </w:r>
            <w:r w:rsidR="003D639C" w:rsidRPr="00484AE9">
              <w:rPr>
                <w:szCs w:val="20"/>
              </w:rPr>
              <w:fldChar w:fldCharType="end"/>
            </w:r>
            <w:r w:rsidRPr="00484AE9">
              <w:rPr>
                <w:szCs w:val="20"/>
              </w:rPr>
              <w:t xml:space="preserve">Nurse practitioners </w:t>
            </w:r>
            <w:r w:rsidRPr="00484AE9">
              <w:rPr>
                <w:szCs w:val="20"/>
              </w:rPr>
              <w:fldChar w:fldCharType="begin">
                <w:ffData>
                  <w:name w:val=""/>
                  <w:enabled/>
                  <w:calcOnExit w:val="0"/>
                  <w:checkBox>
                    <w:sizeAuto/>
                    <w:default w:val="0"/>
                  </w:checkBox>
                </w:ffData>
              </w:fldChar>
            </w:r>
            <w:r w:rsidRPr="00484AE9">
              <w:rPr>
                <w:szCs w:val="20"/>
              </w:rPr>
              <w:instrText xml:space="preserve"> FORMCHECKBOX </w:instrText>
            </w:r>
            <w:r w:rsidR="00872657">
              <w:rPr>
                <w:szCs w:val="20"/>
              </w:rPr>
            </w:r>
            <w:r w:rsidR="00872657">
              <w:rPr>
                <w:szCs w:val="20"/>
              </w:rPr>
              <w:fldChar w:fldCharType="separate"/>
            </w:r>
            <w:r w:rsidRPr="00484AE9">
              <w:rPr>
                <w:szCs w:val="20"/>
              </w:rPr>
              <w:fldChar w:fldCharType="end"/>
            </w:r>
            <w:r w:rsidRPr="00484AE9">
              <w:rPr>
                <w:szCs w:val="20"/>
              </w:rPr>
              <w:t xml:space="preserve">Optometrists </w:t>
            </w:r>
            <w:r w:rsidRPr="00484AE9">
              <w:rPr>
                <w:szCs w:val="20"/>
              </w:rPr>
              <w:fldChar w:fldCharType="begin">
                <w:ffData>
                  <w:name w:val="Check5"/>
                  <w:enabled/>
                  <w:calcOnExit w:val="0"/>
                  <w:checkBox>
                    <w:sizeAuto/>
                    <w:default w:val="0"/>
                  </w:checkBox>
                </w:ffData>
              </w:fldChar>
            </w:r>
            <w:r w:rsidRPr="00484AE9">
              <w:rPr>
                <w:szCs w:val="20"/>
              </w:rPr>
              <w:instrText xml:space="preserve"> FORMCHECKBOX </w:instrText>
            </w:r>
            <w:r w:rsidR="00872657">
              <w:rPr>
                <w:szCs w:val="20"/>
              </w:rPr>
            </w:r>
            <w:r w:rsidR="00872657">
              <w:rPr>
                <w:szCs w:val="20"/>
              </w:rPr>
              <w:fldChar w:fldCharType="separate"/>
            </w:r>
            <w:r w:rsidRPr="00484AE9">
              <w:rPr>
                <w:szCs w:val="20"/>
              </w:rPr>
              <w:fldChar w:fldCharType="end"/>
            </w:r>
          </w:p>
        </w:tc>
      </w:tr>
      <w:tr w:rsidR="008B6130" w:rsidRPr="00484AE9" w14:paraId="2737F38B" w14:textId="77777777" w:rsidTr="003E2A1F">
        <w:trPr>
          <w:trHeight w:val="20"/>
        </w:trPr>
        <w:tc>
          <w:tcPr>
            <w:tcW w:w="5000" w:type="pct"/>
          </w:tcPr>
          <w:p w14:paraId="1B625A89" w14:textId="3F79A8D1" w:rsidR="00646000" w:rsidRPr="00484AE9" w:rsidRDefault="00646000" w:rsidP="00E25EE8">
            <w:pPr>
              <w:pStyle w:val="TableText0"/>
              <w:keepNext w:val="0"/>
              <w:rPr>
                <w:rFonts w:eastAsia="Times New Roman"/>
                <w:szCs w:val="20"/>
              </w:rPr>
            </w:pPr>
            <w:r w:rsidRPr="00484AE9">
              <w:rPr>
                <w:b/>
                <w:szCs w:val="20"/>
              </w:rPr>
              <w:t>Restriction type:</w:t>
            </w:r>
            <w:r w:rsidR="00F76D9A">
              <w:rPr>
                <w:b/>
                <w:szCs w:val="20"/>
              </w:rPr>
              <w:t xml:space="preserve"> </w:t>
            </w:r>
            <w:r w:rsidRPr="00484AE9">
              <w:rPr>
                <w:rFonts w:eastAsia="Times New Roman"/>
                <w:szCs w:val="20"/>
              </w:rPr>
              <w:fldChar w:fldCharType="begin">
                <w:ffData>
                  <w:name w:val=""/>
                  <w:enabled/>
                  <w:calcOnExit w:val="0"/>
                  <w:checkBox>
                    <w:sizeAuto/>
                    <w:default w:val="1"/>
                  </w:checkBox>
                </w:ffData>
              </w:fldChar>
            </w:r>
            <w:r w:rsidRPr="00484AE9">
              <w:rPr>
                <w:rFonts w:eastAsia="Times New Roman"/>
                <w:szCs w:val="20"/>
              </w:rPr>
              <w:instrText xml:space="preserve"> FORMCHECKBOX </w:instrText>
            </w:r>
            <w:r w:rsidR="00872657">
              <w:rPr>
                <w:rFonts w:eastAsia="Times New Roman"/>
                <w:szCs w:val="20"/>
              </w:rPr>
            </w:r>
            <w:r w:rsidR="00872657">
              <w:rPr>
                <w:rFonts w:eastAsia="Times New Roman"/>
                <w:szCs w:val="20"/>
              </w:rPr>
              <w:fldChar w:fldCharType="separate"/>
            </w:r>
            <w:r w:rsidRPr="00484AE9">
              <w:rPr>
                <w:rFonts w:eastAsia="Times New Roman"/>
                <w:szCs w:val="20"/>
              </w:rPr>
              <w:fldChar w:fldCharType="end"/>
            </w:r>
            <w:r w:rsidRPr="00484AE9">
              <w:rPr>
                <w:rFonts w:eastAsia="Times New Roman"/>
                <w:szCs w:val="20"/>
              </w:rPr>
              <w:t xml:space="preserve">Authority Required (STREAMLINED) </w:t>
            </w:r>
          </w:p>
        </w:tc>
      </w:tr>
      <w:tr w:rsidR="008B6130" w:rsidRPr="00484AE9" w14:paraId="57011527" w14:textId="77777777" w:rsidTr="003E2A1F">
        <w:trPr>
          <w:trHeight w:val="20"/>
        </w:trPr>
        <w:tc>
          <w:tcPr>
            <w:tcW w:w="5000" w:type="pct"/>
            <w:vAlign w:val="center"/>
            <w:hideMark/>
          </w:tcPr>
          <w:p w14:paraId="2886D0B2" w14:textId="77777777" w:rsidR="00646000" w:rsidRPr="00484AE9" w:rsidRDefault="00646000" w:rsidP="00E25EE8">
            <w:pPr>
              <w:pStyle w:val="TableText0"/>
              <w:keepNext w:val="0"/>
              <w:rPr>
                <w:szCs w:val="20"/>
              </w:rPr>
            </w:pPr>
            <w:r w:rsidRPr="00484AE9">
              <w:rPr>
                <w:b/>
                <w:szCs w:val="20"/>
              </w:rPr>
              <w:t>Indication:</w:t>
            </w:r>
            <w:r w:rsidRPr="00484AE9">
              <w:rPr>
                <w:szCs w:val="20"/>
              </w:rPr>
              <w:t xml:space="preserve"> </w:t>
            </w:r>
            <w:r w:rsidRPr="00484AE9">
              <w:rPr>
                <w:bCs w:val="0"/>
                <w:szCs w:val="20"/>
              </w:rPr>
              <w:t>SARS-CoV-2 infection</w:t>
            </w:r>
          </w:p>
        </w:tc>
      </w:tr>
      <w:tr w:rsidR="008B6130" w:rsidRPr="00484AE9" w14:paraId="01980322" w14:textId="77777777" w:rsidTr="003E2A1F">
        <w:trPr>
          <w:trHeight w:val="20"/>
        </w:trPr>
        <w:tc>
          <w:tcPr>
            <w:tcW w:w="5000" w:type="pct"/>
            <w:vAlign w:val="center"/>
            <w:hideMark/>
          </w:tcPr>
          <w:p w14:paraId="5F9566DD" w14:textId="77777777" w:rsidR="00646000" w:rsidRPr="00484AE9" w:rsidRDefault="00646000" w:rsidP="00E25EE8">
            <w:pPr>
              <w:pStyle w:val="TableText0"/>
              <w:keepNext w:val="0"/>
              <w:rPr>
                <w:szCs w:val="20"/>
              </w:rPr>
            </w:pPr>
            <w:r w:rsidRPr="00484AE9">
              <w:rPr>
                <w:b/>
                <w:szCs w:val="20"/>
              </w:rPr>
              <w:t>Clinical criteria:</w:t>
            </w:r>
          </w:p>
        </w:tc>
      </w:tr>
      <w:tr w:rsidR="008B6130" w:rsidRPr="00484AE9" w14:paraId="49967060" w14:textId="77777777" w:rsidTr="003E2A1F">
        <w:trPr>
          <w:trHeight w:val="20"/>
        </w:trPr>
        <w:tc>
          <w:tcPr>
            <w:tcW w:w="5000" w:type="pct"/>
            <w:vAlign w:val="center"/>
            <w:hideMark/>
          </w:tcPr>
          <w:p w14:paraId="2131FE9D" w14:textId="77777777" w:rsidR="00A819A0" w:rsidRDefault="00646000" w:rsidP="00E25EE8">
            <w:pPr>
              <w:pStyle w:val="TableText0"/>
              <w:keepNext w:val="0"/>
              <w:rPr>
                <w:rFonts w:cs="Arial"/>
                <w:szCs w:val="20"/>
              </w:rPr>
            </w:pPr>
            <w:r w:rsidRPr="00484AE9">
              <w:rPr>
                <w:rFonts w:cs="Arial"/>
                <w:szCs w:val="20"/>
              </w:rPr>
              <w:t xml:space="preserve">Patient must have received a positive polymerase chain reaction (PCR) test result; </w:t>
            </w:r>
            <w:r w:rsidR="002E307A" w:rsidRPr="00484AE9">
              <w:rPr>
                <w:rFonts w:cs="Arial"/>
                <w:szCs w:val="20"/>
              </w:rPr>
              <w:t>OR</w:t>
            </w:r>
            <w:r w:rsidR="00696519" w:rsidRPr="00696519">
              <w:rPr>
                <w:rFonts w:cs="Arial"/>
                <w:szCs w:val="20"/>
              </w:rPr>
              <w:t xml:space="preserve">                         </w:t>
            </w:r>
            <w:r w:rsidRPr="00484AE9">
              <w:rPr>
                <w:rFonts w:cs="Arial"/>
                <w:szCs w:val="20"/>
              </w:rPr>
              <w:t xml:space="preserve"> </w:t>
            </w:r>
          </w:p>
          <w:p w14:paraId="3FBCD078" w14:textId="70CDC601" w:rsidR="00646000" w:rsidRPr="00484AE9" w:rsidRDefault="00646000" w:rsidP="00E25EE8">
            <w:pPr>
              <w:pStyle w:val="TableText0"/>
              <w:keepNext w:val="0"/>
              <w:rPr>
                <w:szCs w:val="20"/>
              </w:rPr>
            </w:pPr>
            <w:r w:rsidRPr="00484AE9">
              <w:rPr>
                <w:rFonts w:cs="Arial"/>
                <w:szCs w:val="20"/>
              </w:rPr>
              <w:t>Patient must have received a positive rapid antigen test (RAT) result</w:t>
            </w:r>
          </w:p>
        </w:tc>
      </w:tr>
      <w:tr w:rsidR="008B6130" w:rsidRPr="00484AE9" w14:paraId="647E5446" w14:textId="77777777" w:rsidTr="003E2A1F">
        <w:trPr>
          <w:trHeight w:val="20"/>
        </w:trPr>
        <w:tc>
          <w:tcPr>
            <w:tcW w:w="5000" w:type="pct"/>
            <w:vAlign w:val="center"/>
            <w:hideMark/>
          </w:tcPr>
          <w:p w14:paraId="2B61DD95" w14:textId="77777777" w:rsidR="00646000" w:rsidRPr="00484AE9" w:rsidRDefault="00646000" w:rsidP="00E25EE8">
            <w:pPr>
              <w:pStyle w:val="TableText0"/>
              <w:keepNext w:val="0"/>
              <w:rPr>
                <w:szCs w:val="20"/>
              </w:rPr>
            </w:pPr>
            <w:r w:rsidRPr="00484AE9">
              <w:rPr>
                <w:b/>
                <w:szCs w:val="20"/>
              </w:rPr>
              <w:t>AND</w:t>
            </w:r>
          </w:p>
        </w:tc>
      </w:tr>
      <w:tr w:rsidR="008B6130" w:rsidRPr="00484AE9" w14:paraId="44A38A37" w14:textId="77777777" w:rsidTr="003E2A1F">
        <w:trPr>
          <w:trHeight w:val="20"/>
        </w:trPr>
        <w:tc>
          <w:tcPr>
            <w:tcW w:w="5000" w:type="pct"/>
            <w:vAlign w:val="center"/>
            <w:hideMark/>
          </w:tcPr>
          <w:p w14:paraId="5D73F5A4" w14:textId="77777777" w:rsidR="00646000" w:rsidRPr="00484AE9" w:rsidRDefault="00646000" w:rsidP="00E25EE8">
            <w:pPr>
              <w:pStyle w:val="TableText0"/>
              <w:keepNext w:val="0"/>
              <w:rPr>
                <w:szCs w:val="20"/>
              </w:rPr>
            </w:pPr>
            <w:r w:rsidRPr="00484AE9">
              <w:rPr>
                <w:rFonts w:cs="Arial"/>
                <w:szCs w:val="20"/>
              </w:rPr>
              <w:t>Patient must have at least one sign or symptom attributable to COVID-19</w:t>
            </w:r>
          </w:p>
        </w:tc>
      </w:tr>
      <w:tr w:rsidR="008B6130" w:rsidRPr="00484AE9" w14:paraId="2B8BB353" w14:textId="77777777" w:rsidTr="003E2A1F">
        <w:trPr>
          <w:trHeight w:val="20"/>
        </w:trPr>
        <w:tc>
          <w:tcPr>
            <w:tcW w:w="5000" w:type="pct"/>
            <w:vAlign w:val="center"/>
          </w:tcPr>
          <w:p w14:paraId="50FA4090" w14:textId="77777777" w:rsidR="00646000" w:rsidRPr="00484AE9" w:rsidRDefault="00646000" w:rsidP="00E25EE8">
            <w:pPr>
              <w:pStyle w:val="TableText0"/>
              <w:keepNext w:val="0"/>
              <w:rPr>
                <w:rFonts w:cs="Arial"/>
                <w:szCs w:val="20"/>
              </w:rPr>
            </w:pPr>
            <w:r w:rsidRPr="00484AE9">
              <w:rPr>
                <w:b/>
                <w:szCs w:val="20"/>
              </w:rPr>
              <w:t>AND</w:t>
            </w:r>
          </w:p>
        </w:tc>
      </w:tr>
      <w:tr w:rsidR="008B6130" w:rsidRPr="00484AE9" w14:paraId="11269EF4" w14:textId="77777777" w:rsidTr="003E2A1F">
        <w:trPr>
          <w:trHeight w:val="20"/>
        </w:trPr>
        <w:tc>
          <w:tcPr>
            <w:tcW w:w="5000" w:type="pct"/>
            <w:vAlign w:val="center"/>
          </w:tcPr>
          <w:p w14:paraId="296B36EB" w14:textId="77777777" w:rsidR="00646000" w:rsidRPr="00484AE9" w:rsidRDefault="00646000" w:rsidP="00E25EE8">
            <w:pPr>
              <w:pStyle w:val="TableText0"/>
              <w:keepNext w:val="0"/>
              <w:rPr>
                <w:rFonts w:cs="Arial"/>
                <w:szCs w:val="20"/>
              </w:rPr>
            </w:pPr>
            <w:r w:rsidRPr="00484AE9">
              <w:rPr>
                <w:rFonts w:cs="Arial"/>
                <w:szCs w:val="20"/>
              </w:rPr>
              <w:t>Patient must not require hospitalisation for COVID-19 infection at the time of prescribing</w:t>
            </w:r>
          </w:p>
        </w:tc>
      </w:tr>
      <w:tr w:rsidR="008B6130" w:rsidRPr="00484AE9" w14:paraId="55E993F1" w14:textId="77777777" w:rsidTr="003E2A1F">
        <w:trPr>
          <w:trHeight w:val="20"/>
        </w:trPr>
        <w:tc>
          <w:tcPr>
            <w:tcW w:w="5000" w:type="pct"/>
            <w:vAlign w:val="center"/>
          </w:tcPr>
          <w:p w14:paraId="6B9889C1" w14:textId="63E16CC8" w:rsidR="003B2729" w:rsidRPr="00484AE9" w:rsidRDefault="00C926B8" w:rsidP="00E25EE8">
            <w:pPr>
              <w:pStyle w:val="TableText0"/>
              <w:keepNext w:val="0"/>
              <w:rPr>
                <w:rFonts w:cs="Arial"/>
                <w:b/>
                <w:bCs w:val="0"/>
                <w:szCs w:val="20"/>
              </w:rPr>
            </w:pPr>
            <w:r w:rsidRPr="00484AE9">
              <w:rPr>
                <w:rFonts w:cs="Arial"/>
                <w:b/>
                <w:bCs w:val="0"/>
                <w:szCs w:val="20"/>
              </w:rPr>
              <w:t>AND</w:t>
            </w:r>
          </w:p>
        </w:tc>
      </w:tr>
      <w:tr w:rsidR="008B6130" w:rsidRPr="00484AE9" w14:paraId="545A2609" w14:textId="77777777" w:rsidTr="003E2A1F">
        <w:trPr>
          <w:trHeight w:val="20"/>
        </w:trPr>
        <w:tc>
          <w:tcPr>
            <w:tcW w:w="5000" w:type="pct"/>
            <w:vAlign w:val="center"/>
          </w:tcPr>
          <w:p w14:paraId="1F27C916" w14:textId="6A29A692" w:rsidR="00C926B8" w:rsidRPr="00484AE9" w:rsidRDefault="00C926B8" w:rsidP="00E25EE8">
            <w:pPr>
              <w:pStyle w:val="TableText0"/>
              <w:keepNext w:val="0"/>
              <w:rPr>
                <w:rFonts w:cs="Arial"/>
                <w:szCs w:val="20"/>
              </w:rPr>
            </w:pPr>
            <w:r w:rsidRPr="00484AE9">
              <w:rPr>
                <w:rFonts w:cs="Arial"/>
                <w:szCs w:val="20"/>
              </w:rPr>
              <w:t>Patient must satisfy at least one of the following criteria: (i) be moderately to severely immunocompromised with risk of progression to severe COVID-19 disease due to the immunocompromised status, (ii) has experienced past COVID-19 infection resulting in hospitalisation,</w:t>
            </w:r>
          </w:p>
        </w:tc>
      </w:tr>
      <w:tr w:rsidR="008B6130" w:rsidRPr="00484AE9" w14:paraId="2A293A00" w14:textId="77777777" w:rsidTr="003E2A1F">
        <w:trPr>
          <w:trHeight w:val="20"/>
        </w:trPr>
        <w:tc>
          <w:tcPr>
            <w:tcW w:w="5000" w:type="pct"/>
            <w:vAlign w:val="center"/>
          </w:tcPr>
          <w:p w14:paraId="11ACB85B" w14:textId="77777777" w:rsidR="00646000" w:rsidRPr="00484AE9" w:rsidRDefault="00646000" w:rsidP="00E25EE8">
            <w:pPr>
              <w:pStyle w:val="TableText0"/>
              <w:keepNext w:val="0"/>
              <w:rPr>
                <w:rFonts w:cs="Arial"/>
                <w:szCs w:val="20"/>
              </w:rPr>
            </w:pPr>
            <w:r w:rsidRPr="00484AE9">
              <w:rPr>
                <w:b/>
                <w:szCs w:val="20"/>
              </w:rPr>
              <w:t>AND</w:t>
            </w:r>
          </w:p>
        </w:tc>
      </w:tr>
      <w:tr w:rsidR="008B6130" w:rsidRPr="00484AE9" w14:paraId="24D184B7" w14:textId="77777777" w:rsidTr="003E2A1F">
        <w:trPr>
          <w:trHeight w:val="20"/>
        </w:trPr>
        <w:tc>
          <w:tcPr>
            <w:tcW w:w="5000" w:type="pct"/>
            <w:vAlign w:val="center"/>
          </w:tcPr>
          <w:p w14:paraId="0AA2DBA8" w14:textId="77777777" w:rsidR="00646000" w:rsidRPr="00484AE9" w:rsidRDefault="00646000" w:rsidP="00E25EE8">
            <w:pPr>
              <w:pStyle w:val="TableText0"/>
              <w:keepNext w:val="0"/>
              <w:rPr>
                <w:rFonts w:cs="Arial"/>
                <w:szCs w:val="20"/>
              </w:rPr>
            </w:pPr>
            <w:r w:rsidRPr="00484AE9">
              <w:rPr>
                <w:rFonts w:cs="Arial"/>
                <w:szCs w:val="20"/>
              </w:rPr>
              <w:t>The treatment must be initiated within 5 days of symptom onset</w:t>
            </w:r>
          </w:p>
        </w:tc>
      </w:tr>
      <w:tr w:rsidR="008B6130" w:rsidRPr="00484AE9" w14:paraId="0712C3DF" w14:textId="77777777" w:rsidTr="003E2A1F">
        <w:trPr>
          <w:trHeight w:val="20"/>
        </w:trPr>
        <w:tc>
          <w:tcPr>
            <w:tcW w:w="5000" w:type="pct"/>
            <w:vAlign w:val="center"/>
          </w:tcPr>
          <w:p w14:paraId="168BAA59" w14:textId="77777777" w:rsidR="00646000" w:rsidRPr="00484AE9" w:rsidRDefault="00646000" w:rsidP="00E25EE8">
            <w:pPr>
              <w:autoSpaceDE w:val="0"/>
              <w:autoSpaceDN w:val="0"/>
              <w:adjustRightInd w:val="0"/>
              <w:rPr>
                <w:rFonts w:ascii="Arial Narrow" w:hAnsi="Arial Narrow"/>
                <w:b/>
                <w:bCs/>
                <w:sz w:val="20"/>
                <w:szCs w:val="20"/>
              </w:rPr>
            </w:pPr>
            <w:r w:rsidRPr="00484AE9">
              <w:rPr>
                <w:rFonts w:ascii="Arial Narrow" w:hAnsi="Arial Narrow"/>
                <w:b/>
                <w:bCs/>
                <w:sz w:val="20"/>
                <w:szCs w:val="20"/>
              </w:rPr>
              <w:t>AND</w:t>
            </w:r>
          </w:p>
        </w:tc>
      </w:tr>
      <w:tr w:rsidR="008B6130" w:rsidRPr="00484AE9" w14:paraId="7AC8B939" w14:textId="77777777" w:rsidTr="003E2A1F">
        <w:trPr>
          <w:trHeight w:val="20"/>
        </w:trPr>
        <w:tc>
          <w:tcPr>
            <w:tcW w:w="5000" w:type="pct"/>
            <w:vAlign w:val="center"/>
            <w:hideMark/>
          </w:tcPr>
          <w:p w14:paraId="35578CFE" w14:textId="2334C3B5" w:rsidR="00646000" w:rsidRPr="00484AE9" w:rsidRDefault="00360DA3" w:rsidP="00E25EE8">
            <w:pPr>
              <w:autoSpaceDE w:val="0"/>
              <w:autoSpaceDN w:val="0"/>
              <w:adjustRightInd w:val="0"/>
              <w:rPr>
                <w:rFonts w:ascii="Arial Narrow" w:hAnsi="Arial Narrow"/>
                <w:sz w:val="20"/>
                <w:szCs w:val="20"/>
              </w:rPr>
            </w:pPr>
            <w:r w:rsidRPr="00484AE9">
              <w:rPr>
                <w:rFonts w:ascii="Arial Narrow" w:hAnsi="Arial Narrow"/>
                <w:sz w:val="20"/>
                <w:szCs w:val="20"/>
              </w:rPr>
              <w:t>Patient must be at least 18 years of age.</w:t>
            </w:r>
          </w:p>
        </w:tc>
      </w:tr>
      <w:tr w:rsidR="008B6130" w:rsidRPr="00484AE9" w14:paraId="70087C8B" w14:textId="77777777" w:rsidTr="003E2A1F">
        <w:trPr>
          <w:trHeight w:val="20"/>
        </w:trPr>
        <w:tc>
          <w:tcPr>
            <w:tcW w:w="5000" w:type="pct"/>
            <w:vAlign w:val="center"/>
            <w:hideMark/>
          </w:tcPr>
          <w:p w14:paraId="0176AE75" w14:textId="77777777" w:rsidR="00646000" w:rsidRPr="00484AE9" w:rsidRDefault="00646000" w:rsidP="00E25EE8">
            <w:pPr>
              <w:pStyle w:val="TableText0"/>
              <w:keepNext w:val="0"/>
              <w:rPr>
                <w:szCs w:val="20"/>
              </w:rPr>
            </w:pPr>
            <w:r w:rsidRPr="00484AE9">
              <w:rPr>
                <w:szCs w:val="20"/>
              </w:rPr>
              <w:t xml:space="preserve">Prescribing Instructions: </w:t>
            </w:r>
          </w:p>
          <w:p w14:paraId="696481AC" w14:textId="77777777" w:rsidR="0040598B" w:rsidRPr="00484AE9" w:rsidRDefault="0040598B" w:rsidP="00E25EE8">
            <w:pPr>
              <w:pStyle w:val="TableText0"/>
              <w:keepNext w:val="0"/>
              <w:rPr>
                <w:szCs w:val="20"/>
              </w:rPr>
            </w:pPr>
            <w:r w:rsidRPr="00484AE9">
              <w:rPr>
                <w:szCs w:val="20"/>
              </w:rPr>
              <w:t>For the purpose of administering this restriction, 'moderately to severely immunocompromised' patients are those with:</w:t>
            </w:r>
          </w:p>
          <w:p w14:paraId="68F5E911" w14:textId="32F30720" w:rsidR="0040598B" w:rsidRPr="00484AE9" w:rsidRDefault="0040598B" w:rsidP="00E25EE8">
            <w:pPr>
              <w:pStyle w:val="TableText0"/>
              <w:keepNext w:val="0"/>
              <w:ind w:left="224" w:hanging="224"/>
              <w:rPr>
                <w:szCs w:val="20"/>
              </w:rPr>
            </w:pPr>
            <w:r w:rsidRPr="00484AE9">
              <w:rPr>
                <w:szCs w:val="20"/>
              </w:rPr>
              <w:t>1.</w:t>
            </w:r>
            <w:r w:rsidR="00834036" w:rsidRPr="00484AE9">
              <w:rPr>
                <w:szCs w:val="20"/>
              </w:rPr>
              <w:tab/>
            </w:r>
            <w:r w:rsidRPr="00484AE9">
              <w:rPr>
                <w:szCs w:val="20"/>
              </w:rPr>
              <w:t>Any primary or acquired immunodeficiency including:</w:t>
            </w:r>
          </w:p>
          <w:p w14:paraId="1ABC4D96" w14:textId="751FA9BC" w:rsidR="00DF4265" w:rsidRPr="00484AE9" w:rsidRDefault="0040598B" w:rsidP="00E25EE8">
            <w:pPr>
              <w:pStyle w:val="TableText0"/>
              <w:keepNext w:val="0"/>
              <w:ind w:left="507" w:hanging="283"/>
              <w:rPr>
                <w:szCs w:val="20"/>
              </w:rPr>
            </w:pPr>
            <w:r w:rsidRPr="00484AE9">
              <w:rPr>
                <w:szCs w:val="20"/>
              </w:rPr>
              <w:t xml:space="preserve">a. </w:t>
            </w:r>
            <w:r w:rsidR="00834036" w:rsidRPr="00484AE9">
              <w:rPr>
                <w:szCs w:val="20"/>
              </w:rPr>
              <w:tab/>
            </w:r>
            <w:r w:rsidRPr="00484AE9">
              <w:rPr>
                <w:szCs w:val="20"/>
              </w:rPr>
              <w:t>Haematologic neoplasms: leukaemias, lymphomas, myelodysplastic syndromes, multiple myeloma and other plasma cell disorders,</w:t>
            </w:r>
          </w:p>
          <w:p w14:paraId="3228256D" w14:textId="5ABF8B81" w:rsidR="0040598B" w:rsidRPr="00484AE9" w:rsidRDefault="0040598B" w:rsidP="00E25EE8">
            <w:pPr>
              <w:pStyle w:val="TableText0"/>
              <w:keepNext w:val="0"/>
              <w:ind w:left="507" w:hanging="283"/>
              <w:rPr>
                <w:szCs w:val="20"/>
              </w:rPr>
            </w:pPr>
            <w:r w:rsidRPr="00484AE9">
              <w:rPr>
                <w:szCs w:val="20"/>
              </w:rPr>
              <w:t xml:space="preserve">b. </w:t>
            </w:r>
            <w:r w:rsidR="00834036" w:rsidRPr="00484AE9">
              <w:rPr>
                <w:szCs w:val="20"/>
              </w:rPr>
              <w:tab/>
            </w:r>
            <w:r w:rsidRPr="00484AE9">
              <w:rPr>
                <w:szCs w:val="20"/>
              </w:rPr>
              <w:t>Post-transplant: solid organ (on immunosuppressive therapy), haematopoietic stem cell transplant (within 24 months),</w:t>
            </w:r>
          </w:p>
          <w:p w14:paraId="691D5F24" w14:textId="0157B799" w:rsidR="0040598B" w:rsidRPr="00484AE9" w:rsidRDefault="0040598B" w:rsidP="00E25EE8">
            <w:pPr>
              <w:pStyle w:val="TableText0"/>
              <w:keepNext w:val="0"/>
              <w:ind w:left="507" w:hanging="283"/>
              <w:rPr>
                <w:szCs w:val="20"/>
              </w:rPr>
            </w:pPr>
            <w:r w:rsidRPr="00484AE9">
              <w:rPr>
                <w:szCs w:val="20"/>
              </w:rPr>
              <w:t xml:space="preserve">c. </w:t>
            </w:r>
            <w:r w:rsidR="00834036" w:rsidRPr="00484AE9">
              <w:rPr>
                <w:szCs w:val="20"/>
              </w:rPr>
              <w:tab/>
            </w:r>
            <w:r w:rsidRPr="00484AE9">
              <w:rPr>
                <w:szCs w:val="20"/>
              </w:rPr>
              <w:t>Immunocompromised due to primary or acquired (HIV/AIDS) immunodeficiency; OR</w:t>
            </w:r>
          </w:p>
          <w:p w14:paraId="43C04649" w14:textId="540627AA" w:rsidR="0040598B" w:rsidRPr="00484AE9" w:rsidRDefault="0040598B" w:rsidP="00E25EE8">
            <w:pPr>
              <w:pStyle w:val="TableText0"/>
              <w:keepNext w:val="0"/>
              <w:ind w:left="224" w:hanging="224"/>
              <w:rPr>
                <w:szCs w:val="20"/>
              </w:rPr>
            </w:pPr>
            <w:r w:rsidRPr="00484AE9">
              <w:rPr>
                <w:szCs w:val="20"/>
              </w:rPr>
              <w:t>2.</w:t>
            </w:r>
            <w:r w:rsidR="00834036" w:rsidRPr="00484AE9">
              <w:rPr>
                <w:szCs w:val="20"/>
              </w:rPr>
              <w:tab/>
            </w:r>
            <w:r w:rsidRPr="00484AE9">
              <w:rPr>
                <w:szCs w:val="20"/>
              </w:rPr>
              <w:t>Any significantly immunocompromising condition(s) where, in the last 3 months the patient has received:</w:t>
            </w:r>
          </w:p>
          <w:p w14:paraId="5A8B1127" w14:textId="23504E55" w:rsidR="0040598B" w:rsidRPr="00484AE9" w:rsidRDefault="0040598B" w:rsidP="00E25EE8">
            <w:pPr>
              <w:pStyle w:val="TableText0"/>
              <w:keepNext w:val="0"/>
              <w:ind w:left="507" w:hanging="283"/>
              <w:rPr>
                <w:szCs w:val="20"/>
              </w:rPr>
            </w:pPr>
            <w:r w:rsidRPr="00484AE9">
              <w:rPr>
                <w:szCs w:val="20"/>
              </w:rPr>
              <w:t>a.</w:t>
            </w:r>
            <w:r w:rsidR="00FD538A" w:rsidRPr="00484AE9">
              <w:rPr>
                <w:szCs w:val="20"/>
              </w:rPr>
              <w:tab/>
            </w:r>
            <w:r w:rsidRPr="00484AE9">
              <w:rPr>
                <w:szCs w:val="20"/>
              </w:rPr>
              <w:t>Chemotherapy or whole body radiotherapy,</w:t>
            </w:r>
          </w:p>
          <w:p w14:paraId="2B2BE871" w14:textId="726FC223" w:rsidR="0040598B" w:rsidRPr="00484AE9" w:rsidRDefault="0040598B" w:rsidP="00E25EE8">
            <w:pPr>
              <w:pStyle w:val="TableText0"/>
              <w:keepNext w:val="0"/>
              <w:ind w:left="507" w:hanging="283"/>
              <w:rPr>
                <w:szCs w:val="20"/>
              </w:rPr>
            </w:pPr>
            <w:r w:rsidRPr="00484AE9">
              <w:rPr>
                <w:szCs w:val="20"/>
              </w:rPr>
              <w:t>b.</w:t>
            </w:r>
            <w:r w:rsidR="00FD538A" w:rsidRPr="00484AE9">
              <w:rPr>
                <w:szCs w:val="20"/>
              </w:rPr>
              <w:tab/>
            </w:r>
            <w:r w:rsidRPr="00484AE9">
              <w:rPr>
                <w:szCs w:val="20"/>
              </w:rPr>
              <w:t>High-dose corticosteroids (at least 20 mg of prednisone per day, or equivalent) for at least 14 days in a month, or pulse corticosteroid therapy,</w:t>
            </w:r>
          </w:p>
          <w:p w14:paraId="442A9DC6" w14:textId="066DB191" w:rsidR="0040598B" w:rsidRPr="00484AE9" w:rsidRDefault="0040598B" w:rsidP="00E25EE8">
            <w:pPr>
              <w:pStyle w:val="TableText0"/>
              <w:keepNext w:val="0"/>
              <w:ind w:left="507" w:hanging="283"/>
              <w:rPr>
                <w:szCs w:val="20"/>
              </w:rPr>
            </w:pPr>
            <w:r w:rsidRPr="00484AE9">
              <w:rPr>
                <w:szCs w:val="20"/>
              </w:rPr>
              <w:t>c.</w:t>
            </w:r>
            <w:r w:rsidR="00FD538A" w:rsidRPr="00484AE9">
              <w:rPr>
                <w:szCs w:val="20"/>
              </w:rPr>
              <w:tab/>
            </w:r>
            <w:r w:rsidRPr="00484AE9">
              <w:rPr>
                <w:szCs w:val="20"/>
              </w:rPr>
              <w:t>Biological agents and other treatments that deplete or inhibit B cell or T cell function (abatacept, anti-CD20 antibodies, BTK inhibitors, JAK inhibitors, sphingosine 1-phosphate receptor modulators, anti-CD52 antibodies, anti-complement antibodies, anti-thymocyte globulin),</w:t>
            </w:r>
          </w:p>
          <w:p w14:paraId="673D52CC" w14:textId="30218F45" w:rsidR="0040598B" w:rsidRPr="00484AE9" w:rsidRDefault="0040598B" w:rsidP="00E25EE8">
            <w:pPr>
              <w:pStyle w:val="TableText0"/>
              <w:keepNext w:val="0"/>
              <w:ind w:left="507" w:hanging="283"/>
              <w:rPr>
                <w:szCs w:val="20"/>
              </w:rPr>
            </w:pPr>
            <w:r w:rsidRPr="00484AE9">
              <w:rPr>
                <w:szCs w:val="20"/>
              </w:rPr>
              <w:lastRenderedPageBreak/>
              <w:t>d.</w:t>
            </w:r>
            <w:r w:rsidR="00FD538A" w:rsidRPr="00484AE9">
              <w:rPr>
                <w:szCs w:val="20"/>
              </w:rPr>
              <w:tab/>
            </w:r>
            <w:r w:rsidRPr="00484AE9">
              <w:rPr>
                <w:szCs w:val="20"/>
              </w:rPr>
              <w:t>Selected conventional synthetic disease-modifying anti-rheumatic drugs (csDMARDs) including mycophenolate, methotrexate, leflunomide, azathioprine, 6-mercaptopurine (at least 1.5mg/kg/day), alkylating agents (e.g. cyclophosphamide, chlorambucil), and systemic calcineurin inhibitors (e.g. cyclosporin, tacrolimus); OR</w:t>
            </w:r>
          </w:p>
          <w:p w14:paraId="720674BA" w14:textId="397358D7" w:rsidR="0040598B" w:rsidRPr="00484AE9" w:rsidRDefault="0040598B" w:rsidP="00E25EE8">
            <w:pPr>
              <w:pStyle w:val="TableText0"/>
              <w:keepNext w:val="0"/>
              <w:ind w:left="224" w:hanging="224"/>
              <w:rPr>
                <w:szCs w:val="20"/>
              </w:rPr>
            </w:pPr>
            <w:r w:rsidRPr="00484AE9">
              <w:rPr>
                <w:szCs w:val="20"/>
              </w:rPr>
              <w:t>3.</w:t>
            </w:r>
            <w:r w:rsidR="00794924" w:rsidRPr="00484AE9">
              <w:rPr>
                <w:szCs w:val="20"/>
              </w:rPr>
              <w:tab/>
            </w:r>
            <w:r w:rsidRPr="00484AE9">
              <w:rPr>
                <w:szCs w:val="20"/>
              </w:rPr>
              <w:t>Any significantly immunocompromising condition(s) where, in the last 12 months the patient has received an anti-CD20 monoclonal antibody treatment, but criterion 2c above is not met; OR</w:t>
            </w:r>
          </w:p>
          <w:p w14:paraId="5E689068" w14:textId="13E0FA25" w:rsidR="0040598B" w:rsidRPr="00484AE9" w:rsidRDefault="0040598B" w:rsidP="00E25EE8">
            <w:pPr>
              <w:pStyle w:val="TableText0"/>
              <w:keepNext w:val="0"/>
              <w:ind w:left="224" w:hanging="224"/>
              <w:rPr>
                <w:szCs w:val="20"/>
              </w:rPr>
            </w:pPr>
            <w:r w:rsidRPr="00484AE9">
              <w:rPr>
                <w:szCs w:val="20"/>
              </w:rPr>
              <w:t>4.</w:t>
            </w:r>
            <w:r w:rsidR="00794924" w:rsidRPr="00484AE9">
              <w:rPr>
                <w:szCs w:val="20"/>
              </w:rPr>
              <w:tab/>
            </w:r>
            <w:r w:rsidRPr="00484AE9">
              <w:rPr>
                <w:szCs w:val="20"/>
              </w:rPr>
              <w:t>Others with very high-risk conditions including Down Syndrome, cerebral palsy, congenital heart disease, thalassemia, sickle cell disease and other haemoglobinopathies; OR</w:t>
            </w:r>
          </w:p>
          <w:p w14:paraId="1DD15C46" w14:textId="61600BDA" w:rsidR="00646000" w:rsidRPr="00484AE9" w:rsidRDefault="0040598B" w:rsidP="00E25EE8">
            <w:pPr>
              <w:pStyle w:val="TableText0"/>
              <w:keepNext w:val="0"/>
              <w:ind w:left="224" w:hanging="224"/>
              <w:rPr>
                <w:szCs w:val="20"/>
              </w:rPr>
            </w:pPr>
            <w:r w:rsidRPr="00484AE9">
              <w:rPr>
                <w:szCs w:val="20"/>
              </w:rPr>
              <w:t>5.</w:t>
            </w:r>
            <w:r w:rsidR="00794924" w:rsidRPr="00484AE9">
              <w:rPr>
                <w:szCs w:val="20"/>
              </w:rPr>
              <w:tab/>
            </w:r>
            <w:r w:rsidRPr="00484AE9">
              <w:rPr>
                <w:szCs w:val="20"/>
              </w:rPr>
              <w:t>People with disability with multiple comorbidities and/or frailty.</w:t>
            </w:r>
          </w:p>
          <w:p w14:paraId="03CDB124" w14:textId="77777777" w:rsidR="00646000" w:rsidRPr="00484AE9" w:rsidRDefault="00646000" w:rsidP="00E25EE8">
            <w:pPr>
              <w:pStyle w:val="TableText0"/>
              <w:keepNext w:val="0"/>
              <w:rPr>
                <w:szCs w:val="20"/>
              </w:rPr>
            </w:pPr>
            <w:r w:rsidRPr="00484AE9">
              <w:rPr>
                <w:szCs w:val="20"/>
              </w:rPr>
              <w:t>Details of the patient's medical condition necessitating use of this drug must be recorded in the patient's medical records.</w:t>
            </w:r>
          </w:p>
          <w:p w14:paraId="05115F0A" w14:textId="77777777" w:rsidR="00646000" w:rsidRPr="00484AE9" w:rsidRDefault="00646000" w:rsidP="00E25EE8">
            <w:pPr>
              <w:pStyle w:val="TableText0"/>
              <w:keepNext w:val="0"/>
              <w:rPr>
                <w:szCs w:val="20"/>
              </w:rPr>
            </w:pPr>
          </w:p>
          <w:p w14:paraId="0677B583" w14:textId="77777777" w:rsidR="00646000" w:rsidRPr="00484AE9" w:rsidRDefault="00646000" w:rsidP="00E25EE8">
            <w:pPr>
              <w:pStyle w:val="TableText0"/>
              <w:keepNext w:val="0"/>
              <w:rPr>
                <w:szCs w:val="20"/>
              </w:rPr>
            </w:pPr>
            <w:r w:rsidRPr="00484AE9">
              <w:rPr>
                <w:szCs w:val="20"/>
              </w:rPr>
              <w:t>For the purpose of administering this restriction, signs or symptoms attributable to COVID-19 are: fever greater than 38 degrees Celsius, chills, cough, sore throat, shortness of breath or difficulty breathing with exertion, fatigue, nasal congestion, runny nose, headache, muscle or body aches, nausea, vomiting, diarrhea, loss of taste, loss of smell.</w:t>
            </w:r>
          </w:p>
          <w:p w14:paraId="397B22E1" w14:textId="77777777" w:rsidR="00646000" w:rsidRPr="00484AE9" w:rsidRDefault="00646000" w:rsidP="00E25EE8">
            <w:pPr>
              <w:pStyle w:val="TableText0"/>
              <w:keepNext w:val="0"/>
              <w:rPr>
                <w:szCs w:val="20"/>
              </w:rPr>
            </w:pPr>
          </w:p>
          <w:p w14:paraId="43F5E5BC" w14:textId="77777777" w:rsidR="00646000" w:rsidRPr="00484AE9" w:rsidRDefault="00646000" w:rsidP="00E25EE8">
            <w:pPr>
              <w:pStyle w:val="TableText0"/>
              <w:keepNext w:val="0"/>
              <w:rPr>
                <w:szCs w:val="20"/>
              </w:rPr>
            </w:pPr>
            <w:r w:rsidRPr="00484AE9">
              <w:rPr>
                <w:szCs w:val="20"/>
              </w:rPr>
              <w:t>Access to this drug through this restriction is permitted irrespective of vaccination status.</w:t>
            </w:r>
          </w:p>
          <w:p w14:paraId="4B7B2886" w14:textId="77777777" w:rsidR="00646000" w:rsidRPr="00484AE9" w:rsidRDefault="00646000" w:rsidP="00E25EE8">
            <w:pPr>
              <w:pStyle w:val="TableText0"/>
              <w:keepNext w:val="0"/>
              <w:rPr>
                <w:szCs w:val="20"/>
              </w:rPr>
            </w:pPr>
          </w:p>
          <w:p w14:paraId="4ECE849B" w14:textId="77777777" w:rsidR="00646000" w:rsidRPr="00484AE9" w:rsidRDefault="00646000" w:rsidP="00E25EE8">
            <w:pPr>
              <w:pStyle w:val="TableText0"/>
              <w:keepNext w:val="0"/>
              <w:rPr>
                <w:szCs w:val="20"/>
              </w:rPr>
            </w:pPr>
            <w:r w:rsidRPr="00484AE9">
              <w:rPr>
                <w:szCs w:val="20"/>
              </w:rPr>
              <w:t>Where PCR is used to confirm diagnosis, the result, testing date, location and test provider must be recorded on the patient record.</w:t>
            </w:r>
          </w:p>
          <w:p w14:paraId="63C205AC" w14:textId="77777777" w:rsidR="00646000" w:rsidRPr="00484AE9" w:rsidRDefault="00646000" w:rsidP="00E25EE8">
            <w:pPr>
              <w:pStyle w:val="TableText0"/>
              <w:keepNext w:val="0"/>
              <w:rPr>
                <w:szCs w:val="20"/>
              </w:rPr>
            </w:pPr>
          </w:p>
          <w:p w14:paraId="25608FBF" w14:textId="77777777" w:rsidR="00646000" w:rsidRPr="00484AE9" w:rsidRDefault="00646000" w:rsidP="00E25EE8">
            <w:pPr>
              <w:pStyle w:val="TableText0"/>
              <w:keepNext w:val="0"/>
              <w:rPr>
                <w:szCs w:val="20"/>
              </w:rPr>
            </w:pPr>
            <w:r w:rsidRPr="00484AE9">
              <w:rPr>
                <w:szCs w:val="20"/>
              </w:rPr>
              <w:t>Where a RAT is used to confirm diagnosis, available information about the test result, testing date, location and test provider (where relevant) must be recorded on the patient record.</w:t>
            </w:r>
          </w:p>
          <w:p w14:paraId="04775A52" w14:textId="77777777" w:rsidR="00646000" w:rsidRPr="00484AE9" w:rsidRDefault="00646000" w:rsidP="00E25EE8">
            <w:pPr>
              <w:pStyle w:val="TableText0"/>
              <w:keepNext w:val="0"/>
              <w:rPr>
                <w:szCs w:val="20"/>
              </w:rPr>
            </w:pPr>
          </w:p>
          <w:p w14:paraId="71D0BDA6" w14:textId="77777777" w:rsidR="00646000" w:rsidRPr="00484AE9" w:rsidRDefault="00646000" w:rsidP="00E25EE8">
            <w:pPr>
              <w:pStyle w:val="TableText0"/>
              <w:keepNext w:val="0"/>
              <w:rPr>
                <w:szCs w:val="20"/>
              </w:rPr>
            </w:pPr>
            <w:r w:rsidRPr="00484AE9">
              <w:rPr>
                <w:szCs w:val="20"/>
              </w:rPr>
              <w:t>This drug is not PBS-subsidised for pre-exposure or post-exposure prophylaxis for the prevention of SARS-CoV-2 infection.</w:t>
            </w:r>
          </w:p>
        </w:tc>
      </w:tr>
      <w:tr w:rsidR="00646000" w:rsidRPr="00484AE9" w14:paraId="367BAEAD" w14:textId="77777777" w:rsidTr="003E2A1F">
        <w:trPr>
          <w:trHeight w:val="20"/>
        </w:trPr>
        <w:tc>
          <w:tcPr>
            <w:tcW w:w="5000" w:type="pct"/>
            <w:vAlign w:val="center"/>
            <w:hideMark/>
          </w:tcPr>
          <w:p w14:paraId="109EC86D" w14:textId="77777777" w:rsidR="00646000" w:rsidRPr="00484AE9" w:rsidRDefault="00646000" w:rsidP="00E25EE8">
            <w:pPr>
              <w:pStyle w:val="TableText0"/>
              <w:keepNext w:val="0"/>
              <w:rPr>
                <w:szCs w:val="20"/>
              </w:rPr>
            </w:pPr>
            <w:r w:rsidRPr="00484AE9">
              <w:rPr>
                <w:b/>
                <w:szCs w:val="20"/>
              </w:rPr>
              <w:lastRenderedPageBreak/>
              <w:t>Caution:</w:t>
            </w:r>
            <w:r w:rsidRPr="00484AE9">
              <w:rPr>
                <w:b/>
                <w:szCs w:val="20"/>
              </w:rPr>
              <w:br/>
            </w:r>
            <w:r w:rsidRPr="00484AE9">
              <w:rPr>
                <w:bCs w:val="0"/>
                <w:strike/>
                <w:szCs w:val="20"/>
              </w:rPr>
              <w:t>Nirmatrelvir with ritonavir has significant drug-drug interactions. Please refer to the TGA approved Paxlovid Product Information. Prescribers and dispensers should carefully review a patient's concomitant medications including over-the-counter medications, herbal supplements, and recreational drugs.</w:t>
            </w:r>
          </w:p>
        </w:tc>
      </w:tr>
    </w:tbl>
    <w:p w14:paraId="7FD75F14" w14:textId="2F49A070" w:rsidR="00B65736" w:rsidRPr="00484AE9" w:rsidRDefault="00B65736">
      <w:pPr>
        <w:jc w:val="left"/>
      </w:pPr>
    </w:p>
    <w:p w14:paraId="5C1FA90A" w14:textId="04DD0D93" w:rsidR="00CF29D5" w:rsidRPr="00484AE9" w:rsidRDefault="002F49BC" w:rsidP="002F49BC">
      <w:pPr>
        <w:pStyle w:val="Caption"/>
      </w:pPr>
      <w:bookmarkStart w:id="39" w:name="_Ref144502393"/>
      <w:r w:rsidRPr="00484AE9">
        <w:t xml:space="preserve">Table </w:t>
      </w:r>
      <w:fldSimple w:instr=" SEQ Table \* ARABIC ">
        <w:r w:rsidR="00872657">
          <w:rPr>
            <w:noProof/>
          </w:rPr>
          <w:t>6</w:t>
        </w:r>
      </w:fldSimple>
      <w:bookmarkEnd w:id="39"/>
      <w:r w:rsidRPr="00484AE9">
        <w:t>:</w:t>
      </w:r>
      <w:r w:rsidR="00BE6A50" w:rsidRPr="00484AE9">
        <w:t xml:space="preserve"> </w:t>
      </w:r>
      <w:r w:rsidR="00CF29D5" w:rsidRPr="00484AE9">
        <w:t xml:space="preserve">Proposed restriction for nirmatrelvir and ritonavir for </w:t>
      </w:r>
      <w:r w:rsidR="00093571" w:rsidRPr="00484AE9">
        <w:t>Aboriginal and Torres Strait Islander people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57" w:type="dxa"/>
          <w:bottom w:w="15" w:type="dxa"/>
          <w:right w:w="57" w:type="dxa"/>
        </w:tblCellMar>
        <w:tblLook w:val="04A0" w:firstRow="1" w:lastRow="0" w:firstColumn="1" w:lastColumn="0" w:noHBand="0" w:noVBand="1"/>
      </w:tblPr>
      <w:tblGrid>
        <w:gridCol w:w="9017"/>
      </w:tblGrid>
      <w:tr w:rsidR="008B6130" w:rsidRPr="00484AE9" w14:paraId="5BECBC79" w14:textId="77777777" w:rsidTr="003E2A1F">
        <w:trPr>
          <w:trHeight w:val="20"/>
        </w:trPr>
        <w:tc>
          <w:tcPr>
            <w:tcW w:w="5000" w:type="pct"/>
          </w:tcPr>
          <w:p w14:paraId="45A4BCD3" w14:textId="77777777" w:rsidR="00CF29D5" w:rsidRPr="00484AE9" w:rsidRDefault="00CF29D5" w:rsidP="003E2A1F">
            <w:pPr>
              <w:pStyle w:val="TableText0"/>
              <w:keepNext w:val="0"/>
              <w:rPr>
                <w:szCs w:val="20"/>
              </w:rPr>
            </w:pPr>
            <w:r w:rsidRPr="00484AE9">
              <w:rPr>
                <w:b/>
                <w:szCs w:val="20"/>
              </w:rPr>
              <w:t xml:space="preserve">Category / Program: </w:t>
            </w:r>
            <w:r w:rsidRPr="00484AE9">
              <w:rPr>
                <w:szCs w:val="20"/>
              </w:rPr>
              <w:t>General Schedule</w:t>
            </w:r>
          </w:p>
        </w:tc>
      </w:tr>
      <w:tr w:rsidR="008B6130" w:rsidRPr="00484AE9" w14:paraId="485F9781" w14:textId="77777777" w:rsidTr="003E2A1F">
        <w:trPr>
          <w:trHeight w:val="20"/>
        </w:trPr>
        <w:tc>
          <w:tcPr>
            <w:tcW w:w="5000" w:type="pct"/>
          </w:tcPr>
          <w:p w14:paraId="24075549" w14:textId="77777777" w:rsidR="00CF29D5" w:rsidRPr="00484AE9" w:rsidRDefault="00CF29D5" w:rsidP="003E2A1F">
            <w:pPr>
              <w:pStyle w:val="TableText0"/>
              <w:keepNext w:val="0"/>
              <w:rPr>
                <w:b/>
                <w:szCs w:val="20"/>
              </w:rPr>
            </w:pPr>
            <w:r w:rsidRPr="00484AE9">
              <w:rPr>
                <w:b/>
                <w:szCs w:val="20"/>
              </w:rPr>
              <w:t xml:space="preserve">Prescriber type: </w:t>
            </w:r>
            <w:r w:rsidRPr="00484AE9">
              <w:rPr>
                <w:szCs w:val="20"/>
              </w:rPr>
              <w:fldChar w:fldCharType="begin">
                <w:ffData>
                  <w:name w:val="Check1"/>
                  <w:enabled/>
                  <w:calcOnExit w:val="0"/>
                  <w:checkBox>
                    <w:sizeAuto/>
                    <w:default w:val="0"/>
                  </w:checkBox>
                </w:ffData>
              </w:fldChar>
            </w:r>
            <w:r w:rsidRPr="00484AE9">
              <w:rPr>
                <w:szCs w:val="20"/>
              </w:rPr>
              <w:instrText xml:space="preserve"> FORMCHECKBOX </w:instrText>
            </w:r>
            <w:r w:rsidR="00872657">
              <w:rPr>
                <w:szCs w:val="20"/>
              </w:rPr>
            </w:r>
            <w:r w:rsidR="00872657">
              <w:rPr>
                <w:szCs w:val="20"/>
              </w:rPr>
              <w:fldChar w:fldCharType="separate"/>
            </w:r>
            <w:r w:rsidRPr="00484AE9">
              <w:rPr>
                <w:szCs w:val="20"/>
              </w:rPr>
              <w:fldChar w:fldCharType="end"/>
            </w:r>
            <w:r w:rsidRPr="00484AE9">
              <w:rPr>
                <w:szCs w:val="20"/>
              </w:rPr>
              <w:t xml:space="preserve">Dental </w:t>
            </w:r>
            <w:r w:rsidRPr="00484AE9">
              <w:rPr>
                <w:szCs w:val="20"/>
              </w:rPr>
              <w:fldChar w:fldCharType="begin">
                <w:ffData>
                  <w:name w:val=""/>
                  <w:enabled/>
                  <w:calcOnExit w:val="0"/>
                  <w:checkBox>
                    <w:sizeAuto/>
                    <w:default w:val="1"/>
                  </w:checkBox>
                </w:ffData>
              </w:fldChar>
            </w:r>
            <w:r w:rsidRPr="00484AE9">
              <w:rPr>
                <w:szCs w:val="20"/>
              </w:rPr>
              <w:instrText xml:space="preserve"> FORMCHECKBOX </w:instrText>
            </w:r>
            <w:r w:rsidR="00872657">
              <w:rPr>
                <w:szCs w:val="20"/>
              </w:rPr>
            </w:r>
            <w:r w:rsidR="00872657">
              <w:rPr>
                <w:szCs w:val="20"/>
              </w:rPr>
              <w:fldChar w:fldCharType="separate"/>
            </w:r>
            <w:r w:rsidRPr="00484AE9">
              <w:rPr>
                <w:szCs w:val="20"/>
              </w:rPr>
              <w:fldChar w:fldCharType="end"/>
            </w:r>
            <w:r w:rsidRPr="00484AE9">
              <w:rPr>
                <w:szCs w:val="20"/>
              </w:rPr>
              <w:t xml:space="preserve">Medical Practitioners </w:t>
            </w:r>
            <w:r w:rsidRPr="00484AE9">
              <w:rPr>
                <w:szCs w:val="20"/>
              </w:rPr>
              <w:fldChar w:fldCharType="begin">
                <w:ffData>
                  <w:name w:val=""/>
                  <w:enabled/>
                  <w:calcOnExit w:val="0"/>
                  <w:checkBox>
                    <w:sizeAuto/>
                    <w:default w:val="1"/>
                  </w:checkBox>
                </w:ffData>
              </w:fldChar>
            </w:r>
            <w:r w:rsidRPr="00484AE9">
              <w:rPr>
                <w:szCs w:val="20"/>
              </w:rPr>
              <w:instrText xml:space="preserve"> FORMCHECKBOX </w:instrText>
            </w:r>
            <w:r w:rsidR="00872657">
              <w:rPr>
                <w:szCs w:val="20"/>
              </w:rPr>
            </w:r>
            <w:r w:rsidR="00872657">
              <w:rPr>
                <w:szCs w:val="20"/>
              </w:rPr>
              <w:fldChar w:fldCharType="separate"/>
            </w:r>
            <w:r w:rsidRPr="00484AE9">
              <w:rPr>
                <w:szCs w:val="20"/>
              </w:rPr>
              <w:fldChar w:fldCharType="end"/>
            </w:r>
            <w:r w:rsidRPr="00484AE9">
              <w:rPr>
                <w:szCs w:val="20"/>
              </w:rPr>
              <w:t xml:space="preserve">Nurse practitioners </w:t>
            </w:r>
            <w:r w:rsidRPr="00484AE9">
              <w:rPr>
                <w:szCs w:val="20"/>
              </w:rPr>
              <w:fldChar w:fldCharType="begin">
                <w:ffData>
                  <w:name w:val=""/>
                  <w:enabled/>
                  <w:calcOnExit w:val="0"/>
                  <w:checkBox>
                    <w:sizeAuto/>
                    <w:default w:val="0"/>
                  </w:checkBox>
                </w:ffData>
              </w:fldChar>
            </w:r>
            <w:r w:rsidRPr="00484AE9">
              <w:rPr>
                <w:szCs w:val="20"/>
              </w:rPr>
              <w:instrText xml:space="preserve"> FORMCHECKBOX </w:instrText>
            </w:r>
            <w:r w:rsidR="00872657">
              <w:rPr>
                <w:szCs w:val="20"/>
              </w:rPr>
            </w:r>
            <w:r w:rsidR="00872657">
              <w:rPr>
                <w:szCs w:val="20"/>
              </w:rPr>
              <w:fldChar w:fldCharType="separate"/>
            </w:r>
            <w:r w:rsidRPr="00484AE9">
              <w:rPr>
                <w:szCs w:val="20"/>
              </w:rPr>
              <w:fldChar w:fldCharType="end"/>
            </w:r>
            <w:r w:rsidRPr="00484AE9">
              <w:rPr>
                <w:szCs w:val="20"/>
              </w:rPr>
              <w:t xml:space="preserve">Optometrists </w:t>
            </w:r>
            <w:r w:rsidRPr="00484AE9">
              <w:rPr>
                <w:szCs w:val="20"/>
              </w:rPr>
              <w:fldChar w:fldCharType="begin">
                <w:ffData>
                  <w:name w:val="Check5"/>
                  <w:enabled/>
                  <w:calcOnExit w:val="0"/>
                  <w:checkBox>
                    <w:sizeAuto/>
                    <w:default w:val="0"/>
                  </w:checkBox>
                </w:ffData>
              </w:fldChar>
            </w:r>
            <w:r w:rsidRPr="00484AE9">
              <w:rPr>
                <w:szCs w:val="20"/>
              </w:rPr>
              <w:instrText xml:space="preserve"> FORMCHECKBOX </w:instrText>
            </w:r>
            <w:r w:rsidR="00872657">
              <w:rPr>
                <w:szCs w:val="20"/>
              </w:rPr>
            </w:r>
            <w:r w:rsidR="00872657">
              <w:rPr>
                <w:szCs w:val="20"/>
              </w:rPr>
              <w:fldChar w:fldCharType="separate"/>
            </w:r>
            <w:r w:rsidRPr="00484AE9">
              <w:rPr>
                <w:szCs w:val="20"/>
              </w:rPr>
              <w:fldChar w:fldCharType="end"/>
            </w:r>
          </w:p>
        </w:tc>
      </w:tr>
      <w:tr w:rsidR="008B6130" w:rsidRPr="00484AE9" w14:paraId="49356715" w14:textId="77777777" w:rsidTr="003E2A1F">
        <w:trPr>
          <w:trHeight w:val="20"/>
        </w:trPr>
        <w:tc>
          <w:tcPr>
            <w:tcW w:w="5000" w:type="pct"/>
          </w:tcPr>
          <w:p w14:paraId="1643FC5E" w14:textId="0A9EF0A8" w:rsidR="00CF29D5" w:rsidRPr="00484AE9" w:rsidRDefault="00CF29D5" w:rsidP="003E2A1F">
            <w:pPr>
              <w:pStyle w:val="TableText0"/>
              <w:keepNext w:val="0"/>
              <w:rPr>
                <w:rFonts w:eastAsia="Times New Roman"/>
                <w:szCs w:val="20"/>
              </w:rPr>
            </w:pPr>
            <w:r w:rsidRPr="00484AE9">
              <w:rPr>
                <w:b/>
                <w:szCs w:val="20"/>
              </w:rPr>
              <w:t>Restriction type:</w:t>
            </w:r>
            <w:r w:rsidR="00F76D9A">
              <w:rPr>
                <w:b/>
                <w:szCs w:val="20"/>
              </w:rPr>
              <w:t xml:space="preserve"> </w:t>
            </w:r>
            <w:r w:rsidRPr="00484AE9">
              <w:rPr>
                <w:rFonts w:eastAsia="Times New Roman"/>
                <w:szCs w:val="20"/>
              </w:rPr>
              <w:fldChar w:fldCharType="begin">
                <w:ffData>
                  <w:name w:val=""/>
                  <w:enabled/>
                  <w:calcOnExit w:val="0"/>
                  <w:checkBox>
                    <w:sizeAuto/>
                    <w:default w:val="1"/>
                  </w:checkBox>
                </w:ffData>
              </w:fldChar>
            </w:r>
            <w:r w:rsidRPr="00484AE9">
              <w:rPr>
                <w:rFonts w:eastAsia="Times New Roman"/>
                <w:szCs w:val="20"/>
              </w:rPr>
              <w:instrText xml:space="preserve"> FORMCHECKBOX </w:instrText>
            </w:r>
            <w:r w:rsidR="00872657">
              <w:rPr>
                <w:rFonts w:eastAsia="Times New Roman"/>
                <w:szCs w:val="20"/>
              </w:rPr>
            </w:r>
            <w:r w:rsidR="00872657">
              <w:rPr>
                <w:rFonts w:eastAsia="Times New Roman"/>
                <w:szCs w:val="20"/>
              </w:rPr>
              <w:fldChar w:fldCharType="separate"/>
            </w:r>
            <w:r w:rsidRPr="00484AE9">
              <w:rPr>
                <w:rFonts w:eastAsia="Times New Roman"/>
                <w:szCs w:val="20"/>
              </w:rPr>
              <w:fldChar w:fldCharType="end"/>
            </w:r>
            <w:r w:rsidRPr="00484AE9">
              <w:rPr>
                <w:rFonts w:eastAsia="Times New Roman"/>
                <w:szCs w:val="20"/>
              </w:rPr>
              <w:t xml:space="preserve">Authority Required (STREAMLINED) </w:t>
            </w:r>
          </w:p>
        </w:tc>
      </w:tr>
      <w:tr w:rsidR="008B6130" w:rsidRPr="00484AE9" w14:paraId="11624807" w14:textId="77777777" w:rsidTr="003E2A1F">
        <w:trPr>
          <w:trHeight w:val="20"/>
        </w:trPr>
        <w:tc>
          <w:tcPr>
            <w:tcW w:w="5000" w:type="pct"/>
            <w:vAlign w:val="center"/>
            <w:hideMark/>
          </w:tcPr>
          <w:p w14:paraId="20C06EAB" w14:textId="77777777" w:rsidR="00CF29D5" w:rsidRPr="00484AE9" w:rsidRDefault="00CF29D5" w:rsidP="003E2A1F">
            <w:pPr>
              <w:pStyle w:val="TableText0"/>
              <w:keepNext w:val="0"/>
              <w:rPr>
                <w:szCs w:val="20"/>
              </w:rPr>
            </w:pPr>
            <w:r w:rsidRPr="00484AE9">
              <w:rPr>
                <w:b/>
                <w:szCs w:val="20"/>
              </w:rPr>
              <w:t>Indication:</w:t>
            </w:r>
            <w:r w:rsidRPr="00484AE9">
              <w:rPr>
                <w:szCs w:val="20"/>
              </w:rPr>
              <w:t xml:space="preserve"> </w:t>
            </w:r>
            <w:r w:rsidRPr="00484AE9">
              <w:rPr>
                <w:bCs w:val="0"/>
                <w:szCs w:val="20"/>
              </w:rPr>
              <w:t>SARS-CoV-2 infection</w:t>
            </w:r>
          </w:p>
        </w:tc>
      </w:tr>
      <w:tr w:rsidR="008B6130" w:rsidRPr="00484AE9" w14:paraId="66B69B4C" w14:textId="77777777" w:rsidTr="003E2A1F">
        <w:trPr>
          <w:trHeight w:val="20"/>
        </w:trPr>
        <w:tc>
          <w:tcPr>
            <w:tcW w:w="5000" w:type="pct"/>
            <w:vAlign w:val="center"/>
            <w:hideMark/>
          </w:tcPr>
          <w:p w14:paraId="0271E6F9" w14:textId="77777777" w:rsidR="00CF29D5" w:rsidRPr="00484AE9" w:rsidRDefault="00CF29D5" w:rsidP="003E2A1F">
            <w:pPr>
              <w:pStyle w:val="TableText0"/>
              <w:keepNext w:val="0"/>
              <w:rPr>
                <w:szCs w:val="20"/>
              </w:rPr>
            </w:pPr>
            <w:r w:rsidRPr="00484AE9">
              <w:rPr>
                <w:b/>
                <w:szCs w:val="20"/>
              </w:rPr>
              <w:t>Clinical criteria:</w:t>
            </w:r>
          </w:p>
        </w:tc>
      </w:tr>
      <w:tr w:rsidR="008B6130" w:rsidRPr="00484AE9" w14:paraId="299D5FDD" w14:textId="77777777" w:rsidTr="003E2A1F">
        <w:trPr>
          <w:trHeight w:val="20"/>
        </w:trPr>
        <w:tc>
          <w:tcPr>
            <w:tcW w:w="5000" w:type="pct"/>
            <w:vAlign w:val="center"/>
            <w:hideMark/>
          </w:tcPr>
          <w:p w14:paraId="439F915E" w14:textId="77777777" w:rsidR="00A819A0" w:rsidRDefault="00CF29D5" w:rsidP="003E2A1F">
            <w:pPr>
              <w:pStyle w:val="TableText0"/>
              <w:keepNext w:val="0"/>
              <w:rPr>
                <w:rFonts w:cs="Arial"/>
                <w:szCs w:val="20"/>
              </w:rPr>
            </w:pPr>
            <w:r w:rsidRPr="00484AE9">
              <w:rPr>
                <w:rFonts w:cs="Arial"/>
                <w:szCs w:val="20"/>
              </w:rPr>
              <w:t xml:space="preserve">Patient must have received a positive polymerase chain reaction (PCR) test result; </w:t>
            </w:r>
            <w:r w:rsidR="002E307A" w:rsidRPr="00484AE9">
              <w:rPr>
                <w:rFonts w:cs="Arial"/>
                <w:szCs w:val="20"/>
              </w:rPr>
              <w:t>OR</w:t>
            </w:r>
            <w:r w:rsidR="00696519" w:rsidRPr="00696519">
              <w:rPr>
                <w:rFonts w:cs="Arial"/>
                <w:szCs w:val="20"/>
              </w:rPr>
              <w:t xml:space="preserve">                           </w:t>
            </w:r>
          </w:p>
          <w:p w14:paraId="06709F56" w14:textId="71F0F2CD" w:rsidR="00CF29D5" w:rsidRPr="00484AE9" w:rsidRDefault="00CF29D5" w:rsidP="003E2A1F">
            <w:pPr>
              <w:pStyle w:val="TableText0"/>
              <w:keepNext w:val="0"/>
              <w:rPr>
                <w:szCs w:val="20"/>
              </w:rPr>
            </w:pPr>
            <w:r w:rsidRPr="00484AE9">
              <w:rPr>
                <w:rFonts w:cs="Arial"/>
                <w:szCs w:val="20"/>
              </w:rPr>
              <w:t>Patient must have received a positive rapid antigen test (RAT) result</w:t>
            </w:r>
          </w:p>
        </w:tc>
      </w:tr>
      <w:tr w:rsidR="008B6130" w:rsidRPr="00484AE9" w14:paraId="0872C161" w14:textId="77777777" w:rsidTr="003E2A1F">
        <w:trPr>
          <w:trHeight w:val="20"/>
        </w:trPr>
        <w:tc>
          <w:tcPr>
            <w:tcW w:w="5000" w:type="pct"/>
            <w:vAlign w:val="center"/>
            <w:hideMark/>
          </w:tcPr>
          <w:p w14:paraId="15736EEA" w14:textId="77777777" w:rsidR="00CF29D5" w:rsidRPr="00484AE9" w:rsidRDefault="00CF29D5" w:rsidP="003E2A1F">
            <w:pPr>
              <w:pStyle w:val="TableText0"/>
              <w:keepNext w:val="0"/>
              <w:rPr>
                <w:szCs w:val="20"/>
              </w:rPr>
            </w:pPr>
            <w:r w:rsidRPr="00484AE9">
              <w:rPr>
                <w:b/>
                <w:szCs w:val="20"/>
              </w:rPr>
              <w:t>AND</w:t>
            </w:r>
          </w:p>
        </w:tc>
      </w:tr>
      <w:tr w:rsidR="008B6130" w:rsidRPr="00484AE9" w14:paraId="5B68922C" w14:textId="77777777" w:rsidTr="003E2A1F">
        <w:trPr>
          <w:trHeight w:val="20"/>
        </w:trPr>
        <w:tc>
          <w:tcPr>
            <w:tcW w:w="5000" w:type="pct"/>
            <w:vAlign w:val="center"/>
            <w:hideMark/>
          </w:tcPr>
          <w:p w14:paraId="35716CD2" w14:textId="77777777" w:rsidR="00CF29D5" w:rsidRPr="00484AE9" w:rsidRDefault="00CF29D5" w:rsidP="003E2A1F">
            <w:pPr>
              <w:pStyle w:val="TableText0"/>
              <w:keepNext w:val="0"/>
              <w:rPr>
                <w:szCs w:val="20"/>
              </w:rPr>
            </w:pPr>
            <w:r w:rsidRPr="00484AE9">
              <w:rPr>
                <w:rFonts w:cs="Arial"/>
                <w:szCs w:val="20"/>
              </w:rPr>
              <w:t>Patient must have at least one sign or symptom attributable to COVID-19</w:t>
            </w:r>
          </w:p>
        </w:tc>
      </w:tr>
      <w:tr w:rsidR="008B6130" w:rsidRPr="00484AE9" w14:paraId="3E53D7E1" w14:textId="77777777" w:rsidTr="003E2A1F">
        <w:trPr>
          <w:trHeight w:val="20"/>
        </w:trPr>
        <w:tc>
          <w:tcPr>
            <w:tcW w:w="5000" w:type="pct"/>
            <w:vAlign w:val="center"/>
          </w:tcPr>
          <w:p w14:paraId="55BC92AD" w14:textId="77777777" w:rsidR="00CF29D5" w:rsidRPr="00484AE9" w:rsidRDefault="00CF29D5" w:rsidP="003E2A1F">
            <w:pPr>
              <w:pStyle w:val="TableText0"/>
              <w:keepNext w:val="0"/>
              <w:rPr>
                <w:rFonts w:cs="Arial"/>
                <w:szCs w:val="20"/>
              </w:rPr>
            </w:pPr>
            <w:r w:rsidRPr="00484AE9">
              <w:rPr>
                <w:b/>
                <w:szCs w:val="20"/>
              </w:rPr>
              <w:t>AND</w:t>
            </w:r>
          </w:p>
        </w:tc>
      </w:tr>
      <w:tr w:rsidR="008B6130" w:rsidRPr="00484AE9" w14:paraId="246D0C91" w14:textId="77777777" w:rsidTr="003E2A1F">
        <w:trPr>
          <w:trHeight w:val="20"/>
        </w:trPr>
        <w:tc>
          <w:tcPr>
            <w:tcW w:w="5000" w:type="pct"/>
            <w:vAlign w:val="center"/>
          </w:tcPr>
          <w:p w14:paraId="318DB532" w14:textId="77777777" w:rsidR="00CF29D5" w:rsidRPr="00484AE9" w:rsidRDefault="00CF29D5" w:rsidP="003E2A1F">
            <w:pPr>
              <w:pStyle w:val="TableText0"/>
              <w:keepNext w:val="0"/>
              <w:rPr>
                <w:rFonts w:cs="Arial"/>
                <w:szCs w:val="20"/>
              </w:rPr>
            </w:pPr>
            <w:r w:rsidRPr="00484AE9">
              <w:rPr>
                <w:rFonts w:cs="Arial"/>
                <w:szCs w:val="20"/>
              </w:rPr>
              <w:t>Patient must not require hospitalisation for COVID-19 infection at the time of prescribing</w:t>
            </w:r>
          </w:p>
        </w:tc>
      </w:tr>
      <w:tr w:rsidR="008B6130" w:rsidRPr="00484AE9" w14:paraId="260941D0" w14:textId="77777777" w:rsidTr="003E2A1F">
        <w:trPr>
          <w:trHeight w:val="20"/>
        </w:trPr>
        <w:tc>
          <w:tcPr>
            <w:tcW w:w="5000" w:type="pct"/>
            <w:vAlign w:val="center"/>
          </w:tcPr>
          <w:p w14:paraId="0687E282" w14:textId="77777777" w:rsidR="00CF29D5" w:rsidRPr="00484AE9" w:rsidRDefault="00CF29D5" w:rsidP="003E2A1F">
            <w:pPr>
              <w:pStyle w:val="TableText0"/>
              <w:keepNext w:val="0"/>
              <w:rPr>
                <w:rFonts w:cs="Arial"/>
                <w:szCs w:val="20"/>
              </w:rPr>
            </w:pPr>
            <w:r w:rsidRPr="00484AE9">
              <w:rPr>
                <w:b/>
                <w:szCs w:val="20"/>
              </w:rPr>
              <w:t>AND</w:t>
            </w:r>
          </w:p>
        </w:tc>
      </w:tr>
      <w:tr w:rsidR="008B6130" w:rsidRPr="00484AE9" w14:paraId="2EC97843" w14:textId="77777777" w:rsidTr="003E2A1F">
        <w:trPr>
          <w:trHeight w:val="20"/>
        </w:trPr>
        <w:tc>
          <w:tcPr>
            <w:tcW w:w="5000" w:type="pct"/>
            <w:vAlign w:val="center"/>
          </w:tcPr>
          <w:p w14:paraId="4C2E7EF6" w14:textId="77777777" w:rsidR="00CF29D5" w:rsidRPr="00484AE9" w:rsidRDefault="00CF29D5" w:rsidP="003E2A1F">
            <w:pPr>
              <w:pStyle w:val="TableText0"/>
              <w:keepNext w:val="0"/>
              <w:rPr>
                <w:rFonts w:cs="Arial"/>
                <w:szCs w:val="20"/>
              </w:rPr>
            </w:pPr>
            <w:r w:rsidRPr="00484AE9">
              <w:rPr>
                <w:rFonts w:cs="Arial"/>
                <w:szCs w:val="20"/>
              </w:rPr>
              <w:t>The treatment must be initiated within 5 days of symptom onset</w:t>
            </w:r>
          </w:p>
        </w:tc>
      </w:tr>
      <w:tr w:rsidR="008B6130" w:rsidRPr="00484AE9" w14:paraId="58DBAFB4" w14:textId="77777777" w:rsidTr="003E2A1F">
        <w:trPr>
          <w:trHeight w:val="20"/>
        </w:trPr>
        <w:tc>
          <w:tcPr>
            <w:tcW w:w="5000" w:type="pct"/>
            <w:vAlign w:val="center"/>
            <w:hideMark/>
          </w:tcPr>
          <w:p w14:paraId="02177477" w14:textId="77777777" w:rsidR="00CF29D5" w:rsidRPr="00484AE9" w:rsidRDefault="00CF29D5" w:rsidP="003E2A1F">
            <w:pPr>
              <w:pStyle w:val="TableText0"/>
              <w:keepNext w:val="0"/>
              <w:rPr>
                <w:szCs w:val="20"/>
              </w:rPr>
            </w:pPr>
            <w:r w:rsidRPr="00484AE9">
              <w:rPr>
                <w:b/>
                <w:szCs w:val="20"/>
              </w:rPr>
              <w:t>Population criteria:</w:t>
            </w:r>
          </w:p>
        </w:tc>
      </w:tr>
      <w:tr w:rsidR="008B6130" w:rsidRPr="00484AE9" w14:paraId="67DC6A9D" w14:textId="77777777" w:rsidTr="003E2A1F">
        <w:trPr>
          <w:trHeight w:val="20"/>
        </w:trPr>
        <w:tc>
          <w:tcPr>
            <w:tcW w:w="5000" w:type="pct"/>
            <w:vAlign w:val="center"/>
          </w:tcPr>
          <w:p w14:paraId="7EF06840" w14:textId="1246063D" w:rsidR="00CF29D5" w:rsidRPr="00484AE9" w:rsidRDefault="001F7499" w:rsidP="003E2A1F">
            <w:pPr>
              <w:autoSpaceDE w:val="0"/>
              <w:autoSpaceDN w:val="0"/>
              <w:adjustRightInd w:val="0"/>
              <w:rPr>
                <w:rFonts w:ascii="Arial Narrow" w:hAnsi="Arial Narrow"/>
                <w:sz w:val="20"/>
                <w:szCs w:val="20"/>
              </w:rPr>
            </w:pPr>
            <w:r w:rsidRPr="00484AE9">
              <w:rPr>
                <w:rFonts w:ascii="Arial Narrow" w:hAnsi="Arial Narrow"/>
                <w:sz w:val="20"/>
                <w:szCs w:val="20"/>
              </w:rPr>
              <w:t>Patient must be each of: (i) identify as Aboriginal or Torres Strait Islander, (ii) at least 30 years of age, (iii) at high risk.</w:t>
            </w:r>
          </w:p>
        </w:tc>
      </w:tr>
      <w:tr w:rsidR="008B6130" w:rsidRPr="00484AE9" w14:paraId="143E8E6A" w14:textId="77777777" w:rsidTr="003E2A1F">
        <w:trPr>
          <w:trHeight w:val="20"/>
        </w:trPr>
        <w:tc>
          <w:tcPr>
            <w:tcW w:w="5000" w:type="pct"/>
            <w:vAlign w:val="center"/>
            <w:hideMark/>
          </w:tcPr>
          <w:p w14:paraId="083E71AB" w14:textId="77777777" w:rsidR="00CF29D5" w:rsidRPr="00484AE9" w:rsidRDefault="00CF29D5" w:rsidP="003E2A1F">
            <w:pPr>
              <w:pStyle w:val="TableText0"/>
              <w:keepNext w:val="0"/>
              <w:rPr>
                <w:b/>
                <w:szCs w:val="20"/>
              </w:rPr>
            </w:pPr>
            <w:r w:rsidRPr="00484AE9">
              <w:rPr>
                <w:b/>
                <w:szCs w:val="20"/>
              </w:rPr>
              <w:t xml:space="preserve">Prescribing Instructions: </w:t>
            </w:r>
          </w:p>
          <w:p w14:paraId="5E9B5355" w14:textId="77777777" w:rsidR="00CF29D5" w:rsidRPr="00484AE9" w:rsidRDefault="00CF29D5" w:rsidP="003E2A1F">
            <w:pPr>
              <w:pStyle w:val="TableText0"/>
              <w:keepNext w:val="0"/>
              <w:rPr>
                <w:szCs w:val="20"/>
              </w:rPr>
            </w:pPr>
            <w:r w:rsidRPr="00484AE9">
              <w:rPr>
                <w:szCs w:val="20"/>
              </w:rPr>
              <w:t>For the purpose of administering this restriction, high risk is defined as the presence of at least one of the following conditions:</w:t>
            </w:r>
          </w:p>
          <w:p w14:paraId="07D8D626" w14:textId="77777777" w:rsidR="00CF29D5" w:rsidRPr="00484AE9" w:rsidRDefault="00CF29D5" w:rsidP="003E2A1F">
            <w:pPr>
              <w:pStyle w:val="TableText0"/>
              <w:keepNext w:val="0"/>
              <w:ind w:left="306" w:hanging="306"/>
              <w:rPr>
                <w:szCs w:val="20"/>
              </w:rPr>
            </w:pPr>
            <w:r w:rsidRPr="00484AE9">
              <w:rPr>
                <w:szCs w:val="20"/>
              </w:rPr>
              <w:t xml:space="preserve">1. </w:t>
            </w:r>
            <w:r w:rsidRPr="00484AE9">
              <w:rPr>
                <w:szCs w:val="20"/>
              </w:rPr>
              <w:tab/>
              <w:t>The patient is in residential aged care</w:t>
            </w:r>
          </w:p>
          <w:p w14:paraId="249C235B" w14:textId="77777777" w:rsidR="00CF29D5" w:rsidRPr="00484AE9" w:rsidRDefault="00CF29D5" w:rsidP="003E2A1F">
            <w:pPr>
              <w:pStyle w:val="TableText0"/>
              <w:keepNext w:val="0"/>
              <w:ind w:left="306" w:hanging="306"/>
              <w:rPr>
                <w:szCs w:val="20"/>
              </w:rPr>
            </w:pPr>
            <w:r w:rsidRPr="00484AE9">
              <w:rPr>
                <w:szCs w:val="20"/>
              </w:rPr>
              <w:t xml:space="preserve">2. </w:t>
            </w:r>
            <w:r w:rsidRPr="00484AE9">
              <w:rPr>
                <w:szCs w:val="20"/>
              </w:rPr>
              <w:tab/>
              <w:t>The patient has disability with multiple comorbidities and/or frailty</w:t>
            </w:r>
          </w:p>
          <w:p w14:paraId="150532B4" w14:textId="77777777" w:rsidR="00CF29D5" w:rsidRPr="00484AE9" w:rsidRDefault="00CF29D5" w:rsidP="003E2A1F">
            <w:pPr>
              <w:pStyle w:val="TableText0"/>
              <w:keepNext w:val="0"/>
              <w:ind w:left="306" w:hanging="306"/>
              <w:rPr>
                <w:szCs w:val="20"/>
              </w:rPr>
            </w:pPr>
            <w:r w:rsidRPr="00484AE9">
              <w:rPr>
                <w:szCs w:val="20"/>
              </w:rPr>
              <w:t xml:space="preserve">3. </w:t>
            </w:r>
            <w:r w:rsidRPr="00484AE9">
              <w:rPr>
                <w:szCs w:val="20"/>
              </w:rPr>
              <w:tab/>
              <w:t>Neurological conditions, including stroke and dementia and demyelinating conditions</w:t>
            </w:r>
          </w:p>
          <w:p w14:paraId="0376D24D" w14:textId="77777777" w:rsidR="00CF29D5" w:rsidRPr="00484AE9" w:rsidRDefault="00CF29D5" w:rsidP="003E2A1F">
            <w:pPr>
              <w:pStyle w:val="TableText0"/>
              <w:keepNext w:val="0"/>
              <w:ind w:left="306" w:hanging="306"/>
              <w:rPr>
                <w:szCs w:val="20"/>
              </w:rPr>
            </w:pPr>
            <w:r w:rsidRPr="00484AE9">
              <w:rPr>
                <w:szCs w:val="20"/>
              </w:rPr>
              <w:lastRenderedPageBreak/>
              <w:t xml:space="preserve">4. </w:t>
            </w:r>
            <w:r w:rsidRPr="00484AE9">
              <w:rPr>
                <w:szCs w:val="20"/>
              </w:rPr>
              <w:tab/>
              <w:t>Respiratory compromise, including COPD, moderate or severe asthma (required inhaled steroids), and bronchiectasis, or caused by neurological or musculoskeletal disease</w:t>
            </w:r>
          </w:p>
          <w:p w14:paraId="006E7C37" w14:textId="77777777" w:rsidR="00CF29D5" w:rsidRPr="00484AE9" w:rsidRDefault="00CF29D5" w:rsidP="003E2A1F">
            <w:pPr>
              <w:pStyle w:val="TableText0"/>
              <w:keepNext w:val="0"/>
              <w:ind w:left="306" w:hanging="306"/>
              <w:rPr>
                <w:szCs w:val="20"/>
              </w:rPr>
            </w:pPr>
            <w:r w:rsidRPr="00484AE9">
              <w:rPr>
                <w:szCs w:val="20"/>
              </w:rPr>
              <w:t xml:space="preserve">5. </w:t>
            </w:r>
            <w:r w:rsidRPr="00484AE9">
              <w:rPr>
                <w:szCs w:val="20"/>
              </w:rPr>
              <w:tab/>
              <w:t>Heart failure, coronary artery disease, cardiomyopathies</w:t>
            </w:r>
          </w:p>
          <w:p w14:paraId="299FEBDA" w14:textId="77777777" w:rsidR="00CF29D5" w:rsidRPr="00484AE9" w:rsidRDefault="00CF29D5" w:rsidP="003E2A1F">
            <w:pPr>
              <w:pStyle w:val="TableText0"/>
              <w:keepNext w:val="0"/>
              <w:ind w:left="306" w:hanging="306"/>
              <w:rPr>
                <w:szCs w:val="20"/>
              </w:rPr>
            </w:pPr>
            <w:r w:rsidRPr="00484AE9">
              <w:rPr>
                <w:szCs w:val="20"/>
              </w:rPr>
              <w:t xml:space="preserve">6. </w:t>
            </w:r>
            <w:r w:rsidRPr="00484AE9">
              <w:rPr>
                <w:szCs w:val="20"/>
              </w:rPr>
              <w:tab/>
              <w:t>Obesity (BMI greater than 30 kg/m2)</w:t>
            </w:r>
          </w:p>
          <w:p w14:paraId="7727C191" w14:textId="77777777" w:rsidR="00CF29D5" w:rsidRPr="00484AE9" w:rsidRDefault="00CF29D5" w:rsidP="003E2A1F">
            <w:pPr>
              <w:pStyle w:val="TableText0"/>
              <w:keepNext w:val="0"/>
              <w:ind w:left="306" w:hanging="306"/>
              <w:rPr>
                <w:szCs w:val="20"/>
              </w:rPr>
            </w:pPr>
            <w:r w:rsidRPr="00484AE9">
              <w:rPr>
                <w:szCs w:val="20"/>
              </w:rPr>
              <w:t xml:space="preserve">7. </w:t>
            </w:r>
            <w:r w:rsidRPr="00484AE9">
              <w:rPr>
                <w:szCs w:val="20"/>
              </w:rPr>
              <w:tab/>
              <w:t>Diabetes type I or II, requiring medication for glycaemic control</w:t>
            </w:r>
          </w:p>
          <w:p w14:paraId="4B39C5EF" w14:textId="77777777" w:rsidR="00CF29D5" w:rsidRPr="00484AE9" w:rsidRDefault="00CF29D5" w:rsidP="003E2A1F">
            <w:pPr>
              <w:pStyle w:val="TableText0"/>
              <w:keepNext w:val="0"/>
              <w:ind w:left="306" w:hanging="306"/>
              <w:rPr>
                <w:szCs w:val="20"/>
              </w:rPr>
            </w:pPr>
            <w:r w:rsidRPr="00484AE9">
              <w:rPr>
                <w:szCs w:val="20"/>
              </w:rPr>
              <w:t xml:space="preserve">8. </w:t>
            </w:r>
            <w:r w:rsidRPr="00484AE9">
              <w:rPr>
                <w:szCs w:val="20"/>
              </w:rPr>
              <w:tab/>
              <w:t>Renal impairment (eGFR less than 60mL/min)</w:t>
            </w:r>
          </w:p>
          <w:p w14:paraId="026B336D" w14:textId="77777777" w:rsidR="00CF29D5" w:rsidRPr="00484AE9" w:rsidRDefault="00CF29D5" w:rsidP="003E2A1F">
            <w:pPr>
              <w:pStyle w:val="TableText0"/>
              <w:keepNext w:val="0"/>
              <w:ind w:left="306" w:hanging="306"/>
              <w:rPr>
                <w:szCs w:val="20"/>
              </w:rPr>
            </w:pPr>
            <w:r w:rsidRPr="00484AE9">
              <w:rPr>
                <w:szCs w:val="20"/>
              </w:rPr>
              <w:t xml:space="preserve">9. </w:t>
            </w:r>
            <w:r w:rsidRPr="00484AE9">
              <w:rPr>
                <w:szCs w:val="20"/>
              </w:rPr>
              <w:tab/>
              <w:t>Cirrhosis</w:t>
            </w:r>
          </w:p>
          <w:p w14:paraId="65A088A7" w14:textId="77777777" w:rsidR="00CF29D5" w:rsidRPr="00484AE9" w:rsidRDefault="00CF29D5" w:rsidP="003E2A1F">
            <w:pPr>
              <w:pStyle w:val="TableText0"/>
              <w:keepNext w:val="0"/>
              <w:ind w:left="306" w:hanging="306"/>
              <w:rPr>
                <w:szCs w:val="20"/>
              </w:rPr>
            </w:pPr>
            <w:r w:rsidRPr="00484AE9">
              <w:rPr>
                <w:szCs w:val="20"/>
              </w:rPr>
              <w:t>10.</w:t>
            </w:r>
            <w:r w:rsidRPr="00484AE9">
              <w:rPr>
                <w:szCs w:val="20"/>
              </w:rPr>
              <w:tab/>
              <w:t>The patient has reduced, or lack of, access to higher level healthcare and lives in an area of geographic remoteness classified by the Modified Monash Model as Category 5 or above</w:t>
            </w:r>
          </w:p>
          <w:p w14:paraId="5AA76761" w14:textId="77777777" w:rsidR="00CF29D5" w:rsidRPr="00484AE9" w:rsidRDefault="00CF29D5" w:rsidP="003E2A1F">
            <w:pPr>
              <w:pStyle w:val="TableText0"/>
              <w:keepNext w:val="0"/>
              <w:ind w:left="306" w:hanging="306"/>
              <w:rPr>
                <w:szCs w:val="20"/>
              </w:rPr>
            </w:pPr>
            <w:r w:rsidRPr="00484AE9">
              <w:rPr>
                <w:szCs w:val="20"/>
              </w:rPr>
              <w:t>11.</w:t>
            </w:r>
            <w:r w:rsidRPr="00484AE9">
              <w:rPr>
                <w:szCs w:val="20"/>
              </w:rPr>
              <w:tab/>
              <w:t>Past COVID-19 infection episode resulting in hospitalisation.</w:t>
            </w:r>
          </w:p>
          <w:p w14:paraId="6335D69E" w14:textId="77777777" w:rsidR="00CF29D5" w:rsidRPr="00484AE9" w:rsidRDefault="00CF29D5" w:rsidP="003E2A1F">
            <w:pPr>
              <w:pStyle w:val="TableText0"/>
              <w:keepNext w:val="0"/>
              <w:rPr>
                <w:szCs w:val="20"/>
              </w:rPr>
            </w:pPr>
            <w:r w:rsidRPr="00484AE9">
              <w:rPr>
                <w:szCs w:val="20"/>
              </w:rPr>
              <w:t>Details of the patient's medical condition necessitating use of this drug must be recorded in the patient's medical records.</w:t>
            </w:r>
          </w:p>
          <w:p w14:paraId="23775832" w14:textId="77777777" w:rsidR="00CF29D5" w:rsidRPr="00484AE9" w:rsidRDefault="00CF29D5" w:rsidP="003E2A1F">
            <w:pPr>
              <w:pStyle w:val="TableText0"/>
              <w:keepNext w:val="0"/>
              <w:rPr>
                <w:szCs w:val="20"/>
              </w:rPr>
            </w:pPr>
          </w:p>
          <w:p w14:paraId="347F461D" w14:textId="77777777" w:rsidR="00CF29D5" w:rsidRPr="00484AE9" w:rsidRDefault="00CF29D5" w:rsidP="003E2A1F">
            <w:pPr>
              <w:pStyle w:val="TableText0"/>
              <w:keepNext w:val="0"/>
              <w:rPr>
                <w:szCs w:val="20"/>
              </w:rPr>
            </w:pPr>
            <w:r w:rsidRPr="00484AE9">
              <w:rPr>
                <w:szCs w:val="20"/>
              </w:rPr>
              <w:t>For the purpose of administering this restriction, signs or symptoms attributable to COVID-19 are: fever greater than 38 degrees Celsius, chills, cough, sore throat, shortness of breath or difficulty breathing with exertion, fatigue, nasal congestion, runny nose, headache, muscle or body aches, nausea, vomiting, diarrhea, loss of taste, loss of smell.</w:t>
            </w:r>
          </w:p>
          <w:p w14:paraId="11B1991C" w14:textId="77777777" w:rsidR="00CF29D5" w:rsidRPr="00484AE9" w:rsidRDefault="00CF29D5" w:rsidP="003E2A1F">
            <w:pPr>
              <w:pStyle w:val="TableText0"/>
              <w:keepNext w:val="0"/>
              <w:rPr>
                <w:szCs w:val="20"/>
              </w:rPr>
            </w:pPr>
          </w:p>
          <w:p w14:paraId="654B8117" w14:textId="77777777" w:rsidR="00CF29D5" w:rsidRPr="00484AE9" w:rsidRDefault="00CF29D5" w:rsidP="003E2A1F">
            <w:pPr>
              <w:pStyle w:val="TableText0"/>
              <w:keepNext w:val="0"/>
              <w:rPr>
                <w:szCs w:val="20"/>
              </w:rPr>
            </w:pPr>
            <w:r w:rsidRPr="00484AE9">
              <w:rPr>
                <w:szCs w:val="20"/>
              </w:rPr>
              <w:t>Access to this drug through this restriction is permitted irrespective of vaccination status.</w:t>
            </w:r>
          </w:p>
          <w:p w14:paraId="1CA438DB" w14:textId="77777777" w:rsidR="00CF29D5" w:rsidRPr="00484AE9" w:rsidRDefault="00CF29D5" w:rsidP="003E2A1F">
            <w:pPr>
              <w:pStyle w:val="TableText0"/>
              <w:keepNext w:val="0"/>
              <w:rPr>
                <w:szCs w:val="20"/>
              </w:rPr>
            </w:pPr>
          </w:p>
          <w:p w14:paraId="6325F9CE" w14:textId="77777777" w:rsidR="00CF29D5" w:rsidRPr="00484AE9" w:rsidRDefault="00CF29D5" w:rsidP="003E2A1F">
            <w:pPr>
              <w:pStyle w:val="TableText0"/>
              <w:keepNext w:val="0"/>
              <w:rPr>
                <w:szCs w:val="20"/>
              </w:rPr>
            </w:pPr>
            <w:r w:rsidRPr="00484AE9">
              <w:rPr>
                <w:szCs w:val="20"/>
              </w:rPr>
              <w:t>Where PCR is used to confirm diagnosis, the result, testing date, location and test provider must be recorded on the patient record.</w:t>
            </w:r>
          </w:p>
          <w:p w14:paraId="42ED4248" w14:textId="77777777" w:rsidR="00CF29D5" w:rsidRPr="00484AE9" w:rsidRDefault="00CF29D5" w:rsidP="003E2A1F">
            <w:pPr>
              <w:pStyle w:val="TableText0"/>
              <w:keepNext w:val="0"/>
              <w:rPr>
                <w:szCs w:val="20"/>
              </w:rPr>
            </w:pPr>
          </w:p>
          <w:p w14:paraId="231493F5" w14:textId="77777777" w:rsidR="00CF29D5" w:rsidRPr="00484AE9" w:rsidRDefault="00CF29D5" w:rsidP="003E2A1F">
            <w:pPr>
              <w:pStyle w:val="TableText0"/>
              <w:keepNext w:val="0"/>
              <w:rPr>
                <w:szCs w:val="20"/>
              </w:rPr>
            </w:pPr>
            <w:r w:rsidRPr="00484AE9">
              <w:rPr>
                <w:szCs w:val="20"/>
              </w:rPr>
              <w:t>Where a RAT is used to confirm diagnosis, available information about the test result, testing date, location and test provider (where relevant) must be recorded on the patient record.</w:t>
            </w:r>
          </w:p>
          <w:p w14:paraId="677CE2A3" w14:textId="77777777" w:rsidR="00CF29D5" w:rsidRPr="00484AE9" w:rsidRDefault="00CF29D5" w:rsidP="003E2A1F">
            <w:pPr>
              <w:pStyle w:val="TableText0"/>
              <w:keepNext w:val="0"/>
              <w:rPr>
                <w:szCs w:val="20"/>
              </w:rPr>
            </w:pPr>
          </w:p>
          <w:p w14:paraId="3D0F6FBE" w14:textId="77777777" w:rsidR="00CF29D5" w:rsidRPr="00484AE9" w:rsidRDefault="00CF29D5" w:rsidP="003E2A1F">
            <w:pPr>
              <w:pStyle w:val="TableText0"/>
              <w:keepNext w:val="0"/>
              <w:rPr>
                <w:szCs w:val="20"/>
              </w:rPr>
            </w:pPr>
            <w:r w:rsidRPr="00484AE9">
              <w:rPr>
                <w:szCs w:val="20"/>
              </w:rPr>
              <w:t>This drug is not PBS-subsidised for pre-exposure or post-exposure prophylaxis for the prevention of SARS-CoV-2 infection.</w:t>
            </w:r>
          </w:p>
        </w:tc>
      </w:tr>
      <w:tr w:rsidR="008B6130" w:rsidRPr="00484AE9" w14:paraId="215D52F4" w14:textId="77777777" w:rsidTr="003E2A1F">
        <w:trPr>
          <w:trHeight w:val="20"/>
        </w:trPr>
        <w:tc>
          <w:tcPr>
            <w:tcW w:w="5000" w:type="pct"/>
            <w:vAlign w:val="center"/>
          </w:tcPr>
          <w:p w14:paraId="614EA6AE" w14:textId="7D31266F" w:rsidR="00A44719" w:rsidRPr="00484AE9" w:rsidRDefault="00A44719" w:rsidP="003E2A1F">
            <w:pPr>
              <w:pStyle w:val="TableText0"/>
              <w:keepNext w:val="0"/>
              <w:rPr>
                <w:bCs w:val="0"/>
                <w:szCs w:val="20"/>
              </w:rPr>
            </w:pPr>
            <w:r w:rsidRPr="00484AE9">
              <w:rPr>
                <w:b/>
                <w:szCs w:val="20"/>
              </w:rPr>
              <w:lastRenderedPageBreak/>
              <w:t xml:space="preserve">Administrative </w:t>
            </w:r>
            <w:r w:rsidR="0033020F" w:rsidRPr="00484AE9">
              <w:rPr>
                <w:b/>
                <w:szCs w:val="20"/>
              </w:rPr>
              <w:t>Advice:</w:t>
            </w:r>
            <w:r w:rsidR="0033020F" w:rsidRPr="00484AE9">
              <w:rPr>
                <w:bCs w:val="0"/>
                <w:szCs w:val="20"/>
              </w:rPr>
              <w:t xml:space="preserve"> </w:t>
            </w:r>
            <w:r w:rsidR="003660A5" w:rsidRPr="00484AE9">
              <w:rPr>
                <w:bCs w:val="0"/>
                <w:szCs w:val="20"/>
              </w:rPr>
              <w:t xml:space="preserve">The Modified Monash Model categorises an area according to geographical remoteness and town size. Details can be found at: </w:t>
            </w:r>
            <w:hyperlink r:id="rId8" w:history="1">
              <w:r w:rsidR="003660A5" w:rsidRPr="00484AE9">
                <w:rPr>
                  <w:rStyle w:val="Hyperlink"/>
                  <w:bCs w:val="0"/>
                  <w:color w:val="auto"/>
                  <w:szCs w:val="20"/>
                </w:rPr>
                <w:t>https://www.health.gov.au/health-topics/rural-health-workforce/classifications/mmm</w:t>
              </w:r>
            </w:hyperlink>
            <w:r w:rsidR="003660A5" w:rsidRPr="00484AE9">
              <w:rPr>
                <w:bCs w:val="0"/>
                <w:szCs w:val="20"/>
              </w:rPr>
              <w:t xml:space="preserve"> </w:t>
            </w:r>
          </w:p>
        </w:tc>
      </w:tr>
      <w:tr w:rsidR="008B6130" w:rsidRPr="00484AE9" w14:paraId="3844789E" w14:textId="77777777" w:rsidTr="003E2A1F">
        <w:trPr>
          <w:trHeight w:val="20"/>
        </w:trPr>
        <w:tc>
          <w:tcPr>
            <w:tcW w:w="5000" w:type="pct"/>
            <w:vAlign w:val="center"/>
            <w:hideMark/>
          </w:tcPr>
          <w:p w14:paraId="3EEA2970" w14:textId="77777777" w:rsidR="00CF29D5" w:rsidRPr="00484AE9" w:rsidRDefault="00CF29D5" w:rsidP="003E2A1F">
            <w:pPr>
              <w:pStyle w:val="TableText0"/>
              <w:keepNext w:val="0"/>
              <w:rPr>
                <w:szCs w:val="20"/>
              </w:rPr>
            </w:pPr>
            <w:r w:rsidRPr="00484AE9">
              <w:rPr>
                <w:b/>
                <w:szCs w:val="20"/>
              </w:rPr>
              <w:t>Caution:</w:t>
            </w:r>
            <w:r w:rsidRPr="00484AE9">
              <w:rPr>
                <w:b/>
                <w:szCs w:val="20"/>
              </w:rPr>
              <w:br/>
            </w:r>
            <w:r w:rsidRPr="00484AE9">
              <w:rPr>
                <w:bCs w:val="0"/>
                <w:strike/>
                <w:szCs w:val="20"/>
              </w:rPr>
              <w:t>Nirmatrelvir with ritonavir has significant drug-drug interactions. Please refer to the TGA approved Paxlovid Product Information. Prescribers and dispensers should carefully review a patient's concomitant medications including over-the-counter medications, herbal supplements, and recreational drugs.</w:t>
            </w:r>
          </w:p>
        </w:tc>
      </w:tr>
    </w:tbl>
    <w:p w14:paraId="7F523052" w14:textId="21D7A3D6" w:rsidR="00646000" w:rsidRPr="00484AE9" w:rsidRDefault="00646000">
      <w:pPr>
        <w:jc w:val="left"/>
        <w:rPr>
          <w:rFonts w:ascii="Arial Narrow" w:eastAsiaTheme="majorEastAsia" w:hAnsi="Arial Narrow" w:cstheme="majorBidi"/>
          <w:b/>
          <w:bCs/>
          <w:sz w:val="20"/>
        </w:rPr>
      </w:pPr>
    </w:p>
    <w:p w14:paraId="22407EA0" w14:textId="0684E761" w:rsidR="00A04DDB" w:rsidRPr="00484AE9" w:rsidRDefault="002F49BC" w:rsidP="002F49BC">
      <w:pPr>
        <w:pStyle w:val="Caption"/>
      </w:pPr>
      <w:bookmarkStart w:id="40" w:name="_Ref144502395"/>
      <w:r w:rsidRPr="00484AE9">
        <w:t xml:space="preserve">Table </w:t>
      </w:r>
      <w:fldSimple w:instr=" SEQ Table \* ARABIC ">
        <w:r w:rsidR="00872657">
          <w:rPr>
            <w:noProof/>
          </w:rPr>
          <w:t>7</w:t>
        </w:r>
      </w:fldSimple>
      <w:bookmarkEnd w:id="40"/>
      <w:r w:rsidRPr="00484AE9">
        <w:t>:</w:t>
      </w:r>
      <w:r w:rsidR="00BE6A50" w:rsidRPr="00484AE9">
        <w:t xml:space="preserve"> </w:t>
      </w:r>
      <w:r w:rsidR="00345695" w:rsidRPr="00484AE9">
        <w:t>Proposed restriction for nirmatrelvir and ritonavir for patients aged 50 -</w:t>
      </w:r>
      <w:r w:rsidR="00BD7E59" w:rsidRPr="00484AE9">
        <w:t xml:space="preserve"> </w:t>
      </w:r>
      <w:r w:rsidR="00345695" w:rsidRPr="00484AE9">
        <w:t>69 years with</w:t>
      </w:r>
      <w:r w:rsidR="00E66499" w:rsidRPr="00484AE9">
        <w:t xml:space="preserve"> one </w:t>
      </w:r>
      <w:r w:rsidR="008A59A6" w:rsidRPr="00484AE9">
        <w:t xml:space="preserve">additional </w:t>
      </w:r>
      <w:r w:rsidR="00E66499" w:rsidRPr="00484AE9">
        <w:t>risk factor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57" w:type="dxa"/>
          <w:bottom w:w="15" w:type="dxa"/>
          <w:right w:w="57" w:type="dxa"/>
        </w:tblCellMar>
        <w:tblLook w:val="04A0" w:firstRow="1" w:lastRow="0" w:firstColumn="1" w:lastColumn="0" w:noHBand="0" w:noVBand="1"/>
      </w:tblPr>
      <w:tblGrid>
        <w:gridCol w:w="9017"/>
      </w:tblGrid>
      <w:tr w:rsidR="008B6130" w:rsidRPr="00484AE9" w14:paraId="3EE8ABAE" w14:textId="77777777" w:rsidTr="003C7BFF">
        <w:trPr>
          <w:trHeight w:val="20"/>
        </w:trPr>
        <w:tc>
          <w:tcPr>
            <w:tcW w:w="5000" w:type="pct"/>
          </w:tcPr>
          <w:p w14:paraId="3B622315" w14:textId="3EE54C36" w:rsidR="003A4C14" w:rsidRPr="00484AE9" w:rsidRDefault="003A4C14" w:rsidP="003C7BFF">
            <w:pPr>
              <w:pStyle w:val="TableText0"/>
              <w:keepNext w:val="0"/>
              <w:rPr>
                <w:szCs w:val="20"/>
              </w:rPr>
            </w:pPr>
            <w:bookmarkStart w:id="41" w:name="_Hlk104809470"/>
            <w:bookmarkEnd w:id="35"/>
            <w:r w:rsidRPr="00484AE9">
              <w:rPr>
                <w:b/>
                <w:szCs w:val="20"/>
              </w:rPr>
              <w:t xml:space="preserve">Category / Program: </w:t>
            </w:r>
            <w:r w:rsidRPr="00484AE9">
              <w:rPr>
                <w:szCs w:val="20"/>
              </w:rPr>
              <w:t>General Schedule</w:t>
            </w:r>
          </w:p>
        </w:tc>
      </w:tr>
      <w:tr w:rsidR="008B6130" w:rsidRPr="00484AE9" w14:paraId="09416ED3" w14:textId="77777777" w:rsidTr="003C7BFF">
        <w:trPr>
          <w:trHeight w:val="20"/>
        </w:trPr>
        <w:tc>
          <w:tcPr>
            <w:tcW w:w="5000" w:type="pct"/>
          </w:tcPr>
          <w:p w14:paraId="7D2ED8D5" w14:textId="76C38869" w:rsidR="003A4C14" w:rsidRPr="00484AE9" w:rsidRDefault="003A4C14" w:rsidP="003C7BFF">
            <w:pPr>
              <w:pStyle w:val="TableText0"/>
              <w:keepNext w:val="0"/>
              <w:rPr>
                <w:b/>
                <w:szCs w:val="20"/>
              </w:rPr>
            </w:pPr>
            <w:r w:rsidRPr="00484AE9">
              <w:rPr>
                <w:b/>
                <w:szCs w:val="20"/>
              </w:rPr>
              <w:t xml:space="preserve">Prescriber type: </w:t>
            </w:r>
            <w:r w:rsidRPr="00484AE9">
              <w:rPr>
                <w:szCs w:val="20"/>
              </w:rPr>
              <w:fldChar w:fldCharType="begin">
                <w:ffData>
                  <w:name w:val="Check1"/>
                  <w:enabled/>
                  <w:calcOnExit w:val="0"/>
                  <w:checkBox>
                    <w:sizeAuto/>
                    <w:default w:val="0"/>
                  </w:checkBox>
                </w:ffData>
              </w:fldChar>
            </w:r>
            <w:r w:rsidRPr="00484AE9">
              <w:rPr>
                <w:szCs w:val="20"/>
              </w:rPr>
              <w:instrText xml:space="preserve"> FORMCHECKBOX </w:instrText>
            </w:r>
            <w:r w:rsidR="00872657">
              <w:rPr>
                <w:szCs w:val="20"/>
              </w:rPr>
            </w:r>
            <w:r w:rsidR="00872657">
              <w:rPr>
                <w:szCs w:val="20"/>
              </w:rPr>
              <w:fldChar w:fldCharType="separate"/>
            </w:r>
            <w:r w:rsidRPr="00484AE9">
              <w:rPr>
                <w:szCs w:val="20"/>
              </w:rPr>
              <w:fldChar w:fldCharType="end"/>
            </w:r>
            <w:r w:rsidRPr="00484AE9">
              <w:rPr>
                <w:szCs w:val="20"/>
              </w:rPr>
              <w:t xml:space="preserve">Dental </w:t>
            </w:r>
            <w:r w:rsidR="00683CB3" w:rsidRPr="00484AE9">
              <w:rPr>
                <w:szCs w:val="20"/>
              </w:rPr>
              <w:fldChar w:fldCharType="begin">
                <w:ffData>
                  <w:name w:val=""/>
                  <w:enabled/>
                  <w:calcOnExit w:val="0"/>
                  <w:checkBox>
                    <w:sizeAuto/>
                    <w:default w:val="1"/>
                  </w:checkBox>
                </w:ffData>
              </w:fldChar>
            </w:r>
            <w:r w:rsidR="00683CB3" w:rsidRPr="00484AE9">
              <w:rPr>
                <w:szCs w:val="20"/>
              </w:rPr>
              <w:instrText xml:space="preserve"> FORMCHECKBOX </w:instrText>
            </w:r>
            <w:r w:rsidR="00872657">
              <w:rPr>
                <w:szCs w:val="20"/>
              </w:rPr>
            </w:r>
            <w:r w:rsidR="00872657">
              <w:rPr>
                <w:szCs w:val="20"/>
              </w:rPr>
              <w:fldChar w:fldCharType="separate"/>
            </w:r>
            <w:r w:rsidR="00683CB3" w:rsidRPr="00484AE9">
              <w:rPr>
                <w:szCs w:val="20"/>
              </w:rPr>
              <w:fldChar w:fldCharType="end"/>
            </w:r>
            <w:r w:rsidRPr="00484AE9">
              <w:rPr>
                <w:szCs w:val="20"/>
              </w:rPr>
              <w:t xml:space="preserve">Medical Practitioners </w:t>
            </w:r>
            <w:r w:rsidR="003D639C" w:rsidRPr="00484AE9">
              <w:rPr>
                <w:szCs w:val="20"/>
              </w:rPr>
              <w:fldChar w:fldCharType="begin">
                <w:ffData>
                  <w:name w:val=""/>
                  <w:enabled/>
                  <w:calcOnExit w:val="0"/>
                  <w:checkBox>
                    <w:sizeAuto/>
                    <w:default w:val="1"/>
                  </w:checkBox>
                </w:ffData>
              </w:fldChar>
            </w:r>
            <w:r w:rsidR="003D639C" w:rsidRPr="00484AE9">
              <w:rPr>
                <w:szCs w:val="20"/>
              </w:rPr>
              <w:instrText xml:space="preserve"> FORMCHECKBOX </w:instrText>
            </w:r>
            <w:r w:rsidR="00872657">
              <w:rPr>
                <w:szCs w:val="20"/>
              </w:rPr>
            </w:r>
            <w:r w:rsidR="00872657">
              <w:rPr>
                <w:szCs w:val="20"/>
              </w:rPr>
              <w:fldChar w:fldCharType="separate"/>
            </w:r>
            <w:r w:rsidR="003D639C" w:rsidRPr="00484AE9">
              <w:rPr>
                <w:szCs w:val="20"/>
              </w:rPr>
              <w:fldChar w:fldCharType="end"/>
            </w:r>
            <w:r w:rsidRPr="00484AE9">
              <w:rPr>
                <w:szCs w:val="20"/>
              </w:rPr>
              <w:t xml:space="preserve">Nurse practitioners </w:t>
            </w:r>
            <w:r w:rsidRPr="00484AE9">
              <w:rPr>
                <w:szCs w:val="20"/>
              </w:rPr>
              <w:fldChar w:fldCharType="begin">
                <w:ffData>
                  <w:name w:val=""/>
                  <w:enabled/>
                  <w:calcOnExit w:val="0"/>
                  <w:checkBox>
                    <w:sizeAuto/>
                    <w:default w:val="0"/>
                  </w:checkBox>
                </w:ffData>
              </w:fldChar>
            </w:r>
            <w:r w:rsidRPr="00484AE9">
              <w:rPr>
                <w:szCs w:val="20"/>
              </w:rPr>
              <w:instrText xml:space="preserve"> FORMCHECKBOX </w:instrText>
            </w:r>
            <w:r w:rsidR="00872657">
              <w:rPr>
                <w:szCs w:val="20"/>
              </w:rPr>
            </w:r>
            <w:r w:rsidR="00872657">
              <w:rPr>
                <w:szCs w:val="20"/>
              </w:rPr>
              <w:fldChar w:fldCharType="separate"/>
            </w:r>
            <w:r w:rsidRPr="00484AE9">
              <w:rPr>
                <w:szCs w:val="20"/>
              </w:rPr>
              <w:fldChar w:fldCharType="end"/>
            </w:r>
            <w:r w:rsidRPr="00484AE9">
              <w:rPr>
                <w:szCs w:val="20"/>
              </w:rPr>
              <w:t xml:space="preserve">Optometrists </w:t>
            </w:r>
            <w:r w:rsidRPr="00484AE9">
              <w:rPr>
                <w:szCs w:val="20"/>
              </w:rPr>
              <w:fldChar w:fldCharType="begin">
                <w:ffData>
                  <w:name w:val="Check5"/>
                  <w:enabled/>
                  <w:calcOnExit w:val="0"/>
                  <w:checkBox>
                    <w:sizeAuto/>
                    <w:default w:val="0"/>
                  </w:checkBox>
                </w:ffData>
              </w:fldChar>
            </w:r>
            <w:r w:rsidRPr="00484AE9">
              <w:rPr>
                <w:szCs w:val="20"/>
              </w:rPr>
              <w:instrText xml:space="preserve"> FORMCHECKBOX </w:instrText>
            </w:r>
            <w:r w:rsidR="00872657">
              <w:rPr>
                <w:szCs w:val="20"/>
              </w:rPr>
            </w:r>
            <w:r w:rsidR="00872657">
              <w:rPr>
                <w:szCs w:val="20"/>
              </w:rPr>
              <w:fldChar w:fldCharType="separate"/>
            </w:r>
            <w:r w:rsidRPr="00484AE9">
              <w:rPr>
                <w:szCs w:val="20"/>
              </w:rPr>
              <w:fldChar w:fldCharType="end"/>
            </w:r>
          </w:p>
        </w:tc>
      </w:tr>
      <w:tr w:rsidR="008B6130" w:rsidRPr="00484AE9" w14:paraId="070CFDD2" w14:textId="77777777" w:rsidTr="003C7BFF">
        <w:trPr>
          <w:trHeight w:val="20"/>
        </w:trPr>
        <w:tc>
          <w:tcPr>
            <w:tcW w:w="5000" w:type="pct"/>
          </w:tcPr>
          <w:p w14:paraId="3320A955" w14:textId="66038F00" w:rsidR="003A4C14" w:rsidRPr="00484AE9" w:rsidRDefault="003A4C14" w:rsidP="003C7BFF">
            <w:pPr>
              <w:pStyle w:val="TableText0"/>
              <w:keepNext w:val="0"/>
              <w:rPr>
                <w:rFonts w:eastAsia="Times New Roman"/>
                <w:szCs w:val="20"/>
              </w:rPr>
            </w:pPr>
            <w:r w:rsidRPr="00484AE9">
              <w:rPr>
                <w:b/>
                <w:szCs w:val="20"/>
              </w:rPr>
              <w:t>Restriction type:</w:t>
            </w:r>
            <w:r w:rsidR="00F76D9A">
              <w:rPr>
                <w:b/>
                <w:szCs w:val="20"/>
              </w:rPr>
              <w:t xml:space="preserve"> </w:t>
            </w:r>
            <w:r w:rsidR="00FB216C" w:rsidRPr="00484AE9">
              <w:rPr>
                <w:rFonts w:eastAsia="Times New Roman"/>
                <w:szCs w:val="20"/>
              </w:rPr>
              <w:fldChar w:fldCharType="begin">
                <w:ffData>
                  <w:name w:val=""/>
                  <w:enabled/>
                  <w:calcOnExit w:val="0"/>
                  <w:checkBox>
                    <w:sizeAuto/>
                    <w:default w:val="1"/>
                  </w:checkBox>
                </w:ffData>
              </w:fldChar>
            </w:r>
            <w:r w:rsidR="00FB216C" w:rsidRPr="00484AE9">
              <w:rPr>
                <w:rFonts w:eastAsia="Times New Roman"/>
                <w:szCs w:val="20"/>
              </w:rPr>
              <w:instrText xml:space="preserve"> FORMCHECKBOX </w:instrText>
            </w:r>
            <w:r w:rsidR="00872657">
              <w:rPr>
                <w:rFonts w:eastAsia="Times New Roman"/>
                <w:szCs w:val="20"/>
              </w:rPr>
            </w:r>
            <w:r w:rsidR="00872657">
              <w:rPr>
                <w:rFonts w:eastAsia="Times New Roman"/>
                <w:szCs w:val="20"/>
              </w:rPr>
              <w:fldChar w:fldCharType="separate"/>
            </w:r>
            <w:r w:rsidR="00FB216C" w:rsidRPr="00484AE9">
              <w:rPr>
                <w:rFonts w:eastAsia="Times New Roman"/>
                <w:szCs w:val="20"/>
              </w:rPr>
              <w:fldChar w:fldCharType="end"/>
            </w:r>
            <w:r w:rsidRPr="00484AE9">
              <w:rPr>
                <w:rFonts w:eastAsia="Times New Roman"/>
                <w:szCs w:val="20"/>
              </w:rPr>
              <w:t xml:space="preserve">Authority Required (STREAMLINED) </w:t>
            </w:r>
          </w:p>
        </w:tc>
      </w:tr>
      <w:tr w:rsidR="008B6130" w:rsidRPr="00484AE9" w14:paraId="5BFE3347" w14:textId="77777777" w:rsidTr="003C7BFF">
        <w:trPr>
          <w:trHeight w:val="20"/>
        </w:trPr>
        <w:tc>
          <w:tcPr>
            <w:tcW w:w="5000" w:type="pct"/>
            <w:vAlign w:val="center"/>
            <w:hideMark/>
          </w:tcPr>
          <w:p w14:paraId="3296BDDA" w14:textId="766D3C2C" w:rsidR="003A4C14" w:rsidRPr="00484AE9" w:rsidRDefault="003A4C14" w:rsidP="003C7BFF">
            <w:pPr>
              <w:pStyle w:val="TableText0"/>
              <w:keepNext w:val="0"/>
              <w:rPr>
                <w:szCs w:val="20"/>
              </w:rPr>
            </w:pPr>
            <w:r w:rsidRPr="00484AE9">
              <w:rPr>
                <w:b/>
                <w:szCs w:val="20"/>
              </w:rPr>
              <w:t>Indication:</w:t>
            </w:r>
            <w:r w:rsidR="004D345F" w:rsidRPr="00484AE9">
              <w:rPr>
                <w:szCs w:val="20"/>
              </w:rPr>
              <w:t xml:space="preserve"> </w:t>
            </w:r>
            <w:r w:rsidR="004D345F" w:rsidRPr="00484AE9">
              <w:rPr>
                <w:bCs w:val="0"/>
                <w:szCs w:val="20"/>
              </w:rPr>
              <w:t>SARS-CoV-2 infection</w:t>
            </w:r>
          </w:p>
        </w:tc>
      </w:tr>
      <w:tr w:rsidR="008B6130" w:rsidRPr="00484AE9" w14:paraId="3ABBD2EC" w14:textId="77777777" w:rsidTr="003C7BFF">
        <w:trPr>
          <w:trHeight w:val="20"/>
        </w:trPr>
        <w:tc>
          <w:tcPr>
            <w:tcW w:w="5000" w:type="pct"/>
            <w:vAlign w:val="center"/>
            <w:hideMark/>
          </w:tcPr>
          <w:p w14:paraId="5D485398" w14:textId="77777777" w:rsidR="003A4C14" w:rsidRPr="00484AE9" w:rsidRDefault="003A4C14" w:rsidP="003C7BFF">
            <w:pPr>
              <w:pStyle w:val="TableText0"/>
              <w:keepNext w:val="0"/>
              <w:rPr>
                <w:szCs w:val="20"/>
              </w:rPr>
            </w:pPr>
            <w:r w:rsidRPr="00484AE9">
              <w:rPr>
                <w:b/>
                <w:szCs w:val="20"/>
              </w:rPr>
              <w:t>Clinical criteria:</w:t>
            </w:r>
          </w:p>
        </w:tc>
      </w:tr>
      <w:tr w:rsidR="008B6130" w:rsidRPr="00484AE9" w14:paraId="26BA494C" w14:textId="77777777" w:rsidTr="003C7BFF">
        <w:trPr>
          <w:trHeight w:val="20"/>
        </w:trPr>
        <w:tc>
          <w:tcPr>
            <w:tcW w:w="5000" w:type="pct"/>
            <w:vAlign w:val="center"/>
            <w:hideMark/>
          </w:tcPr>
          <w:p w14:paraId="07CE72F7" w14:textId="77777777" w:rsidR="00A819A0" w:rsidRDefault="007B6BA5" w:rsidP="003C7BFF">
            <w:pPr>
              <w:pStyle w:val="TableText0"/>
              <w:keepNext w:val="0"/>
              <w:rPr>
                <w:rFonts w:cs="Arial"/>
                <w:szCs w:val="20"/>
              </w:rPr>
            </w:pPr>
            <w:r w:rsidRPr="00484AE9">
              <w:rPr>
                <w:rFonts w:cs="Arial"/>
                <w:szCs w:val="20"/>
              </w:rPr>
              <w:t xml:space="preserve">Patient must have received a positive polymerase chain reaction (PCR) test result; </w:t>
            </w:r>
            <w:r w:rsidR="00D87886" w:rsidRPr="00484AE9">
              <w:rPr>
                <w:rFonts w:cs="Arial"/>
                <w:szCs w:val="20"/>
              </w:rPr>
              <w:t>OR</w:t>
            </w:r>
            <w:r w:rsidR="00696519" w:rsidRPr="00696519">
              <w:rPr>
                <w:rFonts w:cs="Arial"/>
                <w:szCs w:val="20"/>
              </w:rPr>
              <w:t xml:space="preserve">                          </w:t>
            </w:r>
            <w:r w:rsidRPr="00484AE9">
              <w:rPr>
                <w:rFonts w:cs="Arial"/>
                <w:szCs w:val="20"/>
              </w:rPr>
              <w:t xml:space="preserve"> </w:t>
            </w:r>
          </w:p>
          <w:p w14:paraId="1A0AADCD" w14:textId="5B989664" w:rsidR="003A4C14" w:rsidRPr="00484AE9" w:rsidRDefault="007B6BA5" w:rsidP="003C7BFF">
            <w:pPr>
              <w:pStyle w:val="TableText0"/>
              <w:keepNext w:val="0"/>
              <w:rPr>
                <w:szCs w:val="20"/>
              </w:rPr>
            </w:pPr>
            <w:r w:rsidRPr="00484AE9">
              <w:rPr>
                <w:rFonts w:cs="Arial"/>
                <w:szCs w:val="20"/>
              </w:rPr>
              <w:t>Patient must have received a positive rapid antigen test (RAT) result</w:t>
            </w:r>
          </w:p>
        </w:tc>
      </w:tr>
      <w:tr w:rsidR="008B6130" w:rsidRPr="00484AE9" w14:paraId="1541981C" w14:textId="77777777" w:rsidTr="003C7BFF">
        <w:trPr>
          <w:trHeight w:val="20"/>
        </w:trPr>
        <w:tc>
          <w:tcPr>
            <w:tcW w:w="5000" w:type="pct"/>
            <w:vAlign w:val="center"/>
            <w:hideMark/>
          </w:tcPr>
          <w:p w14:paraId="6F3D1453" w14:textId="77777777" w:rsidR="003A4C14" w:rsidRPr="00484AE9" w:rsidRDefault="003A4C14" w:rsidP="003C7BFF">
            <w:pPr>
              <w:pStyle w:val="TableText0"/>
              <w:keepNext w:val="0"/>
              <w:rPr>
                <w:szCs w:val="20"/>
              </w:rPr>
            </w:pPr>
            <w:r w:rsidRPr="00484AE9">
              <w:rPr>
                <w:b/>
                <w:szCs w:val="20"/>
              </w:rPr>
              <w:t>AND</w:t>
            </w:r>
          </w:p>
        </w:tc>
      </w:tr>
      <w:tr w:rsidR="008B6130" w:rsidRPr="00484AE9" w14:paraId="1096E289" w14:textId="77777777" w:rsidTr="003C7BFF">
        <w:trPr>
          <w:trHeight w:val="20"/>
        </w:trPr>
        <w:tc>
          <w:tcPr>
            <w:tcW w:w="5000" w:type="pct"/>
            <w:vAlign w:val="center"/>
            <w:hideMark/>
          </w:tcPr>
          <w:p w14:paraId="16929626" w14:textId="709A9DB0" w:rsidR="003A4C14" w:rsidRPr="00484AE9" w:rsidRDefault="00957F2D" w:rsidP="003C7BFF">
            <w:pPr>
              <w:pStyle w:val="TableText0"/>
              <w:keepNext w:val="0"/>
              <w:rPr>
                <w:szCs w:val="20"/>
              </w:rPr>
            </w:pPr>
            <w:r w:rsidRPr="00484AE9">
              <w:rPr>
                <w:rFonts w:cs="Arial"/>
                <w:szCs w:val="20"/>
              </w:rPr>
              <w:t>Patient must have at least one sign or symptom attributable to COVID-19</w:t>
            </w:r>
          </w:p>
        </w:tc>
      </w:tr>
      <w:tr w:rsidR="008B6130" w:rsidRPr="00484AE9" w14:paraId="5FE793D4" w14:textId="77777777" w:rsidTr="003C7BFF">
        <w:trPr>
          <w:trHeight w:val="20"/>
        </w:trPr>
        <w:tc>
          <w:tcPr>
            <w:tcW w:w="5000" w:type="pct"/>
            <w:vAlign w:val="center"/>
          </w:tcPr>
          <w:p w14:paraId="508D8301" w14:textId="276EF800" w:rsidR="00944AF5" w:rsidRPr="00484AE9" w:rsidRDefault="00944AF5" w:rsidP="003C7BFF">
            <w:pPr>
              <w:pStyle w:val="TableText0"/>
              <w:keepNext w:val="0"/>
              <w:rPr>
                <w:rFonts w:cs="Arial"/>
                <w:szCs w:val="20"/>
              </w:rPr>
            </w:pPr>
            <w:r w:rsidRPr="00484AE9">
              <w:rPr>
                <w:b/>
                <w:szCs w:val="20"/>
              </w:rPr>
              <w:t>AND</w:t>
            </w:r>
          </w:p>
        </w:tc>
      </w:tr>
      <w:tr w:rsidR="008B6130" w:rsidRPr="00484AE9" w14:paraId="5076D08C" w14:textId="77777777" w:rsidTr="003C7BFF">
        <w:trPr>
          <w:trHeight w:val="20"/>
        </w:trPr>
        <w:tc>
          <w:tcPr>
            <w:tcW w:w="5000" w:type="pct"/>
            <w:vAlign w:val="center"/>
          </w:tcPr>
          <w:p w14:paraId="1F45B67E" w14:textId="6BD73B21" w:rsidR="00944AF5" w:rsidRPr="00484AE9" w:rsidRDefault="00944AF5" w:rsidP="003C7BFF">
            <w:pPr>
              <w:pStyle w:val="TableText0"/>
              <w:keepNext w:val="0"/>
              <w:rPr>
                <w:rFonts w:cs="Arial"/>
                <w:szCs w:val="20"/>
              </w:rPr>
            </w:pPr>
            <w:r w:rsidRPr="00484AE9">
              <w:rPr>
                <w:rFonts w:cs="Arial"/>
                <w:szCs w:val="20"/>
              </w:rPr>
              <w:t>Patient must not require hospitalisation for COVID-19 infection at the time of prescribing</w:t>
            </w:r>
          </w:p>
        </w:tc>
      </w:tr>
      <w:tr w:rsidR="008B6130" w:rsidRPr="00484AE9" w14:paraId="0FA94560" w14:textId="77777777" w:rsidTr="003C7BFF">
        <w:trPr>
          <w:trHeight w:val="20"/>
        </w:trPr>
        <w:tc>
          <w:tcPr>
            <w:tcW w:w="5000" w:type="pct"/>
            <w:vAlign w:val="center"/>
          </w:tcPr>
          <w:p w14:paraId="792B5D5A" w14:textId="29B0A5A8" w:rsidR="00944AF5" w:rsidRPr="00484AE9" w:rsidRDefault="001D6E6D" w:rsidP="003C7BFF">
            <w:pPr>
              <w:pStyle w:val="TableText0"/>
              <w:keepNext w:val="0"/>
              <w:rPr>
                <w:rFonts w:cs="Arial"/>
                <w:szCs w:val="20"/>
              </w:rPr>
            </w:pPr>
            <w:r w:rsidRPr="00484AE9">
              <w:rPr>
                <w:b/>
                <w:szCs w:val="20"/>
              </w:rPr>
              <w:t>AND</w:t>
            </w:r>
          </w:p>
        </w:tc>
      </w:tr>
      <w:tr w:rsidR="008B6130" w:rsidRPr="00484AE9" w14:paraId="2331BB4E" w14:textId="77777777" w:rsidTr="003C7BFF">
        <w:trPr>
          <w:trHeight w:val="20"/>
        </w:trPr>
        <w:tc>
          <w:tcPr>
            <w:tcW w:w="5000" w:type="pct"/>
            <w:vAlign w:val="center"/>
          </w:tcPr>
          <w:p w14:paraId="7CD219B9" w14:textId="4121A7B8" w:rsidR="00944AF5" w:rsidRPr="00484AE9" w:rsidRDefault="0011652A" w:rsidP="003C7BFF">
            <w:pPr>
              <w:pStyle w:val="TableText0"/>
              <w:keepNext w:val="0"/>
              <w:rPr>
                <w:rFonts w:cs="Arial"/>
                <w:szCs w:val="20"/>
              </w:rPr>
            </w:pPr>
            <w:r w:rsidRPr="00484AE9">
              <w:rPr>
                <w:rFonts w:cs="Arial"/>
                <w:szCs w:val="20"/>
              </w:rPr>
              <w:t>The treatment must be initiated within 5 days of symptom onset</w:t>
            </w:r>
          </w:p>
        </w:tc>
      </w:tr>
      <w:tr w:rsidR="008B6130" w:rsidRPr="00484AE9" w14:paraId="1E0CC9FB" w14:textId="77777777" w:rsidTr="003C7BFF">
        <w:trPr>
          <w:trHeight w:val="20"/>
        </w:trPr>
        <w:tc>
          <w:tcPr>
            <w:tcW w:w="5000" w:type="pct"/>
            <w:vAlign w:val="center"/>
            <w:hideMark/>
          </w:tcPr>
          <w:p w14:paraId="6E11057F" w14:textId="3A94775D" w:rsidR="00944AF5" w:rsidRPr="00484AE9" w:rsidRDefault="003E1C86" w:rsidP="003C7BFF">
            <w:pPr>
              <w:pStyle w:val="TableText0"/>
              <w:keepNext w:val="0"/>
              <w:rPr>
                <w:szCs w:val="20"/>
              </w:rPr>
            </w:pPr>
            <w:r w:rsidRPr="00484AE9">
              <w:rPr>
                <w:b/>
                <w:szCs w:val="20"/>
              </w:rPr>
              <w:t>Population criteria:</w:t>
            </w:r>
          </w:p>
        </w:tc>
      </w:tr>
      <w:tr w:rsidR="008B6130" w:rsidRPr="00484AE9" w14:paraId="4FE3145F" w14:textId="77777777" w:rsidTr="003C7BFF">
        <w:trPr>
          <w:trHeight w:val="20"/>
        </w:trPr>
        <w:tc>
          <w:tcPr>
            <w:tcW w:w="5000" w:type="pct"/>
            <w:vAlign w:val="center"/>
          </w:tcPr>
          <w:p w14:paraId="5F260037" w14:textId="77777777" w:rsidR="000C63E4" w:rsidRPr="00484AE9" w:rsidRDefault="000C63E4" w:rsidP="003C7BFF">
            <w:pPr>
              <w:autoSpaceDE w:val="0"/>
              <w:autoSpaceDN w:val="0"/>
              <w:adjustRightInd w:val="0"/>
              <w:rPr>
                <w:rFonts w:ascii="Arial Narrow" w:hAnsi="Arial Narrow"/>
                <w:sz w:val="20"/>
                <w:szCs w:val="20"/>
              </w:rPr>
            </w:pPr>
            <w:r w:rsidRPr="00484AE9">
              <w:rPr>
                <w:rFonts w:ascii="Arial Narrow" w:hAnsi="Arial Narrow"/>
                <w:sz w:val="20"/>
                <w:szCs w:val="20"/>
              </w:rPr>
              <w:t>Patient must be at high risk of requiring hospitalisation for COVID-19 infection</w:t>
            </w:r>
          </w:p>
        </w:tc>
      </w:tr>
      <w:tr w:rsidR="008B6130" w:rsidRPr="00484AE9" w14:paraId="27D5FE8C" w14:textId="77777777" w:rsidTr="003C7BFF">
        <w:trPr>
          <w:trHeight w:val="20"/>
        </w:trPr>
        <w:tc>
          <w:tcPr>
            <w:tcW w:w="5000" w:type="pct"/>
            <w:vAlign w:val="center"/>
          </w:tcPr>
          <w:p w14:paraId="7AAF0815" w14:textId="1BB7A74B" w:rsidR="00251F95" w:rsidRPr="00484AE9" w:rsidRDefault="004A65C9" w:rsidP="003C7BFF">
            <w:pPr>
              <w:autoSpaceDE w:val="0"/>
              <w:autoSpaceDN w:val="0"/>
              <w:adjustRightInd w:val="0"/>
              <w:rPr>
                <w:rFonts w:ascii="Arial Narrow" w:hAnsi="Arial Narrow"/>
                <w:b/>
                <w:bCs/>
                <w:sz w:val="20"/>
                <w:szCs w:val="20"/>
              </w:rPr>
            </w:pPr>
            <w:r w:rsidRPr="00484AE9">
              <w:rPr>
                <w:rFonts w:ascii="Arial Narrow" w:hAnsi="Arial Narrow"/>
                <w:b/>
                <w:bCs/>
                <w:sz w:val="20"/>
                <w:szCs w:val="20"/>
              </w:rPr>
              <w:t>AND</w:t>
            </w:r>
          </w:p>
        </w:tc>
      </w:tr>
      <w:tr w:rsidR="008B6130" w:rsidRPr="00484AE9" w14:paraId="331C8AF3" w14:textId="77777777" w:rsidTr="003C7BFF">
        <w:trPr>
          <w:trHeight w:val="20"/>
        </w:trPr>
        <w:tc>
          <w:tcPr>
            <w:tcW w:w="5000" w:type="pct"/>
            <w:vAlign w:val="center"/>
            <w:hideMark/>
          </w:tcPr>
          <w:p w14:paraId="19AEE642" w14:textId="32A61A18" w:rsidR="000C63E4" w:rsidRPr="00484AE9" w:rsidRDefault="000C63E4" w:rsidP="003C7BFF">
            <w:pPr>
              <w:autoSpaceDE w:val="0"/>
              <w:autoSpaceDN w:val="0"/>
              <w:adjustRightInd w:val="0"/>
              <w:rPr>
                <w:rFonts w:ascii="Arial Narrow" w:hAnsi="Arial Narrow"/>
                <w:sz w:val="20"/>
                <w:szCs w:val="20"/>
              </w:rPr>
            </w:pPr>
            <w:r w:rsidRPr="00484AE9">
              <w:rPr>
                <w:rFonts w:ascii="Arial Narrow" w:hAnsi="Arial Narrow"/>
                <w:sz w:val="20"/>
                <w:szCs w:val="20"/>
              </w:rPr>
              <w:t xml:space="preserve">Patient must be at least </w:t>
            </w:r>
            <w:r w:rsidR="00AB50AE" w:rsidRPr="00484AE9">
              <w:rPr>
                <w:rFonts w:ascii="Arial Narrow" w:hAnsi="Arial Narrow"/>
                <w:sz w:val="20"/>
                <w:szCs w:val="20"/>
              </w:rPr>
              <w:t xml:space="preserve">50 </w:t>
            </w:r>
            <w:r w:rsidRPr="00484AE9">
              <w:rPr>
                <w:rFonts w:ascii="Arial Narrow" w:hAnsi="Arial Narrow"/>
                <w:sz w:val="20"/>
                <w:szCs w:val="20"/>
              </w:rPr>
              <w:t xml:space="preserve">years old, but not older than </w:t>
            </w:r>
            <w:r w:rsidR="00AB50AE" w:rsidRPr="00484AE9">
              <w:rPr>
                <w:rFonts w:ascii="Arial Narrow" w:hAnsi="Arial Narrow"/>
                <w:sz w:val="20"/>
                <w:szCs w:val="20"/>
              </w:rPr>
              <w:t xml:space="preserve">60 </w:t>
            </w:r>
            <w:r w:rsidRPr="00484AE9">
              <w:rPr>
                <w:rFonts w:ascii="Arial Narrow" w:hAnsi="Arial Narrow"/>
                <w:sz w:val="20"/>
                <w:szCs w:val="20"/>
              </w:rPr>
              <w:t>years; or</w:t>
            </w:r>
          </w:p>
          <w:p w14:paraId="65C43470" w14:textId="0A684239" w:rsidR="000C63E4" w:rsidRPr="00484AE9" w:rsidRDefault="000C63E4" w:rsidP="003C7BFF">
            <w:pPr>
              <w:autoSpaceDE w:val="0"/>
              <w:autoSpaceDN w:val="0"/>
              <w:adjustRightInd w:val="0"/>
              <w:rPr>
                <w:rFonts w:ascii="Arial Narrow" w:hAnsi="Arial Narrow"/>
                <w:sz w:val="20"/>
                <w:szCs w:val="20"/>
              </w:rPr>
            </w:pPr>
            <w:r w:rsidRPr="00484AE9">
              <w:rPr>
                <w:rFonts w:ascii="Arial Narrow" w:hAnsi="Arial Narrow"/>
                <w:sz w:val="20"/>
                <w:szCs w:val="20"/>
              </w:rPr>
              <w:lastRenderedPageBreak/>
              <w:t xml:space="preserve">Patient must be at least </w:t>
            </w:r>
            <w:r w:rsidR="00AB50AE" w:rsidRPr="00484AE9">
              <w:rPr>
                <w:rFonts w:ascii="Arial Narrow" w:hAnsi="Arial Narrow"/>
                <w:sz w:val="20"/>
                <w:szCs w:val="20"/>
              </w:rPr>
              <w:t xml:space="preserve">60 </w:t>
            </w:r>
            <w:r w:rsidRPr="00484AE9">
              <w:rPr>
                <w:rFonts w:ascii="Arial Narrow" w:hAnsi="Arial Narrow"/>
                <w:sz w:val="20"/>
                <w:szCs w:val="20"/>
              </w:rPr>
              <w:t xml:space="preserve">years old, but not older than </w:t>
            </w:r>
            <w:r w:rsidR="00AB50AE" w:rsidRPr="00484AE9">
              <w:rPr>
                <w:rFonts w:ascii="Arial Narrow" w:hAnsi="Arial Narrow"/>
                <w:sz w:val="20"/>
                <w:szCs w:val="20"/>
              </w:rPr>
              <w:t xml:space="preserve">70 </w:t>
            </w:r>
            <w:r w:rsidRPr="00484AE9">
              <w:rPr>
                <w:rFonts w:ascii="Arial Narrow" w:hAnsi="Arial Narrow"/>
                <w:sz w:val="20"/>
                <w:szCs w:val="20"/>
              </w:rPr>
              <w:t>years</w:t>
            </w:r>
          </w:p>
        </w:tc>
      </w:tr>
      <w:tr w:rsidR="008B6130" w:rsidRPr="00484AE9" w14:paraId="36CE7905" w14:textId="77777777" w:rsidTr="003C7BFF">
        <w:trPr>
          <w:trHeight w:val="20"/>
        </w:trPr>
        <w:tc>
          <w:tcPr>
            <w:tcW w:w="5000" w:type="pct"/>
            <w:vAlign w:val="center"/>
            <w:hideMark/>
          </w:tcPr>
          <w:p w14:paraId="47C4EFC5" w14:textId="77777777" w:rsidR="00ED728B" w:rsidRPr="00484AE9" w:rsidRDefault="00944AF5" w:rsidP="003C7BFF">
            <w:pPr>
              <w:pStyle w:val="TableText0"/>
              <w:keepNext w:val="0"/>
              <w:rPr>
                <w:b/>
                <w:szCs w:val="20"/>
              </w:rPr>
            </w:pPr>
            <w:r w:rsidRPr="00484AE9">
              <w:rPr>
                <w:b/>
                <w:szCs w:val="20"/>
              </w:rPr>
              <w:lastRenderedPageBreak/>
              <w:t xml:space="preserve">Prescribing Instructions: </w:t>
            </w:r>
          </w:p>
          <w:p w14:paraId="74BC26AA" w14:textId="77777777" w:rsidR="00ED728B" w:rsidRPr="00484AE9" w:rsidRDefault="00ED728B" w:rsidP="003C7BFF">
            <w:pPr>
              <w:pStyle w:val="TableText0"/>
              <w:keepNext w:val="0"/>
              <w:rPr>
                <w:szCs w:val="20"/>
              </w:rPr>
            </w:pPr>
            <w:r w:rsidRPr="00484AE9">
              <w:rPr>
                <w:szCs w:val="20"/>
              </w:rPr>
              <w:t>For the purpose of administering this restriction, high risk is defined as the presence of at least one of the following conditions:</w:t>
            </w:r>
          </w:p>
          <w:p w14:paraId="174B6128" w14:textId="5C1D826B" w:rsidR="00ED728B" w:rsidRPr="00484AE9" w:rsidRDefault="00ED728B" w:rsidP="003C7BFF">
            <w:pPr>
              <w:pStyle w:val="TableText0"/>
              <w:keepNext w:val="0"/>
              <w:ind w:left="306" w:hanging="306"/>
              <w:rPr>
                <w:szCs w:val="20"/>
              </w:rPr>
            </w:pPr>
            <w:r w:rsidRPr="00484AE9">
              <w:rPr>
                <w:szCs w:val="20"/>
              </w:rPr>
              <w:t xml:space="preserve">1. </w:t>
            </w:r>
            <w:r w:rsidR="00F51F59" w:rsidRPr="00484AE9">
              <w:rPr>
                <w:szCs w:val="20"/>
              </w:rPr>
              <w:tab/>
            </w:r>
            <w:r w:rsidRPr="00484AE9">
              <w:rPr>
                <w:szCs w:val="20"/>
              </w:rPr>
              <w:t>The patient is in residential aged care</w:t>
            </w:r>
          </w:p>
          <w:p w14:paraId="067A7821" w14:textId="732139A1" w:rsidR="00ED728B" w:rsidRPr="00484AE9" w:rsidRDefault="00ED728B" w:rsidP="003C7BFF">
            <w:pPr>
              <w:pStyle w:val="TableText0"/>
              <w:keepNext w:val="0"/>
              <w:ind w:left="306" w:hanging="306"/>
              <w:rPr>
                <w:szCs w:val="20"/>
              </w:rPr>
            </w:pPr>
            <w:r w:rsidRPr="00484AE9">
              <w:rPr>
                <w:szCs w:val="20"/>
              </w:rPr>
              <w:t xml:space="preserve">2. </w:t>
            </w:r>
            <w:r w:rsidR="00F51F59" w:rsidRPr="00484AE9">
              <w:rPr>
                <w:szCs w:val="20"/>
              </w:rPr>
              <w:tab/>
            </w:r>
            <w:r w:rsidRPr="00484AE9">
              <w:rPr>
                <w:szCs w:val="20"/>
              </w:rPr>
              <w:t>The patient has disability with multiple comorbidities and/or frailty</w:t>
            </w:r>
          </w:p>
          <w:p w14:paraId="15532C19" w14:textId="5CACD1DE" w:rsidR="00ED728B" w:rsidRPr="00484AE9" w:rsidRDefault="00ED728B" w:rsidP="003C7BFF">
            <w:pPr>
              <w:pStyle w:val="TableText0"/>
              <w:keepNext w:val="0"/>
              <w:ind w:left="306" w:hanging="306"/>
              <w:rPr>
                <w:szCs w:val="20"/>
              </w:rPr>
            </w:pPr>
            <w:r w:rsidRPr="00484AE9">
              <w:rPr>
                <w:szCs w:val="20"/>
              </w:rPr>
              <w:t xml:space="preserve">3. </w:t>
            </w:r>
            <w:r w:rsidR="00F51F59" w:rsidRPr="00484AE9">
              <w:rPr>
                <w:szCs w:val="20"/>
              </w:rPr>
              <w:tab/>
            </w:r>
            <w:r w:rsidRPr="00484AE9">
              <w:rPr>
                <w:szCs w:val="20"/>
              </w:rPr>
              <w:t>Neurological conditions, including stroke and dementia and demyelinating conditions</w:t>
            </w:r>
          </w:p>
          <w:p w14:paraId="5D271AB8" w14:textId="6CFC1F91" w:rsidR="00ED728B" w:rsidRPr="00484AE9" w:rsidRDefault="00ED728B" w:rsidP="003C7BFF">
            <w:pPr>
              <w:pStyle w:val="TableText0"/>
              <w:keepNext w:val="0"/>
              <w:ind w:left="306" w:hanging="306"/>
              <w:rPr>
                <w:szCs w:val="20"/>
              </w:rPr>
            </w:pPr>
            <w:r w:rsidRPr="00484AE9">
              <w:rPr>
                <w:szCs w:val="20"/>
              </w:rPr>
              <w:t xml:space="preserve">4. </w:t>
            </w:r>
            <w:r w:rsidR="00F51F59" w:rsidRPr="00484AE9">
              <w:rPr>
                <w:szCs w:val="20"/>
              </w:rPr>
              <w:tab/>
            </w:r>
            <w:r w:rsidRPr="00484AE9">
              <w:rPr>
                <w:szCs w:val="20"/>
              </w:rPr>
              <w:t>Respiratory compromise, including COPD, moderate or severe asthma (required inhaled steroids), and bronchiectasis, or caused by neurological or musculoskeletal disease</w:t>
            </w:r>
          </w:p>
          <w:p w14:paraId="64784691" w14:textId="1F53E96D" w:rsidR="00ED728B" w:rsidRPr="00484AE9" w:rsidRDefault="00ED728B" w:rsidP="003C7BFF">
            <w:pPr>
              <w:pStyle w:val="TableText0"/>
              <w:keepNext w:val="0"/>
              <w:ind w:left="306" w:hanging="306"/>
              <w:rPr>
                <w:szCs w:val="20"/>
              </w:rPr>
            </w:pPr>
            <w:r w:rsidRPr="00484AE9">
              <w:rPr>
                <w:szCs w:val="20"/>
              </w:rPr>
              <w:t xml:space="preserve">5. </w:t>
            </w:r>
            <w:r w:rsidR="00F51F59" w:rsidRPr="00484AE9">
              <w:rPr>
                <w:szCs w:val="20"/>
              </w:rPr>
              <w:tab/>
            </w:r>
            <w:r w:rsidRPr="00484AE9">
              <w:rPr>
                <w:szCs w:val="20"/>
              </w:rPr>
              <w:t>Heart failure, coronary artery disease, cardiomyopathies</w:t>
            </w:r>
          </w:p>
          <w:p w14:paraId="03DEAFEF" w14:textId="712EB5DD" w:rsidR="00ED728B" w:rsidRPr="00484AE9" w:rsidRDefault="00ED728B" w:rsidP="003C7BFF">
            <w:pPr>
              <w:pStyle w:val="TableText0"/>
              <w:keepNext w:val="0"/>
              <w:ind w:left="306" w:hanging="306"/>
              <w:rPr>
                <w:szCs w:val="20"/>
              </w:rPr>
            </w:pPr>
            <w:r w:rsidRPr="00484AE9">
              <w:rPr>
                <w:szCs w:val="20"/>
              </w:rPr>
              <w:t xml:space="preserve">6. </w:t>
            </w:r>
            <w:r w:rsidR="00F51F59" w:rsidRPr="00484AE9">
              <w:rPr>
                <w:szCs w:val="20"/>
              </w:rPr>
              <w:tab/>
            </w:r>
            <w:r w:rsidRPr="00484AE9">
              <w:rPr>
                <w:szCs w:val="20"/>
              </w:rPr>
              <w:t>Obesity (BMI greater than 30 kg/m2)</w:t>
            </w:r>
          </w:p>
          <w:p w14:paraId="33549FE2" w14:textId="2803D320" w:rsidR="00ED728B" w:rsidRPr="00484AE9" w:rsidRDefault="00ED728B" w:rsidP="003C7BFF">
            <w:pPr>
              <w:pStyle w:val="TableText0"/>
              <w:keepNext w:val="0"/>
              <w:ind w:left="306" w:hanging="306"/>
              <w:rPr>
                <w:szCs w:val="20"/>
              </w:rPr>
            </w:pPr>
            <w:r w:rsidRPr="00484AE9">
              <w:rPr>
                <w:szCs w:val="20"/>
              </w:rPr>
              <w:t xml:space="preserve">7. </w:t>
            </w:r>
            <w:r w:rsidR="00F51F59" w:rsidRPr="00484AE9">
              <w:rPr>
                <w:szCs w:val="20"/>
              </w:rPr>
              <w:tab/>
            </w:r>
            <w:r w:rsidRPr="00484AE9">
              <w:rPr>
                <w:szCs w:val="20"/>
              </w:rPr>
              <w:t>Diabetes type I or II, requiring medication for glycaemic control</w:t>
            </w:r>
          </w:p>
          <w:p w14:paraId="529FFBCA" w14:textId="35C74592" w:rsidR="00ED728B" w:rsidRPr="00484AE9" w:rsidRDefault="00ED728B" w:rsidP="003C7BFF">
            <w:pPr>
              <w:pStyle w:val="TableText0"/>
              <w:keepNext w:val="0"/>
              <w:ind w:left="306" w:hanging="306"/>
              <w:rPr>
                <w:szCs w:val="20"/>
              </w:rPr>
            </w:pPr>
            <w:r w:rsidRPr="00484AE9">
              <w:rPr>
                <w:szCs w:val="20"/>
              </w:rPr>
              <w:t xml:space="preserve">8. </w:t>
            </w:r>
            <w:r w:rsidR="00F51F59" w:rsidRPr="00484AE9">
              <w:rPr>
                <w:szCs w:val="20"/>
              </w:rPr>
              <w:tab/>
            </w:r>
            <w:r w:rsidRPr="00484AE9">
              <w:rPr>
                <w:szCs w:val="20"/>
              </w:rPr>
              <w:t>Renal impairment (eGFR less than 60mL/min)</w:t>
            </w:r>
          </w:p>
          <w:p w14:paraId="240212D3" w14:textId="38C4CECD" w:rsidR="00ED728B" w:rsidRPr="00484AE9" w:rsidRDefault="00ED728B" w:rsidP="003C7BFF">
            <w:pPr>
              <w:pStyle w:val="TableText0"/>
              <w:keepNext w:val="0"/>
              <w:ind w:left="306" w:hanging="306"/>
              <w:rPr>
                <w:szCs w:val="20"/>
              </w:rPr>
            </w:pPr>
            <w:r w:rsidRPr="00484AE9">
              <w:rPr>
                <w:szCs w:val="20"/>
              </w:rPr>
              <w:t xml:space="preserve">9. </w:t>
            </w:r>
            <w:r w:rsidR="00F51F59" w:rsidRPr="00484AE9">
              <w:rPr>
                <w:szCs w:val="20"/>
              </w:rPr>
              <w:tab/>
            </w:r>
            <w:r w:rsidRPr="00484AE9">
              <w:rPr>
                <w:szCs w:val="20"/>
              </w:rPr>
              <w:t>Cirrhosis</w:t>
            </w:r>
          </w:p>
          <w:p w14:paraId="4DB9BC30" w14:textId="0176DF46" w:rsidR="00ED728B" w:rsidRPr="00484AE9" w:rsidRDefault="00ED728B" w:rsidP="003C7BFF">
            <w:pPr>
              <w:pStyle w:val="TableText0"/>
              <w:keepNext w:val="0"/>
              <w:ind w:left="306" w:hanging="306"/>
              <w:rPr>
                <w:szCs w:val="20"/>
              </w:rPr>
            </w:pPr>
            <w:r w:rsidRPr="00484AE9">
              <w:rPr>
                <w:szCs w:val="20"/>
              </w:rPr>
              <w:t>10.</w:t>
            </w:r>
            <w:r w:rsidR="00F51F59" w:rsidRPr="00484AE9">
              <w:rPr>
                <w:szCs w:val="20"/>
              </w:rPr>
              <w:tab/>
            </w:r>
            <w:r w:rsidRPr="00484AE9">
              <w:rPr>
                <w:szCs w:val="20"/>
              </w:rPr>
              <w:t>The patient has reduced, or lack of, access to higher level healthcare and lives in an area of geographic remoteness classified by the Modified Monash Model as Category 5 or above</w:t>
            </w:r>
          </w:p>
          <w:p w14:paraId="56FB00F2" w14:textId="2E2717C8" w:rsidR="00ED728B" w:rsidRPr="00484AE9" w:rsidRDefault="00ED728B" w:rsidP="003C7BFF">
            <w:pPr>
              <w:pStyle w:val="TableText0"/>
              <w:keepNext w:val="0"/>
              <w:ind w:left="306" w:hanging="306"/>
              <w:rPr>
                <w:szCs w:val="20"/>
              </w:rPr>
            </w:pPr>
            <w:r w:rsidRPr="00484AE9">
              <w:rPr>
                <w:szCs w:val="20"/>
              </w:rPr>
              <w:t>11.</w:t>
            </w:r>
            <w:r w:rsidR="00F51F59" w:rsidRPr="00484AE9">
              <w:rPr>
                <w:szCs w:val="20"/>
              </w:rPr>
              <w:tab/>
            </w:r>
            <w:r w:rsidRPr="00484AE9">
              <w:rPr>
                <w:szCs w:val="20"/>
              </w:rPr>
              <w:t>Past COVID-19 infection episode resulting in hospitalisation.</w:t>
            </w:r>
          </w:p>
          <w:p w14:paraId="60F20051" w14:textId="77777777" w:rsidR="00ED728B" w:rsidRPr="00484AE9" w:rsidRDefault="00ED728B" w:rsidP="003C7BFF">
            <w:pPr>
              <w:pStyle w:val="TableText0"/>
              <w:keepNext w:val="0"/>
              <w:rPr>
                <w:szCs w:val="20"/>
              </w:rPr>
            </w:pPr>
            <w:r w:rsidRPr="00484AE9">
              <w:rPr>
                <w:szCs w:val="20"/>
              </w:rPr>
              <w:t>Details of the patient's medical condition necessitating use of this drug must be recorded in the patient's medical records.</w:t>
            </w:r>
          </w:p>
          <w:p w14:paraId="3F0314F1" w14:textId="77777777" w:rsidR="00ED728B" w:rsidRPr="00484AE9" w:rsidRDefault="00ED728B" w:rsidP="003C7BFF">
            <w:pPr>
              <w:pStyle w:val="TableText0"/>
              <w:keepNext w:val="0"/>
              <w:rPr>
                <w:szCs w:val="20"/>
              </w:rPr>
            </w:pPr>
          </w:p>
          <w:p w14:paraId="74474281" w14:textId="77777777" w:rsidR="00ED728B" w:rsidRPr="00484AE9" w:rsidRDefault="00ED728B" w:rsidP="003C7BFF">
            <w:pPr>
              <w:pStyle w:val="TableText0"/>
              <w:keepNext w:val="0"/>
              <w:rPr>
                <w:szCs w:val="20"/>
              </w:rPr>
            </w:pPr>
            <w:r w:rsidRPr="00484AE9">
              <w:rPr>
                <w:szCs w:val="20"/>
              </w:rPr>
              <w:t>For the purpose of administering this restriction, signs or symptoms attributable to COVID-19 are: fever greater than 38 degrees Celsius, chills, cough, sore throat, shortness of breath or difficulty breathing with exertion, fatigue, nasal congestion, runny nose, headache, muscle or body aches, nausea, vomiting, diarrhea, loss of taste, loss of smell.</w:t>
            </w:r>
          </w:p>
          <w:p w14:paraId="6CCF50B6" w14:textId="77777777" w:rsidR="00ED728B" w:rsidRPr="00484AE9" w:rsidRDefault="00ED728B" w:rsidP="003C7BFF">
            <w:pPr>
              <w:pStyle w:val="TableText0"/>
              <w:keepNext w:val="0"/>
              <w:rPr>
                <w:szCs w:val="20"/>
              </w:rPr>
            </w:pPr>
          </w:p>
          <w:p w14:paraId="68584E13" w14:textId="77777777" w:rsidR="00ED728B" w:rsidRPr="00484AE9" w:rsidRDefault="00ED728B" w:rsidP="003C7BFF">
            <w:pPr>
              <w:pStyle w:val="TableText0"/>
              <w:keepNext w:val="0"/>
              <w:rPr>
                <w:szCs w:val="20"/>
              </w:rPr>
            </w:pPr>
            <w:r w:rsidRPr="00484AE9">
              <w:rPr>
                <w:szCs w:val="20"/>
              </w:rPr>
              <w:t>Access to this drug through this restriction is permitted irrespective of vaccination status.</w:t>
            </w:r>
          </w:p>
          <w:p w14:paraId="1EB827C4" w14:textId="77777777" w:rsidR="00ED728B" w:rsidRPr="00484AE9" w:rsidRDefault="00ED728B" w:rsidP="003C7BFF">
            <w:pPr>
              <w:pStyle w:val="TableText0"/>
              <w:keepNext w:val="0"/>
              <w:rPr>
                <w:szCs w:val="20"/>
              </w:rPr>
            </w:pPr>
          </w:p>
          <w:p w14:paraId="19DA3D28" w14:textId="77777777" w:rsidR="00ED728B" w:rsidRPr="00484AE9" w:rsidRDefault="00ED728B" w:rsidP="003C7BFF">
            <w:pPr>
              <w:pStyle w:val="TableText0"/>
              <w:keepNext w:val="0"/>
              <w:rPr>
                <w:szCs w:val="20"/>
              </w:rPr>
            </w:pPr>
            <w:r w:rsidRPr="00484AE9">
              <w:rPr>
                <w:szCs w:val="20"/>
              </w:rPr>
              <w:t>Where PCR is used to confirm diagnosis, the result, testing date, location and test provider must be recorded on the patient record.</w:t>
            </w:r>
          </w:p>
          <w:p w14:paraId="6468EEC9" w14:textId="77777777" w:rsidR="00ED728B" w:rsidRPr="00484AE9" w:rsidRDefault="00ED728B" w:rsidP="003C7BFF">
            <w:pPr>
              <w:pStyle w:val="TableText0"/>
              <w:keepNext w:val="0"/>
              <w:rPr>
                <w:szCs w:val="20"/>
              </w:rPr>
            </w:pPr>
          </w:p>
          <w:p w14:paraId="289D8B42" w14:textId="77777777" w:rsidR="00ED728B" w:rsidRPr="00484AE9" w:rsidRDefault="00ED728B" w:rsidP="003C7BFF">
            <w:pPr>
              <w:pStyle w:val="TableText0"/>
              <w:keepNext w:val="0"/>
              <w:rPr>
                <w:szCs w:val="20"/>
              </w:rPr>
            </w:pPr>
            <w:r w:rsidRPr="00484AE9">
              <w:rPr>
                <w:szCs w:val="20"/>
              </w:rPr>
              <w:t>Where a RAT is used to confirm diagnosis, available information about the test result, testing date, location and test provider (where relevant) must be recorded on the patient record.</w:t>
            </w:r>
          </w:p>
          <w:p w14:paraId="3EF42E94" w14:textId="77777777" w:rsidR="00ED728B" w:rsidRPr="00484AE9" w:rsidRDefault="00ED728B" w:rsidP="003C7BFF">
            <w:pPr>
              <w:pStyle w:val="TableText0"/>
              <w:keepNext w:val="0"/>
              <w:rPr>
                <w:szCs w:val="20"/>
              </w:rPr>
            </w:pPr>
          </w:p>
          <w:p w14:paraId="0DD81C9D" w14:textId="38ABC82C" w:rsidR="00944AF5" w:rsidRPr="00484AE9" w:rsidRDefault="00ED728B" w:rsidP="003C7BFF">
            <w:pPr>
              <w:pStyle w:val="TableText0"/>
              <w:keepNext w:val="0"/>
              <w:rPr>
                <w:szCs w:val="20"/>
              </w:rPr>
            </w:pPr>
            <w:r w:rsidRPr="00484AE9">
              <w:rPr>
                <w:szCs w:val="20"/>
              </w:rPr>
              <w:t>This drug is not PBS-subsidised for pre-exposure or post-exposure prophylaxis for the prevention of SARS-CoV-2 infection.</w:t>
            </w:r>
          </w:p>
        </w:tc>
      </w:tr>
      <w:tr w:rsidR="00147E13" w:rsidRPr="00484AE9" w14:paraId="4ED37E3E" w14:textId="77777777" w:rsidTr="003C7BFF">
        <w:trPr>
          <w:trHeight w:val="20"/>
        </w:trPr>
        <w:tc>
          <w:tcPr>
            <w:tcW w:w="5000" w:type="pct"/>
            <w:vAlign w:val="center"/>
            <w:hideMark/>
          </w:tcPr>
          <w:p w14:paraId="44DF8A90" w14:textId="334BB2CF" w:rsidR="00944AF5" w:rsidRPr="00484AE9" w:rsidRDefault="00944AF5" w:rsidP="003C7BFF">
            <w:pPr>
              <w:pStyle w:val="TableText0"/>
              <w:keepNext w:val="0"/>
              <w:rPr>
                <w:szCs w:val="20"/>
              </w:rPr>
            </w:pPr>
            <w:r w:rsidRPr="00484AE9">
              <w:rPr>
                <w:b/>
                <w:szCs w:val="20"/>
              </w:rPr>
              <w:t>Caution:</w:t>
            </w:r>
            <w:r w:rsidR="0005005E" w:rsidRPr="00484AE9">
              <w:rPr>
                <w:b/>
                <w:szCs w:val="20"/>
              </w:rPr>
              <w:br/>
            </w:r>
            <w:r w:rsidR="0005005E" w:rsidRPr="00484AE9">
              <w:rPr>
                <w:bCs w:val="0"/>
                <w:strike/>
                <w:szCs w:val="20"/>
              </w:rPr>
              <w:t>Nirmatrelvir with ritonavir has significant drug-drug interactions. Please refer to the TGA approved Paxlovid Product Information. Prescribers and dispensers should carefully review a patient's concomitant medications including over-the-counter medications, herbal supplements, and recreational drugs.</w:t>
            </w:r>
          </w:p>
        </w:tc>
      </w:tr>
    </w:tbl>
    <w:p w14:paraId="713BD586" w14:textId="5241E843" w:rsidR="00D9302D" w:rsidRPr="00484AE9" w:rsidRDefault="00050809" w:rsidP="006853BD">
      <w:pPr>
        <w:pStyle w:val="ListParagraph"/>
        <w:numPr>
          <w:ilvl w:val="0"/>
          <w:numId w:val="0"/>
        </w:numPr>
        <w:spacing w:before="120"/>
        <w:ind w:left="720"/>
        <w:rPr>
          <w:rFonts w:cs="Calibri"/>
          <w:bCs/>
        </w:rPr>
      </w:pPr>
      <w:bookmarkStart w:id="42" w:name="_Hlk150432293"/>
      <w:bookmarkEnd w:id="41"/>
      <w:r w:rsidRPr="00484AE9">
        <w:rPr>
          <w:i/>
        </w:rPr>
        <w:t>For more detail on PBAC’s view, see section 7 PBAC outcome.</w:t>
      </w:r>
    </w:p>
    <w:p w14:paraId="7075B85C" w14:textId="62A47B7B" w:rsidR="00B50DB8" w:rsidRPr="00484AE9" w:rsidDel="00195452" w:rsidRDefault="00203181" w:rsidP="004E18E9">
      <w:pPr>
        <w:pStyle w:val="2-SectionHeading"/>
      </w:pPr>
      <w:bookmarkStart w:id="43" w:name="_Toc144920963"/>
      <w:bookmarkStart w:id="44" w:name="_Toc145506591"/>
      <w:bookmarkEnd w:id="42"/>
      <w:r w:rsidRPr="00484AE9" w:rsidDel="00195452">
        <w:t xml:space="preserve">Population and </w:t>
      </w:r>
      <w:r w:rsidR="008E0D3C" w:rsidRPr="00484AE9" w:rsidDel="00195452">
        <w:t>d</w:t>
      </w:r>
      <w:r w:rsidRPr="00484AE9" w:rsidDel="00195452">
        <w:t>isease</w:t>
      </w:r>
      <w:bookmarkEnd w:id="43"/>
      <w:bookmarkEnd w:id="44"/>
    </w:p>
    <w:p w14:paraId="217D9A3C" w14:textId="18885758" w:rsidR="00C63425" w:rsidRPr="00484AE9" w:rsidRDefault="00C63425" w:rsidP="00C63425">
      <w:pPr>
        <w:pStyle w:val="3-BodyText"/>
      </w:pPr>
      <w:r w:rsidRPr="00484AE9">
        <w:t xml:space="preserve">Coronavirus disease (COVID-19) is an infectious disease caused by the SARS-CoV-2 virus. </w:t>
      </w:r>
      <w:r w:rsidR="001A2874" w:rsidRPr="00484AE9">
        <w:t>SARS-CoV-2 is a positive-sense single stranded (+ss) RNA virus.</w:t>
      </w:r>
      <w:r w:rsidR="00B63E70" w:rsidRPr="00484AE9" w:rsidDel="00B63E70">
        <w:t xml:space="preserve"> </w:t>
      </w:r>
      <w:r w:rsidR="001A2874" w:rsidRPr="00484AE9">
        <w:t>It belongs to the genus β-coronavirus of the family Coronaviridae</w:t>
      </w:r>
      <w:r w:rsidR="000B1ED3" w:rsidRPr="00484AE9">
        <w:t xml:space="preserve">. </w:t>
      </w:r>
      <w:r w:rsidRPr="00484AE9">
        <w:t xml:space="preserve">Most patients who fall sick with COVID-19 experience mild to moderate symptoms such as fever, cough, tiredness and loss of smell, and recover without clinical or therapeutic intervention. However, some patients can become seriously ill and require hospitalisation as a consequence of respiratory complications, aberrant immune response resulting in hyperinflammation or decompensation of underlying health conditions. Of patients who are admitted to hospital with COVID-19, a proportion require admission to an intensive care unit (ICU) </w:t>
      </w:r>
      <w:r w:rsidRPr="00484AE9">
        <w:lastRenderedPageBreak/>
        <w:t>and, in some cases, require mechanical ventilation. Some patients die either directly or indirectly due to COVID-19.</w:t>
      </w:r>
    </w:p>
    <w:p w14:paraId="6211D8FD" w14:textId="209E9CC6" w:rsidR="00577730" w:rsidRPr="00484AE9" w:rsidRDefault="005D01DF" w:rsidP="003E2A1F">
      <w:pPr>
        <w:pStyle w:val="3-BodyText"/>
      </w:pPr>
      <w:r w:rsidRPr="00484AE9">
        <w:t xml:space="preserve">Nirmatrelvir is an </w:t>
      </w:r>
      <w:r w:rsidR="001B7BC7" w:rsidRPr="00484AE9">
        <w:t>inhibitor of SARS-CoV-2 main protease (M</w:t>
      </w:r>
      <w:r w:rsidR="001B7BC7" w:rsidRPr="00484AE9">
        <w:rPr>
          <w:vertAlign w:val="superscript"/>
        </w:rPr>
        <w:t>pro</w:t>
      </w:r>
      <w:r w:rsidR="001B7BC7" w:rsidRPr="00484AE9">
        <w:t>)</w:t>
      </w:r>
      <w:r w:rsidRPr="00484AE9">
        <w:t xml:space="preserve">. Inhibition of </w:t>
      </w:r>
      <w:r w:rsidR="004D5A6C" w:rsidRPr="00484AE9">
        <w:t>M</w:t>
      </w:r>
      <w:r w:rsidR="004D5A6C" w:rsidRPr="00484AE9">
        <w:rPr>
          <w:vertAlign w:val="superscript"/>
        </w:rPr>
        <w:t>pro</w:t>
      </w:r>
      <w:r w:rsidRPr="00484AE9">
        <w:t xml:space="preserve"> leads to the prevention of viral replication.</w:t>
      </w:r>
      <w:r w:rsidR="00A529F1" w:rsidRPr="00484AE9">
        <w:t xml:space="preserve"> Nirmatrelvir is co-administered with ritonavir</w:t>
      </w:r>
      <w:r w:rsidR="005B723F" w:rsidRPr="00484AE9">
        <w:t xml:space="preserve">. </w:t>
      </w:r>
      <w:r w:rsidRPr="00484AE9">
        <w:t>Ritonavir inhibits the CYP3A-mediated metabolism of nirmatrelvir, thereby providing increased plasma concentrations of nirmatrelvir.</w:t>
      </w:r>
      <w:r w:rsidR="00493632" w:rsidRPr="00484AE9">
        <w:t xml:space="preserve"> </w:t>
      </w:r>
    </w:p>
    <w:p w14:paraId="11FCAAEE" w14:textId="153ED130" w:rsidR="007627BE" w:rsidRPr="00484AE9" w:rsidRDefault="00D9623A" w:rsidP="000A6D60">
      <w:pPr>
        <w:pStyle w:val="3-BodyText"/>
      </w:pPr>
      <w:r w:rsidRPr="00484AE9">
        <w:t>Nirmatrelvir and ritonavir should be administered as soon as possible after a diagnosis of COVID</w:t>
      </w:r>
      <w:r w:rsidRPr="00484AE9">
        <w:noBreakHyphen/>
        <w:t>19 has been made and within 5 days of symptom onset in adults who are at risk for progression to severe COVID-19</w:t>
      </w:r>
      <w:r w:rsidR="00577730" w:rsidRPr="00484AE9">
        <w:t>, which may</w:t>
      </w:r>
      <w:r w:rsidRPr="00484AE9">
        <w:t xml:space="preserve"> necessitate hospitalisation.</w:t>
      </w:r>
    </w:p>
    <w:p w14:paraId="7CF518A7" w14:textId="1E4F6AA6" w:rsidR="00D47EE1" w:rsidRPr="00484AE9" w:rsidRDefault="007863F7" w:rsidP="00D47EE1">
      <w:pPr>
        <w:pStyle w:val="3-BodyText"/>
      </w:pPr>
      <w:r w:rsidRPr="00484AE9">
        <w:t xml:space="preserve">The recommended dosage is 300 mg nirmatrelvir (administered as two 150 mg tablets) with 100 mg ritonavir (administered as </w:t>
      </w:r>
      <w:r w:rsidR="00E64123" w:rsidRPr="00484AE9">
        <w:t>a single</w:t>
      </w:r>
      <w:r w:rsidRPr="00484AE9">
        <w:t xml:space="preserve"> 100 mg tablet) with all </w:t>
      </w:r>
      <w:r w:rsidR="00E64123" w:rsidRPr="00484AE9">
        <w:t>three</w:t>
      </w:r>
      <w:r w:rsidRPr="00484AE9">
        <w:t xml:space="preserve"> tablets taken together orally twice daily for 5 days</w:t>
      </w:r>
      <w:r w:rsidR="00A62B3A" w:rsidRPr="00484AE9">
        <w:t xml:space="preserve">. </w:t>
      </w:r>
      <w:r w:rsidR="00FF0DD1" w:rsidRPr="00484AE9">
        <w:t>For patients with moderate renal impairment, a</w:t>
      </w:r>
      <w:r w:rsidR="00BD2E56" w:rsidRPr="00484AE9">
        <w:t xml:space="preserve"> reduc</w:t>
      </w:r>
      <w:r w:rsidR="00FF0DD1" w:rsidRPr="00484AE9">
        <w:t>ed dose of 150 mg nirmatrelvir (administered as one 150 mg tablets) with 100 mg ritonavir (administered as a single 100 mg tablet)</w:t>
      </w:r>
      <w:r w:rsidR="003F57A6" w:rsidRPr="00484AE9">
        <w:t xml:space="preserve"> </w:t>
      </w:r>
      <w:r w:rsidR="007B65C8" w:rsidRPr="00484AE9">
        <w:t xml:space="preserve">is recommended to be </w:t>
      </w:r>
      <w:r w:rsidR="009C7C67" w:rsidRPr="00484AE9">
        <w:t>taken twice daily for 5 days</w:t>
      </w:r>
      <w:r w:rsidR="00A62B3A" w:rsidRPr="00484AE9">
        <w:t xml:space="preserve">. </w:t>
      </w:r>
      <w:r w:rsidR="002459F9" w:rsidRPr="00484AE9">
        <w:t xml:space="preserve">Nirmatrelvir and ritonavir is </w:t>
      </w:r>
      <w:r w:rsidR="00BD2E56" w:rsidRPr="00484AE9">
        <w:t>contraindicated in patients with severe renal impairment (eGFR &lt; 30 mL/min/1.73m</w:t>
      </w:r>
      <w:r w:rsidR="00BD2E56" w:rsidRPr="00484AE9">
        <w:rPr>
          <w:vertAlign w:val="superscript"/>
        </w:rPr>
        <w:t>2</w:t>
      </w:r>
      <w:r w:rsidR="00BD2E56" w:rsidRPr="00484AE9">
        <w:t>).</w:t>
      </w:r>
    </w:p>
    <w:p w14:paraId="4AB2F1AA" w14:textId="4263C0B9" w:rsidR="00D47EE1" w:rsidRPr="00484AE9" w:rsidRDefault="00D47EE1" w:rsidP="008B03CB">
      <w:pPr>
        <w:pStyle w:val="3-BodyText"/>
        <w:rPr>
          <w:iCs/>
        </w:rPr>
      </w:pPr>
      <w:bookmarkStart w:id="45" w:name="_Ref151039330"/>
      <w:r w:rsidRPr="00484AE9">
        <w:t xml:space="preserve">The TGA-approved product information states that potential drug-drug interactions should be considered prior to treatment with nirmatrelvir and ritonavir and adverse reactions associated with concomitant medications monitored during treatment. The submission reported that </w:t>
      </w:r>
      <w:r w:rsidRPr="00484AE9">
        <w:rPr>
          <w:lang w:eastAsia="en-US"/>
        </w:rPr>
        <w:t xml:space="preserve">5%-10% of people are contraindicated to </w:t>
      </w:r>
      <w:r w:rsidRPr="00484AE9">
        <w:t>nirmatrelvir and ritonavir</w:t>
      </w:r>
      <w:r w:rsidRPr="00484AE9">
        <w:rPr>
          <w:lang w:eastAsia="en-US"/>
        </w:rPr>
        <w:t xml:space="preserve"> due to drug-drug interactions based on a study of </w:t>
      </w:r>
      <w:r w:rsidRPr="00484AE9">
        <w:t>US patient electronic health records in the 12 months ending September 2022 (Pfizer, data on file</w:t>
      </w:r>
      <w:r w:rsidRPr="00484AE9">
        <w:rPr>
          <w:rStyle w:val="FootnoteReference"/>
        </w:rPr>
        <w:footnoteReference w:id="3"/>
      </w:r>
      <w:r w:rsidRPr="00484AE9">
        <w:t>)</w:t>
      </w:r>
      <w:r w:rsidR="00A62B3A" w:rsidRPr="00484AE9">
        <w:t xml:space="preserve">. </w:t>
      </w:r>
      <w:r w:rsidRPr="00484AE9">
        <w:t xml:space="preserve">It was reported that approximately 10% of high-risk patients aged 18 and over would be contraindicated for nirmatrelvir and ritonavir based on their prescription patterns, and if adjusting for contraindicated medicines that could be safely paused or are given in inpatient settings (and therefore </w:t>
      </w:r>
      <w:r w:rsidR="00BA25CD" w:rsidRPr="00484AE9">
        <w:t xml:space="preserve">not relevant </w:t>
      </w:r>
      <w:r w:rsidRPr="00484AE9">
        <w:t xml:space="preserve">to the outpatient context), approximately 5% would </w:t>
      </w:r>
      <w:r w:rsidR="00BA25CD" w:rsidRPr="00484AE9">
        <w:t>have</w:t>
      </w:r>
      <w:r w:rsidRPr="00484AE9">
        <w:t xml:space="preserve"> a contraindication</w:t>
      </w:r>
      <w:r w:rsidR="00A62B3A" w:rsidRPr="00484AE9">
        <w:t xml:space="preserve">. </w:t>
      </w:r>
      <w:r w:rsidRPr="00484AE9">
        <w:t xml:space="preserve">The submission also cited two publications that reported </w:t>
      </w:r>
      <w:r w:rsidR="00BA4A88" w:rsidRPr="00484AE9">
        <w:t>approximately</w:t>
      </w:r>
      <w:r w:rsidRPr="00484AE9">
        <w:t xml:space="preserve"> 15% of patients had a possible contraindication (Lim 2022</w:t>
      </w:r>
      <w:r w:rsidR="00920631" w:rsidRPr="00484AE9">
        <w:rPr>
          <w:rStyle w:val="FootnoteReference"/>
        </w:rPr>
        <w:footnoteReference w:id="4"/>
      </w:r>
      <w:r w:rsidRPr="00484AE9">
        <w:t xml:space="preserve"> and Hoertel 2022</w:t>
      </w:r>
      <w:r w:rsidR="00525062" w:rsidRPr="00484AE9">
        <w:rPr>
          <w:rStyle w:val="FootnoteReference"/>
        </w:rPr>
        <w:footnoteReference w:id="5"/>
      </w:r>
      <w:r w:rsidRPr="00484AE9">
        <w:t>)</w:t>
      </w:r>
      <w:r w:rsidR="00A62B3A" w:rsidRPr="00484AE9">
        <w:t xml:space="preserve">. </w:t>
      </w:r>
      <w:r w:rsidRPr="00484AE9">
        <w:t xml:space="preserve">Hoertel </w:t>
      </w:r>
      <w:r w:rsidR="000719F1" w:rsidRPr="00484AE9">
        <w:t>(2022)</w:t>
      </w:r>
      <w:r w:rsidRPr="00484AE9">
        <w:t xml:space="preserve"> reported </w:t>
      </w:r>
      <w:r w:rsidR="00BF63C6" w:rsidRPr="00484AE9">
        <w:t xml:space="preserve">that </w:t>
      </w:r>
      <w:r w:rsidR="00DF5C6B" w:rsidRPr="00484AE9">
        <w:t xml:space="preserve">15% of the </w:t>
      </w:r>
      <w:r w:rsidR="00351C95" w:rsidRPr="00484AE9">
        <w:t xml:space="preserve">study </w:t>
      </w:r>
      <w:r w:rsidR="00DF5C6B" w:rsidRPr="00484AE9">
        <w:t xml:space="preserve">cohort </w:t>
      </w:r>
      <w:r w:rsidR="003636DA" w:rsidRPr="00484AE9">
        <w:t>of hospitalised patien</w:t>
      </w:r>
      <w:r w:rsidR="00BA4A88" w:rsidRPr="00484AE9">
        <w:t>t</w:t>
      </w:r>
      <w:r w:rsidR="003636DA" w:rsidRPr="00484AE9">
        <w:t>s in Paris, France</w:t>
      </w:r>
      <w:r w:rsidR="00BA4A88" w:rsidRPr="00484AE9">
        <w:t>,</w:t>
      </w:r>
      <w:r w:rsidR="003636DA" w:rsidRPr="00484AE9">
        <w:t xml:space="preserve"> </w:t>
      </w:r>
      <w:r w:rsidRPr="00484AE9">
        <w:t>had a medical contraindication to nirmatrelvir</w:t>
      </w:r>
      <w:r w:rsidR="00D8443D" w:rsidRPr="00484AE9">
        <w:t xml:space="preserve"> and </w:t>
      </w:r>
      <w:r w:rsidRPr="00484AE9">
        <w:t>ritonavir with higher rates in older patients (27%) t</w:t>
      </w:r>
      <w:r w:rsidR="00351C95" w:rsidRPr="00484AE9">
        <w:t>han younger patients</w:t>
      </w:r>
      <w:r w:rsidRPr="00484AE9">
        <w:t xml:space="preserve"> (9%), and in those with comorbidities (&gt;37% for most comorbidities) than without comorbidities (4%).</w:t>
      </w:r>
      <w:r w:rsidR="00375AE7" w:rsidRPr="00484AE9">
        <w:t xml:space="preserve"> </w:t>
      </w:r>
      <w:r w:rsidR="0050386C" w:rsidRPr="00484AE9">
        <w:rPr>
          <w:iCs/>
        </w:rPr>
        <w:t xml:space="preserve">The </w:t>
      </w:r>
      <w:r w:rsidR="00434F71" w:rsidRPr="00484AE9">
        <w:rPr>
          <w:iCs/>
        </w:rPr>
        <w:t xml:space="preserve">ESC considered the applicability of these data to the Australian </w:t>
      </w:r>
      <w:r w:rsidR="00FF6281" w:rsidRPr="00484AE9">
        <w:rPr>
          <w:iCs/>
        </w:rPr>
        <w:t xml:space="preserve">setting </w:t>
      </w:r>
      <w:r w:rsidR="00626678" w:rsidRPr="00484AE9">
        <w:rPr>
          <w:iCs/>
        </w:rPr>
        <w:t>wa</w:t>
      </w:r>
      <w:r w:rsidR="00434F71" w:rsidRPr="00484AE9">
        <w:rPr>
          <w:iCs/>
        </w:rPr>
        <w:t xml:space="preserve">s uncertain. One of the tools widely used to determine whether a drug-drug interaction with nirmatrelvir and ritonavir is possible is the Liverpool drug interaction checker. Although some of the interactions can be </w:t>
      </w:r>
      <w:r w:rsidR="00434F71" w:rsidRPr="00484AE9">
        <w:rPr>
          <w:iCs/>
        </w:rPr>
        <w:lastRenderedPageBreak/>
        <w:t xml:space="preserve">avoided by dose reduction or withholding treatment, there are multiple factors that may preclude a clinician from adopting such approaches e.g., patients may have cognitive issues; patients may become anxious if advised to discontinue a medication temporarily; patients may have comorbidities that present challenges e.g., severe renal or hepatic impairment; clinicians may have concerns about the safety of withdrawing a therapy e.g., if a patient is taking carbamazepine or amiodarone or apixaban. Quantifying the proportion of patients in whom </w:t>
      </w:r>
      <w:r w:rsidR="00482D08" w:rsidRPr="00484AE9">
        <w:rPr>
          <w:iCs/>
        </w:rPr>
        <w:t>nirmatrelvir and ritonavir</w:t>
      </w:r>
      <w:r w:rsidR="00434F71" w:rsidRPr="00484AE9">
        <w:rPr>
          <w:iCs/>
        </w:rPr>
        <w:t xml:space="preserve"> is appropriate is difficult. </w:t>
      </w:r>
      <w:r w:rsidR="00B52E18" w:rsidRPr="00484AE9">
        <w:rPr>
          <w:iCs/>
        </w:rPr>
        <w:t>Although an assumption that it can be used in</w:t>
      </w:r>
      <w:r w:rsidR="00696519" w:rsidRPr="00696519">
        <w:rPr>
          <w:iCs/>
        </w:rPr>
        <w:t xml:space="preserve"> </w:t>
      </w:r>
      <w:r w:rsidR="00696519" w:rsidRPr="00872657">
        <w:rPr>
          <w:iCs/>
          <w:color w:val="000000"/>
          <w:w w:val="15"/>
          <w:shd w:val="solid" w:color="000000" w:fill="000000"/>
          <w:fitText w:val="-20" w:id="-1032089080"/>
          <w14:textFill>
            <w14:solidFill>
              <w14:srgbClr w14:val="000000">
                <w14:alpha w14:val="100000"/>
              </w14:srgbClr>
            </w14:solidFill>
          </w14:textFill>
        </w:rPr>
        <w:t xml:space="preserve">| </w:t>
      </w:r>
      <w:r w:rsidR="00696519" w:rsidRPr="00872657">
        <w:rPr>
          <w:iCs/>
          <w:color w:val="000000"/>
          <w:spacing w:val="-61"/>
          <w:w w:val="15"/>
          <w:shd w:val="solid" w:color="000000" w:fill="000000"/>
          <w:fitText w:val="-20" w:id="-1032089080"/>
          <w14:textFill>
            <w14:solidFill>
              <w14:srgbClr w14:val="000000">
                <w14:alpha w14:val="100000"/>
              </w14:srgbClr>
            </w14:solidFill>
          </w14:textFill>
        </w:rPr>
        <w:t>|</w:t>
      </w:r>
      <w:r w:rsidR="00B52E18" w:rsidRPr="00484AE9">
        <w:rPr>
          <w:iCs/>
        </w:rPr>
        <w:t xml:space="preserve">% of patients </w:t>
      </w:r>
      <w:r w:rsidR="006667D1" w:rsidRPr="00484AE9">
        <w:rPr>
          <w:iCs/>
        </w:rPr>
        <w:t>may be</w:t>
      </w:r>
      <w:r w:rsidR="00B52E18" w:rsidRPr="00484AE9">
        <w:rPr>
          <w:iCs/>
        </w:rPr>
        <w:t xml:space="preserve"> an overestimate, the curren</w:t>
      </w:r>
      <w:r w:rsidR="00DE7CDB" w:rsidRPr="00484AE9">
        <w:rPr>
          <w:iCs/>
        </w:rPr>
        <w:t>t market share of nirmatrelvir and ritonavir of approximately</w:t>
      </w:r>
      <w:r w:rsidR="00696519" w:rsidRPr="00696519">
        <w:rPr>
          <w:iCs/>
        </w:rPr>
        <w:t xml:space="preserve"> </w:t>
      </w:r>
      <w:r w:rsidR="00696519" w:rsidRPr="00872657">
        <w:rPr>
          <w:iCs/>
          <w:color w:val="000000"/>
          <w:w w:val="15"/>
          <w:shd w:val="solid" w:color="000000" w:fill="000000"/>
          <w:fitText w:val="-20" w:id="-1032089079"/>
          <w14:textFill>
            <w14:solidFill>
              <w14:srgbClr w14:val="000000">
                <w14:alpha w14:val="100000"/>
              </w14:srgbClr>
            </w14:solidFill>
          </w14:textFill>
        </w:rPr>
        <w:t xml:space="preserve">| </w:t>
      </w:r>
      <w:r w:rsidR="00696519" w:rsidRPr="00872657">
        <w:rPr>
          <w:iCs/>
          <w:color w:val="000000"/>
          <w:spacing w:val="-61"/>
          <w:w w:val="15"/>
          <w:shd w:val="solid" w:color="000000" w:fill="000000"/>
          <w:fitText w:val="-20" w:id="-1032089079"/>
          <w14:textFill>
            <w14:solidFill>
              <w14:srgbClr w14:val="000000">
                <w14:alpha w14:val="100000"/>
              </w14:srgbClr>
            </w14:solidFill>
          </w14:textFill>
        </w:rPr>
        <w:t>|</w:t>
      </w:r>
      <w:r w:rsidR="00DE7CDB" w:rsidRPr="00484AE9">
        <w:rPr>
          <w:iCs/>
        </w:rPr>
        <w:t>% is likely to</w:t>
      </w:r>
      <w:r w:rsidR="007B5B71" w:rsidRPr="00484AE9">
        <w:rPr>
          <w:iCs/>
        </w:rPr>
        <w:t xml:space="preserve"> be an underestimate</w:t>
      </w:r>
      <w:r w:rsidR="00D56F47" w:rsidRPr="00484AE9">
        <w:rPr>
          <w:iCs/>
        </w:rPr>
        <w:t xml:space="preserve"> of the achievable proportion</w:t>
      </w:r>
      <w:r w:rsidR="007B5B71" w:rsidRPr="00484AE9">
        <w:rPr>
          <w:iCs/>
        </w:rPr>
        <w:t>.</w:t>
      </w:r>
      <w:bookmarkEnd w:id="45"/>
      <w:r w:rsidR="007B5B71" w:rsidRPr="00484AE9">
        <w:rPr>
          <w:iCs/>
        </w:rPr>
        <w:t xml:space="preserve"> </w:t>
      </w:r>
    </w:p>
    <w:p w14:paraId="7093F8E7" w14:textId="77777777" w:rsidR="00050809" w:rsidRPr="00484AE9" w:rsidRDefault="00050809" w:rsidP="00050809">
      <w:pPr>
        <w:pStyle w:val="ListParagraph"/>
        <w:numPr>
          <w:ilvl w:val="0"/>
          <w:numId w:val="0"/>
        </w:numPr>
        <w:ind w:left="720"/>
        <w:rPr>
          <w:rFonts w:cs="Calibri"/>
          <w:bCs/>
        </w:rPr>
      </w:pPr>
      <w:r w:rsidRPr="00484AE9">
        <w:rPr>
          <w:i/>
        </w:rPr>
        <w:t>For more detail on PBAC’s view, see section 7 PBAC outcome.</w:t>
      </w:r>
    </w:p>
    <w:p w14:paraId="51E5AE96" w14:textId="136A63B1" w:rsidR="00B50DB8" w:rsidRPr="00484AE9" w:rsidRDefault="00B50DB8" w:rsidP="004E18E9">
      <w:pPr>
        <w:pStyle w:val="2-SectionHeading"/>
      </w:pPr>
      <w:bookmarkStart w:id="47" w:name="_Toc144920964"/>
      <w:bookmarkStart w:id="48" w:name="_Toc145506592"/>
      <w:r w:rsidRPr="00484AE9">
        <w:t>Comparator</w:t>
      </w:r>
      <w:bookmarkEnd w:id="47"/>
      <w:bookmarkEnd w:id="48"/>
    </w:p>
    <w:p w14:paraId="64977FC1" w14:textId="2FE99D89" w:rsidR="00EE271E" w:rsidRPr="00484AE9" w:rsidRDefault="00C7159A" w:rsidP="002E4F02">
      <w:pPr>
        <w:pStyle w:val="3-BodyText"/>
      </w:pPr>
      <w:r w:rsidRPr="00484AE9">
        <w:t xml:space="preserve">The submission, </w:t>
      </w:r>
      <w:r w:rsidRPr="00484AE9">
        <w:rPr>
          <w:iCs/>
        </w:rPr>
        <w:t>appropriately,</w:t>
      </w:r>
      <w:r w:rsidRPr="00484AE9">
        <w:t xml:space="preserve"> nominate</w:t>
      </w:r>
      <w:r w:rsidR="00EE271E" w:rsidRPr="00484AE9">
        <w:t>d</w:t>
      </w:r>
      <w:r w:rsidRPr="00484AE9">
        <w:t xml:space="preserve"> placebo (</w:t>
      </w:r>
      <w:r w:rsidR="00852CD8" w:rsidRPr="00484AE9">
        <w:t xml:space="preserve">representative of usual care with no SARS-CoV-2 antiviral medication) </w:t>
      </w:r>
      <w:r w:rsidR="00F13566" w:rsidRPr="00484AE9">
        <w:t xml:space="preserve">as the </w:t>
      </w:r>
      <w:r w:rsidR="00356A63" w:rsidRPr="00484AE9">
        <w:t xml:space="preserve">main comparator </w:t>
      </w:r>
      <w:r w:rsidR="00852CD8" w:rsidRPr="00484AE9">
        <w:t>and molnupiravir as</w:t>
      </w:r>
      <w:r w:rsidR="00D17EB9" w:rsidRPr="00484AE9">
        <w:t xml:space="preserve"> a</w:t>
      </w:r>
      <w:r w:rsidR="00852CD8" w:rsidRPr="00484AE9">
        <w:t xml:space="preserve"> </w:t>
      </w:r>
      <w:r w:rsidR="00C47561" w:rsidRPr="00484AE9">
        <w:t xml:space="preserve">relevant </w:t>
      </w:r>
      <w:r w:rsidR="00F13566" w:rsidRPr="00484AE9">
        <w:t xml:space="preserve">secondary </w:t>
      </w:r>
      <w:r w:rsidR="00C47561" w:rsidRPr="00484AE9">
        <w:t>comparator.</w:t>
      </w:r>
    </w:p>
    <w:p w14:paraId="62C7DB8F" w14:textId="4A7E5337" w:rsidR="001B7C07" w:rsidRPr="00484AE9" w:rsidRDefault="00080CE4" w:rsidP="008B03CB">
      <w:pPr>
        <w:pStyle w:val="3-BodyText"/>
        <w:rPr>
          <w:iCs/>
          <w:snapToGrid/>
        </w:rPr>
      </w:pPr>
      <w:r w:rsidRPr="00484AE9">
        <w:t xml:space="preserve">As noted in the submission, </w:t>
      </w:r>
      <w:r w:rsidR="000142CA" w:rsidRPr="00484AE9">
        <w:t xml:space="preserve">an Administrative Note was added to the </w:t>
      </w:r>
      <w:r w:rsidR="00047D21" w:rsidRPr="00484AE9">
        <w:t xml:space="preserve">restriction for molnupiravir on 1 January 2023 indicating that it </w:t>
      </w:r>
      <w:r w:rsidR="000142CA" w:rsidRPr="00484AE9">
        <w:t xml:space="preserve">should be considered for use only if nirmatrelvir (&amp;) ritonavir is contraindicated or otherwise unsuitable. </w:t>
      </w:r>
      <w:r w:rsidR="001B7C07" w:rsidRPr="00484AE9">
        <w:rPr>
          <w:iCs/>
          <w:snapToGrid/>
        </w:rPr>
        <w:t xml:space="preserve">The PBAC considered a submission for molnupiravir at the July 2023 meeting and advised that </w:t>
      </w:r>
      <w:r w:rsidR="001B7C07" w:rsidRPr="00484AE9">
        <w:rPr>
          <w:iCs/>
        </w:rPr>
        <w:t>additional information was required to inform further consideration of molnupiravir</w:t>
      </w:r>
      <w:r w:rsidR="001B7C07" w:rsidRPr="00484AE9">
        <w:rPr>
          <w:rStyle w:val="FootnoteReference"/>
          <w:iCs/>
          <w:snapToGrid/>
        </w:rPr>
        <w:footnoteReference w:id="6"/>
      </w:r>
      <w:r w:rsidR="001B7C07" w:rsidRPr="00484AE9">
        <w:rPr>
          <w:iCs/>
          <w:snapToGrid/>
        </w:rPr>
        <w:t>.</w:t>
      </w:r>
    </w:p>
    <w:p w14:paraId="08E93D73" w14:textId="6F67379F" w:rsidR="00DA295B" w:rsidRPr="00484AE9" w:rsidRDefault="00EB7370" w:rsidP="002E1071">
      <w:pPr>
        <w:pStyle w:val="3-BodyText"/>
        <w:rPr>
          <w:snapToGrid/>
        </w:rPr>
      </w:pPr>
      <w:r w:rsidRPr="00484AE9">
        <w:rPr>
          <w:snapToGrid/>
        </w:rPr>
        <w:t>The submission claim</w:t>
      </w:r>
      <w:r w:rsidR="00387D58" w:rsidRPr="00484AE9">
        <w:rPr>
          <w:snapToGrid/>
        </w:rPr>
        <w:t>ed</w:t>
      </w:r>
      <w:r w:rsidRPr="00484AE9">
        <w:rPr>
          <w:snapToGrid/>
        </w:rPr>
        <w:t xml:space="preserve"> that </w:t>
      </w:r>
      <w:r w:rsidR="00526771" w:rsidRPr="00484AE9">
        <w:rPr>
          <w:snapToGrid/>
        </w:rPr>
        <w:t xml:space="preserve">prevalence of contraindications to </w:t>
      </w:r>
      <w:r w:rsidR="00FE6EC3" w:rsidRPr="00484AE9">
        <w:rPr>
          <w:snapToGrid/>
        </w:rPr>
        <w:t>nirmatrelvir and ritonavir</w:t>
      </w:r>
      <w:r w:rsidR="00526771" w:rsidRPr="00484AE9">
        <w:rPr>
          <w:snapToGrid/>
        </w:rPr>
        <w:t xml:space="preserve"> is relatively low</w:t>
      </w:r>
      <w:r w:rsidR="0009040E" w:rsidRPr="00484AE9">
        <w:rPr>
          <w:snapToGrid/>
        </w:rPr>
        <w:t>. It suggest</w:t>
      </w:r>
      <w:r w:rsidR="00387D58" w:rsidRPr="00484AE9">
        <w:rPr>
          <w:snapToGrid/>
        </w:rPr>
        <w:t>ed</w:t>
      </w:r>
      <w:r w:rsidR="00FE6EC3" w:rsidRPr="00484AE9">
        <w:rPr>
          <w:snapToGrid/>
        </w:rPr>
        <w:t xml:space="preserve"> that the </w:t>
      </w:r>
      <w:r w:rsidR="009B352B" w:rsidRPr="00484AE9">
        <w:rPr>
          <w:snapToGrid/>
        </w:rPr>
        <w:t>share of the COVID-19 treatment market held by molnupiravir, approximately 59%</w:t>
      </w:r>
      <w:r w:rsidR="00DE17C5" w:rsidRPr="00484AE9">
        <w:rPr>
          <w:snapToGrid/>
        </w:rPr>
        <w:t xml:space="preserve">, </w:t>
      </w:r>
      <w:r w:rsidR="009B352B" w:rsidRPr="00484AE9">
        <w:rPr>
          <w:snapToGrid/>
        </w:rPr>
        <w:t>suggest</w:t>
      </w:r>
      <w:r w:rsidR="00387D58" w:rsidRPr="00484AE9">
        <w:rPr>
          <w:snapToGrid/>
        </w:rPr>
        <w:t>ed</w:t>
      </w:r>
      <w:r w:rsidR="009B352B" w:rsidRPr="00484AE9">
        <w:rPr>
          <w:snapToGrid/>
        </w:rPr>
        <w:t xml:space="preserve"> that </w:t>
      </w:r>
      <w:r w:rsidR="00DE17C5" w:rsidRPr="00484AE9">
        <w:rPr>
          <w:snapToGrid/>
        </w:rPr>
        <w:t>molnupiravir</w:t>
      </w:r>
      <w:r w:rsidR="009B352B" w:rsidRPr="00484AE9">
        <w:rPr>
          <w:snapToGrid/>
        </w:rPr>
        <w:t xml:space="preserve"> </w:t>
      </w:r>
      <w:r w:rsidR="00387D58" w:rsidRPr="00484AE9">
        <w:rPr>
          <w:snapToGrid/>
        </w:rPr>
        <w:t>was</w:t>
      </w:r>
      <w:r w:rsidR="009B352B" w:rsidRPr="00484AE9">
        <w:rPr>
          <w:snapToGrid/>
        </w:rPr>
        <w:t xml:space="preserve"> not being prescribed in accordance with the Note added to the PBS restriction </w:t>
      </w:r>
      <w:r w:rsidR="00DE17C5" w:rsidRPr="00484AE9">
        <w:rPr>
          <w:snapToGrid/>
        </w:rPr>
        <w:t>on</w:t>
      </w:r>
      <w:r w:rsidR="009B352B" w:rsidRPr="00484AE9">
        <w:rPr>
          <w:snapToGrid/>
        </w:rPr>
        <w:t xml:space="preserve"> 1</w:t>
      </w:r>
      <w:r w:rsidR="00E12D28" w:rsidRPr="00484AE9">
        <w:rPr>
          <w:snapToGrid/>
        </w:rPr>
        <w:t> </w:t>
      </w:r>
      <w:r w:rsidR="009B352B" w:rsidRPr="00484AE9">
        <w:rPr>
          <w:snapToGrid/>
        </w:rPr>
        <w:t>January 2023.</w:t>
      </w:r>
      <w:r w:rsidR="007A1A7D" w:rsidRPr="00484AE9">
        <w:rPr>
          <w:snapToGrid/>
        </w:rPr>
        <w:t xml:space="preserve"> </w:t>
      </w:r>
      <w:r w:rsidR="008C7470" w:rsidRPr="00484AE9">
        <w:rPr>
          <w:iCs/>
          <w:snapToGrid/>
        </w:rPr>
        <w:t xml:space="preserve">The </w:t>
      </w:r>
      <w:r w:rsidR="009E17C5" w:rsidRPr="00484AE9">
        <w:rPr>
          <w:iCs/>
          <w:snapToGrid/>
        </w:rPr>
        <w:t>submission did not differentiate between patients with a</w:t>
      </w:r>
      <w:r w:rsidR="00FE2871" w:rsidRPr="00484AE9">
        <w:rPr>
          <w:iCs/>
          <w:snapToGrid/>
        </w:rPr>
        <w:t xml:space="preserve">n absolute versus </w:t>
      </w:r>
      <w:r w:rsidR="009E17C5" w:rsidRPr="00484AE9">
        <w:rPr>
          <w:iCs/>
          <w:snapToGrid/>
        </w:rPr>
        <w:t>relative contraindication</w:t>
      </w:r>
      <w:r w:rsidR="003E0D90" w:rsidRPr="00484AE9">
        <w:rPr>
          <w:iCs/>
          <w:snapToGrid/>
        </w:rPr>
        <w:t xml:space="preserve"> to ritonavir</w:t>
      </w:r>
      <w:r w:rsidR="00BE4CF6" w:rsidRPr="00484AE9">
        <w:rPr>
          <w:iCs/>
          <w:snapToGrid/>
        </w:rPr>
        <w:t xml:space="preserve">. </w:t>
      </w:r>
      <w:r w:rsidR="009E17C5" w:rsidRPr="00484AE9">
        <w:rPr>
          <w:iCs/>
          <w:snapToGrid/>
        </w:rPr>
        <w:t xml:space="preserve">Although </w:t>
      </w:r>
      <w:r w:rsidR="00BE4CF6" w:rsidRPr="00484AE9">
        <w:rPr>
          <w:iCs/>
          <w:snapToGrid/>
        </w:rPr>
        <w:t xml:space="preserve">it may be theoretically possible to avoid a potential drug-drug </w:t>
      </w:r>
      <w:r w:rsidR="00FE2871" w:rsidRPr="00484AE9">
        <w:rPr>
          <w:iCs/>
          <w:snapToGrid/>
        </w:rPr>
        <w:t xml:space="preserve">interaction (DDI) with ritonavir, </w:t>
      </w:r>
      <w:r w:rsidR="009E17C5" w:rsidRPr="00484AE9">
        <w:rPr>
          <w:iCs/>
          <w:snapToGrid/>
        </w:rPr>
        <w:t>there is potential for a high proportion of patients to be at risk of a DDI with ritonavir (and therefore nirmatrelvir and ritonavir) based on their regular medication</w:t>
      </w:r>
      <w:r w:rsidR="00FE2871" w:rsidRPr="00484AE9">
        <w:rPr>
          <w:iCs/>
          <w:snapToGrid/>
        </w:rPr>
        <w:t>.</w:t>
      </w:r>
      <w:r w:rsidR="003E0D90" w:rsidRPr="00484AE9">
        <w:rPr>
          <w:iCs/>
          <w:snapToGrid/>
        </w:rPr>
        <w:t xml:space="preserve"> </w:t>
      </w:r>
    </w:p>
    <w:p w14:paraId="30A067BB" w14:textId="77C0B6A4" w:rsidR="00B50DB8" w:rsidRPr="00484AE9" w:rsidRDefault="00DA295B" w:rsidP="00280B44">
      <w:pPr>
        <w:pStyle w:val="3-BodyText"/>
        <w:rPr>
          <w:snapToGrid/>
        </w:rPr>
      </w:pPr>
      <w:r w:rsidRPr="00484AE9">
        <w:rPr>
          <w:iCs/>
          <w:snapToGrid/>
        </w:rPr>
        <w:t xml:space="preserve">The PSCR reiterated the submission’s claim that only 5% of patients have an absolute contraindication. The ESC </w:t>
      </w:r>
      <w:r w:rsidR="00F22594" w:rsidRPr="00484AE9">
        <w:rPr>
          <w:iCs/>
          <w:snapToGrid/>
        </w:rPr>
        <w:t xml:space="preserve">was of the view </w:t>
      </w:r>
      <w:r w:rsidR="00FF6281" w:rsidRPr="00484AE9">
        <w:rPr>
          <w:iCs/>
          <w:snapToGrid/>
        </w:rPr>
        <w:t>that considering absolute contraindications only oversimplified the potential challenges of real world prescribing,</w:t>
      </w:r>
      <w:r w:rsidR="00280B44" w:rsidRPr="00484AE9">
        <w:rPr>
          <w:iCs/>
          <w:snapToGrid/>
        </w:rPr>
        <w:t xml:space="preserve"> and while it is appropriate to assume doctors are familiar and capable of managing the complexities of drug interactions, </w:t>
      </w:r>
      <w:r w:rsidR="00BD20C7" w:rsidRPr="00484AE9">
        <w:rPr>
          <w:iCs/>
          <w:snapToGrid/>
        </w:rPr>
        <w:t>the choice of</w:t>
      </w:r>
      <w:r w:rsidR="00DC2863" w:rsidRPr="00484AE9">
        <w:rPr>
          <w:iCs/>
          <w:snapToGrid/>
        </w:rPr>
        <w:t xml:space="preserve"> which</w:t>
      </w:r>
      <w:r w:rsidR="00BD20C7" w:rsidRPr="00484AE9">
        <w:rPr>
          <w:iCs/>
          <w:snapToGrid/>
        </w:rPr>
        <w:t xml:space="preserve"> antiviral </w:t>
      </w:r>
      <w:r w:rsidR="00DC2863" w:rsidRPr="00484AE9">
        <w:rPr>
          <w:iCs/>
          <w:snapToGrid/>
        </w:rPr>
        <w:t xml:space="preserve">to prescribe </w:t>
      </w:r>
      <w:r w:rsidR="00BD20C7" w:rsidRPr="00484AE9">
        <w:rPr>
          <w:iCs/>
          <w:snapToGrid/>
        </w:rPr>
        <w:t xml:space="preserve">when a </w:t>
      </w:r>
      <w:r w:rsidR="00DC2863" w:rsidRPr="00484AE9">
        <w:rPr>
          <w:iCs/>
          <w:snapToGrid/>
        </w:rPr>
        <w:t xml:space="preserve">high-risk </w:t>
      </w:r>
      <w:r w:rsidR="00BD20C7" w:rsidRPr="00484AE9">
        <w:rPr>
          <w:iCs/>
          <w:snapToGrid/>
        </w:rPr>
        <w:t xml:space="preserve">patient is diagnosed with </w:t>
      </w:r>
      <w:r w:rsidR="00FF6281" w:rsidRPr="00484AE9">
        <w:rPr>
          <w:iCs/>
          <w:snapToGrid/>
        </w:rPr>
        <w:t>COVID-</w:t>
      </w:r>
      <w:r w:rsidR="00BD20C7" w:rsidRPr="00484AE9">
        <w:rPr>
          <w:iCs/>
          <w:snapToGrid/>
        </w:rPr>
        <w:t>19</w:t>
      </w:r>
      <w:r w:rsidR="00DC2863" w:rsidRPr="00484AE9">
        <w:rPr>
          <w:iCs/>
          <w:snapToGrid/>
        </w:rPr>
        <w:t xml:space="preserve"> is multifaceted and exten</w:t>
      </w:r>
      <w:r w:rsidR="00A6788D" w:rsidRPr="00484AE9">
        <w:rPr>
          <w:iCs/>
          <w:snapToGrid/>
        </w:rPr>
        <w:t>ds beyond whether a potential drug-drug interaction</w:t>
      </w:r>
      <w:r w:rsidR="00204FB5" w:rsidRPr="00484AE9">
        <w:rPr>
          <w:iCs/>
          <w:snapToGrid/>
        </w:rPr>
        <w:t xml:space="preserve"> can be avoided by withholding a treatment</w:t>
      </w:r>
      <w:r w:rsidR="007A1A7D" w:rsidRPr="00484AE9">
        <w:rPr>
          <w:iCs/>
          <w:snapToGrid/>
        </w:rPr>
        <w:t>.</w:t>
      </w:r>
    </w:p>
    <w:p w14:paraId="372BB42E" w14:textId="479F11A0" w:rsidR="00050809" w:rsidRPr="006853BD" w:rsidRDefault="00050809" w:rsidP="006853BD">
      <w:pPr>
        <w:pStyle w:val="ListParagraph"/>
        <w:numPr>
          <w:ilvl w:val="0"/>
          <w:numId w:val="0"/>
        </w:numPr>
        <w:ind w:left="720"/>
        <w:rPr>
          <w:rFonts w:cs="Calibri"/>
          <w:bCs/>
        </w:rPr>
      </w:pPr>
      <w:r w:rsidRPr="00484AE9">
        <w:rPr>
          <w:i/>
        </w:rPr>
        <w:lastRenderedPageBreak/>
        <w:t>For more detail on PBAC’s view, see section 7 PBAC outcome.</w:t>
      </w:r>
    </w:p>
    <w:p w14:paraId="7F9C27C8" w14:textId="77777777" w:rsidR="00223D5A" w:rsidRPr="00484AE9" w:rsidRDefault="00223D5A" w:rsidP="00223D5A">
      <w:pPr>
        <w:pStyle w:val="2-SectionHeading"/>
        <w:numPr>
          <w:ilvl w:val="0"/>
          <w:numId w:val="1"/>
        </w:numPr>
      </w:pPr>
      <w:bookmarkStart w:id="49" w:name="_Toc144920965"/>
      <w:bookmarkStart w:id="50" w:name="_Toc145506593"/>
      <w:bookmarkStart w:id="51" w:name="_Toc22897640"/>
      <w:r w:rsidRPr="00484AE9">
        <w:t>Consideration of the evidence</w:t>
      </w:r>
      <w:bookmarkEnd w:id="49"/>
      <w:bookmarkEnd w:id="50"/>
    </w:p>
    <w:p w14:paraId="0BB06206" w14:textId="77777777" w:rsidR="00050809" w:rsidRPr="00484AE9" w:rsidRDefault="00050809" w:rsidP="00050809">
      <w:pPr>
        <w:pStyle w:val="4-SubsectionHeading"/>
      </w:pPr>
      <w:bookmarkStart w:id="52" w:name="_Hlk76375935"/>
      <w:bookmarkStart w:id="53" w:name="_Toc144920966"/>
      <w:bookmarkStart w:id="54" w:name="_Toc145506594"/>
      <w:bookmarkStart w:id="55" w:name="_Hlk145429177"/>
      <w:r w:rsidRPr="00484AE9">
        <w:t>Sponsor hearing</w:t>
      </w:r>
    </w:p>
    <w:p w14:paraId="78BD5005" w14:textId="57552DEC" w:rsidR="00050809" w:rsidRPr="00484AE9" w:rsidRDefault="00050809" w:rsidP="00050809">
      <w:pPr>
        <w:widowControl w:val="0"/>
        <w:numPr>
          <w:ilvl w:val="1"/>
          <w:numId w:val="1"/>
        </w:numPr>
        <w:spacing w:after="120"/>
        <w:rPr>
          <w:rFonts w:cs="Calibri"/>
          <w:bCs/>
          <w:snapToGrid w:val="0"/>
        </w:rPr>
      </w:pPr>
      <w:r w:rsidRPr="00484AE9">
        <w:rPr>
          <w:rFonts w:cs="Calibri"/>
          <w:bCs/>
          <w:snapToGrid w:val="0"/>
        </w:rPr>
        <w:t>There was no hearing for this item</w:t>
      </w:r>
      <w:r w:rsidR="00D92ADA" w:rsidRPr="00484AE9">
        <w:rPr>
          <w:rFonts w:cs="Calibri"/>
          <w:bCs/>
          <w:snapToGrid w:val="0"/>
        </w:rPr>
        <w:t>.</w:t>
      </w:r>
    </w:p>
    <w:p w14:paraId="39416109" w14:textId="77777777" w:rsidR="00050809" w:rsidRPr="00484AE9" w:rsidRDefault="00050809" w:rsidP="00050809">
      <w:pPr>
        <w:pStyle w:val="4-SubsectionHeading"/>
      </w:pPr>
      <w:r w:rsidRPr="00484AE9">
        <w:t>Consumer comments</w:t>
      </w:r>
    </w:p>
    <w:p w14:paraId="4E407850" w14:textId="358DD74A" w:rsidR="00D537D2" w:rsidRPr="00484AE9" w:rsidRDefault="00050809" w:rsidP="00252BF9">
      <w:pPr>
        <w:widowControl w:val="0"/>
        <w:numPr>
          <w:ilvl w:val="1"/>
          <w:numId w:val="1"/>
        </w:numPr>
        <w:spacing w:after="120"/>
        <w:rPr>
          <w:rFonts w:asciiTheme="minorHAnsi" w:hAnsiTheme="minorHAnsi"/>
          <w:bCs/>
          <w:snapToGrid w:val="0"/>
        </w:rPr>
      </w:pPr>
      <w:bookmarkStart w:id="56" w:name="_Hlk76382618"/>
      <w:r w:rsidRPr="00484AE9">
        <w:rPr>
          <w:rFonts w:asciiTheme="minorHAnsi" w:hAnsiTheme="minorHAnsi"/>
          <w:bCs/>
          <w:snapToGrid w:val="0"/>
        </w:rPr>
        <w:t>The PBAC noted and welcomed the input from individuals (</w:t>
      </w:r>
      <w:r w:rsidR="00C25CD7" w:rsidRPr="00484AE9">
        <w:rPr>
          <w:rFonts w:asciiTheme="minorHAnsi" w:hAnsiTheme="minorHAnsi"/>
          <w:bCs/>
          <w:snapToGrid w:val="0"/>
        </w:rPr>
        <w:t>3</w:t>
      </w:r>
      <w:r w:rsidRPr="00484AE9">
        <w:rPr>
          <w:rFonts w:asciiTheme="minorHAnsi" w:hAnsiTheme="minorHAnsi"/>
          <w:bCs/>
          <w:snapToGrid w:val="0"/>
        </w:rPr>
        <w:t>), and organisations (</w:t>
      </w:r>
      <w:r w:rsidR="00C25CD7" w:rsidRPr="00484AE9">
        <w:rPr>
          <w:rFonts w:asciiTheme="minorHAnsi" w:hAnsiTheme="minorHAnsi"/>
          <w:bCs/>
          <w:snapToGrid w:val="0"/>
        </w:rPr>
        <w:t>2</w:t>
      </w:r>
      <w:r w:rsidRPr="00484AE9">
        <w:rPr>
          <w:rFonts w:asciiTheme="minorHAnsi" w:hAnsiTheme="minorHAnsi"/>
          <w:bCs/>
          <w:snapToGrid w:val="0"/>
        </w:rPr>
        <w:t>) via the Consumer Comments facility on the PBS website.</w:t>
      </w:r>
      <w:r w:rsidR="00157149" w:rsidRPr="00484AE9">
        <w:rPr>
          <w:rFonts w:asciiTheme="minorHAnsi" w:hAnsiTheme="minorHAnsi"/>
          <w:bCs/>
          <w:snapToGrid w:val="0"/>
        </w:rPr>
        <w:t xml:space="preserve"> </w:t>
      </w:r>
      <w:r w:rsidRPr="00484AE9">
        <w:rPr>
          <w:rFonts w:asciiTheme="minorHAnsi" w:hAnsiTheme="minorHAnsi"/>
          <w:bCs/>
          <w:snapToGrid w:val="0"/>
        </w:rPr>
        <w:t xml:space="preserve">The comments described a range of benefits of treatment with </w:t>
      </w:r>
      <w:r w:rsidR="00093F02" w:rsidRPr="00484AE9">
        <w:rPr>
          <w:rFonts w:asciiTheme="minorHAnsi" w:hAnsiTheme="minorHAnsi"/>
          <w:bCs/>
          <w:snapToGrid w:val="0"/>
        </w:rPr>
        <w:t>nirmatrelvir and ritonavir</w:t>
      </w:r>
      <w:r w:rsidR="00D70AA6" w:rsidRPr="00484AE9">
        <w:rPr>
          <w:rFonts w:asciiTheme="minorHAnsi" w:hAnsiTheme="minorHAnsi"/>
          <w:bCs/>
          <w:snapToGrid w:val="0"/>
        </w:rPr>
        <w:t xml:space="preserve"> including potential to reduce symptoms</w:t>
      </w:r>
      <w:r w:rsidR="00D537D2" w:rsidRPr="00484AE9">
        <w:rPr>
          <w:rFonts w:asciiTheme="minorHAnsi" w:hAnsiTheme="minorHAnsi"/>
          <w:bCs/>
          <w:snapToGrid w:val="0"/>
        </w:rPr>
        <w:t xml:space="preserve"> and prevent severe COVID</w:t>
      </w:r>
      <w:r w:rsidR="00A62B3A" w:rsidRPr="00484AE9">
        <w:rPr>
          <w:rFonts w:asciiTheme="minorHAnsi" w:hAnsiTheme="minorHAnsi"/>
          <w:bCs/>
          <w:snapToGrid w:val="0"/>
        </w:rPr>
        <w:t xml:space="preserve">. </w:t>
      </w:r>
      <w:r w:rsidR="00D537D2" w:rsidRPr="00484AE9">
        <w:rPr>
          <w:rFonts w:asciiTheme="minorHAnsi" w:hAnsiTheme="minorHAnsi"/>
          <w:bCs/>
          <w:snapToGrid w:val="0"/>
        </w:rPr>
        <w:t xml:space="preserve">The input also described concerns about long COVID, and </w:t>
      </w:r>
      <w:r w:rsidR="008E6E47" w:rsidRPr="00484AE9">
        <w:rPr>
          <w:rFonts w:asciiTheme="minorHAnsi" w:hAnsiTheme="minorHAnsi"/>
          <w:bCs/>
          <w:snapToGrid w:val="0"/>
        </w:rPr>
        <w:t>a desire</w:t>
      </w:r>
      <w:r w:rsidR="00D70AA6" w:rsidRPr="00484AE9">
        <w:rPr>
          <w:rFonts w:asciiTheme="minorHAnsi" w:hAnsiTheme="minorHAnsi"/>
          <w:bCs/>
          <w:snapToGrid w:val="0"/>
        </w:rPr>
        <w:t xml:space="preserve"> for </w:t>
      </w:r>
      <w:r w:rsidR="00D537D2" w:rsidRPr="00484AE9">
        <w:rPr>
          <w:rFonts w:asciiTheme="minorHAnsi" w:hAnsiTheme="minorHAnsi"/>
          <w:bCs/>
          <w:snapToGrid w:val="0"/>
        </w:rPr>
        <w:t>expanded</w:t>
      </w:r>
      <w:r w:rsidR="00D70AA6" w:rsidRPr="00484AE9">
        <w:rPr>
          <w:rFonts w:asciiTheme="minorHAnsi" w:hAnsiTheme="minorHAnsi"/>
          <w:bCs/>
          <w:snapToGrid w:val="0"/>
        </w:rPr>
        <w:t xml:space="preserve"> access</w:t>
      </w:r>
      <w:r w:rsidR="00D537D2" w:rsidRPr="00484AE9">
        <w:rPr>
          <w:rFonts w:asciiTheme="minorHAnsi" w:hAnsiTheme="minorHAnsi"/>
          <w:bCs/>
          <w:snapToGrid w:val="0"/>
        </w:rPr>
        <w:t xml:space="preserve"> to the medicine beyond the groups that are eligible currently</w:t>
      </w:r>
      <w:r w:rsidR="00A62B3A" w:rsidRPr="00484AE9">
        <w:rPr>
          <w:rFonts w:asciiTheme="minorHAnsi" w:hAnsiTheme="minorHAnsi"/>
          <w:bCs/>
          <w:snapToGrid w:val="0"/>
        </w:rPr>
        <w:t xml:space="preserve">. </w:t>
      </w:r>
      <w:r w:rsidR="00D537D2" w:rsidRPr="00484AE9">
        <w:rPr>
          <w:rFonts w:asciiTheme="minorHAnsi" w:hAnsiTheme="minorHAnsi"/>
          <w:bCs/>
          <w:snapToGrid w:val="0"/>
        </w:rPr>
        <w:t xml:space="preserve">The input also described concerns about the cost of treatment for those not eligible for PBS access. </w:t>
      </w:r>
    </w:p>
    <w:p w14:paraId="348A3FD0" w14:textId="5B4E5B65" w:rsidR="00D70AA6" w:rsidRPr="00484AE9" w:rsidRDefault="00D70AA6" w:rsidP="00D70AA6">
      <w:pPr>
        <w:pStyle w:val="3-BodyText"/>
      </w:pPr>
      <w:r w:rsidRPr="00484AE9">
        <w:t xml:space="preserve">The Lung Foundation Australia (LFA) described the health, financial and social cost of COVID-19 in Australia. The input supported the ongoing PBS listing of </w:t>
      </w:r>
      <w:r w:rsidR="00093F02" w:rsidRPr="00484AE9">
        <w:t>nirmatrelvir and ritonavir</w:t>
      </w:r>
      <w:r w:rsidRPr="00484AE9">
        <w:t xml:space="preserve"> for people at increased risk of severe disease, noting that benefits may include reduced risk of severe infection, hospitalisation, and death in people with mild to moderate COVID-19</w:t>
      </w:r>
      <w:r w:rsidR="00A62B3A" w:rsidRPr="00484AE9">
        <w:t xml:space="preserve">. </w:t>
      </w:r>
      <w:r w:rsidRPr="00484AE9">
        <w:t>Additional benefits may include reduced duration of the person feeling unwell</w:t>
      </w:r>
      <w:r w:rsidR="00A62B3A" w:rsidRPr="00484AE9">
        <w:t xml:space="preserve">. </w:t>
      </w:r>
      <w:r w:rsidRPr="00484AE9">
        <w:t xml:space="preserve">It was also stated that </w:t>
      </w:r>
      <w:r w:rsidR="00093F02" w:rsidRPr="00484AE9">
        <w:t>nirmatrelvir and ritonavir</w:t>
      </w:r>
      <w:r w:rsidRPr="00484AE9">
        <w:t xml:space="preserve"> was more efficacious than other </w:t>
      </w:r>
      <w:r w:rsidR="00C82D49" w:rsidRPr="00484AE9">
        <w:t>treatments and</w:t>
      </w:r>
      <w:r w:rsidRPr="00484AE9">
        <w:t xml:space="preserve"> could reduce burden on the healthcare system</w:t>
      </w:r>
      <w:r w:rsidR="008E6E47" w:rsidRPr="00484AE9">
        <w:t>.</w:t>
      </w:r>
    </w:p>
    <w:p w14:paraId="36BEE3E8" w14:textId="39C92CEE" w:rsidR="00D70AA6" w:rsidRPr="00484AE9" w:rsidRDefault="00D70AA6" w:rsidP="00D70AA6">
      <w:pPr>
        <w:pStyle w:val="3-BodyText"/>
      </w:pPr>
      <w:r w:rsidRPr="00484AE9">
        <w:rPr>
          <w:bCs/>
        </w:rPr>
        <w:t xml:space="preserve">The input from Rare Cancers Australia (RCA) discussed that </w:t>
      </w:r>
      <w:r w:rsidRPr="00484AE9">
        <w:t>people living with cancer have increased vulnerability to SARS-CoV-2 infection and development of more severe COVID-19 symptoms</w:t>
      </w:r>
      <w:r w:rsidR="00A62B3A" w:rsidRPr="00484AE9">
        <w:t xml:space="preserve">. </w:t>
      </w:r>
      <w:r w:rsidRPr="00484AE9">
        <w:t xml:space="preserve">The input noted that people living with cancer may be </w:t>
      </w:r>
      <w:r w:rsidR="00C82D49" w:rsidRPr="00484AE9">
        <w:t>immunocompromised and</w:t>
      </w:r>
      <w:r w:rsidRPr="00484AE9">
        <w:t xml:space="preserve"> supported ongoing PBS access for this patient group. The input highlighted the importan</w:t>
      </w:r>
      <w:r w:rsidR="001C0B7A" w:rsidRPr="00484AE9">
        <w:t>ce</w:t>
      </w:r>
      <w:r w:rsidRPr="00484AE9">
        <w:t xml:space="preserve"> of commencing treatment without delay</w:t>
      </w:r>
      <w:r w:rsidR="00A62B3A" w:rsidRPr="00484AE9">
        <w:t xml:space="preserve">. </w:t>
      </w:r>
      <w:r w:rsidRPr="00484AE9">
        <w:t>For people living with cancer, additional benefits are to reduce acute symptoms and minimise disruption to cancer treatment</w:t>
      </w:r>
      <w:r w:rsidR="00A62B3A" w:rsidRPr="00484AE9">
        <w:t xml:space="preserve">. </w:t>
      </w:r>
      <w:r w:rsidRPr="00484AE9">
        <w:t>The input also supported the recommendations from the Long C</w:t>
      </w:r>
      <w:r w:rsidR="008E6E47" w:rsidRPr="00484AE9">
        <w:t>OVID</w:t>
      </w:r>
      <w:r w:rsidRPr="00484AE9">
        <w:t xml:space="preserve"> Senate Inquiry for access to </w:t>
      </w:r>
      <w:r w:rsidR="008E6E47" w:rsidRPr="00484AE9">
        <w:t>OAVs</w:t>
      </w:r>
      <w:r w:rsidRPr="00484AE9">
        <w:t xml:space="preserve"> to be expanded</w:t>
      </w:r>
      <w:r w:rsidR="008E6E47" w:rsidRPr="00484AE9">
        <w:rPr>
          <w:rStyle w:val="FootnoteReference"/>
        </w:rPr>
        <w:footnoteReference w:id="7"/>
      </w:r>
      <w:r w:rsidRPr="00484AE9">
        <w:t>.</w:t>
      </w:r>
    </w:p>
    <w:p w14:paraId="0268DB44" w14:textId="2E16E060" w:rsidR="00050809" w:rsidRPr="00484AE9" w:rsidRDefault="00D70AA6" w:rsidP="00A46EBF">
      <w:pPr>
        <w:pStyle w:val="3-BodyText"/>
        <w:rPr>
          <w:rFonts w:ascii="Arial Narrow" w:hAnsi="Arial Narrow"/>
          <w:b/>
          <w:sz w:val="20"/>
          <w:szCs w:val="16"/>
        </w:rPr>
      </w:pPr>
      <w:r w:rsidRPr="00484AE9">
        <w:rPr>
          <w:bCs/>
        </w:rPr>
        <w:t xml:space="preserve">The PBAC noted that this </w:t>
      </w:r>
      <w:r w:rsidR="00157149" w:rsidRPr="00484AE9">
        <w:rPr>
          <w:bCs/>
        </w:rPr>
        <w:t xml:space="preserve">input was largely supportive of the evidence provided in the submission, however the evidence presented in the submission regarding the </w:t>
      </w:r>
      <w:r w:rsidR="00157149" w:rsidRPr="00484AE9">
        <w:rPr>
          <w:rStyle w:val="normaltextrun"/>
        </w:rPr>
        <w:t xml:space="preserve">impact of treatment with nirmatrelvir and ritonavir on long COVID </w:t>
      </w:r>
      <w:r w:rsidR="00157149" w:rsidRPr="00484AE9">
        <w:rPr>
          <w:bCs/>
        </w:rPr>
        <w:t>was inconclusive</w:t>
      </w:r>
      <w:r w:rsidR="00A46EBF" w:rsidRPr="00484AE9">
        <w:rPr>
          <w:bCs/>
        </w:rPr>
        <w:t xml:space="preserve"> (see paragraphs </w:t>
      </w:r>
      <w:r w:rsidR="00A46EBF" w:rsidRPr="00484AE9">
        <w:rPr>
          <w:bCs/>
        </w:rPr>
        <w:fldChar w:fldCharType="begin"/>
      </w:r>
      <w:r w:rsidR="00A46EBF" w:rsidRPr="00484AE9">
        <w:rPr>
          <w:bCs/>
        </w:rPr>
        <w:instrText xml:space="preserve"> REF _Ref152081454 \r \h </w:instrText>
      </w:r>
      <w:r w:rsidR="00A46EBF" w:rsidRPr="00484AE9">
        <w:rPr>
          <w:bCs/>
        </w:rPr>
      </w:r>
      <w:r w:rsidR="00A46EBF" w:rsidRPr="00484AE9">
        <w:rPr>
          <w:bCs/>
        </w:rPr>
        <w:fldChar w:fldCharType="separate"/>
      </w:r>
      <w:r w:rsidR="00872657">
        <w:rPr>
          <w:bCs/>
        </w:rPr>
        <w:t>6.37</w:t>
      </w:r>
      <w:r w:rsidR="00A46EBF" w:rsidRPr="00484AE9">
        <w:rPr>
          <w:bCs/>
        </w:rPr>
        <w:fldChar w:fldCharType="end"/>
      </w:r>
      <w:r w:rsidR="00A46EBF" w:rsidRPr="00484AE9">
        <w:rPr>
          <w:bCs/>
        </w:rPr>
        <w:t xml:space="preserve"> to </w:t>
      </w:r>
      <w:r w:rsidR="00A46EBF" w:rsidRPr="00484AE9">
        <w:rPr>
          <w:bCs/>
        </w:rPr>
        <w:fldChar w:fldCharType="begin"/>
      </w:r>
      <w:r w:rsidR="00A46EBF" w:rsidRPr="00484AE9">
        <w:rPr>
          <w:bCs/>
        </w:rPr>
        <w:instrText xml:space="preserve"> REF _Ref152081456 \r \h </w:instrText>
      </w:r>
      <w:r w:rsidR="00A46EBF" w:rsidRPr="00484AE9">
        <w:rPr>
          <w:bCs/>
        </w:rPr>
      </w:r>
      <w:r w:rsidR="00A46EBF" w:rsidRPr="00484AE9">
        <w:rPr>
          <w:bCs/>
        </w:rPr>
        <w:fldChar w:fldCharType="separate"/>
      </w:r>
      <w:r w:rsidR="00872657">
        <w:rPr>
          <w:bCs/>
        </w:rPr>
        <w:t>6.41</w:t>
      </w:r>
      <w:r w:rsidR="00A46EBF" w:rsidRPr="00484AE9">
        <w:rPr>
          <w:bCs/>
        </w:rPr>
        <w:fldChar w:fldCharType="end"/>
      </w:r>
      <w:r w:rsidR="00A46EBF" w:rsidRPr="00484AE9">
        <w:rPr>
          <w:bCs/>
        </w:rPr>
        <w:t>)</w:t>
      </w:r>
      <w:r w:rsidR="00157149" w:rsidRPr="00484AE9">
        <w:rPr>
          <w:bCs/>
        </w:rPr>
        <w:t>.</w:t>
      </w:r>
      <w:bookmarkEnd w:id="52"/>
      <w:bookmarkEnd w:id="56"/>
    </w:p>
    <w:p w14:paraId="609C0765" w14:textId="208AA857" w:rsidR="00B60939" w:rsidRPr="00484AE9" w:rsidRDefault="00B60939" w:rsidP="00F40641">
      <w:pPr>
        <w:pStyle w:val="4-SubsectionHeading"/>
      </w:pPr>
      <w:r w:rsidRPr="00484AE9">
        <w:t xml:space="preserve">Clinical </w:t>
      </w:r>
      <w:bookmarkEnd w:id="51"/>
      <w:r w:rsidR="004A462C" w:rsidRPr="00484AE9">
        <w:t>trials and observational studies</w:t>
      </w:r>
      <w:bookmarkEnd w:id="53"/>
      <w:bookmarkEnd w:id="54"/>
    </w:p>
    <w:bookmarkEnd w:id="55"/>
    <w:p w14:paraId="0D58FAE1" w14:textId="77777777" w:rsidR="00427C28" w:rsidRPr="00484AE9" w:rsidRDefault="00A73134" w:rsidP="002E4F02">
      <w:pPr>
        <w:pStyle w:val="3-BodyText"/>
      </w:pPr>
      <w:r w:rsidRPr="00484AE9">
        <w:rPr>
          <w:snapToGrid/>
        </w:rPr>
        <w:t xml:space="preserve">The submission </w:t>
      </w:r>
      <w:r w:rsidR="00876C94" w:rsidRPr="00484AE9">
        <w:rPr>
          <w:snapToGrid/>
        </w:rPr>
        <w:t>presented two</w:t>
      </w:r>
      <w:r w:rsidR="007C70E6" w:rsidRPr="00484AE9">
        <w:rPr>
          <w:snapToGrid/>
        </w:rPr>
        <w:t xml:space="preserve"> randomised</w:t>
      </w:r>
      <w:r w:rsidR="00B2017C" w:rsidRPr="00484AE9">
        <w:rPr>
          <w:snapToGrid/>
        </w:rPr>
        <w:t>, double-blind,</w:t>
      </w:r>
      <w:r w:rsidRPr="00484AE9">
        <w:rPr>
          <w:snapToGrid/>
        </w:rPr>
        <w:t xml:space="preserve"> </w:t>
      </w:r>
      <w:r w:rsidR="007C70E6" w:rsidRPr="00484AE9">
        <w:rPr>
          <w:snapToGrid/>
        </w:rPr>
        <w:t>placebo-controlled</w:t>
      </w:r>
      <w:r w:rsidRPr="00484AE9">
        <w:rPr>
          <w:snapToGrid/>
        </w:rPr>
        <w:t xml:space="preserve"> </w:t>
      </w:r>
      <w:r w:rsidR="007C70E6" w:rsidRPr="00484AE9">
        <w:rPr>
          <w:snapToGrid/>
        </w:rPr>
        <w:t>trial</w:t>
      </w:r>
      <w:r w:rsidR="00876C94" w:rsidRPr="00484AE9">
        <w:rPr>
          <w:snapToGrid/>
        </w:rPr>
        <w:t>s</w:t>
      </w:r>
      <w:r w:rsidR="007C70E6" w:rsidRPr="00484AE9">
        <w:rPr>
          <w:snapToGrid/>
        </w:rPr>
        <w:t xml:space="preserve"> </w:t>
      </w:r>
      <w:r w:rsidR="00CE22F8" w:rsidRPr="00484AE9">
        <w:rPr>
          <w:snapToGrid/>
        </w:rPr>
        <w:t xml:space="preserve">of nirmatrelvir and ritonavir </w:t>
      </w:r>
      <w:r w:rsidR="007C70E6" w:rsidRPr="00484AE9">
        <w:rPr>
          <w:snapToGrid/>
        </w:rPr>
        <w:t>(EPIC-HR</w:t>
      </w:r>
      <w:r w:rsidR="00876C94" w:rsidRPr="00484AE9">
        <w:rPr>
          <w:snapToGrid/>
        </w:rPr>
        <w:t xml:space="preserve"> and EPIC-SR</w:t>
      </w:r>
      <w:r w:rsidR="00C140A4" w:rsidRPr="00484AE9">
        <w:rPr>
          <w:snapToGrid/>
        </w:rPr>
        <w:t>).</w:t>
      </w:r>
    </w:p>
    <w:p w14:paraId="2BE0DD86" w14:textId="77777777" w:rsidR="00427C28" w:rsidRPr="00484AE9" w:rsidRDefault="00161982" w:rsidP="00427C28">
      <w:pPr>
        <w:pStyle w:val="3-BodyText"/>
        <w:numPr>
          <w:ilvl w:val="2"/>
          <w:numId w:val="1"/>
        </w:numPr>
        <w:ind w:left="1080"/>
        <w:rPr>
          <w:rStyle w:val="normaltextrun"/>
        </w:rPr>
      </w:pPr>
      <w:r w:rsidRPr="00484AE9">
        <w:rPr>
          <w:snapToGrid/>
        </w:rPr>
        <w:lastRenderedPageBreak/>
        <w:t>Th</w:t>
      </w:r>
      <w:r w:rsidR="00876C94" w:rsidRPr="00484AE9">
        <w:rPr>
          <w:snapToGrid/>
        </w:rPr>
        <w:t>e EPIC-HR</w:t>
      </w:r>
      <w:r w:rsidRPr="00484AE9">
        <w:rPr>
          <w:snapToGrid/>
        </w:rPr>
        <w:t xml:space="preserve"> trial was the primary source of evidence considered by the PBAC</w:t>
      </w:r>
      <w:r w:rsidR="00C140A4" w:rsidRPr="00484AE9">
        <w:rPr>
          <w:snapToGrid/>
        </w:rPr>
        <w:t xml:space="preserve"> </w:t>
      </w:r>
      <w:r w:rsidRPr="00484AE9">
        <w:rPr>
          <w:snapToGrid/>
        </w:rPr>
        <w:t>when it recommended listing of nirmatrelvir and ritonavir on the PBS</w:t>
      </w:r>
      <w:r w:rsidR="006E6C10" w:rsidRPr="00484AE9">
        <w:rPr>
          <w:snapToGrid/>
        </w:rPr>
        <w:t xml:space="preserve"> in March 2022. The trial was conduct</w:t>
      </w:r>
      <w:r w:rsidR="006B62FB" w:rsidRPr="00484AE9">
        <w:rPr>
          <w:snapToGrid/>
        </w:rPr>
        <w:t xml:space="preserve">ed in unvaccinated patients </w:t>
      </w:r>
      <w:r w:rsidR="00CE59E2" w:rsidRPr="00484AE9">
        <w:rPr>
          <w:snapToGrid/>
        </w:rPr>
        <w:t xml:space="preserve">diagnosed with </w:t>
      </w:r>
      <w:r w:rsidR="00CE59E2" w:rsidRPr="00484AE9">
        <w:rPr>
          <w:rStyle w:val="normaltextrun"/>
          <w:snapToGrid/>
        </w:rPr>
        <w:t>COVID</w:t>
      </w:r>
      <w:r w:rsidR="00CE59E2" w:rsidRPr="00484AE9">
        <w:rPr>
          <w:rStyle w:val="normaltextrun"/>
          <w:snapToGrid/>
        </w:rPr>
        <w:noBreakHyphen/>
        <w:t xml:space="preserve">19 who were </w:t>
      </w:r>
      <w:r w:rsidR="006B62FB" w:rsidRPr="00484AE9">
        <w:rPr>
          <w:snapToGrid/>
        </w:rPr>
        <w:t xml:space="preserve">at high risk of developing severe </w:t>
      </w:r>
      <w:r w:rsidR="006B62FB" w:rsidRPr="00484AE9">
        <w:rPr>
          <w:rStyle w:val="normaltextrun"/>
          <w:snapToGrid/>
        </w:rPr>
        <w:t>COVID</w:t>
      </w:r>
      <w:r w:rsidR="006B62FB" w:rsidRPr="00484AE9">
        <w:rPr>
          <w:rStyle w:val="normaltextrun"/>
          <w:snapToGrid/>
        </w:rPr>
        <w:noBreakHyphen/>
        <w:t>19, which can necessitate hospitalisation.</w:t>
      </w:r>
    </w:p>
    <w:p w14:paraId="740698FD" w14:textId="56F77D79" w:rsidR="00F817E8" w:rsidRPr="00484AE9" w:rsidRDefault="00427C28" w:rsidP="00FB0E9A">
      <w:pPr>
        <w:pStyle w:val="3-BodyText"/>
        <w:numPr>
          <w:ilvl w:val="2"/>
          <w:numId w:val="1"/>
        </w:numPr>
        <w:ind w:left="1080"/>
        <w:rPr>
          <w:rStyle w:val="normaltextrun"/>
        </w:rPr>
      </w:pPr>
      <w:r w:rsidRPr="00484AE9">
        <w:rPr>
          <w:snapToGrid/>
        </w:rPr>
        <w:t xml:space="preserve">The </w:t>
      </w:r>
      <w:r w:rsidR="00C140A4" w:rsidRPr="00484AE9">
        <w:rPr>
          <w:snapToGrid/>
        </w:rPr>
        <w:t>second</w:t>
      </w:r>
      <w:r w:rsidR="00161982" w:rsidRPr="00484AE9">
        <w:rPr>
          <w:snapToGrid/>
        </w:rPr>
        <w:t xml:space="preserve"> randomised</w:t>
      </w:r>
      <w:r w:rsidR="007D4AC9" w:rsidRPr="00484AE9">
        <w:rPr>
          <w:snapToGrid/>
        </w:rPr>
        <w:t xml:space="preserve">, double-blind, placebo-controlled trial </w:t>
      </w:r>
      <w:r w:rsidR="006E6C10" w:rsidRPr="00484AE9">
        <w:rPr>
          <w:snapToGrid/>
        </w:rPr>
        <w:t>(</w:t>
      </w:r>
      <w:r w:rsidR="007C70E6" w:rsidRPr="00484AE9">
        <w:rPr>
          <w:snapToGrid/>
        </w:rPr>
        <w:t>EPIC</w:t>
      </w:r>
      <w:r w:rsidR="00841EE7" w:rsidRPr="00484AE9">
        <w:rPr>
          <w:snapToGrid/>
        </w:rPr>
        <w:t>-SR</w:t>
      </w:r>
      <w:r w:rsidR="006E6C10" w:rsidRPr="00484AE9">
        <w:rPr>
          <w:snapToGrid/>
        </w:rPr>
        <w:t>)</w:t>
      </w:r>
      <w:r w:rsidR="0058088F" w:rsidRPr="00484AE9">
        <w:rPr>
          <w:snapToGrid/>
        </w:rPr>
        <w:t xml:space="preserve"> was ongoing </w:t>
      </w:r>
      <w:r w:rsidR="007D4AC9" w:rsidRPr="00484AE9">
        <w:rPr>
          <w:snapToGrid/>
        </w:rPr>
        <w:t xml:space="preserve">at the time of the PBAC consideration of nirmatrelvir and ritonavir </w:t>
      </w:r>
      <w:r w:rsidR="0058088F" w:rsidRPr="00484AE9">
        <w:rPr>
          <w:snapToGrid/>
        </w:rPr>
        <w:t xml:space="preserve">in March 2022 </w:t>
      </w:r>
      <w:r w:rsidR="008C4C95" w:rsidRPr="00484AE9">
        <w:rPr>
          <w:snapToGrid/>
        </w:rPr>
        <w:t xml:space="preserve">but </w:t>
      </w:r>
      <w:r w:rsidR="0058088F" w:rsidRPr="00484AE9">
        <w:rPr>
          <w:snapToGrid/>
        </w:rPr>
        <w:t>has</w:t>
      </w:r>
      <w:r w:rsidR="00B02F13" w:rsidRPr="00484AE9">
        <w:rPr>
          <w:snapToGrid/>
        </w:rPr>
        <w:t xml:space="preserve"> </w:t>
      </w:r>
      <w:r w:rsidR="00D45B82" w:rsidRPr="00484AE9">
        <w:rPr>
          <w:snapToGrid/>
        </w:rPr>
        <w:t>since</w:t>
      </w:r>
      <w:r w:rsidR="00B02F13" w:rsidRPr="00484AE9">
        <w:rPr>
          <w:snapToGrid/>
        </w:rPr>
        <w:t xml:space="preserve"> reported</w:t>
      </w:r>
      <w:r w:rsidR="0022430B" w:rsidRPr="00484AE9">
        <w:rPr>
          <w:snapToGrid/>
        </w:rPr>
        <w:t xml:space="preserve">. The submission </w:t>
      </w:r>
      <w:r w:rsidR="00E64F02" w:rsidRPr="00484AE9">
        <w:rPr>
          <w:snapToGrid/>
        </w:rPr>
        <w:t>provided limited</w:t>
      </w:r>
      <w:r w:rsidR="00142E09" w:rsidRPr="00484AE9">
        <w:rPr>
          <w:snapToGrid/>
        </w:rPr>
        <w:t xml:space="preserve"> details for the ITT population </w:t>
      </w:r>
      <w:r w:rsidR="00E64F02" w:rsidRPr="00484AE9">
        <w:rPr>
          <w:snapToGrid/>
        </w:rPr>
        <w:t>recruited to</w:t>
      </w:r>
      <w:r w:rsidR="00142E09" w:rsidRPr="00484AE9">
        <w:rPr>
          <w:snapToGrid/>
        </w:rPr>
        <w:t xml:space="preserve"> this trial on the grounds that</w:t>
      </w:r>
      <w:r w:rsidR="00B02F13" w:rsidRPr="00484AE9">
        <w:rPr>
          <w:snapToGrid/>
        </w:rPr>
        <w:t xml:space="preserve"> </w:t>
      </w:r>
      <w:r w:rsidR="003D5822" w:rsidRPr="00484AE9">
        <w:rPr>
          <w:snapToGrid/>
        </w:rPr>
        <w:t xml:space="preserve">the majority of patients in the trial </w:t>
      </w:r>
      <w:r w:rsidR="00A02D09" w:rsidRPr="00484AE9">
        <w:rPr>
          <w:snapToGrid/>
        </w:rPr>
        <w:t>fall outside of the TGA</w:t>
      </w:r>
      <w:r w:rsidR="00CB25ED" w:rsidRPr="00484AE9">
        <w:rPr>
          <w:snapToGrid/>
        </w:rPr>
        <w:t>-</w:t>
      </w:r>
      <w:r w:rsidR="00A02D09" w:rsidRPr="00484AE9">
        <w:rPr>
          <w:snapToGrid/>
        </w:rPr>
        <w:t>approved indication</w:t>
      </w:r>
      <w:r w:rsidR="00CB25ED" w:rsidRPr="00484AE9">
        <w:rPr>
          <w:snapToGrid/>
        </w:rPr>
        <w:t xml:space="preserve"> for nirmatrelvir and</w:t>
      </w:r>
      <w:r w:rsidR="00A02D09" w:rsidRPr="00484AE9">
        <w:rPr>
          <w:snapToGrid/>
        </w:rPr>
        <w:t xml:space="preserve"> </w:t>
      </w:r>
      <w:r w:rsidR="003D5822" w:rsidRPr="00484AE9">
        <w:rPr>
          <w:snapToGrid/>
        </w:rPr>
        <w:t>would not be eligible for treatment with nirmatrelvir and ritonavir on the PBS</w:t>
      </w:r>
      <w:r w:rsidR="00CE59E2" w:rsidRPr="00484AE9">
        <w:rPr>
          <w:snapToGrid/>
        </w:rPr>
        <w:t xml:space="preserve"> due to being at </w:t>
      </w:r>
      <w:r w:rsidR="00D45B82" w:rsidRPr="00484AE9">
        <w:rPr>
          <w:snapToGrid/>
        </w:rPr>
        <w:t>‘</w:t>
      </w:r>
      <w:r w:rsidR="00CE59E2" w:rsidRPr="00484AE9">
        <w:rPr>
          <w:snapToGrid/>
        </w:rPr>
        <w:t>standard risk</w:t>
      </w:r>
      <w:r w:rsidR="00D45B82" w:rsidRPr="00484AE9">
        <w:rPr>
          <w:snapToGrid/>
        </w:rPr>
        <w:t>’</w:t>
      </w:r>
      <w:r w:rsidR="00CE59E2" w:rsidRPr="00484AE9">
        <w:rPr>
          <w:snapToGrid/>
        </w:rPr>
        <w:t xml:space="preserve"> of </w:t>
      </w:r>
      <w:r w:rsidR="006878C2" w:rsidRPr="00484AE9">
        <w:rPr>
          <w:snapToGrid/>
        </w:rPr>
        <w:t xml:space="preserve">developing severe </w:t>
      </w:r>
      <w:r w:rsidR="006878C2" w:rsidRPr="00484AE9">
        <w:rPr>
          <w:rStyle w:val="normaltextrun"/>
          <w:snapToGrid/>
        </w:rPr>
        <w:t>COVID</w:t>
      </w:r>
      <w:r w:rsidR="006878C2" w:rsidRPr="00484AE9">
        <w:rPr>
          <w:rStyle w:val="normaltextrun"/>
          <w:snapToGrid/>
        </w:rPr>
        <w:noBreakHyphen/>
        <w:t>19</w:t>
      </w:r>
      <w:r w:rsidR="00CB25ED" w:rsidRPr="00484AE9">
        <w:rPr>
          <w:snapToGrid/>
        </w:rPr>
        <w:t>. However, the submission present</w:t>
      </w:r>
      <w:r w:rsidR="000B1ED3" w:rsidRPr="00484AE9">
        <w:rPr>
          <w:snapToGrid/>
        </w:rPr>
        <w:t>ed</w:t>
      </w:r>
      <w:r w:rsidR="00CB25ED" w:rsidRPr="00484AE9">
        <w:rPr>
          <w:snapToGrid/>
        </w:rPr>
        <w:t xml:space="preserve"> analyses of outcomes in a subgroup of patients</w:t>
      </w:r>
      <w:r w:rsidR="007B6CCC" w:rsidRPr="00484AE9">
        <w:rPr>
          <w:snapToGrid/>
        </w:rPr>
        <w:t xml:space="preserve"> </w:t>
      </w:r>
      <w:r w:rsidR="005B6BA3" w:rsidRPr="00484AE9">
        <w:rPr>
          <w:snapToGrid/>
        </w:rPr>
        <w:t xml:space="preserve">recruited to </w:t>
      </w:r>
      <w:r w:rsidR="007B6CCC" w:rsidRPr="00484AE9">
        <w:rPr>
          <w:snapToGrid/>
        </w:rPr>
        <w:t>the EPIC-SR trial</w:t>
      </w:r>
      <w:r w:rsidR="003D5822" w:rsidRPr="00484AE9">
        <w:rPr>
          <w:snapToGrid/>
        </w:rPr>
        <w:t xml:space="preserve"> </w:t>
      </w:r>
      <w:r w:rsidR="00C95413" w:rsidRPr="00484AE9">
        <w:rPr>
          <w:snapToGrid/>
        </w:rPr>
        <w:t xml:space="preserve">who were </w:t>
      </w:r>
      <w:r w:rsidR="004A2500" w:rsidRPr="00484AE9">
        <w:rPr>
          <w:snapToGrid/>
        </w:rPr>
        <w:t xml:space="preserve">vaccinated, had been diagnosed with </w:t>
      </w:r>
      <w:r w:rsidR="004A2500" w:rsidRPr="00484AE9">
        <w:rPr>
          <w:rStyle w:val="normaltextrun"/>
          <w:snapToGrid/>
        </w:rPr>
        <w:t>COVID</w:t>
      </w:r>
      <w:r w:rsidR="004A2500" w:rsidRPr="00484AE9">
        <w:rPr>
          <w:rStyle w:val="normaltextrun"/>
          <w:snapToGrid/>
        </w:rPr>
        <w:noBreakHyphen/>
        <w:t xml:space="preserve">19 and were </w:t>
      </w:r>
      <w:r w:rsidR="00FD0094" w:rsidRPr="00484AE9">
        <w:rPr>
          <w:rStyle w:val="normaltextrun"/>
          <w:snapToGrid/>
        </w:rPr>
        <w:t xml:space="preserve">considered by the submission to be </w:t>
      </w:r>
      <w:r w:rsidR="00C95413" w:rsidRPr="00484AE9">
        <w:rPr>
          <w:snapToGrid/>
        </w:rPr>
        <w:t xml:space="preserve">at </w:t>
      </w:r>
      <w:r w:rsidR="007A595B" w:rsidRPr="00484AE9">
        <w:rPr>
          <w:snapToGrid/>
        </w:rPr>
        <w:t xml:space="preserve">high risk of developing severe </w:t>
      </w:r>
      <w:r w:rsidR="007A595B" w:rsidRPr="00484AE9">
        <w:rPr>
          <w:rStyle w:val="normaltextrun"/>
          <w:snapToGrid/>
        </w:rPr>
        <w:t>COVID</w:t>
      </w:r>
      <w:r w:rsidR="007A595B" w:rsidRPr="00484AE9">
        <w:rPr>
          <w:rStyle w:val="normaltextrun"/>
          <w:snapToGrid/>
        </w:rPr>
        <w:noBreakHyphen/>
        <w:t xml:space="preserve">19. </w:t>
      </w:r>
      <w:r w:rsidR="001E5456" w:rsidRPr="00484AE9">
        <w:rPr>
          <w:rStyle w:val="normaltextrun"/>
          <w:snapToGrid/>
        </w:rPr>
        <w:t>High risk was defined as having at least one risk factor</w:t>
      </w:r>
      <w:r w:rsidR="00DE1565" w:rsidRPr="00484AE9">
        <w:rPr>
          <w:rStyle w:val="normaltextrun"/>
          <w:snapToGrid/>
        </w:rPr>
        <w:t xml:space="preserve">. Risk factors included </w:t>
      </w:r>
      <w:r w:rsidR="00063109" w:rsidRPr="00484AE9">
        <w:rPr>
          <w:rStyle w:val="normaltextrun"/>
        </w:rPr>
        <w:t>a</w:t>
      </w:r>
      <w:r w:rsidR="00493782" w:rsidRPr="00484AE9">
        <w:rPr>
          <w:rStyle w:val="normaltextrun"/>
        </w:rPr>
        <w:t xml:space="preserve">ge &gt;= 60 (65 for 2022 </w:t>
      </w:r>
      <w:r w:rsidR="00C82D49" w:rsidRPr="00484AE9">
        <w:rPr>
          <w:rStyle w:val="normaltextrun"/>
        </w:rPr>
        <w:t>enrolees</w:t>
      </w:r>
      <w:r w:rsidR="00EE1346" w:rsidRPr="00484AE9">
        <w:rPr>
          <w:rStyle w:val="FootnoteReference"/>
        </w:rPr>
        <w:footnoteReference w:id="8"/>
      </w:r>
      <w:r w:rsidR="00493782" w:rsidRPr="00484AE9">
        <w:rPr>
          <w:rStyle w:val="normaltextrun"/>
        </w:rPr>
        <w:t xml:space="preserve">), </w:t>
      </w:r>
      <w:r w:rsidR="00063109" w:rsidRPr="00484AE9">
        <w:rPr>
          <w:rStyle w:val="normaltextrun"/>
        </w:rPr>
        <w:t xml:space="preserve">body mass index </w:t>
      </w:r>
      <w:r w:rsidR="00FB0E9A" w:rsidRPr="00484AE9">
        <w:rPr>
          <w:rStyle w:val="normaltextrun"/>
        </w:rPr>
        <w:t>(</w:t>
      </w:r>
      <w:r w:rsidR="00493782" w:rsidRPr="00484AE9">
        <w:rPr>
          <w:rStyle w:val="normaltextrun"/>
        </w:rPr>
        <w:t>BMI</w:t>
      </w:r>
      <w:r w:rsidR="00FB0E9A" w:rsidRPr="00484AE9">
        <w:rPr>
          <w:rStyle w:val="normaltextrun"/>
        </w:rPr>
        <w:t>)</w:t>
      </w:r>
      <w:r w:rsidR="00493782" w:rsidRPr="00484AE9">
        <w:rPr>
          <w:rStyle w:val="normaltextrun"/>
        </w:rPr>
        <w:t xml:space="preserve"> &gt; 25 (&gt;= 30 for 2022 </w:t>
      </w:r>
      <w:r w:rsidR="00C82D49" w:rsidRPr="00484AE9">
        <w:rPr>
          <w:rStyle w:val="normaltextrun"/>
        </w:rPr>
        <w:t>enrolees</w:t>
      </w:r>
      <w:r w:rsidR="00493782" w:rsidRPr="00484AE9">
        <w:rPr>
          <w:rStyle w:val="normaltextrun"/>
        </w:rPr>
        <w:t xml:space="preserve">), and </w:t>
      </w:r>
      <w:r w:rsidR="009D7FF5" w:rsidRPr="00484AE9">
        <w:rPr>
          <w:rStyle w:val="normaltextrun"/>
        </w:rPr>
        <w:t>with any of the following recorded in the medical h</w:t>
      </w:r>
      <w:r w:rsidR="00493782" w:rsidRPr="00484AE9">
        <w:rPr>
          <w:rStyle w:val="normaltextrun"/>
        </w:rPr>
        <w:t>istory</w:t>
      </w:r>
      <w:r w:rsidR="009D7FF5" w:rsidRPr="00484AE9">
        <w:rPr>
          <w:rStyle w:val="normaltextrun"/>
        </w:rPr>
        <w:t>:</w:t>
      </w:r>
      <w:r w:rsidR="00493782" w:rsidRPr="00484AE9">
        <w:rPr>
          <w:rStyle w:val="normaltextrun"/>
        </w:rPr>
        <w:t xml:space="preserve"> </w:t>
      </w:r>
      <w:r w:rsidR="009D7FF5" w:rsidRPr="00484AE9">
        <w:rPr>
          <w:rStyle w:val="normaltextrun"/>
        </w:rPr>
        <w:t>c</w:t>
      </w:r>
      <w:r w:rsidR="00493782" w:rsidRPr="00484AE9">
        <w:rPr>
          <w:rStyle w:val="normaltextrun"/>
        </w:rPr>
        <w:t xml:space="preserve">igarette </w:t>
      </w:r>
      <w:r w:rsidR="009D7FF5" w:rsidRPr="00484AE9">
        <w:rPr>
          <w:rStyle w:val="normaltextrun"/>
        </w:rPr>
        <w:t>s</w:t>
      </w:r>
      <w:r w:rsidR="00493782" w:rsidRPr="00484AE9">
        <w:rPr>
          <w:rStyle w:val="normaltextrun"/>
        </w:rPr>
        <w:t xml:space="preserve">moker, </w:t>
      </w:r>
      <w:r w:rsidR="009D7FF5" w:rsidRPr="00484AE9">
        <w:rPr>
          <w:rStyle w:val="normaltextrun"/>
        </w:rPr>
        <w:t>c</w:t>
      </w:r>
      <w:r w:rsidR="00493782" w:rsidRPr="00484AE9">
        <w:rPr>
          <w:rStyle w:val="normaltextrun"/>
        </w:rPr>
        <w:t xml:space="preserve">hronic </w:t>
      </w:r>
      <w:r w:rsidR="009D7FF5" w:rsidRPr="00484AE9">
        <w:rPr>
          <w:rStyle w:val="normaltextrun"/>
        </w:rPr>
        <w:t>k</w:t>
      </w:r>
      <w:r w:rsidR="00493782" w:rsidRPr="00484AE9">
        <w:rPr>
          <w:rStyle w:val="normaltextrun"/>
        </w:rPr>
        <w:t xml:space="preserve">idney </w:t>
      </w:r>
      <w:r w:rsidR="009D7FF5" w:rsidRPr="00484AE9">
        <w:rPr>
          <w:rStyle w:val="normaltextrun"/>
        </w:rPr>
        <w:t>d</w:t>
      </w:r>
      <w:r w:rsidR="00493782" w:rsidRPr="00484AE9">
        <w:rPr>
          <w:rStyle w:val="normaltextrun"/>
        </w:rPr>
        <w:t>isease,</w:t>
      </w:r>
      <w:r w:rsidR="009D7FF5" w:rsidRPr="00484AE9">
        <w:rPr>
          <w:rStyle w:val="normaltextrun"/>
        </w:rPr>
        <w:t xml:space="preserve"> h</w:t>
      </w:r>
      <w:r w:rsidR="00493782" w:rsidRPr="00484AE9">
        <w:rPr>
          <w:rStyle w:val="normaltextrun"/>
        </w:rPr>
        <w:t xml:space="preserve">ypertension, </w:t>
      </w:r>
      <w:r w:rsidR="009D7FF5" w:rsidRPr="00484AE9">
        <w:rPr>
          <w:rStyle w:val="normaltextrun"/>
        </w:rPr>
        <w:t>d</w:t>
      </w:r>
      <w:r w:rsidR="00493782" w:rsidRPr="00484AE9">
        <w:rPr>
          <w:rStyle w:val="normaltextrun"/>
        </w:rPr>
        <w:t xml:space="preserve">iabetes </w:t>
      </w:r>
      <w:r w:rsidR="009D7FF5" w:rsidRPr="00484AE9">
        <w:rPr>
          <w:rStyle w:val="normaltextrun"/>
        </w:rPr>
        <w:t>m</w:t>
      </w:r>
      <w:r w:rsidR="00493782" w:rsidRPr="00484AE9">
        <w:rPr>
          <w:rStyle w:val="normaltextrun"/>
        </w:rPr>
        <w:t xml:space="preserve">ellitus, </w:t>
      </w:r>
      <w:r w:rsidR="009D7FF5" w:rsidRPr="00484AE9">
        <w:rPr>
          <w:rStyle w:val="normaltextrun"/>
        </w:rPr>
        <w:t>c</w:t>
      </w:r>
      <w:r w:rsidR="00493782" w:rsidRPr="00484AE9">
        <w:rPr>
          <w:rStyle w:val="normaltextrun"/>
        </w:rPr>
        <w:t>ardiovascular</w:t>
      </w:r>
      <w:r w:rsidR="00063109" w:rsidRPr="00484AE9">
        <w:rPr>
          <w:rStyle w:val="normaltextrun"/>
        </w:rPr>
        <w:t xml:space="preserve"> d</w:t>
      </w:r>
      <w:r w:rsidR="00493782" w:rsidRPr="00484AE9">
        <w:rPr>
          <w:rStyle w:val="normaltextrun"/>
        </w:rPr>
        <w:t xml:space="preserve">isorder, </w:t>
      </w:r>
      <w:r w:rsidR="00063109" w:rsidRPr="00484AE9">
        <w:rPr>
          <w:rStyle w:val="normaltextrun"/>
        </w:rPr>
        <w:t>c</w:t>
      </w:r>
      <w:r w:rsidR="00493782" w:rsidRPr="00484AE9">
        <w:rPr>
          <w:rStyle w:val="normaltextrun"/>
        </w:rPr>
        <w:t xml:space="preserve">hronic </w:t>
      </w:r>
      <w:r w:rsidR="00063109" w:rsidRPr="00484AE9">
        <w:rPr>
          <w:rStyle w:val="normaltextrun"/>
        </w:rPr>
        <w:t>l</w:t>
      </w:r>
      <w:r w:rsidR="00493782" w:rsidRPr="00484AE9">
        <w:rPr>
          <w:rStyle w:val="normaltextrun"/>
        </w:rPr>
        <w:t xml:space="preserve">ung </w:t>
      </w:r>
      <w:r w:rsidR="00063109" w:rsidRPr="00484AE9">
        <w:rPr>
          <w:rStyle w:val="normaltextrun"/>
        </w:rPr>
        <w:t>d</w:t>
      </w:r>
      <w:r w:rsidR="00493782" w:rsidRPr="00484AE9">
        <w:rPr>
          <w:rStyle w:val="normaltextrun"/>
        </w:rPr>
        <w:t xml:space="preserve">isease, HIV </w:t>
      </w:r>
      <w:r w:rsidR="00063109" w:rsidRPr="00484AE9">
        <w:rPr>
          <w:rStyle w:val="normaltextrun"/>
        </w:rPr>
        <w:t>i</w:t>
      </w:r>
      <w:r w:rsidR="00493782" w:rsidRPr="00484AE9">
        <w:rPr>
          <w:rStyle w:val="normaltextrun"/>
        </w:rPr>
        <w:t xml:space="preserve">nfection, </w:t>
      </w:r>
      <w:r w:rsidR="00063109" w:rsidRPr="00484AE9">
        <w:rPr>
          <w:rStyle w:val="normaltextrun"/>
        </w:rPr>
        <w:t>s</w:t>
      </w:r>
      <w:r w:rsidR="00493782" w:rsidRPr="00484AE9">
        <w:rPr>
          <w:rStyle w:val="normaltextrun"/>
        </w:rPr>
        <w:t xml:space="preserve">ickle </w:t>
      </w:r>
      <w:r w:rsidR="00063109" w:rsidRPr="00484AE9">
        <w:rPr>
          <w:rStyle w:val="normaltextrun"/>
        </w:rPr>
        <w:t>c</w:t>
      </w:r>
      <w:r w:rsidR="00493782" w:rsidRPr="00484AE9">
        <w:rPr>
          <w:rStyle w:val="normaltextrun"/>
        </w:rPr>
        <w:t xml:space="preserve">ell </w:t>
      </w:r>
      <w:r w:rsidR="00063109" w:rsidRPr="00484AE9">
        <w:rPr>
          <w:rStyle w:val="normaltextrun"/>
        </w:rPr>
        <w:t>d</w:t>
      </w:r>
      <w:r w:rsidR="00493782" w:rsidRPr="00484AE9">
        <w:rPr>
          <w:rStyle w:val="normaltextrun"/>
        </w:rPr>
        <w:t xml:space="preserve">isease, </w:t>
      </w:r>
      <w:r w:rsidR="00063109" w:rsidRPr="00484AE9">
        <w:rPr>
          <w:rStyle w:val="normaltextrun"/>
        </w:rPr>
        <w:t>n</w:t>
      </w:r>
      <w:r w:rsidR="00493782" w:rsidRPr="00484AE9">
        <w:rPr>
          <w:rStyle w:val="normaltextrun"/>
        </w:rPr>
        <w:t xml:space="preserve">eurodevelopmental </w:t>
      </w:r>
      <w:r w:rsidR="00063109" w:rsidRPr="00484AE9">
        <w:rPr>
          <w:rStyle w:val="normaltextrun"/>
        </w:rPr>
        <w:t>d</w:t>
      </w:r>
      <w:r w:rsidR="00493782" w:rsidRPr="00484AE9">
        <w:rPr>
          <w:rStyle w:val="normaltextrun"/>
        </w:rPr>
        <w:t xml:space="preserve">isorder, </w:t>
      </w:r>
      <w:r w:rsidR="00063109" w:rsidRPr="00484AE9">
        <w:rPr>
          <w:rStyle w:val="normaltextrun"/>
        </w:rPr>
        <w:t>c</w:t>
      </w:r>
      <w:r w:rsidR="00493782" w:rsidRPr="00484AE9">
        <w:rPr>
          <w:rStyle w:val="normaltextrun"/>
        </w:rPr>
        <w:t xml:space="preserve">ancer and </w:t>
      </w:r>
      <w:r w:rsidR="00063109" w:rsidRPr="00484AE9">
        <w:rPr>
          <w:rStyle w:val="normaltextrun"/>
        </w:rPr>
        <w:t>d</w:t>
      </w:r>
      <w:r w:rsidR="00493782" w:rsidRPr="00484AE9">
        <w:rPr>
          <w:rStyle w:val="normaltextrun"/>
        </w:rPr>
        <w:t>evice</w:t>
      </w:r>
      <w:r w:rsidR="00FB0E9A" w:rsidRPr="00484AE9">
        <w:rPr>
          <w:rStyle w:val="normaltextrun"/>
        </w:rPr>
        <w:t xml:space="preserve"> d</w:t>
      </w:r>
      <w:r w:rsidR="00493782" w:rsidRPr="00484AE9">
        <w:rPr>
          <w:rStyle w:val="normaltextrun"/>
        </w:rPr>
        <w:t>ependence).</w:t>
      </w:r>
      <w:r w:rsidR="00FB0E9A" w:rsidRPr="00484AE9">
        <w:rPr>
          <w:rStyle w:val="normaltextrun"/>
        </w:rPr>
        <w:t xml:space="preserve"> </w:t>
      </w:r>
    </w:p>
    <w:p w14:paraId="7A628201" w14:textId="77777777" w:rsidR="00AF7118" w:rsidRPr="00484AE9" w:rsidRDefault="00F817E8" w:rsidP="00372540">
      <w:pPr>
        <w:pStyle w:val="3-BodyText"/>
        <w:rPr>
          <w:rStyle w:val="normaltextrun"/>
        </w:rPr>
      </w:pPr>
      <w:r w:rsidRPr="00484AE9">
        <w:rPr>
          <w:rStyle w:val="normaltextrun"/>
          <w:snapToGrid/>
        </w:rPr>
        <w:t>No head</w:t>
      </w:r>
      <w:r w:rsidR="003B01AE" w:rsidRPr="00484AE9">
        <w:rPr>
          <w:rStyle w:val="normaltextrun"/>
          <w:snapToGrid/>
        </w:rPr>
        <w:t xml:space="preserve">-to-head trials comparing nirmatrelvir and ritonavir to molnupiravir were located. </w:t>
      </w:r>
      <w:r w:rsidR="00644F9B" w:rsidRPr="00484AE9">
        <w:rPr>
          <w:rStyle w:val="normaltextrun"/>
          <w:snapToGrid/>
        </w:rPr>
        <w:t>However</w:t>
      </w:r>
      <w:r w:rsidR="003B01AE" w:rsidRPr="00484AE9">
        <w:rPr>
          <w:rStyle w:val="normaltextrun"/>
          <w:snapToGrid/>
        </w:rPr>
        <w:t xml:space="preserve">, the submission </w:t>
      </w:r>
      <w:r w:rsidR="00644F9B" w:rsidRPr="00484AE9">
        <w:rPr>
          <w:rStyle w:val="normaltextrun"/>
          <w:snapToGrid/>
        </w:rPr>
        <w:t xml:space="preserve">located and </w:t>
      </w:r>
      <w:r w:rsidR="003B01AE" w:rsidRPr="00484AE9">
        <w:rPr>
          <w:rStyle w:val="normaltextrun"/>
          <w:snapToGrid/>
        </w:rPr>
        <w:t>present</w:t>
      </w:r>
      <w:r w:rsidR="005B6BA3" w:rsidRPr="00484AE9">
        <w:rPr>
          <w:rStyle w:val="normaltextrun"/>
          <w:snapToGrid/>
        </w:rPr>
        <w:t>ed</w:t>
      </w:r>
      <w:r w:rsidR="00372540" w:rsidRPr="00484AE9">
        <w:rPr>
          <w:rStyle w:val="normaltextrun"/>
          <w:snapToGrid/>
        </w:rPr>
        <w:t xml:space="preserve"> two randomised placebo-controlled trials of molnupir</w:t>
      </w:r>
      <w:r w:rsidR="00804CB2" w:rsidRPr="00484AE9">
        <w:rPr>
          <w:rStyle w:val="normaltextrun"/>
          <w:snapToGrid/>
        </w:rPr>
        <w:t>avir.</w:t>
      </w:r>
    </w:p>
    <w:p w14:paraId="2A901B7B" w14:textId="572AD02A" w:rsidR="00AF7118" w:rsidRPr="00484AE9" w:rsidRDefault="005B5C32" w:rsidP="00AF7118">
      <w:pPr>
        <w:pStyle w:val="3-BodyText"/>
        <w:numPr>
          <w:ilvl w:val="2"/>
          <w:numId w:val="1"/>
        </w:numPr>
        <w:ind w:left="1080"/>
        <w:rPr>
          <w:snapToGrid/>
        </w:rPr>
      </w:pPr>
      <w:r w:rsidRPr="00484AE9">
        <w:t xml:space="preserve">The MOVE-out </w:t>
      </w:r>
      <w:r w:rsidR="00B0680D" w:rsidRPr="00484AE9">
        <w:t>trial</w:t>
      </w:r>
      <w:r w:rsidR="004F48EC" w:rsidRPr="00484AE9">
        <w:t xml:space="preserve"> </w:t>
      </w:r>
      <w:r w:rsidR="00415879" w:rsidRPr="00484AE9">
        <w:t xml:space="preserve">was the primary source of evidence considered by the PBAC when it recommended listing of molnupiravir on the PBS in </w:t>
      </w:r>
      <w:r w:rsidR="003B408A" w:rsidRPr="00484AE9">
        <w:t xml:space="preserve">February 2022. </w:t>
      </w:r>
      <w:r w:rsidR="004E186E" w:rsidRPr="00484AE9">
        <w:t>The trial</w:t>
      </w:r>
      <w:r w:rsidR="00804CB2" w:rsidRPr="00484AE9">
        <w:t xml:space="preserve"> was conducted in </w:t>
      </w:r>
      <w:r w:rsidR="0085334E" w:rsidRPr="00484AE9">
        <w:t xml:space="preserve">unvaccinated </w:t>
      </w:r>
      <w:r w:rsidR="00804CB2" w:rsidRPr="00484AE9">
        <w:t xml:space="preserve">patients </w:t>
      </w:r>
      <w:r w:rsidR="00D377BF" w:rsidRPr="00484AE9">
        <w:t>with COVID</w:t>
      </w:r>
      <w:r w:rsidR="00D377BF" w:rsidRPr="00484AE9">
        <w:noBreakHyphen/>
        <w:t xml:space="preserve">19 who were </w:t>
      </w:r>
      <w:r w:rsidR="00804CB2" w:rsidRPr="00484AE9">
        <w:t xml:space="preserve">at high risk of </w:t>
      </w:r>
      <w:r w:rsidR="0085334E" w:rsidRPr="00484AE9">
        <w:t>de</w:t>
      </w:r>
      <w:r w:rsidR="00D377BF" w:rsidRPr="00484AE9">
        <w:t>veloping severe COVID</w:t>
      </w:r>
      <w:r w:rsidR="00D377BF" w:rsidRPr="00484AE9">
        <w:noBreakHyphen/>
        <w:t>19.</w:t>
      </w:r>
    </w:p>
    <w:p w14:paraId="429EDA8A" w14:textId="77777777" w:rsidR="00EC7E1E" w:rsidRPr="00484AE9" w:rsidRDefault="00D377BF" w:rsidP="00AF7118">
      <w:pPr>
        <w:pStyle w:val="3-BodyText"/>
        <w:numPr>
          <w:ilvl w:val="2"/>
          <w:numId w:val="1"/>
        </w:numPr>
        <w:ind w:left="1080"/>
        <w:rPr>
          <w:snapToGrid/>
        </w:rPr>
      </w:pPr>
      <w:r w:rsidRPr="00484AE9">
        <w:t xml:space="preserve">The other trial (PANORAMIC) </w:t>
      </w:r>
      <w:r w:rsidR="009476B8" w:rsidRPr="00484AE9">
        <w:t xml:space="preserve">was </w:t>
      </w:r>
      <w:r w:rsidR="00F56183" w:rsidRPr="00484AE9">
        <w:t>a</w:t>
      </w:r>
      <w:r w:rsidR="00F50329" w:rsidRPr="00484AE9">
        <w:t xml:space="preserve"> randomised,</w:t>
      </w:r>
      <w:r w:rsidR="00F56183" w:rsidRPr="00484AE9">
        <w:t xml:space="preserve"> open-label</w:t>
      </w:r>
      <w:r w:rsidR="00F50329" w:rsidRPr="00484AE9">
        <w:t>, placebo-controlled trial</w:t>
      </w:r>
      <w:r w:rsidR="00F56183" w:rsidRPr="00484AE9">
        <w:t xml:space="preserve"> </w:t>
      </w:r>
      <w:r w:rsidR="009476B8" w:rsidRPr="00484AE9">
        <w:t>conducted</w:t>
      </w:r>
      <w:r w:rsidR="00B2113C" w:rsidRPr="00484AE9">
        <w:t xml:space="preserve"> </w:t>
      </w:r>
      <w:r w:rsidR="002F5F94" w:rsidRPr="00484AE9">
        <w:t xml:space="preserve">in </w:t>
      </w:r>
      <w:r w:rsidR="004C55FD" w:rsidRPr="00484AE9">
        <w:t>vaccinated, adult patients with COVID</w:t>
      </w:r>
      <w:r w:rsidR="004C55FD" w:rsidRPr="00484AE9">
        <w:noBreakHyphen/>
        <w:t>19</w:t>
      </w:r>
      <w:r w:rsidR="00794976" w:rsidRPr="00484AE9">
        <w:t xml:space="preserve"> at increased risk of adverse outcomes. The PBAC considered this trial at its meeting in November 2022 and noted that</w:t>
      </w:r>
      <w:r w:rsidR="00B20363" w:rsidRPr="00484AE9">
        <w:t xml:space="preserve"> participants in this trial were, as a whole, younger than patients receiving molnupiravir in Australia</w:t>
      </w:r>
      <w:r w:rsidR="00FB568E" w:rsidRPr="00484AE9">
        <w:t xml:space="preserve"> (&lt; 15% of patients in the trial were ≥ 70 years whereas </w:t>
      </w:r>
      <w:r w:rsidR="004F05E6" w:rsidRPr="00484AE9">
        <w:t xml:space="preserve">approximately two-thirds of PBS utilisation of molnupiravir had been in patients aged ≥ 70 years) </w:t>
      </w:r>
      <w:r w:rsidR="00CA45D7" w:rsidRPr="00484AE9">
        <w:t>and noted that patients at highest risk of progression to severe disease were not the target population recruited to PANORAMIC.</w:t>
      </w:r>
    </w:p>
    <w:p w14:paraId="0FF44643" w14:textId="52C6D44D" w:rsidR="00E67E67" w:rsidRPr="00484AE9" w:rsidRDefault="00387892" w:rsidP="00EC7E1E">
      <w:pPr>
        <w:pStyle w:val="3-BodyText"/>
        <w:rPr>
          <w:rStyle w:val="normaltextrun"/>
        </w:rPr>
      </w:pPr>
      <w:bookmarkStart w:id="57" w:name="_Ref151038697"/>
      <w:r w:rsidRPr="00484AE9">
        <w:rPr>
          <w:rStyle w:val="normaltextrun"/>
          <w:snapToGrid/>
        </w:rPr>
        <w:lastRenderedPageBreak/>
        <w:t xml:space="preserve">As noted by the submission, </w:t>
      </w:r>
      <w:r w:rsidR="00EC7E1E" w:rsidRPr="00484AE9">
        <w:rPr>
          <w:rStyle w:val="normaltextrun"/>
          <w:snapToGrid/>
        </w:rPr>
        <w:t xml:space="preserve">a </w:t>
      </w:r>
      <w:r w:rsidR="001414B1" w:rsidRPr="00484AE9">
        <w:rPr>
          <w:rStyle w:val="normaltextrun"/>
          <w:snapToGrid/>
        </w:rPr>
        <w:t xml:space="preserve">nirmatrelvir and ritonavir </w:t>
      </w:r>
      <w:r w:rsidR="00EC7E1E" w:rsidRPr="00484AE9">
        <w:rPr>
          <w:rStyle w:val="normaltextrun"/>
          <w:snapToGrid/>
        </w:rPr>
        <w:t xml:space="preserve">arm </w:t>
      </w:r>
      <w:r w:rsidR="001414B1" w:rsidRPr="00484AE9">
        <w:rPr>
          <w:rStyle w:val="normaltextrun"/>
          <w:snapToGrid/>
        </w:rPr>
        <w:t xml:space="preserve">was added to the </w:t>
      </w:r>
      <w:r w:rsidRPr="00484AE9">
        <w:rPr>
          <w:rStyle w:val="normaltextrun"/>
          <w:snapToGrid/>
        </w:rPr>
        <w:t>PANORAMIC trial</w:t>
      </w:r>
      <w:r w:rsidR="006D0BC5" w:rsidRPr="00484AE9">
        <w:rPr>
          <w:rStyle w:val="normaltextrun"/>
          <w:snapToGrid/>
        </w:rPr>
        <w:t xml:space="preserve">. However, results for nirmatrelvir and ritonavir in the PANORAMIC trial </w:t>
      </w:r>
      <w:r w:rsidR="001414B1" w:rsidRPr="00484AE9">
        <w:rPr>
          <w:rStyle w:val="normaltextrun"/>
          <w:snapToGrid/>
        </w:rPr>
        <w:t>had not</w:t>
      </w:r>
      <w:r w:rsidR="00E67E67" w:rsidRPr="00484AE9">
        <w:rPr>
          <w:rStyle w:val="normaltextrun"/>
          <w:snapToGrid/>
        </w:rPr>
        <w:t xml:space="preserve">, to date (August 2023), </w:t>
      </w:r>
      <w:r w:rsidR="001414B1" w:rsidRPr="00484AE9">
        <w:rPr>
          <w:rStyle w:val="normaltextrun"/>
          <w:snapToGrid/>
        </w:rPr>
        <w:t>been reported</w:t>
      </w:r>
      <w:r w:rsidR="0017330A" w:rsidRPr="00484AE9">
        <w:rPr>
          <w:rStyle w:val="normaltextrun"/>
          <w:snapToGrid/>
        </w:rPr>
        <w:t>.</w:t>
      </w:r>
      <w:bookmarkEnd w:id="57"/>
    </w:p>
    <w:p w14:paraId="193C9232" w14:textId="57D0B438" w:rsidR="004567EF" w:rsidRPr="00484AE9" w:rsidRDefault="003D127D" w:rsidP="004567EF">
      <w:pPr>
        <w:pStyle w:val="3-BodyText"/>
        <w:rPr>
          <w:rStyle w:val="normaltextrun"/>
        </w:rPr>
      </w:pPr>
      <w:r w:rsidRPr="00484AE9">
        <w:rPr>
          <w:rStyle w:val="normaltextrun"/>
          <w:snapToGrid/>
        </w:rPr>
        <w:t>In addition to the</w:t>
      </w:r>
      <w:r w:rsidR="00CA45D7" w:rsidRPr="00484AE9">
        <w:rPr>
          <w:rStyle w:val="normaltextrun"/>
          <w:snapToGrid/>
        </w:rPr>
        <w:t xml:space="preserve"> </w:t>
      </w:r>
      <w:r w:rsidR="00C414F2" w:rsidRPr="00484AE9">
        <w:rPr>
          <w:rStyle w:val="normaltextrun"/>
          <w:snapToGrid/>
        </w:rPr>
        <w:t>ra</w:t>
      </w:r>
      <w:r w:rsidR="00BF2E3C" w:rsidRPr="00484AE9">
        <w:rPr>
          <w:rStyle w:val="normaltextrun"/>
          <w:snapToGrid/>
        </w:rPr>
        <w:t>ndomised trials, the submission present</w:t>
      </w:r>
      <w:r w:rsidR="001D79AB" w:rsidRPr="00484AE9">
        <w:rPr>
          <w:rStyle w:val="normaltextrun"/>
          <w:snapToGrid/>
        </w:rPr>
        <w:t>ed</w:t>
      </w:r>
      <w:r w:rsidR="00BF2E3C" w:rsidRPr="00484AE9">
        <w:rPr>
          <w:rStyle w:val="normaltextrun"/>
          <w:snapToGrid/>
        </w:rPr>
        <w:t xml:space="preserve"> information from </w:t>
      </w:r>
      <w:r w:rsidR="00D709CF" w:rsidRPr="00484AE9">
        <w:rPr>
          <w:rStyle w:val="normaltextrun"/>
          <w:snapToGrid/>
        </w:rPr>
        <w:t>nine</w:t>
      </w:r>
      <w:r w:rsidR="00BF2E3C" w:rsidRPr="00484AE9">
        <w:rPr>
          <w:rStyle w:val="normaltextrun"/>
          <w:snapToGrid/>
        </w:rPr>
        <w:t xml:space="preserve"> observational studies comparing </w:t>
      </w:r>
      <w:r w:rsidR="0080007B" w:rsidRPr="00484AE9">
        <w:rPr>
          <w:rStyle w:val="normaltextrun"/>
          <w:snapToGrid/>
        </w:rPr>
        <w:t xml:space="preserve">outcomes in patients treated with </w:t>
      </w:r>
      <w:r w:rsidR="00BF2E3C" w:rsidRPr="00484AE9">
        <w:rPr>
          <w:rStyle w:val="normaltextrun"/>
          <w:snapToGrid/>
        </w:rPr>
        <w:t>nirmatrelvir and ritonavir to untreated patients</w:t>
      </w:r>
      <w:r w:rsidR="0080007B" w:rsidRPr="00484AE9">
        <w:rPr>
          <w:rStyle w:val="normaltextrun"/>
          <w:snapToGrid/>
        </w:rPr>
        <w:t>.</w:t>
      </w:r>
      <w:r w:rsidR="001D79AB" w:rsidRPr="00484AE9">
        <w:rPr>
          <w:rStyle w:val="normaltextrun"/>
          <w:snapToGrid/>
        </w:rPr>
        <w:t xml:space="preserve"> </w:t>
      </w:r>
      <w:r w:rsidR="002F1EDC" w:rsidRPr="00484AE9">
        <w:rPr>
          <w:rStyle w:val="normaltextrun"/>
          <w:snapToGrid/>
        </w:rPr>
        <w:t xml:space="preserve">Over 20 </w:t>
      </w:r>
      <w:r w:rsidR="00505AF6" w:rsidRPr="00484AE9">
        <w:rPr>
          <w:rStyle w:val="normaltextrun"/>
          <w:snapToGrid/>
        </w:rPr>
        <w:t>potentially relevant</w:t>
      </w:r>
      <w:r w:rsidR="004567EF" w:rsidRPr="00484AE9">
        <w:rPr>
          <w:rStyle w:val="normaltextrun"/>
          <w:snapToGrid/>
        </w:rPr>
        <w:t xml:space="preserve"> </w:t>
      </w:r>
      <w:r w:rsidR="002F1EDC" w:rsidRPr="00484AE9">
        <w:rPr>
          <w:rStyle w:val="normaltextrun"/>
          <w:snapToGrid/>
        </w:rPr>
        <w:t xml:space="preserve">observational </w:t>
      </w:r>
      <w:r w:rsidR="004567EF" w:rsidRPr="00484AE9">
        <w:rPr>
          <w:rStyle w:val="normaltextrun"/>
          <w:snapToGrid/>
        </w:rPr>
        <w:t>studies were located during the evaluation</w:t>
      </w:r>
      <w:r w:rsidR="00352BF8" w:rsidRPr="00484AE9">
        <w:rPr>
          <w:rStyle w:val="normaltextrun"/>
          <w:snapToGrid/>
        </w:rPr>
        <w:t xml:space="preserve"> and </w:t>
      </w:r>
      <w:r w:rsidR="002F1EDC" w:rsidRPr="00484AE9">
        <w:rPr>
          <w:rStyle w:val="normaltextrun"/>
          <w:snapToGrid/>
        </w:rPr>
        <w:t xml:space="preserve">many of these </w:t>
      </w:r>
      <w:r w:rsidR="00AD7692" w:rsidRPr="00484AE9">
        <w:rPr>
          <w:rStyle w:val="normaltextrun"/>
          <w:snapToGrid/>
        </w:rPr>
        <w:t>were included in</w:t>
      </w:r>
      <w:r w:rsidR="0006767F" w:rsidRPr="00484AE9">
        <w:rPr>
          <w:rStyle w:val="normaltextrun"/>
          <w:snapToGrid/>
        </w:rPr>
        <w:t xml:space="preserve"> </w:t>
      </w:r>
      <w:r w:rsidR="00352BF8" w:rsidRPr="00484AE9">
        <w:rPr>
          <w:rStyle w:val="normaltextrun"/>
          <w:snapToGrid/>
        </w:rPr>
        <w:t>the</w:t>
      </w:r>
      <w:r w:rsidR="00CF4F08" w:rsidRPr="00484AE9">
        <w:rPr>
          <w:rStyle w:val="normaltextrun"/>
          <w:snapToGrid/>
        </w:rPr>
        <w:t xml:space="preserve"> </w:t>
      </w:r>
      <w:r w:rsidR="000B027A" w:rsidRPr="00484AE9">
        <w:rPr>
          <w:rStyle w:val="normaltextrun"/>
          <w:snapToGrid/>
        </w:rPr>
        <w:t xml:space="preserve">two </w:t>
      </w:r>
      <w:r w:rsidR="00AD7692" w:rsidRPr="00484AE9">
        <w:rPr>
          <w:rStyle w:val="normaltextrun"/>
          <w:snapToGrid/>
        </w:rPr>
        <w:t xml:space="preserve">published </w:t>
      </w:r>
      <w:r w:rsidR="00CF4F08" w:rsidRPr="00484AE9">
        <w:rPr>
          <w:rStyle w:val="normaltextrun"/>
          <w:snapToGrid/>
        </w:rPr>
        <w:t>meta-analys</w:t>
      </w:r>
      <w:r w:rsidR="00AD7692" w:rsidRPr="00484AE9">
        <w:rPr>
          <w:rStyle w:val="normaltextrun"/>
          <w:snapToGrid/>
        </w:rPr>
        <w:t>e</w:t>
      </w:r>
      <w:r w:rsidR="0092500F" w:rsidRPr="00484AE9">
        <w:rPr>
          <w:rStyle w:val="normaltextrun"/>
          <w:snapToGrid/>
        </w:rPr>
        <w:t>s</w:t>
      </w:r>
      <w:r w:rsidR="0050731C" w:rsidRPr="00484AE9">
        <w:rPr>
          <w:rStyle w:val="normaltextrun"/>
          <w:snapToGrid/>
        </w:rPr>
        <w:t xml:space="preserve"> discussed in paragraphs </w:t>
      </w:r>
      <w:r w:rsidR="004B46CA" w:rsidRPr="00484AE9">
        <w:rPr>
          <w:rStyle w:val="normaltextrun"/>
          <w:snapToGrid/>
        </w:rPr>
        <w:fldChar w:fldCharType="begin"/>
      </w:r>
      <w:r w:rsidR="004B46CA" w:rsidRPr="00484AE9">
        <w:rPr>
          <w:rStyle w:val="normaltextrun"/>
          <w:snapToGrid/>
        </w:rPr>
        <w:instrText xml:space="preserve"> REF _Ref144732384 \r \h </w:instrText>
      </w:r>
      <w:r w:rsidR="00F551A9" w:rsidRPr="00484AE9">
        <w:rPr>
          <w:rStyle w:val="normaltextrun"/>
          <w:snapToGrid/>
        </w:rPr>
        <w:instrText xml:space="preserve"> \* MERGEFORMAT </w:instrText>
      </w:r>
      <w:r w:rsidR="004B46CA" w:rsidRPr="00484AE9">
        <w:rPr>
          <w:rStyle w:val="normaltextrun"/>
          <w:snapToGrid/>
        </w:rPr>
      </w:r>
      <w:r w:rsidR="004B46CA" w:rsidRPr="00484AE9">
        <w:rPr>
          <w:rStyle w:val="normaltextrun"/>
          <w:snapToGrid/>
        </w:rPr>
        <w:fldChar w:fldCharType="separate"/>
      </w:r>
      <w:r w:rsidR="00872657">
        <w:rPr>
          <w:rStyle w:val="normaltextrun"/>
          <w:snapToGrid/>
        </w:rPr>
        <w:t>6.11</w:t>
      </w:r>
      <w:r w:rsidR="004B46CA" w:rsidRPr="00484AE9">
        <w:rPr>
          <w:rStyle w:val="normaltextrun"/>
          <w:snapToGrid/>
        </w:rPr>
        <w:fldChar w:fldCharType="end"/>
      </w:r>
      <w:r w:rsidR="004B46CA" w:rsidRPr="00484AE9">
        <w:rPr>
          <w:rStyle w:val="normaltextrun"/>
          <w:snapToGrid/>
        </w:rPr>
        <w:t xml:space="preserve"> and </w:t>
      </w:r>
      <w:r w:rsidR="004B46CA" w:rsidRPr="00484AE9">
        <w:rPr>
          <w:rStyle w:val="normaltextrun"/>
          <w:snapToGrid/>
        </w:rPr>
        <w:fldChar w:fldCharType="begin"/>
      </w:r>
      <w:r w:rsidR="004B46CA" w:rsidRPr="00484AE9">
        <w:rPr>
          <w:rStyle w:val="normaltextrun"/>
          <w:snapToGrid/>
        </w:rPr>
        <w:instrText xml:space="preserve"> REF _Ref144666156 \r \h </w:instrText>
      </w:r>
      <w:r w:rsidR="00F551A9" w:rsidRPr="00484AE9">
        <w:rPr>
          <w:rStyle w:val="normaltextrun"/>
          <w:snapToGrid/>
        </w:rPr>
        <w:instrText xml:space="preserve"> \* MERGEFORMAT </w:instrText>
      </w:r>
      <w:r w:rsidR="004B46CA" w:rsidRPr="00484AE9">
        <w:rPr>
          <w:rStyle w:val="normaltextrun"/>
          <w:snapToGrid/>
        </w:rPr>
      </w:r>
      <w:r w:rsidR="004B46CA" w:rsidRPr="00484AE9">
        <w:rPr>
          <w:rStyle w:val="normaltextrun"/>
          <w:snapToGrid/>
        </w:rPr>
        <w:fldChar w:fldCharType="separate"/>
      </w:r>
      <w:r w:rsidR="00872657">
        <w:rPr>
          <w:rStyle w:val="normaltextrun"/>
          <w:snapToGrid/>
        </w:rPr>
        <w:t>6.29</w:t>
      </w:r>
      <w:r w:rsidR="004B46CA" w:rsidRPr="00484AE9">
        <w:rPr>
          <w:rStyle w:val="normaltextrun"/>
          <w:snapToGrid/>
        </w:rPr>
        <w:fldChar w:fldCharType="end"/>
      </w:r>
      <w:r w:rsidR="004567EF" w:rsidRPr="00484AE9">
        <w:rPr>
          <w:rStyle w:val="normaltextrun"/>
          <w:snapToGrid/>
        </w:rPr>
        <w:t>.</w:t>
      </w:r>
      <w:r w:rsidR="00FB381F" w:rsidRPr="00484AE9">
        <w:rPr>
          <w:rStyle w:val="normaltextrun"/>
          <w:snapToGrid/>
        </w:rPr>
        <w:t xml:space="preserve"> The</w:t>
      </w:r>
      <w:r w:rsidR="00164EC2" w:rsidRPr="00484AE9">
        <w:rPr>
          <w:rStyle w:val="normaltextrun"/>
          <w:snapToGrid/>
        </w:rPr>
        <w:t xml:space="preserve"> majority of these</w:t>
      </w:r>
      <w:r w:rsidR="00F72128" w:rsidRPr="00484AE9">
        <w:rPr>
          <w:rStyle w:val="normaltextrun"/>
          <w:snapToGrid/>
        </w:rPr>
        <w:t xml:space="preserve"> </w:t>
      </w:r>
      <w:r w:rsidR="00E70E72" w:rsidRPr="00484AE9">
        <w:rPr>
          <w:rStyle w:val="normaltextrun"/>
          <w:snapToGrid/>
        </w:rPr>
        <w:t>studies</w:t>
      </w:r>
      <w:r w:rsidR="00FB381F" w:rsidRPr="00484AE9">
        <w:rPr>
          <w:rStyle w:val="normaltextrun"/>
          <w:snapToGrid/>
        </w:rPr>
        <w:t xml:space="preserve"> were identified by the literature search</w:t>
      </w:r>
      <w:r w:rsidR="00696157" w:rsidRPr="00484AE9">
        <w:rPr>
          <w:rStyle w:val="normaltextrun"/>
          <w:snapToGrid/>
        </w:rPr>
        <w:t xml:space="preserve"> presented in the submission but </w:t>
      </w:r>
      <w:r w:rsidR="008841AC" w:rsidRPr="00484AE9">
        <w:rPr>
          <w:rStyle w:val="normaltextrun"/>
          <w:snapToGrid/>
        </w:rPr>
        <w:t xml:space="preserve">were excluded for various </w:t>
      </w:r>
      <w:r w:rsidR="00696157" w:rsidRPr="00484AE9">
        <w:rPr>
          <w:rStyle w:val="normaltextrun"/>
          <w:snapToGrid/>
        </w:rPr>
        <w:t>reasons</w:t>
      </w:r>
      <w:r w:rsidR="003B0998" w:rsidRPr="00484AE9">
        <w:rPr>
          <w:rStyle w:val="normaltextrun"/>
          <w:snapToGrid/>
        </w:rPr>
        <w:t>.</w:t>
      </w:r>
    </w:p>
    <w:p w14:paraId="48C3FCCD" w14:textId="3C96AE72" w:rsidR="004567EF" w:rsidRPr="00484AE9" w:rsidRDefault="00F15DC1" w:rsidP="004567EF">
      <w:pPr>
        <w:pStyle w:val="3-BodyText"/>
        <w:rPr>
          <w:rStyle w:val="normaltextrun"/>
        </w:rPr>
      </w:pPr>
      <w:r w:rsidRPr="00484AE9">
        <w:rPr>
          <w:rStyle w:val="normaltextrun"/>
          <w:snapToGrid/>
        </w:rPr>
        <w:t xml:space="preserve">Three observational studies comparing outcomes in molnupiravir-treated patients to untreated patients </w:t>
      </w:r>
      <w:r w:rsidR="001D79AB" w:rsidRPr="00484AE9">
        <w:rPr>
          <w:rStyle w:val="normaltextrun"/>
          <w:snapToGrid/>
        </w:rPr>
        <w:t>were also presented in the submission.</w:t>
      </w:r>
      <w:r w:rsidR="004567EF" w:rsidRPr="00484AE9">
        <w:rPr>
          <w:rStyle w:val="normaltextrun"/>
          <w:snapToGrid/>
        </w:rPr>
        <w:t xml:space="preserve"> </w:t>
      </w:r>
      <w:r w:rsidR="00877D55" w:rsidRPr="00484AE9">
        <w:rPr>
          <w:rStyle w:val="normaltextrun"/>
          <w:snapToGrid/>
        </w:rPr>
        <w:t>As with the studies for nirmatrelvir and ritonavir, s</w:t>
      </w:r>
      <w:r w:rsidR="00CC7D9C" w:rsidRPr="00484AE9">
        <w:rPr>
          <w:rStyle w:val="normaltextrun"/>
          <w:snapToGrid/>
        </w:rPr>
        <w:t xml:space="preserve">ome </w:t>
      </w:r>
      <w:r w:rsidR="004567EF" w:rsidRPr="00484AE9">
        <w:rPr>
          <w:rStyle w:val="normaltextrun"/>
          <w:snapToGrid/>
        </w:rPr>
        <w:t xml:space="preserve">additional </w:t>
      </w:r>
      <w:r w:rsidR="00E27573" w:rsidRPr="00484AE9">
        <w:rPr>
          <w:rStyle w:val="normaltextrun"/>
          <w:snapToGrid/>
        </w:rPr>
        <w:t xml:space="preserve">potentially relevant observational </w:t>
      </w:r>
      <w:r w:rsidR="004567EF" w:rsidRPr="00484AE9">
        <w:rPr>
          <w:rStyle w:val="normaltextrun"/>
          <w:snapToGrid/>
        </w:rPr>
        <w:t xml:space="preserve">studies </w:t>
      </w:r>
      <w:r w:rsidR="00877D55" w:rsidRPr="00484AE9">
        <w:rPr>
          <w:rStyle w:val="normaltextrun"/>
          <w:snapToGrid/>
        </w:rPr>
        <w:t xml:space="preserve">of molnupiravir </w:t>
      </w:r>
      <w:r w:rsidR="004567EF" w:rsidRPr="00484AE9">
        <w:rPr>
          <w:rStyle w:val="normaltextrun"/>
          <w:snapToGrid/>
        </w:rPr>
        <w:t>were located during the evaluation.</w:t>
      </w:r>
    </w:p>
    <w:p w14:paraId="75061F7B" w14:textId="615345AD" w:rsidR="003E58AA" w:rsidRPr="00484AE9" w:rsidRDefault="003E58AA" w:rsidP="008B03CB">
      <w:pPr>
        <w:pStyle w:val="3-BodyText"/>
        <w:rPr>
          <w:rStyle w:val="normaltextrun"/>
        </w:rPr>
      </w:pPr>
      <w:bookmarkStart w:id="58" w:name="_Ref144999354"/>
      <w:bookmarkStart w:id="59" w:name="_Ref144732384"/>
      <w:r w:rsidRPr="00484AE9">
        <w:rPr>
          <w:rStyle w:val="normaltextrun"/>
          <w:snapToGrid/>
        </w:rPr>
        <w:t xml:space="preserve">The submission </w:t>
      </w:r>
      <w:r w:rsidR="000219D5" w:rsidRPr="00484AE9">
        <w:rPr>
          <w:rStyle w:val="normaltextrun"/>
          <w:snapToGrid/>
        </w:rPr>
        <w:t>did</w:t>
      </w:r>
      <w:r w:rsidRPr="00484AE9">
        <w:rPr>
          <w:rStyle w:val="normaltextrun"/>
          <w:snapToGrid/>
        </w:rPr>
        <w:t xml:space="preserve"> not present any meta-</w:t>
      </w:r>
      <w:r w:rsidRPr="00484AE9">
        <w:rPr>
          <w:rStyle w:val="normaltextrun"/>
        </w:rPr>
        <w:t xml:space="preserve">analyses </w:t>
      </w:r>
      <w:r w:rsidR="00604961" w:rsidRPr="00484AE9">
        <w:rPr>
          <w:rStyle w:val="normaltextrun"/>
        </w:rPr>
        <w:t>based on</w:t>
      </w:r>
      <w:r w:rsidR="008B0CED" w:rsidRPr="00484AE9">
        <w:rPr>
          <w:rStyle w:val="normaltextrun"/>
        </w:rPr>
        <w:t xml:space="preserve"> the trials </w:t>
      </w:r>
      <w:r w:rsidR="00441144" w:rsidRPr="00484AE9">
        <w:rPr>
          <w:rStyle w:val="normaltextrun"/>
        </w:rPr>
        <w:t>and studies</w:t>
      </w:r>
      <w:r w:rsidR="008B0CED" w:rsidRPr="00484AE9">
        <w:rPr>
          <w:rStyle w:val="normaltextrun"/>
        </w:rPr>
        <w:t xml:space="preserve"> presented in the submission. However, </w:t>
      </w:r>
      <w:r w:rsidR="000219D5" w:rsidRPr="00484AE9">
        <w:rPr>
          <w:rStyle w:val="normaltextrun"/>
        </w:rPr>
        <w:t>the submission</w:t>
      </w:r>
      <w:r w:rsidR="008B0CED" w:rsidRPr="00484AE9">
        <w:rPr>
          <w:rStyle w:val="normaltextrun"/>
        </w:rPr>
        <w:t xml:space="preserve"> </w:t>
      </w:r>
      <w:r w:rsidR="000219D5" w:rsidRPr="00484AE9">
        <w:rPr>
          <w:rStyle w:val="normaltextrun"/>
        </w:rPr>
        <w:t>did</w:t>
      </w:r>
      <w:r w:rsidR="008B0CED" w:rsidRPr="00484AE9">
        <w:rPr>
          <w:rStyle w:val="normaltextrun"/>
        </w:rPr>
        <w:t xml:space="preserve"> present results from </w:t>
      </w:r>
      <w:r w:rsidR="00441144" w:rsidRPr="00484AE9">
        <w:rPr>
          <w:rStyle w:val="normaltextrun"/>
        </w:rPr>
        <w:t>two</w:t>
      </w:r>
      <w:r w:rsidR="006508B8" w:rsidRPr="00484AE9">
        <w:rPr>
          <w:rStyle w:val="normaltextrun"/>
        </w:rPr>
        <w:t xml:space="preserve"> published meta-analyses</w:t>
      </w:r>
      <w:r w:rsidR="0030012E" w:rsidRPr="00484AE9">
        <w:rPr>
          <w:rStyle w:val="normaltextrun"/>
        </w:rPr>
        <w:t xml:space="preserve"> (Amani </w:t>
      </w:r>
      <w:r w:rsidR="004D5365" w:rsidRPr="00484AE9">
        <w:rPr>
          <w:rStyle w:val="normaltextrun"/>
        </w:rPr>
        <w:t xml:space="preserve">2023 </w:t>
      </w:r>
      <w:r w:rsidR="00912DEE" w:rsidRPr="00484AE9">
        <w:rPr>
          <w:rStyle w:val="normaltextrun"/>
        </w:rPr>
        <w:t>and Cheema 2023)</w:t>
      </w:r>
      <w:r w:rsidR="0082305F" w:rsidRPr="00484AE9">
        <w:rPr>
          <w:rStyle w:val="normaltextrun"/>
        </w:rPr>
        <w:t xml:space="preserve">. These </w:t>
      </w:r>
      <w:r w:rsidR="002B5B08" w:rsidRPr="00484AE9">
        <w:rPr>
          <w:rStyle w:val="normaltextrun"/>
        </w:rPr>
        <w:t xml:space="preserve">published </w:t>
      </w:r>
      <w:r w:rsidR="0082305F" w:rsidRPr="00484AE9">
        <w:rPr>
          <w:rStyle w:val="normaltextrun"/>
        </w:rPr>
        <w:t xml:space="preserve">meta-analyses </w:t>
      </w:r>
      <w:r w:rsidR="00617492" w:rsidRPr="00484AE9">
        <w:rPr>
          <w:rStyle w:val="normaltextrun"/>
        </w:rPr>
        <w:t>did not include all</w:t>
      </w:r>
      <w:r w:rsidR="00D62532" w:rsidRPr="00484AE9">
        <w:rPr>
          <w:rStyle w:val="normaltextrun"/>
        </w:rPr>
        <w:t xml:space="preserve"> </w:t>
      </w:r>
      <w:r w:rsidR="00EE2932" w:rsidRPr="00484AE9">
        <w:rPr>
          <w:rStyle w:val="normaltextrun"/>
        </w:rPr>
        <w:t>of the studies located by the submission’s search of the literature</w:t>
      </w:r>
      <w:r w:rsidR="00DA75E3" w:rsidRPr="00484AE9">
        <w:rPr>
          <w:rStyle w:val="normaltextrun"/>
        </w:rPr>
        <w:t>.</w:t>
      </w:r>
      <w:r w:rsidR="00312B45" w:rsidRPr="00484AE9">
        <w:rPr>
          <w:rStyle w:val="normaltextrun"/>
        </w:rPr>
        <w:t xml:space="preserve"> Furthermore, the meta-analyses</w:t>
      </w:r>
      <w:r w:rsidR="00F93F93" w:rsidRPr="00484AE9">
        <w:rPr>
          <w:rStyle w:val="normaltextrun"/>
        </w:rPr>
        <w:t>,</w:t>
      </w:r>
      <w:r w:rsidR="00EE2932" w:rsidRPr="00484AE9">
        <w:rPr>
          <w:rStyle w:val="normaltextrun"/>
        </w:rPr>
        <w:t xml:space="preserve"> </w:t>
      </w:r>
      <w:r w:rsidR="0082305F" w:rsidRPr="00484AE9">
        <w:rPr>
          <w:rStyle w:val="normaltextrun"/>
        </w:rPr>
        <w:t>included</w:t>
      </w:r>
      <w:r w:rsidR="00DA2810" w:rsidRPr="00484AE9">
        <w:rPr>
          <w:rStyle w:val="normaltextrun"/>
        </w:rPr>
        <w:t xml:space="preserve"> </w:t>
      </w:r>
      <w:r w:rsidR="008111E1" w:rsidRPr="00484AE9">
        <w:rPr>
          <w:rStyle w:val="normaltextrun"/>
        </w:rPr>
        <w:t>2</w:t>
      </w:r>
      <w:r w:rsidR="009E61F8" w:rsidRPr="00484AE9">
        <w:rPr>
          <w:rStyle w:val="normaltextrun"/>
        </w:rPr>
        <w:t>0</w:t>
      </w:r>
      <w:r w:rsidR="00DA2810" w:rsidRPr="00484AE9">
        <w:rPr>
          <w:rStyle w:val="normaltextrun"/>
        </w:rPr>
        <w:t xml:space="preserve"> </w:t>
      </w:r>
      <w:r w:rsidR="0082305F" w:rsidRPr="00484AE9">
        <w:rPr>
          <w:rStyle w:val="normaltextrun"/>
        </w:rPr>
        <w:t>observational studies beyond those presented</w:t>
      </w:r>
      <w:r w:rsidR="00720B1D" w:rsidRPr="00484AE9">
        <w:rPr>
          <w:rStyle w:val="normaltextrun"/>
        </w:rPr>
        <w:t xml:space="preserve"> and assessed</w:t>
      </w:r>
      <w:r w:rsidR="0082305F" w:rsidRPr="00484AE9">
        <w:rPr>
          <w:rStyle w:val="normaltextrun"/>
        </w:rPr>
        <w:t xml:space="preserve"> in the submission</w:t>
      </w:r>
      <w:r w:rsidR="009E61F8" w:rsidRPr="00484AE9">
        <w:rPr>
          <w:rStyle w:val="normaltextrun"/>
        </w:rPr>
        <w:t>. Some of these studies</w:t>
      </w:r>
      <w:r w:rsidR="00953A46" w:rsidRPr="00484AE9">
        <w:rPr>
          <w:rStyle w:val="normaltextrun"/>
        </w:rPr>
        <w:t xml:space="preserve"> </w:t>
      </w:r>
      <w:r w:rsidR="009E61F8" w:rsidRPr="00484AE9">
        <w:rPr>
          <w:rStyle w:val="normaltextrun"/>
        </w:rPr>
        <w:t>did not meet the inclusion criteria</w:t>
      </w:r>
      <w:r w:rsidR="00CF0217" w:rsidRPr="00484AE9">
        <w:rPr>
          <w:rStyle w:val="normaltextrun"/>
        </w:rPr>
        <w:t xml:space="preserve"> that were specified</w:t>
      </w:r>
      <w:r w:rsidR="009E61F8" w:rsidRPr="00484AE9">
        <w:rPr>
          <w:rStyle w:val="normaltextrun"/>
        </w:rPr>
        <w:t xml:space="preserve"> for </w:t>
      </w:r>
      <w:r w:rsidR="0071467E" w:rsidRPr="00484AE9">
        <w:rPr>
          <w:rStyle w:val="normaltextrun"/>
        </w:rPr>
        <w:t>c</w:t>
      </w:r>
      <w:r w:rsidR="00F716BA" w:rsidRPr="00484AE9">
        <w:rPr>
          <w:rStyle w:val="normaltextrun"/>
        </w:rPr>
        <w:t xml:space="preserve">onsideration in the submission e.g., due to </w:t>
      </w:r>
      <w:r w:rsidR="00BA0830" w:rsidRPr="00484AE9">
        <w:rPr>
          <w:rStyle w:val="normaltextrun"/>
        </w:rPr>
        <w:t xml:space="preserve">sample size being &lt; 1000, due to </w:t>
      </w:r>
      <w:r w:rsidR="00D479F0" w:rsidRPr="00484AE9">
        <w:rPr>
          <w:rStyle w:val="normaltextrun"/>
        </w:rPr>
        <w:t xml:space="preserve">vaccination rates being low, </w:t>
      </w:r>
      <w:r w:rsidR="00C64EEA" w:rsidRPr="00484AE9">
        <w:rPr>
          <w:rStyle w:val="normaltextrun"/>
        </w:rPr>
        <w:t>study conducted in a</w:t>
      </w:r>
      <w:r w:rsidR="00925C85" w:rsidRPr="00484AE9">
        <w:rPr>
          <w:rStyle w:val="normaltextrun"/>
        </w:rPr>
        <w:t xml:space="preserve"> </w:t>
      </w:r>
      <w:r w:rsidR="00956B42" w:rsidRPr="00484AE9">
        <w:rPr>
          <w:rStyle w:val="normaltextrun"/>
        </w:rPr>
        <w:t>special population</w:t>
      </w:r>
      <w:r w:rsidR="0082305F" w:rsidRPr="00484AE9">
        <w:rPr>
          <w:rStyle w:val="normaltextrun"/>
        </w:rPr>
        <w:t>.</w:t>
      </w:r>
      <w:bookmarkEnd w:id="58"/>
      <w:r w:rsidR="00720B1D" w:rsidRPr="00484AE9">
        <w:rPr>
          <w:rStyle w:val="normaltextrun"/>
        </w:rPr>
        <w:t xml:space="preserve"> </w:t>
      </w:r>
      <w:bookmarkEnd w:id="59"/>
    </w:p>
    <w:p w14:paraId="7183D835" w14:textId="7511A4A4" w:rsidR="00282E0A" w:rsidRPr="00484AE9" w:rsidRDefault="00282E0A" w:rsidP="004567EF">
      <w:pPr>
        <w:pStyle w:val="3-BodyText"/>
        <w:rPr>
          <w:rStyle w:val="normaltextrun"/>
        </w:rPr>
      </w:pPr>
      <w:bookmarkStart w:id="60" w:name="_Ref151034196"/>
      <w:r w:rsidRPr="00484AE9">
        <w:rPr>
          <w:rStyle w:val="normaltextrun"/>
          <w:snapToGrid/>
        </w:rPr>
        <w:t xml:space="preserve">Due to </w:t>
      </w:r>
      <w:r w:rsidR="00596599" w:rsidRPr="00484AE9">
        <w:rPr>
          <w:rStyle w:val="normaltextrun"/>
          <w:snapToGrid/>
        </w:rPr>
        <w:t>the meta-</w:t>
      </w:r>
      <w:r w:rsidR="00596599" w:rsidRPr="00484AE9">
        <w:rPr>
          <w:rStyle w:val="normaltextrun"/>
        </w:rPr>
        <w:t>analyses being incomplete (i.e., the</w:t>
      </w:r>
      <w:r w:rsidR="00B941B7" w:rsidRPr="00484AE9">
        <w:rPr>
          <w:rStyle w:val="normaltextrun"/>
        </w:rPr>
        <w:t xml:space="preserve"> meta-analyses</w:t>
      </w:r>
      <w:r w:rsidR="00596599" w:rsidRPr="00484AE9">
        <w:rPr>
          <w:rStyle w:val="normaltextrun"/>
        </w:rPr>
        <w:t xml:space="preserve"> excluded </w:t>
      </w:r>
      <w:r w:rsidR="006B7AB9" w:rsidRPr="00484AE9">
        <w:rPr>
          <w:rStyle w:val="normaltextrun"/>
        </w:rPr>
        <w:t xml:space="preserve">some of the </w:t>
      </w:r>
      <w:r w:rsidR="00596599" w:rsidRPr="00484AE9">
        <w:rPr>
          <w:rStyle w:val="normaltextrun"/>
        </w:rPr>
        <w:t>observational studies that were identified as relevant by the submission</w:t>
      </w:r>
      <w:r w:rsidR="00F72901" w:rsidRPr="00484AE9">
        <w:rPr>
          <w:rStyle w:val="normaltextrun"/>
        </w:rPr>
        <w:t xml:space="preserve"> </w:t>
      </w:r>
      <w:r w:rsidR="00E7055A" w:rsidRPr="00484AE9">
        <w:rPr>
          <w:rStyle w:val="normaltextrun"/>
        </w:rPr>
        <w:t>[</w:t>
      </w:r>
      <w:r w:rsidR="00556035" w:rsidRPr="00484AE9">
        <w:rPr>
          <w:rStyle w:val="normaltextrun"/>
        </w:rPr>
        <w:t>Kaboré 2023, Lewnard 2023</w:t>
      </w:r>
      <w:r w:rsidR="007C1B45" w:rsidRPr="00484AE9">
        <w:rPr>
          <w:rStyle w:val="normaltextrun"/>
        </w:rPr>
        <w:t>,</w:t>
      </w:r>
      <w:r w:rsidR="00556035" w:rsidRPr="00484AE9">
        <w:rPr>
          <w:rStyle w:val="normaltextrun"/>
        </w:rPr>
        <w:t xml:space="preserve"> </w:t>
      </w:r>
      <w:r w:rsidR="007A18BD" w:rsidRPr="00484AE9">
        <w:rPr>
          <w:rStyle w:val="normaltextrun"/>
        </w:rPr>
        <w:t>Najjar-Debbiny 2023a</w:t>
      </w:r>
      <w:r w:rsidR="00E7055A" w:rsidRPr="00484AE9">
        <w:rPr>
          <w:rStyle w:val="normaltextrun"/>
        </w:rPr>
        <w:t>]</w:t>
      </w:r>
      <w:r w:rsidR="00FA48F1" w:rsidRPr="00484AE9">
        <w:rPr>
          <w:rStyle w:val="normaltextrun"/>
        </w:rPr>
        <w:t>) and due to inconsistent application of inclusion/exclusion criteria to the studies for presentation in the submission</w:t>
      </w:r>
      <w:r w:rsidR="00E7055A" w:rsidRPr="00484AE9">
        <w:rPr>
          <w:rStyle w:val="normaltextrun"/>
        </w:rPr>
        <w:t xml:space="preserve"> versus the ones applied </w:t>
      </w:r>
      <w:r w:rsidR="001E6998" w:rsidRPr="00484AE9">
        <w:rPr>
          <w:rStyle w:val="normaltextrun"/>
        </w:rPr>
        <w:t>for inclusion/exclusion in the meta-analyses</w:t>
      </w:r>
      <w:r w:rsidR="00FA48F1" w:rsidRPr="00484AE9">
        <w:rPr>
          <w:rStyle w:val="normaltextrun"/>
        </w:rPr>
        <w:t xml:space="preserve"> (i.e., the submission excluded </w:t>
      </w:r>
      <w:r w:rsidR="007C698C" w:rsidRPr="00484AE9">
        <w:rPr>
          <w:rStyle w:val="normaltextrun"/>
        </w:rPr>
        <w:t xml:space="preserve">many of the studies </w:t>
      </w:r>
      <w:r w:rsidR="003B11DD" w:rsidRPr="00484AE9">
        <w:rPr>
          <w:rStyle w:val="normaltextrun"/>
        </w:rPr>
        <w:t>included</w:t>
      </w:r>
      <w:r w:rsidR="007C698C" w:rsidRPr="00484AE9">
        <w:rPr>
          <w:rStyle w:val="normaltextrun"/>
        </w:rPr>
        <w:t xml:space="preserve"> by</w:t>
      </w:r>
      <w:r w:rsidR="009D030D" w:rsidRPr="00484AE9">
        <w:rPr>
          <w:rStyle w:val="normaltextrun"/>
        </w:rPr>
        <w:t xml:space="preserve"> the meta-analyses</w:t>
      </w:r>
      <w:r w:rsidR="0030728A" w:rsidRPr="00484AE9">
        <w:rPr>
          <w:rStyle w:val="normaltextrun"/>
        </w:rPr>
        <w:t xml:space="preserve"> e.g., due to size of the</w:t>
      </w:r>
      <w:r w:rsidR="00524A0A" w:rsidRPr="00484AE9">
        <w:rPr>
          <w:rStyle w:val="normaltextrun"/>
        </w:rPr>
        <w:t xml:space="preserve"> cohorts</w:t>
      </w:r>
      <w:r w:rsidR="009D030D" w:rsidRPr="00484AE9">
        <w:rPr>
          <w:rStyle w:val="normaltextrun"/>
        </w:rPr>
        <w:t>), there</w:t>
      </w:r>
      <w:r w:rsidR="00383620" w:rsidRPr="00484AE9">
        <w:rPr>
          <w:rStyle w:val="normaltextrun"/>
        </w:rPr>
        <w:t xml:space="preserve"> </w:t>
      </w:r>
      <w:r w:rsidR="00900C42" w:rsidRPr="00484AE9">
        <w:rPr>
          <w:rStyle w:val="normaltextrun"/>
        </w:rPr>
        <w:t>was</w:t>
      </w:r>
      <w:r w:rsidR="00383620" w:rsidRPr="00484AE9">
        <w:rPr>
          <w:rStyle w:val="normaltextrun"/>
        </w:rPr>
        <w:t xml:space="preserve"> not a </w:t>
      </w:r>
      <w:r w:rsidR="00FD3960" w:rsidRPr="00484AE9">
        <w:rPr>
          <w:rStyle w:val="normaltextrun"/>
        </w:rPr>
        <w:t xml:space="preserve">consolidated presentation of </w:t>
      </w:r>
      <w:r w:rsidR="005E1504" w:rsidRPr="00484AE9">
        <w:rPr>
          <w:rStyle w:val="normaltextrun"/>
        </w:rPr>
        <w:t>observation</w:t>
      </w:r>
      <w:r w:rsidR="00845A28" w:rsidRPr="00484AE9">
        <w:rPr>
          <w:rStyle w:val="normaltextrun"/>
        </w:rPr>
        <w:t xml:space="preserve">al </w:t>
      </w:r>
      <w:r w:rsidR="00C44469" w:rsidRPr="00484AE9">
        <w:rPr>
          <w:rStyle w:val="normaltextrun"/>
        </w:rPr>
        <w:t>studies in the submission.</w:t>
      </w:r>
      <w:bookmarkEnd w:id="60"/>
      <w:r w:rsidR="00B77DB7" w:rsidRPr="00484AE9">
        <w:rPr>
          <w:rStyle w:val="normaltextrun"/>
        </w:rPr>
        <w:t xml:space="preserve"> </w:t>
      </w:r>
    </w:p>
    <w:p w14:paraId="7DF37981" w14:textId="3449FB0D" w:rsidR="00737300" w:rsidRPr="00484AE9" w:rsidRDefault="002E0024" w:rsidP="008B03CB">
      <w:pPr>
        <w:pStyle w:val="3-BodyText"/>
        <w:rPr>
          <w:rStyle w:val="normaltextrun"/>
          <w:iCs/>
        </w:rPr>
      </w:pPr>
      <w:r w:rsidRPr="00484AE9">
        <w:rPr>
          <w:rStyle w:val="normaltextrun"/>
        </w:rPr>
        <w:t>The submission presented two published meta-analyses of molnupiravir vs placebo (</w:t>
      </w:r>
      <w:r w:rsidR="009653DA" w:rsidRPr="00484AE9">
        <w:rPr>
          <w:rStyle w:val="normaltextrun"/>
        </w:rPr>
        <w:t xml:space="preserve">Benaicha 2023 and Huang 2023). As with the meta-analyses presented for </w:t>
      </w:r>
      <w:r w:rsidR="009653DA" w:rsidRPr="00484AE9">
        <w:rPr>
          <w:rStyle w:val="normaltextrun"/>
          <w:color w:val="000000" w:themeColor="text1"/>
        </w:rPr>
        <w:t>nirmatrelvir and ritonavir, the meta-analyses</w:t>
      </w:r>
      <w:r w:rsidR="00B3530B" w:rsidRPr="00484AE9">
        <w:rPr>
          <w:rStyle w:val="normaltextrun"/>
          <w:color w:val="000000" w:themeColor="text1"/>
        </w:rPr>
        <w:t xml:space="preserve"> excluded studies deemed relevant by the submission (Yip 2019) and</w:t>
      </w:r>
      <w:r w:rsidR="009653DA" w:rsidRPr="00484AE9">
        <w:rPr>
          <w:rStyle w:val="normaltextrun"/>
          <w:color w:val="000000" w:themeColor="text1"/>
        </w:rPr>
        <w:t xml:space="preserve"> </w:t>
      </w:r>
      <w:r w:rsidR="00737300" w:rsidRPr="00484AE9">
        <w:rPr>
          <w:rStyle w:val="normaltextrun"/>
          <w:color w:val="000000" w:themeColor="text1"/>
        </w:rPr>
        <w:t>include</w:t>
      </w:r>
      <w:r w:rsidR="00FB56D3" w:rsidRPr="00484AE9">
        <w:rPr>
          <w:rStyle w:val="normaltextrun"/>
          <w:color w:val="000000" w:themeColor="text1"/>
        </w:rPr>
        <w:t>d</w:t>
      </w:r>
      <w:r w:rsidR="00737300" w:rsidRPr="00484AE9">
        <w:rPr>
          <w:rStyle w:val="normaltextrun"/>
          <w:color w:val="000000" w:themeColor="text1"/>
        </w:rPr>
        <w:t xml:space="preserve"> studies beyond those identified as being relevant by the submission.</w:t>
      </w:r>
      <w:r w:rsidR="00177EB9" w:rsidRPr="00484AE9">
        <w:rPr>
          <w:rStyle w:val="normaltextrun"/>
          <w:color w:val="000000" w:themeColor="text1"/>
        </w:rPr>
        <w:t xml:space="preserve"> </w:t>
      </w:r>
      <w:r w:rsidR="00737300" w:rsidRPr="00484AE9">
        <w:rPr>
          <w:rStyle w:val="normaltextrun"/>
          <w:color w:val="000000" w:themeColor="text1"/>
        </w:rPr>
        <w:t>The meta-analysis reported by Benaicha 2023</w:t>
      </w:r>
      <w:r w:rsidR="00AB7DE9" w:rsidRPr="00484AE9">
        <w:rPr>
          <w:rStyle w:val="normaltextrun"/>
          <w:color w:val="000000" w:themeColor="text1"/>
        </w:rPr>
        <w:t xml:space="preserve"> was used to inform the economic analysis comparing molnupiravir to placebo.</w:t>
      </w:r>
    </w:p>
    <w:p w14:paraId="18F9FAC7" w14:textId="636B2D04" w:rsidR="00427E5A" w:rsidRPr="00484AE9" w:rsidRDefault="00427E5A" w:rsidP="00CA4D33">
      <w:pPr>
        <w:pStyle w:val="3-BodyText"/>
        <w:rPr>
          <w:rStyle w:val="normaltextrun"/>
        </w:rPr>
      </w:pPr>
      <w:r w:rsidRPr="00484AE9">
        <w:rPr>
          <w:rStyle w:val="normaltextrun"/>
          <w:snapToGrid/>
        </w:rPr>
        <w:t xml:space="preserve">The submission did not present any indirect comparisons of molnupiravir versus nirmatrelvir and ritonavir. </w:t>
      </w:r>
      <w:r w:rsidR="00EB2AD5" w:rsidRPr="00484AE9">
        <w:rPr>
          <w:rStyle w:val="normaltextrun"/>
          <w:snapToGrid/>
        </w:rPr>
        <w:t>Although this</w:t>
      </w:r>
      <w:r w:rsidRPr="00484AE9">
        <w:rPr>
          <w:rStyle w:val="normaltextrun"/>
          <w:snapToGrid/>
        </w:rPr>
        <w:t xml:space="preserve"> may be reasonable </w:t>
      </w:r>
      <w:r w:rsidR="00EB2AD5" w:rsidRPr="00484AE9">
        <w:rPr>
          <w:rStyle w:val="normaltextrun"/>
          <w:snapToGrid/>
        </w:rPr>
        <w:t>if there was</w:t>
      </w:r>
      <w:r w:rsidRPr="00484AE9">
        <w:rPr>
          <w:rStyle w:val="normaltextrun"/>
          <w:snapToGrid/>
        </w:rPr>
        <w:t xml:space="preserve"> potential for a lack of exchangeability of patients in the trials</w:t>
      </w:r>
      <w:r w:rsidR="00AB7DE9" w:rsidRPr="00484AE9">
        <w:rPr>
          <w:rStyle w:val="normaltextrun"/>
          <w:snapToGrid/>
        </w:rPr>
        <w:t xml:space="preserve">, an indirect comparison </w:t>
      </w:r>
      <w:r w:rsidR="000038E5" w:rsidRPr="00484AE9">
        <w:rPr>
          <w:rStyle w:val="normaltextrun"/>
          <w:snapToGrid/>
        </w:rPr>
        <w:t>should have been presented</w:t>
      </w:r>
      <w:r w:rsidR="000124F5" w:rsidRPr="00484AE9">
        <w:rPr>
          <w:rStyle w:val="normaltextrun"/>
          <w:snapToGrid/>
        </w:rPr>
        <w:t xml:space="preserve"> g</w:t>
      </w:r>
      <w:r w:rsidR="00013DC0" w:rsidRPr="00484AE9">
        <w:rPr>
          <w:rStyle w:val="normaltextrun"/>
          <w:snapToGrid/>
        </w:rPr>
        <w:t xml:space="preserve">iven an economic evaluation comparing </w:t>
      </w:r>
      <w:r w:rsidR="00013DC0" w:rsidRPr="00484AE9">
        <w:rPr>
          <w:rStyle w:val="normaltextrun"/>
          <w:snapToGrid/>
          <w:color w:val="000000" w:themeColor="text1"/>
        </w:rPr>
        <w:t xml:space="preserve">nirmatrelvir and ritonavir to </w:t>
      </w:r>
      <w:r w:rsidR="00013DC0" w:rsidRPr="00484AE9">
        <w:rPr>
          <w:rStyle w:val="normaltextrun"/>
          <w:snapToGrid/>
          <w:color w:val="000000" w:themeColor="text1"/>
        </w:rPr>
        <w:lastRenderedPageBreak/>
        <w:t>molnupiravir was presented in the economics section</w:t>
      </w:r>
      <w:r w:rsidR="001B562B" w:rsidRPr="00484AE9">
        <w:rPr>
          <w:rStyle w:val="normaltextrun"/>
          <w:snapToGrid/>
          <w:color w:val="000000" w:themeColor="text1"/>
        </w:rPr>
        <w:t xml:space="preserve"> </w:t>
      </w:r>
      <w:r w:rsidR="004D73A2" w:rsidRPr="00484AE9">
        <w:rPr>
          <w:rStyle w:val="normaltextrun"/>
          <w:snapToGrid/>
          <w:color w:val="000000" w:themeColor="text1"/>
        </w:rPr>
        <w:t xml:space="preserve">of the submission, which was </w:t>
      </w:r>
      <w:r w:rsidR="001B562B" w:rsidRPr="00484AE9">
        <w:rPr>
          <w:rStyle w:val="normaltextrun"/>
          <w:snapToGrid/>
          <w:color w:val="000000" w:themeColor="text1"/>
        </w:rPr>
        <w:t>based on the results of published meta-analyses</w:t>
      </w:r>
      <w:r w:rsidR="00013DC0" w:rsidRPr="00484AE9">
        <w:rPr>
          <w:rStyle w:val="normaltextrun"/>
          <w:snapToGrid/>
          <w:color w:val="000000" w:themeColor="text1"/>
        </w:rPr>
        <w:t>.</w:t>
      </w:r>
      <w:r w:rsidR="00396A20" w:rsidRPr="00484AE9">
        <w:rPr>
          <w:rStyle w:val="normaltextrun"/>
          <w:snapToGrid/>
          <w:color w:val="000000" w:themeColor="text1"/>
        </w:rPr>
        <w:t xml:space="preserve"> </w:t>
      </w:r>
      <w:bookmarkStart w:id="61" w:name="_Ref144999447"/>
    </w:p>
    <w:bookmarkEnd w:id="61"/>
    <w:p w14:paraId="5FCF0E32" w14:textId="0C5B7FBE" w:rsidR="00CC7E88" w:rsidRPr="00484AE9" w:rsidRDefault="00A73134" w:rsidP="003E2A1F">
      <w:pPr>
        <w:pStyle w:val="3-BodyText"/>
        <w:jc w:val="left"/>
      </w:pPr>
      <w:r w:rsidRPr="00484AE9">
        <w:rPr>
          <w:snapToGrid/>
        </w:rPr>
        <w:t>Details of the trials</w:t>
      </w:r>
      <w:r w:rsidR="00F5023E" w:rsidRPr="00484AE9">
        <w:rPr>
          <w:snapToGrid/>
        </w:rPr>
        <w:t xml:space="preserve"> and observational </w:t>
      </w:r>
      <w:r w:rsidR="00D5243B" w:rsidRPr="00484AE9">
        <w:rPr>
          <w:snapToGrid/>
        </w:rPr>
        <w:t>studies</w:t>
      </w:r>
      <w:r w:rsidRPr="00484AE9">
        <w:rPr>
          <w:snapToGrid/>
        </w:rPr>
        <w:t xml:space="preserve"> presented in the submission are provided in</w:t>
      </w:r>
      <w:r w:rsidR="00F92D89" w:rsidRPr="00484AE9">
        <w:rPr>
          <w:snapToGrid/>
        </w:rPr>
        <w:t xml:space="preserve"> </w:t>
      </w:r>
      <w:r w:rsidR="00F92D89" w:rsidRPr="00484AE9">
        <w:rPr>
          <w:snapToGrid/>
        </w:rPr>
        <w:fldChar w:fldCharType="begin"/>
      </w:r>
      <w:r w:rsidR="00F92D89" w:rsidRPr="00484AE9">
        <w:rPr>
          <w:snapToGrid/>
        </w:rPr>
        <w:instrText xml:space="preserve"> REF _Ref144502482 \h </w:instrText>
      </w:r>
      <w:r w:rsidR="00F92D89" w:rsidRPr="00484AE9">
        <w:rPr>
          <w:snapToGrid/>
        </w:rPr>
      </w:r>
      <w:r w:rsidR="00F92D89" w:rsidRPr="00484AE9">
        <w:rPr>
          <w:snapToGrid/>
        </w:rPr>
        <w:fldChar w:fldCharType="separate"/>
      </w:r>
      <w:r w:rsidR="00872657" w:rsidRPr="00484AE9">
        <w:t xml:space="preserve">Table </w:t>
      </w:r>
      <w:r w:rsidR="00872657">
        <w:rPr>
          <w:noProof/>
        </w:rPr>
        <w:t>8</w:t>
      </w:r>
      <w:r w:rsidR="00F92D89" w:rsidRPr="00484AE9">
        <w:rPr>
          <w:snapToGrid/>
        </w:rPr>
        <w:fldChar w:fldCharType="end"/>
      </w:r>
      <w:r w:rsidRPr="00484AE9">
        <w:rPr>
          <w:snapToGrid/>
        </w:rPr>
        <w:t>.</w:t>
      </w:r>
    </w:p>
    <w:p w14:paraId="7519F095" w14:textId="36F13D6F" w:rsidR="002B5B08" w:rsidRPr="00484AE9" w:rsidRDefault="005A7CEC" w:rsidP="00523E50">
      <w:pPr>
        <w:pStyle w:val="3-BodyText"/>
        <w:jc w:val="left"/>
      </w:pPr>
      <w:r w:rsidRPr="00484AE9">
        <w:rPr>
          <w:snapToGrid/>
        </w:rPr>
        <w:t>One</w:t>
      </w:r>
      <w:r w:rsidR="00E16B02" w:rsidRPr="00484AE9">
        <w:rPr>
          <w:snapToGrid/>
        </w:rPr>
        <w:t xml:space="preserve"> of the additional studies</w:t>
      </w:r>
      <w:r w:rsidR="003C32DC" w:rsidRPr="00484AE9">
        <w:rPr>
          <w:snapToGrid/>
        </w:rPr>
        <w:t xml:space="preserve"> located during the evaluation</w:t>
      </w:r>
      <w:r w:rsidR="00E16B02" w:rsidRPr="00484AE9">
        <w:rPr>
          <w:snapToGrid/>
        </w:rPr>
        <w:t xml:space="preserve"> </w:t>
      </w:r>
      <w:r w:rsidRPr="00484AE9">
        <w:rPr>
          <w:snapToGrid/>
        </w:rPr>
        <w:t>(van Heer 2023</w:t>
      </w:r>
      <w:r w:rsidR="00B600AA" w:rsidRPr="00484AE9">
        <w:rPr>
          <w:rStyle w:val="FootnoteReference"/>
          <w:snapToGrid/>
        </w:rPr>
        <w:footnoteReference w:id="9"/>
      </w:r>
      <w:r w:rsidRPr="00484AE9">
        <w:rPr>
          <w:snapToGrid/>
        </w:rPr>
        <w:t xml:space="preserve">) </w:t>
      </w:r>
      <w:r w:rsidR="00E16B02" w:rsidRPr="00484AE9">
        <w:rPr>
          <w:snapToGrid/>
        </w:rPr>
        <w:t xml:space="preserve">would have </w:t>
      </w:r>
      <w:r w:rsidR="00B40B0F" w:rsidRPr="00484AE9">
        <w:rPr>
          <w:snapToGrid/>
        </w:rPr>
        <w:t xml:space="preserve">met </w:t>
      </w:r>
      <w:r w:rsidR="009D26FC" w:rsidRPr="00484AE9">
        <w:rPr>
          <w:snapToGrid/>
        </w:rPr>
        <w:t xml:space="preserve">the </w:t>
      </w:r>
      <w:r w:rsidR="008B7492" w:rsidRPr="00484AE9">
        <w:rPr>
          <w:snapToGrid/>
        </w:rPr>
        <w:t xml:space="preserve">submission’s </w:t>
      </w:r>
      <w:r w:rsidR="00320DBE" w:rsidRPr="00484AE9">
        <w:rPr>
          <w:snapToGrid/>
        </w:rPr>
        <w:t>exclusion</w:t>
      </w:r>
      <w:r w:rsidR="009D26FC" w:rsidRPr="00484AE9">
        <w:rPr>
          <w:snapToGrid/>
        </w:rPr>
        <w:t xml:space="preserve"> criteria </w:t>
      </w:r>
      <w:r w:rsidR="007750FF" w:rsidRPr="00484AE9">
        <w:rPr>
          <w:snapToGrid/>
        </w:rPr>
        <w:t>on the basis that</w:t>
      </w:r>
      <w:r w:rsidR="00767A7D" w:rsidRPr="00484AE9">
        <w:rPr>
          <w:snapToGrid/>
        </w:rPr>
        <w:t xml:space="preserve"> </w:t>
      </w:r>
      <w:r w:rsidR="00BE69DB" w:rsidRPr="00484AE9">
        <w:rPr>
          <w:snapToGrid/>
        </w:rPr>
        <w:t>the manuscript</w:t>
      </w:r>
      <w:r w:rsidR="00767A7D" w:rsidRPr="00484AE9">
        <w:rPr>
          <w:snapToGrid/>
        </w:rPr>
        <w:t xml:space="preserve"> had not undergone peer review</w:t>
      </w:r>
      <w:r w:rsidR="007750FF" w:rsidRPr="00484AE9">
        <w:rPr>
          <w:snapToGrid/>
        </w:rPr>
        <w:t>,</w:t>
      </w:r>
      <w:r w:rsidR="00020697" w:rsidRPr="00484AE9">
        <w:rPr>
          <w:snapToGrid/>
        </w:rPr>
        <w:t xml:space="preserve"> but has been added to the list of observational studies in </w:t>
      </w:r>
      <w:r w:rsidR="004B1A93" w:rsidRPr="00484AE9">
        <w:rPr>
          <w:snapToGrid/>
        </w:rPr>
        <w:fldChar w:fldCharType="begin"/>
      </w:r>
      <w:r w:rsidR="004B1A93" w:rsidRPr="00484AE9">
        <w:rPr>
          <w:snapToGrid/>
        </w:rPr>
        <w:instrText xml:space="preserve"> REF _Ref144502482 \h  \* MERGEFORMAT </w:instrText>
      </w:r>
      <w:r w:rsidR="004B1A93" w:rsidRPr="00484AE9">
        <w:rPr>
          <w:snapToGrid/>
        </w:rPr>
      </w:r>
      <w:r w:rsidR="004B1A93" w:rsidRPr="00484AE9">
        <w:rPr>
          <w:snapToGrid/>
        </w:rPr>
        <w:fldChar w:fldCharType="separate"/>
      </w:r>
      <w:r w:rsidR="00872657" w:rsidRPr="00484AE9">
        <w:t xml:space="preserve">Table </w:t>
      </w:r>
      <w:r w:rsidR="00872657">
        <w:t>8</w:t>
      </w:r>
      <w:r w:rsidR="004B1A93" w:rsidRPr="00484AE9">
        <w:rPr>
          <w:snapToGrid/>
        </w:rPr>
        <w:fldChar w:fldCharType="end"/>
      </w:r>
      <w:r w:rsidR="00767A7D" w:rsidRPr="00484AE9">
        <w:rPr>
          <w:snapToGrid/>
        </w:rPr>
        <w:t xml:space="preserve">. </w:t>
      </w:r>
      <w:r w:rsidR="000874BB" w:rsidRPr="00484AE9">
        <w:rPr>
          <w:snapToGrid/>
        </w:rPr>
        <w:t>Results are presented</w:t>
      </w:r>
      <w:r w:rsidR="00C768CB" w:rsidRPr="00484AE9">
        <w:rPr>
          <w:snapToGrid/>
        </w:rPr>
        <w:t xml:space="preserve"> for t</w:t>
      </w:r>
      <w:r w:rsidR="004C272D" w:rsidRPr="00484AE9">
        <w:rPr>
          <w:snapToGrid/>
        </w:rPr>
        <w:t xml:space="preserve">his </w:t>
      </w:r>
      <w:r w:rsidR="00CB6324" w:rsidRPr="00484AE9">
        <w:rPr>
          <w:snapToGrid/>
        </w:rPr>
        <w:t xml:space="preserve">study </w:t>
      </w:r>
      <w:r w:rsidR="007750FF" w:rsidRPr="00484AE9">
        <w:rPr>
          <w:snapToGrid/>
        </w:rPr>
        <w:t xml:space="preserve">as it </w:t>
      </w:r>
      <w:r w:rsidR="00CB6324" w:rsidRPr="00484AE9">
        <w:rPr>
          <w:snapToGrid/>
        </w:rPr>
        <w:t>was conduc</w:t>
      </w:r>
      <w:r w:rsidR="000F0A0B" w:rsidRPr="00484AE9">
        <w:rPr>
          <w:snapToGrid/>
        </w:rPr>
        <w:t xml:space="preserve">ted in Victoria, Australia </w:t>
      </w:r>
      <w:r w:rsidR="004B1A93" w:rsidRPr="00484AE9">
        <w:rPr>
          <w:snapToGrid/>
        </w:rPr>
        <w:t xml:space="preserve">and </w:t>
      </w:r>
      <w:r w:rsidR="00C768CB" w:rsidRPr="00484AE9">
        <w:rPr>
          <w:snapToGrid/>
        </w:rPr>
        <w:t>is potentially</w:t>
      </w:r>
      <w:r w:rsidR="000F0A0B" w:rsidRPr="00484AE9">
        <w:rPr>
          <w:snapToGrid/>
        </w:rPr>
        <w:t xml:space="preserve"> relevant, particularly for the 70+ subgroup, a</w:t>
      </w:r>
      <w:r w:rsidR="0021734F" w:rsidRPr="00484AE9">
        <w:rPr>
          <w:snapToGrid/>
        </w:rPr>
        <w:t>s</w:t>
      </w:r>
      <w:r w:rsidR="00A74ADD" w:rsidRPr="00484AE9">
        <w:rPr>
          <w:snapToGrid/>
        </w:rPr>
        <w:t xml:space="preserve"> </w:t>
      </w:r>
      <w:r w:rsidR="000F0A0B" w:rsidRPr="00484AE9">
        <w:rPr>
          <w:snapToGrid/>
        </w:rPr>
        <w:t xml:space="preserve">it reflected outcomes in a population aged ≥ 70 years who met the PBS criteria for access to antivirals and were treated in the Australian healthcare system. </w:t>
      </w:r>
      <w:r w:rsidR="00FD6AE2" w:rsidRPr="00484AE9">
        <w:rPr>
          <w:snapToGrid/>
        </w:rPr>
        <w:t>Although the</w:t>
      </w:r>
      <w:r w:rsidR="000F0A0B" w:rsidRPr="00484AE9">
        <w:rPr>
          <w:snapToGrid/>
        </w:rPr>
        <w:t xml:space="preserve"> analyses reported by van Heer 2023 were adjusted to address potential confounding due to differences in age, sex, socioeconomic status, history of hospitalisation, aged care resident status and vaccination status, the study is subject to bias and confounding associated with observational studies.</w:t>
      </w:r>
    </w:p>
    <w:p w14:paraId="2067D5FC" w14:textId="72C93333" w:rsidR="007359F5" w:rsidRPr="00484AE9" w:rsidRDefault="00F92D89" w:rsidP="007359F5">
      <w:pPr>
        <w:pStyle w:val="Caption"/>
        <w:rPr>
          <w:szCs w:val="24"/>
        </w:rPr>
      </w:pPr>
      <w:bookmarkStart w:id="62" w:name="_Ref144502482"/>
      <w:r w:rsidRPr="00484AE9">
        <w:t xml:space="preserve">Table </w:t>
      </w:r>
      <w:fldSimple w:instr=" SEQ Table \* ARABIC ">
        <w:r w:rsidR="00872657">
          <w:rPr>
            <w:noProof/>
          </w:rPr>
          <w:t>8</w:t>
        </w:r>
      </w:fldSimple>
      <w:bookmarkEnd w:id="62"/>
      <w:r w:rsidR="00696EF9" w:rsidRPr="00484AE9">
        <w:t>:</w:t>
      </w:r>
      <w:r w:rsidR="00BC591F" w:rsidRPr="00484AE9">
        <w:rPr>
          <w:rStyle w:val="CommentReference"/>
          <w:b/>
          <w:szCs w:val="24"/>
        </w:rPr>
        <w:t xml:space="preserve"> </w:t>
      </w:r>
      <w:r w:rsidR="008E0D3C" w:rsidRPr="00484AE9">
        <w:rPr>
          <w:rStyle w:val="CommentReference"/>
          <w:b/>
          <w:szCs w:val="24"/>
        </w:rPr>
        <w:t>Trials</w:t>
      </w:r>
      <w:r w:rsidR="007359F5" w:rsidRPr="00484AE9">
        <w:rPr>
          <w:rStyle w:val="CommentReference"/>
          <w:b/>
          <w:szCs w:val="24"/>
        </w:rPr>
        <w:t xml:space="preserve"> and observational </w:t>
      </w:r>
      <w:r w:rsidR="00D5243B" w:rsidRPr="00484AE9">
        <w:rPr>
          <w:rStyle w:val="CommentReference"/>
          <w:b/>
          <w:szCs w:val="24"/>
        </w:rPr>
        <w:t>studies</w:t>
      </w:r>
      <w:r w:rsidR="008E0D3C" w:rsidRPr="00484AE9">
        <w:rPr>
          <w:rStyle w:val="CommentReference"/>
          <w:b/>
          <w:szCs w:val="24"/>
        </w:rPr>
        <w:t xml:space="preserve"> and associated reports presented in the submission</w:t>
      </w:r>
      <w:r w:rsidR="007359F5" w:rsidRPr="00484AE9">
        <w:rPr>
          <w:rStyle w:val="CommentReference"/>
          <w:b/>
          <w:szCs w:val="24"/>
        </w:rPr>
        <w:t xml:space="preserve"> and identified during the evaluation</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16"/>
        <w:gridCol w:w="4739"/>
        <w:gridCol w:w="3164"/>
      </w:tblGrid>
      <w:tr w:rsidR="008B6130" w:rsidRPr="00484AE9" w14:paraId="6ACD35C4" w14:textId="77777777" w:rsidTr="009D6B6B">
        <w:trPr>
          <w:cantSplit/>
          <w:tblHeader/>
        </w:trPr>
        <w:tc>
          <w:tcPr>
            <w:tcW w:w="619" w:type="pct"/>
            <w:vAlign w:val="center"/>
          </w:tcPr>
          <w:p w14:paraId="20DEEB23" w14:textId="3DFC45F9" w:rsidR="008E0D3C" w:rsidRPr="00484AE9" w:rsidRDefault="00BE3E91" w:rsidP="00E12D28">
            <w:pPr>
              <w:pStyle w:val="In-tableHeading"/>
              <w:rPr>
                <w:lang w:val="en-AU"/>
              </w:rPr>
            </w:pPr>
            <w:r w:rsidRPr="00484AE9">
              <w:rPr>
                <w:lang w:val="en-AU"/>
              </w:rPr>
              <w:t>Study</w:t>
            </w:r>
            <w:r w:rsidR="008E0D3C" w:rsidRPr="00484AE9">
              <w:rPr>
                <w:lang w:val="en-AU"/>
              </w:rPr>
              <w:t xml:space="preserve"> ID</w:t>
            </w:r>
          </w:p>
        </w:tc>
        <w:tc>
          <w:tcPr>
            <w:tcW w:w="2627" w:type="pct"/>
            <w:vAlign w:val="center"/>
          </w:tcPr>
          <w:p w14:paraId="22EF6C51" w14:textId="77777777" w:rsidR="008E0D3C" w:rsidRPr="00484AE9" w:rsidRDefault="008E0D3C" w:rsidP="00E12D28">
            <w:pPr>
              <w:pStyle w:val="In-tableHeading"/>
              <w:rPr>
                <w:lang w:val="en-AU"/>
              </w:rPr>
            </w:pPr>
            <w:r w:rsidRPr="00484AE9">
              <w:rPr>
                <w:lang w:val="en-AU"/>
              </w:rPr>
              <w:t>Protocol title/ Publication title</w:t>
            </w:r>
          </w:p>
        </w:tc>
        <w:tc>
          <w:tcPr>
            <w:tcW w:w="1754" w:type="pct"/>
            <w:vAlign w:val="center"/>
          </w:tcPr>
          <w:p w14:paraId="561B27A8" w14:textId="77777777" w:rsidR="008E0D3C" w:rsidRPr="00484AE9" w:rsidRDefault="008E0D3C" w:rsidP="00E12D28">
            <w:pPr>
              <w:pStyle w:val="In-tableHeading"/>
              <w:rPr>
                <w:lang w:val="en-AU"/>
              </w:rPr>
            </w:pPr>
            <w:r w:rsidRPr="00484AE9">
              <w:rPr>
                <w:lang w:val="en-AU"/>
              </w:rPr>
              <w:t>Publication citation</w:t>
            </w:r>
          </w:p>
        </w:tc>
      </w:tr>
      <w:tr w:rsidR="008B6130" w:rsidRPr="00484AE9" w14:paraId="317C4EE8" w14:textId="77777777" w:rsidTr="00BE3E91">
        <w:trPr>
          <w:cantSplit/>
        </w:trPr>
        <w:tc>
          <w:tcPr>
            <w:tcW w:w="5000" w:type="pct"/>
            <w:gridSpan w:val="3"/>
            <w:vAlign w:val="center"/>
          </w:tcPr>
          <w:p w14:paraId="2FB7992E" w14:textId="068DFA0A" w:rsidR="00970EA7" w:rsidRPr="00484AE9" w:rsidRDefault="00970EA7" w:rsidP="00E12D28">
            <w:pPr>
              <w:pStyle w:val="In-tableHeading"/>
              <w:rPr>
                <w:u w:val="single"/>
                <w:lang w:val="en-AU"/>
              </w:rPr>
            </w:pPr>
            <w:r w:rsidRPr="00484AE9">
              <w:rPr>
                <w:u w:val="single"/>
                <w:lang w:val="en-AU"/>
              </w:rPr>
              <w:t>Randomised controlled trials</w:t>
            </w:r>
            <w:r w:rsidR="00656ED5" w:rsidRPr="00484AE9">
              <w:rPr>
                <w:u w:val="single"/>
                <w:lang w:val="en-AU"/>
              </w:rPr>
              <w:t xml:space="preserve"> of nirmatrelvir and ritonavir</w:t>
            </w:r>
          </w:p>
        </w:tc>
      </w:tr>
      <w:tr w:rsidR="008B6130" w:rsidRPr="00484AE9" w14:paraId="298351BA" w14:textId="77777777" w:rsidTr="009D6B6B">
        <w:trPr>
          <w:cantSplit/>
        </w:trPr>
        <w:tc>
          <w:tcPr>
            <w:tcW w:w="619" w:type="pct"/>
            <w:vMerge w:val="restart"/>
            <w:vAlign w:val="center"/>
          </w:tcPr>
          <w:p w14:paraId="5D9482F5" w14:textId="568A2905" w:rsidR="00DF6341" w:rsidRPr="00484AE9" w:rsidRDefault="00106BF5" w:rsidP="00B84B88">
            <w:pPr>
              <w:pStyle w:val="TableText0"/>
              <w:rPr>
                <w:szCs w:val="20"/>
              </w:rPr>
            </w:pPr>
            <w:r w:rsidRPr="00484AE9">
              <w:t>EPIC-HR</w:t>
            </w:r>
          </w:p>
        </w:tc>
        <w:tc>
          <w:tcPr>
            <w:tcW w:w="2627" w:type="pct"/>
            <w:tcBorders>
              <w:bottom w:val="nil"/>
            </w:tcBorders>
            <w:vAlign w:val="center"/>
          </w:tcPr>
          <w:p w14:paraId="2570DA6E" w14:textId="0BBAECFB" w:rsidR="002E4F02" w:rsidRPr="00484AE9" w:rsidRDefault="0067371F" w:rsidP="00B84B88">
            <w:pPr>
              <w:pStyle w:val="TableText0"/>
            </w:pPr>
            <w:r w:rsidRPr="00484AE9">
              <w:t>Final c</w:t>
            </w:r>
            <w:r w:rsidR="000F16A4" w:rsidRPr="00484AE9">
              <w:t xml:space="preserve">linical study report (CSR). </w:t>
            </w:r>
            <w:r w:rsidR="008E7DB7" w:rsidRPr="00484AE9">
              <w:t>An interventional, efficacy and safety, phase 2/3, double-blind, 2-arm study to investigate orally administered PF-07321332/Ritonavir compared with placebo in nonhospitalized symptomatic adult participants with COVID-19 who are at increased risk of progressing to severe illness</w:t>
            </w:r>
          </w:p>
        </w:tc>
        <w:tc>
          <w:tcPr>
            <w:tcW w:w="1754" w:type="pct"/>
            <w:tcBorders>
              <w:bottom w:val="nil"/>
            </w:tcBorders>
            <w:vAlign w:val="center"/>
          </w:tcPr>
          <w:p w14:paraId="7578773D" w14:textId="42C2BEF5" w:rsidR="002E4F02" w:rsidRPr="00484AE9" w:rsidRDefault="006362AB" w:rsidP="00B84B88">
            <w:pPr>
              <w:pStyle w:val="TableText0"/>
              <w:rPr>
                <w:rFonts w:ascii="Times" w:hAnsi="Times"/>
              </w:rPr>
            </w:pPr>
            <w:r w:rsidRPr="00484AE9">
              <w:t>9 March 2023</w:t>
            </w:r>
          </w:p>
        </w:tc>
      </w:tr>
      <w:tr w:rsidR="008B6130" w:rsidRPr="00484AE9" w14:paraId="7F06C7BE" w14:textId="77777777" w:rsidTr="009D6B6B">
        <w:trPr>
          <w:cantSplit/>
        </w:trPr>
        <w:tc>
          <w:tcPr>
            <w:tcW w:w="619" w:type="pct"/>
            <w:vMerge/>
            <w:vAlign w:val="center"/>
          </w:tcPr>
          <w:p w14:paraId="2DE31C12" w14:textId="7BFA1DAD" w:rsidR="002E4F02" w:rsidRPr="00484AE9" w:rsidRDefault="002E4F02" w:rsidP="00A073CB">
            <w:pPr>
              <w:pStyle w:val="TableText0"/>
              <w:keepNext w:val="0"/>
            </w:pPr>
          </w:p>
        </w:tc>
        <w:tc>
          <w:tcPr>
            <w:tcW w:w="2627" w:type="pct"/>
            <w:tcBorders>
              <w:top w:val="nil"/>
              <w:bottom w:val="single" w:sz="4" w:space="0" w:color="auto"/>
            </w:tcBorders>
            <w:vAlign w:val="center"/>
          </w:tcPr>
          <w:p w14:paraId="7CB8ADA9" w14:textId="28A5B57A" w:rsidR="00054A8D" w:rsidRPr="00484AE9" w:rsidRDefault="00A82121" w:rsidP="00A073CB">
            <w:pPr>
              <w:pStyle w:val="TableText0"/>
              <w:keepNext w:val="0"/>
            </w:pPr>
            <w:r w:rsidRPr="00484AE9">
              <w:t xml:space="preserve">Hammond et al. Oral Nirmatrelvir for High-Risk, Nonhospitalized Adults with Covid-19. </w:t>
            </w:r>
          </w:p>
        </w:tc>
        <w:tc>
          <w:tcPr>
            <w:tcW w:w="1754" w:type="pct"/>
            <w:tcBorders>
              <w:top w:val="nil"/>
              <w:bottom w:val="single" w:sz="4" w:space="0" w:color="auto"/>
            </w:tcBorders>
            <w:vAlign w:val="center"/>
          </w:tcPr>
          <w:p w14:paraId="53EB2567" w14:textId="1885A3FF" w:rsidR="002E4F02" w:rsidRPr="00484AE9" w:rsidRDefault="00520B27" w:rsidP="00A073CB">
            <w:pPr>
              <w:pStyle w:val="TableText0"/>
              <w:keepNext w:val="0"/>
            </w:pPr>
            <w:r w:rsidRPr="00484AE9">
              <w:rPr>
                <w:iCs/>
              </w:rPr>
              <w:t>NEJM</w:t>
            </w:r>
            <w:r w:rsidR="00A82121" w:rsidRPr="00484AE9">
              <w:rPr>
                <w:iCs/>
              </w:rPr>
              <w:t>.</w:t>
            </w:r>
            <w:r w:rsidR="00A82121" w:rsidRPr="00484AE9">
              <w:t xml:space="preserve"> 2022;386(15):1397-1408</w:t>
            </w:r>
          </w:p>
        </w:tc>
      </w:tr>
      <w:tr w:rsidR="008B6130" w:rsidRPr="00484AE9" w14:paraId="74132A1A" w14:textId="77777777" w:rsidTr="009D6B6B">
        <w:trPr>
          <w:cantSplit/>
        </w:trPr>
        <w:tc>
          <w:tcPr>
            <w:tcW w:w="619" w:type="pct"/>
            <w:vAlign w:val="center"/>
          </w:tcPr>
          <w:p w14:paraId="30BA87AC" w14:textId="70340BC6" w:rsidR="002E4F02" w:rsidRPr="00484AE9" w:rsidRDefault="00106BF5" w:rsidP="00A073CB">
            <w:pPr>
              <w:pStyle w:val="TableText0"/>
              <w:keepNext w:val="0"/>
              <w:rPr>
                <w:rFonts w:ascii="Times" w:hAnsi="Times"/>
              </w:rPr>
            </w:pPr>
            <w:r w:rsidRPr="00484AE9">
              <w:t>EPIC-SR</w:t>
            </w:r>
          </w:p>
        </w:tc>
        <w:tc>
          <w:tcPr>
            <w:tcW w:w="2627" w:type="pct"/>
            <w:tcBorders>
              <w:top w:val="single" w:sz="4" w:space="0" w:color="auto"/>
              <w:bottom w:val="single" w:sz="4" w:space="0" w:color="auto"/>
            </w:tcBorders>
            <w:vAlign w:val="center"/>
          </w:tcPr>
          <w:p w14:paraId="7EF3AEBB" w14:textId="52F40607" w:rsidR="002E4F02" w:rsidRPr="00484AE9" w:rsidRDefault="0089100D" w:rsidP="00A073CB">
            <w:pPr>
              <w:pStyle w:val="TableText0"/>
              <w:keepNext w:val="0"/>
              <w:rPr>
                <w:rFonts w:ascii="Times" w:hAnsi="Times"/>
              </w:rPr>
            </w:pPr>
            <w:r w:rsidRPr="00484AE9">
              <w:t>CSR</w:t>
            </w:r>
            <w:r w:rsidR="00BC373D" w:rsidRPr="00484AE9">
              <w:t xml:space="preserve">. </w:t>
            </w:r>
            <w:r w:rsidRPr="00484AE9">
              <w:t xml:space="preserve">An Interventional efficacy and safety, phase 2/3, double-blind, 2 arm study to investigate orally administered PF-07321332/Ritonavir compared with placebo in non-hospitalized symptomatic adult participants with COVID-19 who are at low risk of progressing to severe illness. </w:t>
            </w:r>
          </w:p>
        </w:tc>
        <w:tc>
          <w:tcPr>
            <w:tcW w:w="1754" w:type="pct"/>
            <w:tcBorders>
              <w:top w:val="single" w:sz="4" w:space="0" w:color="auto"/>
              <w:bottom w:val="single" w:sz="4" w:space="0" w:color="auto"/>
            </w:tcBorders>
            <w:vAlign w:val="center"/>
          </w:tcPr>
          <w:p w14:paraId="65832AF0" w14:textId="425010EA" w:rsidR="002E4F02" w:rsidRPr="00484AE9" w:rsidRDefault="00125F68" w:rsidP="00A073CB">
            <w:pPr>
              <w:pStyle w:val="TableText0"/>
              <w:keepNext w:val="0"/>
            </w:pPr>
            <w:r w:rsidRPr="00484AE9">
              <w:t>10 March 2023</w:t>
            </w:r>
          </w:p>
        </w:tc>
      </w:tr>
      <w:tr w:rsidR="008B6130" w:rsidRPr="00484AE9" w14:paraId="5647A6DF" w14:textId="77777777" w:rsidTr="00523E50">
        <w:trPr>
          <w:cantSplit/>
        </w:trPr>
        <w:tc>
          <w:tcPr>
            <w:tcW w:w="5000" w:type="pct"/>
            <w:gridSpan w:val="3"/>
            <w:tcBorders>
              <w:bottom w:val="single" w:sz="4" w:space="0" w:color="auto"/>
            </w:tcBorders>
            <w:vAlign w:val="center"/>
          </w:tcPr>
          <w:p w14:paraId="3B3AB53D" w14:textId="1E4D7AE0" w:rsidR="00656ED5" w:rsidRPr="00484AE9" w:rsidRDefault="00656ED5" w:rsidP="00523E50">
            <w:pPr>
              <w:pStyle w:val="TableText0"/>
              <w:rPr>
                <w:b/>
                <w:bCs w:val="0"/>
              </w:rPr>
            </w:pPr>
            <w:r w:rsidRPr="00484AE9">
              <w:rPr>
                <w:b/>
                <w:bCs w:val="0"/>
                <w:u w:val="single"/>
              </w:rPr>
              <w:t xml:space="preserve">Randomised controlled trials of </w:t>
            </w:r>
            <w:r w:rsidR="00527204" w:rsidRPr="00484AE9">
              <w:rPr>
                <w:b/>
                <w:bCs w:val="0"/>
                <w:u w:val="single"/>
              </w:rPr>
              <w:t>molnupiravir</w:t>
            </w:r>
          </w:p>
        </w:tc>
      </w:tr>
      <w:tr w:rsidR="008B6130" w:rsidRPr="00484AE9" w14:paraId="400ADAF8" w14:textId="77777777" w:rsidTr="00523E50">
        <w:trPr>
          <w:cantSplit/>
        </w:trPr>
        <w:tc>
          <w:tcPr>
            <w:tcW w:w="619" w:type="pct"/>
            <w:vMerge w:val="restart"/>
            <w:tcBorders>
              <w:bottom w:val="single" w:sz="4" w:space="0" w:color="auto"/>
            </w:tcBorders>
            <w:vAlign w:val="center"/>
          </w:tcPr>
          <w:p w14:paraId="18C64AF1" w14:textId="61ECDCCE" w:rsidR="000E7201" w:rsidRPr="00484AE9" w:rsidRDefault="000E7201" w:rsidP="00523E50">
            <w:pPr>
              <w:pStyle w:val="TableText0"/>
            </w:pPr>
            <w:r w:rsidRPr="00484AE9">
              <w:t>MOVe-OUT</w:t>
            </w:r>
          </w:p>
        </w:tc>
        <w:tc>
          <w:tcPr>
            <w:tcW w:w="2627" w:type="pct"/>
            <w:tcBorders>
              <w:bottom w:val="single" w:sz="4" w:space="0" w:color="auto"/>
            </w:tcBorders>
          </w:tcPr>
          <w:p w14:paraId="0A35B979" w14:textId="54A21AA2" w:rsidR="000E7201" w:rsidRPr="00484AE9" w:rsidRDefault="000E7201" w:rsidP="00523E50">
            <w:pPr>
              <w:pStyle w:val="TableText0"/>
              <w:rPr>
                <w:rFonts w:ascii="Times" w:hAnsi="Times"/>
              </w:rPr>
            </w:pPr>
            <w:r w:rsidRPr="00484AE9">
              <w:t>Bernal et al. Molnupiravir for Oral Treatment of Covid-19 in Nonhospitalized Patients.</w:t>
            </w:r>
          </w:p>
        </w:tc>
        <w:tc>
          <w:tcPr>
            <w:tcW w:w="1754" w:type="pct"/>
            <w:tcBorders>
              <w:bottom w:val="single" w:sz="4" w:space="0" w:color="auto"/>
            </w:tcBorders>
            <w:vAlign w:val="center"/>
          </w:tcPr>
          <w:p w14:paraId="4A191A18" w14:textId="6B7C3EE4" w:rsidR="000E7201" w:rsidRPr="00484AE9" w:rsidRDefault="007850C6" w:rsidP="00523E50">
            <w:pPr>
              <w:pStyle w:val="TableText0"/>
              <w:rPr>
                <w:rFonts w:ascii="Times" w:hAnsi="Times"/>
              </w:rPr>
            </w:pPr>
            <w:r w:rsidRPr="00484AE9">
              <w:rPr>
                <w:iCs/>
              </w:rPr>
              <w:t>NEJM.</w:t>
            </w:r>
            <w:r w:rsidRPr="00484AE9">
              <w:t xml:space="preserve"> 2022;386(6):509-520</w:t>
            </w:r>
          </w:p>
        </w:tc>
      </w:tr>
      <w:tr w:rsidR="008B6130" w:rsidRPr="00484AE9" w14:paraId="60609122" w14:textId="77777777" w:rsidTr="00523E50">
        <w:trPr>
          <w:cantSplit/>
        </w:trPr>
        <w:tc>
          <w:tcPr>
            <w:tcW w:w="619" w:type="pct"/>
            <w:vMerge/>
            <w:tcBorders>
              <w:top w:val="single" w:sz="4" w:space="0" w:color="auto"/>
            </w:tcBorders>
            <w:vAlign w:val="center"/>
          </w:tcPr>
          <w:p w14:paraId="6939BFFB" w14:textId="77777777" w:rsidR="00622EE8" w:rsidRPr="00484AE9" w:rsidRDefault="00622EE8" w:rsidP="00523E50">
            <w:pPr>
              <w:pStyle w:val="TableText0"/>
            </w:pPr>
          </w:p>
        </w:tc>
        <w:tc>
          <w:tcPr>
            <w:tcW w:w="2627" w:type="pct"/>
            <w:tcBorders>
              <w:top w:val="single" w:sz="4" w:space="0" w:color="auto"/>
              <w:bottom w:val="nil"/>
            </w:tcBorders>
          </w:tcPr>
          <w:p w14:paraId="6786DE71" w14:textId="02FA519B" w:rsidR="00622EE8" w:rsidRPr="00484AE9" w:rsidRDefault="001A5FA5" w:rsidP="00523E50">
            <w:pPr>
              <w:pStyle w:val="TableText0"/>
            </w:pPr>
            <w:r w:rsidRPr="00484AE9">
              <w:t>Johnson et al. Effect of Molnupiravir on Biomarkers, Respiratory Interventions, and Medical Services in COVID-19: A Randomised, Placebo-Controlled Trial.</w:t>
            </w:r>
          </w:p>
        </w:tc>
        <w:tc>
          <w:tcPr>
            <w:tcW w:w="1754" w:type="pct"/>
            <w:tcBorders>
              <w:top w:val="single" w:sz="4" w:space="0" w:color="auto"/>
              <w:bottom w:val="nil"/>
            </w:tcBorders>
            <w:vAlign w:val="center"/>
          </w:tcPr>
          <w:p w14:paraId="3C108239" w14:textId="7A06E855" w:rsidR="00622EE8" w:rsidRPr="00484AE9" w:rsidRDefault="00C1747E" w:rsidP="00523E50">
            <w:pPr>
              <w:pStyle w:val="TableText0"/>
              <w:rPr>
                <w:iCs/>
              </w:rPr>
            </w:pPr>
            <w:r w:rsidRPr="00484AE9">
              <w:rPr>
                <w:iCs/>
              </w:rPr>
              <w:t>Ann Intern Med</w:t>
            </w:r>
            <w:r w:rsidR="002907BA" w:rsidRPr="00484AE9">
              <w:rPr>
                <w:iCs/>
              </w:rPr>
              <w:t xml:space="preserve">. </w:t>
            </w:r>
            <w:r w:rsidR="002907BA" w:rsidRPr="00484AE9">
              <w:t>2022;</w:t>
            </w:r>
            <w:r w:rsidR="001A5FA5" w:rsidRPr="00484AE9">
              <w:t>175(8):1126-1134</w:t>
            </w:r>
          </w:p>
        </w:tc>
      </w:tr>
      <w:tr w:rsidR="008B6130" w:rsidRPr="00484AE9" w14:paraId="48372C6A" w14:textId="77777777" w:rsidTr="009D6B6B">
        <w:trPr>
          <w:cantSplit/>
        </w:trPr>
        <w:tc>
          <w:tcPr>
            <w:tcW w:w="619" w:type="pct"/>
            <w:vMerge/>
            <w:vAlign w:val="center"/>
          </w:tcPr>
          <w:p w14:paraId="06AEB60B" w14:textId="77777777" w:rsidR="001A72F5" w:rsidRPr="00484AE9" w:rsidRDefault="001A72F5" w:rsidP="00A073CB">
            <w:pPr>
              <w:pStyle w:val="TableText0"/>
              <w:keepNext w:val="0"/>
            </w:pPr>
          </w:p>
        </w:tc>
        <w:tc>
          <w:tcPr>
            <w:tcW w:w="2627" w:type="pct"/>
            <w:tcBorders>
              <w:top w:val="nil"/>
              <w:bottom w:val="single" w:sz="4" w:space="0" w:color="auto"/>
            </w:tcBorders>
          </w:tcPr>
          <w:p w14:paraId="778A863B" w14:textId="3042BE3B" w:rsidR="001A72F5" w:rsidRPr="00484AE9" w:rsidRDefault="001A72F5" w:rsidP="00A073CB">
            <w:pPr>
              <w:pStyle w:val="TableText0"/>
              <w:keepNext w:val="0"/>
            </w:pPr>
            <w:r w:rsidRPr="00484AE9">
              <w:t>Johnson et al. Molnupiravir for the treatment of COVID-19 in immunocompromised participants: efficacy, safety, and virology results from the phase 3 randomised, placebo-controlled MOVe-OUT trial.</w:t>
            </w:r>
          </w:p>
        </w:tc>
        <w:tc>
          <w:tcPr>
            <w:tcW w:w="1754" w:type="pct"/>
            <w:tcBorders>
              <w:top w:val="nil"/>
              <w:bottom w:val="single" w:sz="4" w:space="0" w:color="auto"/>
            </w:tcBorders>
            <w:vAlign w:val="center"/>
          </w:tcPr>
          <w:p w14:paraId="40101CE4" w14:textId="77777777" w:rsidR="002907BA" w:rsidRPr="00484AE9" w:rsidRDefault="001A72F5" w:rsidP="00A073CB">
            <w:pPr>
              <w:pStyle w:val="TableText0"/>
              <w:keepNext w:val="0"/>
            </w:pPr>
            <w:r w:rsidRPr="00484AE9">
              <w:rPr>
                <w:iCs/>
              </w:rPr>
              <w:t xml:space="preserve">Infection. </w:t>
            </w:r>
            <w:r w:rsidRPr="00484AE9">
              <w:t>2023</w:t>
            </w:r>
          </w:p>
          <w:p w14:paraId="184C7528" w14:textId="463A27A7" w:rsidR="001A72F5" w:rsidRPr="00484AE9" w:rsidRDefault="001A72F5" w:rsidP="00A073CB">
            <w:pPr>
              <w:pStyle w:val="TableText0"/>
              <w:keepNext w:val="0"/>
            </w:pPr>
            <w:r w:rsidRPr="00484AE9">
              <w:t>[Epub ahead of print]</w:t>
            </w:r>
          </w:p>
        </w:tc>
      </w:tr>
      <w:tr w:rsidR="008B6130" w:rsidRPr="00484AE9" w14:paraId="1DF8ED55" w14:textId="77777777" w:rsidTr="009D6B6B">
        <w:trPr>
          <w:cantSplit/>
        </w:trPr>
        <w:tc>
          <w:tcPr>
            <w:tcW w:w="619" w:type="pct"/>
            <w:vAlign w:val="center"/>
          </w:tcPr>
          <w:p w14:paraId="1CD85F2A" w14:textId="46DD6763" w:rsidR="001A72F5" w:rsidRPr="00484AE9" w:rsidRDefault="001A72F5" w:rsidP="00A073CB">
            <w:pPr>
              <w:pStyle w:val="Tabletext"/>
            </w:pPr>
            <w:r w:rsidRPr="00484AE9">
              <w:lastRenderedPageBreak/>
              <w:t>PANORAMIC</w:t>
            </w:r>
          </w:p>
        </w:tc>
        <w:tc>
          <w:tcPr>
            <w:tcW w:w="2627" w:type="pct"/>
            <w:tcBorders>
              <w:top w:val="single" w:sz="4" w:space="0" w:color="auto"/>
              <w:bottom w:val="nil"/>
            </w:tcBorders>
            <w:vAlign w:val="center"/>
          </w:tcPr>
          <w:p w14:paraId="33C78495" w14:textId="7784268A" w:rsidR="001A72F5" w:rsidRPr="00484AE9" w:rsidRDefault="00AF5AE9" w:rsidP="00A073CB">
            <w:pPr>
              <w:pStyle w:val="TableText0"/>
              <w:keepNext w:val="0"/>
            </w:pPr>
            <w:r w:rsidRPr="00484AE9">
              <w:t>Butler et al. Molnupiravir plus usual care versus usual care alone as early treatment for adults with COVID-19 at increased risk of adverse outcomes (PANORAMIC): an open-label, platform-adaptive randomised controlled trial.</w:t>
            </w:r>
          </w:p>
        </w:tc>
        <w:tc>
          <w:tcPr>
            <w:tcW w:w="1754" w:type="pct"/>
            <w:tcBorders>
              <w:top w:val="single" w:sz="4" w:space="0" w:color="auto"/>
              <w:bottom w:val="nil"/>
            </w:tcBorders>
            <w:vAlign w:val="center"/>
          </w:tcPr>
          <w:p w14:paraId="0836160F" w14:textId="591ED4BC" w:rsidR="001A72F5" w:rsidRPr="00484AE9" w:rsidRDefault="00132E00" w:rsidP="00A073CB">
            <w:pPr>
              <w:pStyle w:val="TableText0"/>
              <w:keepNext w:val="0"/>
            </w:pPr>
            <w:r w:rsidRPr="00484AE9">
              <w:rPr>
                <w:iCs/>
              </w:rPr>
              <w:t>Lancet.</w:t>
            </w:r>
            <w:r w:rsidRPr="00484AE9">
              <w:t xml:space="preserve"> </w:t>
            </w:r>
            <w:r w:rsidR="00656ED5" w:rsidRPr="00484AE9">
              <w:t>2023;</w:t>
            </w:r>
            <w:r w:rsidRPr="00484AE9">
              <w:t>401(10373):281-293</w:t>
            </w:r>
          </w:p>
        </w:tc>
      </w:tr>
      <w:tr w:rsidR="008B6130" w:rsidRPr="00484AE9" w14:paraId="157052A1" w14:textId="77777777" w:rsidTr="00BE3E91">
        <w:trPr>
          <w:cantSplit/>
        </w:trPr>
        <w:tc>
          <w:tcPr>
            <w:tcW w:w="5000" w:type="pct"/>
            <w:gridSpan w:val="3"/>
            <w:vAlign w:val="center"/>
          </w:tcPr>
          <w:p w14:paraId="22DD0E0A" w14:textId="66F7DEFE" w:rsidR="00527204" w:rsidRPr="00484AE9" w:rsidRDefault="00527204" w:rsidP="00A073CB">
            <w:pPr>
              <w:pStyle w:val="TableText0"/>
              <w:keepNext w:val="0"/>
              <w:rPr>
                <w:u w:val="single"/>
              </w:rPr>
            </w:pPr>
            <w:r w:rsidRPr="00484AE9">
              <w:rPr>
                <w:b/>
                <w:bCs w:val="0"/>
                <w:u w:val="single"/>
              </w:rPr>
              <w:t xml:space="preserve">Observational </w:t>
            </w:r>
            <w:r w:rsidR="00214C5F" w:rsidRPr="00484AE9">
              <w:rPr>
                <w:b/>
                <w:bCs w:val="0"/>
                <w:u w:val="single"/>
              </w:rPr>
              <w:t xml:space="preserve">cohort </w:t>
            </w:r>
            <w:r w:rsidRPr="00484AE9">
              <w:rPr>
                <w:b/>
                <w:bCs w:val="0"/>
                <w:u w:val="single"/>
              </w:rPr>
              <w:t>studies of nirmatrelvir and ritonavir</w:t>
            </w:r>
            <w:r w:rsidR="00B323F5" w:rsidRPr="00484AE9">
              <w:rPr>
                <w:b/>
                <w:bCs w:val="0"/>
                <w:u w:val="single"/>
              </w:rPr>
              <w:t xml:space="preserve"> only</w:t>
            </w:r>
          </w:p>
        </w:tc>
      </w:tr>
      <w:tr w:rsidR="008B6130" w:rsidRPr="00484AE9" w14:paraId="12903B50" w14:textId="77777777" w:rsidTr="009D6B6B">
        <w:trPr>
          <w:cantSplit/>
        </w:trPr>
        <w:tc>
          <w:tcPr>
            <w:tcW w:w="619" w:type="pct"/>
            <w:vAlign w:val="center"/>
          </w:tcPr>
          <w:p w14:paraId="42360D67" w14:textId="06876591" w:rsidR="001A72F5" w:rsidRPr="00484AE9" w:rsidRDefault="00C43871" w:rsidP="00A073CB">
            <w:pPr>
              <w:pStyle w:val="Tabletext"/>
            </w:pPr>
            <w:r w:rsidRPr="00484AE9">
              <w:t>Aggarwal 2023</w:t>
            </w:r>
          </w:p>
        </w:tc>
        <w:tc>
          <w:tcPr>
            <w:tcW w:w="2627" w:type="pct"/>
            <w:tcBorders>
              <w:top w:val="single" w:sz="4" w:space="0" w:color="auto"/>
              <w:bottom w:val="single" w:sz="4" w:space="0" w:color="auto"/>
            </w:tcBorders>
            <w:vAlign w:val="center"/>
          </w:tcPr>
          <w:p w14:paraId="2EACED47" w14:textId="613EDEC2" w:rsidR="001A72F5" w:rsidRPr="00484AE9" w:rsidRDefault="006A3DA3" w:rsidP="00A073CB">
            <w:pPr>
              <w:pStyle w:val="TableText0"/>
              <w:keepNext w:val="0"/>
            </w:pPr>
            <w:r w:rsidRPr="00484AE9">
              <w:t>Aggarwal NR et al</w:t>
            </w:r>
            <w:r w:rsidR="00C43871" w:rsidRPr="00484AE9">
              <w:t>.</w:t>
            </w:r>
            <w:r w:rsidRPr="00484AE9">
              <w:t xml:space="preserve"> Real-world use of nirmatrelvir-ritonavir in outpatients with COVID-19 during the era of omicron variants including BA.4 and BA.5 in Colorado, USA: a retrospective cohort study</w:t>
            </w:r>
            <w:r w:rsidR="003D3924" w:rsidRPr="00484AE9">
              <w:t>.</w:t>
            </w:r>
          </w:p>
        </w:tc>
        <w:tc>
          <w:tcPr>
            <w:tcW w:w="1754" w:type="pct"/>
            <w:tcBorders>
              <w:top w:val="single" w:sz="4" w:space="0" w:color="auto"/>
              <w:bottom w:val="single" w:sz="4" w:space="0" w:color="auto"/>
            </w:tcBorders>
            <w:vAlign w:val="center"/>
          </w:tcPr>
          <w:p w14:paraId="3B1793DC" w14:textId="5297193E" w:rsidR="001A72F5" w:rsidRPr="00484AE9" w:rsidRDefault="003D3924" w:rsidP="00A073CB">
            <w:pPr>
              <w:pStyle w:val="TableText0"/>
              <w:keepNext w:val="0"/>
            </w:pPr>
            <w:r w:rsidRPr="00484AE9">
              <w:rPr>
                <w:iCs/>
              </w:rPr>
              <w:t>Lancet Infect Dis.</w:t>
            </w:r>
            <w:r w:rsidRPr="00484AE9">
              <w:t xml:space="preserve"> 2023;23(6):696-705</w:t>
            </w:r>
          </w:p>
        </w:tc>
      </w:tr>
      <w:tr w:rsidR="008B6130" w:rsidRPr="00484AE9" w14:paraId="505AB4E7" w14:textId="77777777" w:rsidTr="009D6B6B">
        <w:trPr>
          <w:cantSplit/>
        </w:trPr>
        <w:tc>
          <w:tcPr>
            <w:tcW w:w="619" w:type="pct"/>
            <w:vAlign w:val="center"/>
          </w:tcPr>
          <w:p w14:paraId="46EF44CB" w14:textId="36B024BC" w:rsidR="00527204" w:rsidRPr="00484AE9" w:rsidRDefault="00053C5C" w:rsidP="00A073CB">
            <w:pPr>
              <w:pStyle w:val="Tabletext"/>
            </w:pPr>
            <w:r w:rsidRPr="00484AE9">
              <w:t>Arbel 2022</w:t>
            </w:r>
            <w:r w:rsidR="00315E21" w:rsidRPr="00484AE9">
              <w:t>*</w:t>
            </w:r>
          </w:p>
        </w:tc>
        <w:tc>
          <w:tcPr>
            <w:tcW w:w="2627" w:type="pct"/>
            <w:tcBorders>
              <w:top w:val="single" w:sz="4" w:space="0" w:color="auto"/>
              <w:bottom w:val="single" w:sz="4" w:space="0" w:color="auto"/>
            </w:tcBorders>
            <w:vAlign w:val="center"/>
          </w:tcPr>
          <w:p w14:paraId="642EE846" w14:textId="664C3CDF" w:rsidR="00527204" w:rsidRPr="00484AE9" w:rsidRDefault="00B24BFD" w:rsidP="00A073CB">
            <w:pPr>
              <w:pStyle w:val="TableText0"/>
              <w:keepNext w:val="0"/>
            </w:pPr>
            <w:r w:rsidRPr="00484AE9">
              <w:t>Arbel R, et al. Nirmatrelvir Use and Severe Covid-19 Outcomes during the Omicron Surge.</w:t>
            </w:r>
          </w:p>
        </w:tc>
        <w:tc>
          <w:tcPr>
            <w:tcW w:w="1754" w:type="pct"/>
            <w:tcBorders>
              <w:top w:val="single" w:sz="4" w:space="0" w:color="auto"/>
              <w:bottom w:val="single" w:sz="4" w:space="0" w:color="auto"/>
            </w:tcBorders>
            <w:vAlign w:val="center"/>
          </w:tcPr>
          <w:p w14:paraId="7691BF09" w14:textId="66407A0C" w:rsidR="00527204" w:rsidRPr="00484AE9" w:rsidRDefault="00196262" w:rsidP="00A073CB">
            <w:pPr>
              <w:pStyle w:val="TableText0"/>
              <w:keepNext w:val="0"/>
            </w:pPr>
            <w:r w:rsidRPr="00484AE9">
              <w:rPr>
                <w:iCs/>
              </w:rPr>
              <w:t>NEJM</w:t>
            </w:r>
            <w:r w:rsidR="00B24BFD" w:rsidRPr="00484AE9">
              <w:rPr>
                <w:iCs/>
              </w:rPr>
              <w:t>.</w:t>
            </w:r>
            <w:r w:rsidR="00B24BFD" w:rsidRPr="00484AE9">
              <w:t xml:space="preserve"> 2022</w:t>
            </w:r>
            <w:r w:rsidRPr="00484AE9">
              <w:t xml:space="preserve">; </w:t>
            </w:r>
            <w:r w:rsidR="00B24BFD" w:rsidRPr="00484AE9">
              <w:t>387(9):790-798</w:t>
            </w:r>
          </w:p>
        </w:tc>
      </w:tr>
      <w:tr w:rsidR="008B6130" w:rsidRPr="00484AE9" w14:paraId="0E0F1EF5" w14:textId="77777777" w:rsidTr="009D6B6B">
        <w:trPr>
          <w:cantSplit/>
        </w:trPr>
        <w:tc>
          <w:tcPr>
            <w:tcW w:w="619" w:type="pct"/>
            <w:vAlign w:val="center"/>
          </w:tcPr>
          <w:p w14:paraId="01CB08EF" w14:textId="620D1373" w:rsidR="00946606" w:rsidRPr="00484AE9" w:rsidRDefault="00A52320" w:rsidP="00A073CB">
            <w:pPr>
              <w:pStyle w:val="Tabletext"/>
            </w:pPr>
            <w:r w:rsidRPr="00484AE9">
              <w:t>Dryden-Peterson 2023</w:t>
            </w:r>
          </w:p>
        </w:tc>
        <w:tc>
          <w:tcPr>
            <w:tcW w:w="2627" w:type="pct"/>
            <w:tcBorders>
              <w:top w:val="single" w:sz="4" w:space="0" w:color="auto"/>
              <w:bottom w:val="single" w:sz="4" w:space="0" w:color="auto"/>
            </w:tcBorders>
            <w:vAlign w:val="center"/>
          </w:tcPr>
          <w:p w14:paraId="652265B4" w14:textId="51E1ECD8" w:rsidR="00946606" w:rsidRPr="00484AE9" w:rsidRDefault="00367B53" w:rsidP="00A073CB">
            <w:pPr>
              <w:pStyle w:val="TableText0"/>
              <w:keepNext w:val="0"/>
            </w:pPr>
            <w:r w:rsidRPr="00484AE9">
              <w:rPr>
                <w:szCs w:val="20"/>
              </w:rPr>
              <w:t xml:space="preserve">Dryden-Peterson et al. Nirmatrelvir Plus Ritonavir for Early COVID-19 in a Large U.S. Health System: A Population-Based Cohort Study. </w:t>
            </w:r>
          </w:p>
        </w:tc>
        <w:tc>
          <w:tcPr>
            <w:tcW w:w="1754" w:type="pct"/>
            <w:tcBorders>
              <w:top w:val="single" w:sz="4" w:space="0" w:color="auto"/>
              <w:bottom w:val="single" w:sz="4" w:space="0" w:color="auto"/>
            </w:tcBorders>
            <w:vAlign w:val="center"/>
          </w:tcPr>
          <w:p w14:paraId="73A4A306" w14:textId="1366B528" w:rsidR="00946606" w:rsidRPr="00484AE9" w:rsidRDefault="00A56BB8" w:rsidP="00A073CB">
            <w:pPr>
              <w:pStyle w:val="TableText0"/>
              <w:keepNext w:val="0"/>
              <w:rPr>
                <w:iCs/>
              </w:rPr>
            </w:pPr>
            <w:r w:rsidRPr="00484AE9">
              <w:rPr>
                <w:iCs/>
                <w:szCs w:val="20"/>
              </w:rPr>
              <w:t>Ann Intern Med.</w:t>
            </w:r>
            <w:r w:rsidRPr="00484AE9">
              <w:rPr>
                <w:szCs w:val="20"/>
              </w:rPr>
              <w:t xml:space="preserve"> 2023;176(1):77-84</w:t>
            </w:r>
          </w:p>
        </w:tc>
      </w:tr>
      <w:tr w:rsidR="008B6130" w:rsidRPr="00484AE9" w14:paraId="68054168" w14:textId="77777777" w:rsidTr="009D6B6B">
        <w:trPr>
          <w:cantSplit/>
        </w:trPr>
        <w:tc>
          <w:tcPr>
            <w:tcW w:w="619" w:type="pct"/>
            <w:vAlign w:val="center"/>
          </w:tcPr>
          <w:p w14:paraId="4900849F" w14:textId="3F892EC5" w:rsidR="00527204" w:rsidRPr="00484AE9" w:rsidRDefault="00053C5C" w:rsidP="00A073CB">
            <w:pPr>
              <w:pStyle w:val="Tabletext"/>
            </w:pPr>
            <w:r w:rsidRPr="00484AE9">
              <w:t>Ganatra 2023</w:t>
            </w:r>
          </w:p>
        </w:tc>
        <w:tc>
          <w:tcPr>
            <w:tcW w:w="2627" w:type="pct"/>
            <w:tcBorders>
              <w:top w:val="single" w:sz="4" w:space="0" w:color="auto"/>
              <w:bottom w:val="single" w:sz="4" w:space="0" w:color="auto"/>
            </w:tcBorders>
            <w:vAlign w:val="center"/>
          </w:tcPr>
          <w:p w14:paraId="33EC9636" w14:textId="3DC87C12" w:rsidR="00527204" w:rsidRPr="00484AE9" w:rsidRDefault="00053C5C" w:rsidP="00A073CB">
            <w:pPr>
              <w:pStyle w:val="TableText0"/>
              <w:keepNext w:val="0"/>
            </w:pPr>
            <w:r w:rsidRPr="00484AE9">
              <w:t xml:space="preserve">Ganatra et al. Oral Nirmatrelvir/ritonavir in Nonhospitalized Vaccinated Patients With Coronavirus Disease 2019. </w:t>
            </w:r>
          </w:p>
        </w:tc>
        <w:tc>
          <w:tcPr>
            <w:tcW w:w="1754" w:type="pct"/>
            <w:tcBorders>
              <w:top w:val="single" w:sz="4" w:space="0" w:color="auto"/>
              <w:bottom w:val="single" w:sz="4" w:space="0" w:color="auto"/>
            </w:tcBorders>
            <w:vAlign w:val="center"/>
          </w:tcPr>
          <w:p w14:paraId="164B7647" w14:textId="53E50110" w:rsidR="00527204" w:rsidRPr="00484AE9" w:rsidRDefault="00053C5C" w:rsidP="00A073CB">
            <w:pPr>
              <w:pStyle w:val="TableText0"/>
              <w:keepNext w:val="0"/>
            </w:pPr>
            <w:bookmarkStart w:id="63" w:name="_Hlk144505616"/>
            <w:r w:rsidRPr="00484AE9">
              <w:rPr>
                <w:iCs/>
              </w:rPr>
              <w:t>Clin Infect Dis.</w:t>
            </w:r>
            <w:r w:rsidRPr="00484AE9">
              <w:t xml:space="preserve"> </w:t>
            </w:r>
            <w:bookmarkEnd w:id="63"/>
            <w:r w:rsidRPr="00484AE9">
              <w:t>2023</w:t>
            </w:r>
            <w:r w:rsidR="00C33F58" w:rsidRPr="00484AE9">
              <w:t>;</w:t>
            </w:r>
            <w:r w:rsidRPr="00484AE9">
              <w:t>76(4):563-572</w:t>
            </w:r>
          </w:p>
        </w:tc>
      </w:tr>
      <w:tr w:rsidR="008B6130" w:rsidRPr="00484AE9" w14:paraId="60B67F3D" w14:textId="77777777" w:rsidTr="009D6B6B">
        <w:trPr>
          <w:cantSplit/>
        </w:trPr>
        <w:tc>
          <w:tcPr>
            <w:tcW w:w="619" w:type="pct"/>
            <w:vAlign w:val="center"/>
          </w:tcPr>
          <w:p w14:paraId="6E990809" w14:textId="62EF33BF" w:rsidR="00A5670A" w:rsidRPr="00484AE9" w:rsidRDefault="00AE5FC8" w:rsidP="00A073CB">
            <w:pPr>
              <w:pStyle w:val="Tabletext"/>
            </w:pPr>
            <w:r w:rsidRPr="00484AE9">
              <w:t>Kaboré 2023</w:t>
            </w:r>
          </w:p>
        </w:tc>
        <w:tc>
          <w:tcPr>
            <w:tcW w:w="2627" w:type="pct"/>
            <w:tcBorders>
              <w:top w:val="single" w:sz="4" w:space="0" w:color="auto"/>
              <w:bottom w:val="single" w:sz="4" w:space="0" w:color="auto"/>
            </w:tcBorders>
            <w:vAlign w:val="center"/>
          </w:tcPr>
          <w:p w14:paraId="7FD63C4C" w14:textId="515C56E1" w:rsidR="00A5670A" w:rsidRPr="00484AE9" w:rsidRDefault="00AE5FC8" w:rsidP="00A073CB">
            <w:pPr>
              <w:pStyle w:val="TableText0"/>
              <w:keepNext w:val="0"/>
            </w:pPr>
            <w:r w:rsidRPr="00484AE9">
              <w:t xml:space="preserve">Kaboré JL et al 2023. Real-World Effectiveness of Nirmatrelvir/Ritonavir on Covid-19-Associated Hospitalisation Prevention: A Population-Based Cohort Study in the Province of Québec, Canada. </w:t>
            </w:r>
          </w:p>
        </w:tc>
        <w:tc>
          <w:tcPr>
            <w:tcW w:w="1754" w:type="pct"/>
            <w:tcBorders>
              <w:top w:val="single" w:sz="4" w:space="0" w:color="auto"/>
              <w:bottom w:val="single" w:sz="4" w:space="0" w:color="auto"/>
            </w:tcBorders>
            <w:vAlign w:val="center"/>
          </w:tcPr>
          <w:p w14:paraId="58D439B3" w14:textId="295CA0F2" w:rsidR="00A5670A" w:rsidRPr="00484AE9" w:rsidRDefault="00AE5FC8" w:rsidP="00A073CB">
            <w:pPr>
              <w:pStyle w:val="TableText0"/>
              <w:keepNext w:val="0"/>
              <w:rPr>
                <w:iCs/>
              </w:rPr>
            </w:pPr>
            <w:r w:rsidRPr="00484AE9">
              <w:rPr>
                <w:iCs/>
              </w:rPr>
              <w:t>Clin Infect Dis.</w:t>
            </w:r>
            <w:r w:rsidRPr="00484AE9">
              <w:t xml:space="preserve"> 2023</w:t>
            </w:r>
            <w:r w:rsidR="00894F64" w:rsidRPr="00484AE9">
              <w:t>;ciad287</w:t>
            </w:r>
          </w:p>
        </w:tc>
      </w:tr>
      <w:tr w:rsidR="008B6130" w:rsidRPr="00484AE9" w14:paraId="2D39449C" w14:textId="77777777" w:rsidTr="009D6B6B">
        <w:trPr>
          <w:cantSplit/>
        </w:trPr>
        <w:tc>
          <w:tcPr>
            <w:tcW w:w="619" w:type="pct"/>
            <w:vAlign w:val="center"/>
          </w:tcPr>
          <w:p w14:paraId="19EBD8CF" w14:textId="52BDCBE9" w:rsidR="00527204" w:rsidRPr="00484AE9" w:rsidRDefault="00077897" w:rsidP="00A073CB">
            <w:pPr>
              <w:pStyle w:val="Tabletext"/>
            </w:pPr>
            <w:r w:rsidRPr="00484AE9">
              <w:t>Lewnard 2023</w:t>
            </w:r>
          </w:p>
        </w:tc>
        <w:tc>
          <w:tcPr>
            <w:tcW w:w="2627" w:type="pct"/>
            <w:tcBorders>
              <w:top w:val="single" w:sz="4" w:space="0" w:color="auto"/>
              <w:bottom w:val="single" w:sz="4" w:space="0" w:color="auto"/>
            </w:tcBorders>
            <w:vAlign w:val="center"/>
          </w:tcPr>
          <w:p w14:paraId="07E948BB" w14:textId="3BCACD11" w:rsidR="00527204" w:rsidRPr="00484AE9" w:rsidRDefault="00856E49" w:rsidP="00A073CB">
            <w:pPr>
              <w:pStyle w:val="TableText0"/>
              <w:keepNext w:val="0"/>
            </w:pPr>
            <w:r w:rsidRPr="00484AE9">
              <w:t xml:space="preserve">Lewnard JA et al. Effectiveness of nirmatrelvir-ritonavir in preventing hospital admissions and deaths in people with COVID-19: a cohort study in a large US health-care system. </w:t>
            </w:r>
          </w:p>
        </w:tc>
        <w:tc>
          <w:tcPr>
            <w:tcW w:w="1754" w:type="pct"/>
            <w:tcBorders>
              <w:top w:val="single" w:sz="4" w:space="0" w:color="auto"/>
              <w:bottom w:val="single" w:sz="4" w:space="0" w:color="auto"/>
            </w:tcBorders>
            <w:vAlign w:val="center"/>
          </w:tcPr>
          <w:p w14:paraId="1B97E502" w14:textId="5841158F" w:rsidR="00527204" w:rsidRPr="00484AE9" w:rsidRDefault="00077897" w:rsidP="00A073CB">
            <w:pPr>
              <w:pStyle w:val="TableText0"/>
              <w:keepNext w:val="0"/>
            </w:pPr>
            <w:r w:rsidRPr="00484AE9">
              <w:rPr>
                <w:iCs/>
              </w:rPr>
              <w:t>Lancet Infect Dis.</w:t>
            </w:r>
            <w:r w:rsidRPr="00484AE9">
              <w:t xml:space="preserve"> 2023:S1473-3099(23)00118-4</w:t>
            </w:r>
          </w:p>
        </w:tc>
      </w:tr>
      <w:tr w:rsidR="008B6130" w:rsidRPr="00484AE9" w14:paraId="29C79F0A" w14:textId="77777777">
        <w:trPr>
          <w:cantSplit/>
        </w:trPr>
        <w:tc>
          <w:tcPr>
            <w:tcW w:w="5000" w:type="pct"/>
            <w:gridSpan w:val="3"/>
            <w:vAlign w:val="center"/>
          </w:tcPr>
          <w:p w14:paraId="7C1AC369" w14:textId="77777777" w:rsidR="007B6307" w:rsidRPr="00484AE9" w:rsidRDefault="007B6307" w:rsidP="00420571">
            <w:pPr>
              <w:pStyle w:val="TableText0"/>
              <w:rPr>
                <w:iCs/>
              </w:rPr>
            </w:pPr>
            <w:r w:rsidRPr="00484AE9">
              <w:rPr>
                <w:b/>
                <w:bCs w:val="0"/>
                <w:u w:val="single"/>
              </w:rPr>
              <w:t>Observational cohort studies of nirmatrelvir and ritonavir and molnupiravir</w:t>
            </w:r>
          </w:p>
        </w:tc>
      </w:tr>
      <w:tr w:rsidR="008B6130" w:rsidRPr="00484AE9" w14:paraId="22879301" w14:textId="77777777" w:rsidTr="008B03CB">
        <w:trPr>
          <w:cantSplit/>
        </w:trPr>
        <w:tc>
          <w:tcPr>
            <w:tcW w:w="619" w:type="pct"/>
            <w:tcBorders>
              <w:bottom w:val="single" w:sz="4" w:space="0" w:color="auto"/>
            </w:tcBorders>
            <w:vAlign w:val="center"/>
          </w:tcPr>
          <w:p w14:paraId="3766E8EE" w14:textId="4605B2DF" w:rsidR="00F66926" w:rsidRPr="00484AE9" w:rsidRDefault="00F66926" w:rsidP="00420571">
            <w:pPr>
              <w:pStyle w:val="Tabletext"/>
              <w:keepNext/>
            </w:pPr>
            <w:r w:rsidRPr="00484AE9">
              <w:t>Najjar-Debbiny 2023a</w:t>
            </w:r>
          </w:p>
        </w:tc>
        <w:tc>
          <w:tcPr>
            <w:tcW w:w="2627" w:type="pct"/>
            <w:tcBorders>
              <w:top w:val="single" w:sz="4" w:space="0" w:color="auto"/>
              <w:bottom w:val="single" w:sz="4" w:space="0" w:color="auto"/>
            </w:tcBorders>
            <w:vAlign w:val="center"/>
          </w:tcPr>
          <w:p w14:paraId="0202C7BC" w14:textId="63ABF119" w:rsidR="00F66926" w:rsidRPr="00484AE9" w:rsidRDefault="00F66926" w:rsidP="00420571">
            <w:pPr>
              <w:pStyle w:val="TableText0"/>
            </w:pPr>
            <w:r w:rsidRPr="00484AE9">
              <w:t xml:space="preserve">Najjar-Debbiny R et al. Effectiveness of Paxlovid in Reducing Severe Coronavirus Disease 2019 and Mortality in High-Risk Patients. </w:t>
            </w:r>
          </w:p>
        </w:tc>
        <w:tc>
          <w:tcPr>
            <w:tcW w:w="1754" w:type="pct"/>
            <w:tcBorders>
              <w:top w:val="single" w:sz="4" w:space="0" w:color="auto"/>
              <w:bottom w:val="single" w:sz="4" w:space="0" w:color="auto"/>
            </w:tcBorders>
            <w:vAlign w:val="center"/>
          </w:tcPr>
          <w:p w14:paraId="3FB51F89" w14:textId="564D2EFD" w:rsidR="00F66926" w:rsidRPr="00484AE9" w:rsidRDefault="00F66926" w:rsidP="00420571">
            <w:pPr>
              <w:pStyle w:val="TableText0"/>
            </w:pPr>
            <w:r w:rsidRPr="00484AE9">
              <w:t>Clin Infect Dis. 2023;76(3):E342-E349</w:t>
            </w:r>
          </w:p>
        </w:tc>
      </w:tr>
      <w:tr w:rsidR="008B6130" w:rsidRPr="00484AE9" w14:paraId="44AAF098" w14:textId="77777777" w:rsidTr="008B03CB">
        <w:trPr>
          <w:cantSplit/>
        </w:trPr>
        <w:tc>
          <w:tcPr>
            <w:tcW w:w="619" w:type="pct"/>
            <w:tcBorders>
              <w:bottom w:val="single" w:sz="4" w:space="0" w:color="auto"/>
            </w:tcBorders>
            <w:vAlign w:val="center"/>
          </w:tcPr>
          <w:p w14:paraId="461F5BBD" w14:textId="42CD5BEB" w:rsidR="00F66926" w:rsidRPr="00484AE9" w:rsidRDefault="00F66926" w:rsidP="00F66926">
            <w:pPr>
              <w:pStyle w:val="Tabletext"/>
            </w:pPr>
            <w:r w:rsidRPr="00484AE9">
              <w:t>Najjar-Debbiny 2023b</w:t>
            </w:r>
          </w:p>
        </w:tc>
        <w:tc>
          <w:tcPr>
            <w:tcW w:w="2627" w:type="pct"/>
            <w:tcBorders>
              <w:top w:val="single" w:sz="4" w:space="0" w:color="auto"/>
              <w:bottom w:val="single" w:sz="4" w:space="0" w:color="auto"/>
            </w:tcBorders>
            <w:vAlign w:val="center"/>
          </w:tcPr>
          <w:p w14:paraId="3C0F3B5A" w14:textId="5B4C174B" w:rsidR="00F66926" w:rsidRPr="00484AE9" w:rsidRDefault="00F66926" w:rsidP="00F66926">
            <w:pPr>
              <w:pStyle w:val="TableText0"/>
              <w:keepNext w:val="0"/>
            </w:pPr>
            <w:r w:rsidRPr="00484AE9">
              <w:t xml:space="preserve">Najjar-Debbiny R et al. Effectiveness of Molnupiravir in High-Risk Patients: A Propensity Score Matched Analysis. </w:t>
            </w:r>
          </w:p>
        </w:tc>
        <w:tc>
          <w:tcPr>
            <w:tcW w:w="1754" w:type="pct"/>
            <w:tcBorders>
              <w:top w:val="single" w:sz="4" w:space="0" w:color="auto"/>
              <w:bottom w:val="single" w:sz="4" w:space="0" w:color="auto"/>
            </w:tcBorders>
            <w:vAlign w:val="center"/>
          </w:tcPr>
          <w:p w14:paraId="2F64AF6F" w14:textId="112678AF" w:rsidR="00F66926" w:rsidRPr="00484AE9" w:rsidRDefault="00F66926" w:rsidP="00F66926">
            <w:pPr>
              <w:pStyle w:val="TableText0"/>
              <w:keepNext w:val="0"/>
              <w:rPr>
                <w:iCs/>
              </w:rPr>
            </w:pPr>
            <w:r w:rsidRPr="00484AE9">
              <w:rPr>
                <w:iCs/>
              </w:rPr>
              <w:t>Clin Infect Dis.</w:t>
            </w:r>
            <w:r w:rsidRPr="00484AE9">
              <w:t xml:space="preserve"> 2023;76(3):</w:t>
            </w:r>
            <w:r w:rsidRPr="00484AE9">
              <w:rPr>
                <w:szCs w:val="20"/>
              </w:rPr>
              <w:t>453-460.</w:t>
            </w:r>
          </w:p>
        </w:tc>
      </w:tr>
      <w:tr w:rsidR="008B6130" w:rsidRPr="00484AE9" w14:paraId="2096C526" w14:textId="77777777" w:rsidTr="009D6B6B">
        <w:trPr>
          <w:cantSplit/>
        </w:trPr>
        <w:tc>
          <w:tcPr>
            <w:tcW w:w="619" w:type="pct"/>
            <w:tcBorders>
              <w:bottom w:val="single" w:sz="4" w:space="0" w:color="auto"/>
            </w:tcBorders>
            <w:vAlign w:val="center"/>
          </w:tcPr>
          <w:p w14:paraId="5798CAE4" w14:textId="37E08446" w:rsidR="007B6307" w:rsidRPr="00484AE9" w:rsidRDefault="007B6307">
            <w:pPr>
              <w:pStyle w:val="Tabletext"/>
            </w:pPr>
            <w:r w:rsidRPr="00484AE9">
              <w:t>Wong 2022</w:t>
            </w:r>
          </w:p>
        </w:tc>
        <w:tc>
          <w:tcPr>
            <w:tcW w:w="2627" w:type="pct"/>
            <w:tcBorders>
              <w:top w:val="single" w:sz="4" w:space="0" w:color="auto"/>
              <w:bottom w:val="single" w:sz="4" w:space="0" w:color="auto"/>
            </w:tcBorders>
          </w:tcPr>
          <w:p w14:paraId="1BAC7EA6" w14:textId="77777777" w:rsidR="007B6307" w:rsidRPr="00484AE9" w:rsidRDefault="007B6307">
            <w:pPr>
              <w:pStyle w:val="TableText0"/>
              <w:keepNext w:val="0"/>
            </w:pPr>
            <w:r w:rsidRPr="00484AE9">
              <w:t xml:space="preserve">Wong CKH et al. Real-world effectiveness of molnupiravir and nirmatrelvir plus ritonavir against mortality, hospitalisation, and in-hospital outcomes among community-dwelling, ambulatory patients with confirmed SARS-CoV-2 infection during the omicron wave in Hong Kong: an observational study. </w:t>
            </w:r>
          </w:p>
        </w:tc>
        <w:tc>
          <w:tcPr>
            <w:tcW w:w="1754" w:type="pct"/>
            <w:tcBorders>
              <w:top w:val="single" w:sz="4" w:space="0" w:color="auto"/>
              <w:bottom w:val="single" w:sz="4" w:space="0" w:color="auto"/>
            </w:tcBorders>
            <w:vAlign w:val="center"/>
          </w:tcPr>
          <w:p w14:paraId="43835669" w14:textId="77777777" w:rsidR="007B6307" w:rsidRPr="00484AE9" w:rsidRDefault="007B6307">
            <w:pPr>
              <w:pStyle w:val="TableText0"/>
              <w:keepNext w:val="0"/>
              <w:rPr>
                <w:iCs/>
              </w:rPr>
            </w:pPr>
            <w:r w:rsidRPr="00484AE9">
              <w:rPr>
                <w:iCs/>
              </w:rPr>
              <w:t>Lancet.</w:t>
            </w:r>
            <w:r w:rsidRPr="00484AE9">
              <w:t xml:space="preserve"> 2022;400(10359):1213-1222.</w:t>
            </w:r>
          </w:p>
        </w:tc>
      </w:tr>
      <w:tr w:rsidR="008B6130" w:rsidRPr="00484AE9" w14:paraId="67DB305E" w14:textId="77777777" w:rsidTr="009D6B6B">
        <w:trPr>
          <w:cantSplit/>
        </w:trPr>
        <w:tc>
          <w:tcPr>
            <w:tcW w:w="619" w:type="pct"/>
            <w:tcBorders>
              <w:bottom w:val="single" w:sz="4" w:space="0" w:color="auto"/>
            </w:tcBorders>
            <w:vAlign w:val="center"/>
          </w:tcPr>
          <w:p w14:paraId="531615D3" w14:textId="3B3F3D42" w:rsidR="007B6307" w:rsidRPr="00484AE9" w:rsidRDefault="007B6307">
            <w:pPr>
              <w:pStyle w:val="Tabletext"/>
            </w:pPr>
            <w:r w:rsidRPr="00484AE9">
              <w:t>Yip 2023</w:t>
            </w:r>
          </w:p>
        </w:tc>
        <w:tc>
          <w:tcPr>
            <w:tcW w:w="2627" w:type="pct"/>
            <w:tcBorders>
              <w:top w:val="single" w:sz="4" w:space="0" w:color="auto"/>
              <w:bottom w:val="single" w:sz="4" w:space="0" w:color="auto"/>
            </w:tcBorders>
          </w:tcPr>
          <w:p w14:paraId="11502363" w14:textId="77777777" w:rsidR="007B6307" w:rsidRPr="00484AE9" w:rsidRDefault="007B6307">
            <w:pPr>
              <w:pStyle w:val="TableText0"/>
              <w:keepNext w:val="0"/>
            </w:pPr>
            <w:r w:rsidRPr="00484AE9">
              <w:t>Yip TC et al. Impact of the Use of Oral Antiviral Agents on the Risk of Hospitalisation in Community Coronavirus Disease 2019 Patients (COVID-19).</w:t>
            </w:r>
          </w:p>
        </w:tc>
        <w:tc>
          <w:tcPr>
            <w:tcW w:w="1754" w:type="pct"/>
            <w:tcBorders>
              <w:top w:val="single" w:sz="4" w:space="0" w:color="auto"/>
              <w:bottom w:val="single" w:sz="4" w:space="0" w:color="auto"/>
            </w:tcBorders>
            <w:vAlign w:val="center"/>
          </w:tcPr>
          <w:p w14:paraId="4A6A3760" w14:textId="77777777" w:rsidR="007B6307" w:rsidRPr="00484AE9" w:rsidRDefault="007B6307">
            <w:pPr>
              <w:pStyle w:val="TableText0"/>
              <w:keepNext w:val="0"/>
            </w:pPr>
            <w:r w:rsidRPr="00484AE9">
              <w:t>Clin Infect Dis. 2023;76(3):e26-e33.</w:t>
            </w:r>
          </w:p>
        </w:tc>
      </w:tr>
    </w:tbl>
    <w:p w14:paraId="76B1DD8D" w14:textId="3496DF0A" w:rsidR="00520B27" w:rsidRPr="00484AE9" w:rsidRDefault="00315E21" w:rsidP="00EC5836">
      <w:pPr>
        <w:pStyle w:val="FooterTableFigure"/>
      </w:pPr>
      <w:r w:rsidRPr="00484AE9">
        <w:t xml:space="preserve">* a preprint of a matching study </w:t>
      </w:r>
      <w:r w:rsidR="00475792" w:rsidRPr="00484AE9">
        <w:t xml:space="preserve">for molnupiravir was located during the evaluation: </w:t>
      </w:r>
      <w:hyperlink r:id="rId9" w:history="1">
        <w:r w:rsidR="00475792" w:rsidRPr="00484AE9">
          <w:rPr>
            <w:rStyle w:val="Hyperlink"/>
            <w:iCs/>
            <w:color w:val="auto"/>
          </w:rPr>
          <w:t>https://www.researchsquare.com/article/rs-2115769/v1</w:t>
        </w:r>
      </w:hyperlink>
      <w:r w:rsidR="00475792" w:rsidRPr="00484AE9">
        <w:rPr>
          <w:iCs/>
        </w:rPr>
        <w:t xml:space="preserve"> </w:t>
      </w:r>
      <w:r w:rsidR="00520B27" w:rsidRPr="00484AE9">
        <w:t xml:space="preserve">Abbreviations: </w:t>
      </w:r>
      <w:r w:rsidR="00880A32" w:rsidRPr="00484AE9">
        <w:t>Ann Intern Med = Annals of Internal Medicine;</w:t>
      </w:r>
      <w:r w:rsidR="00E61D87" w:rsidRPr="00484AE9">
        <w:t xml:space="preserve"> ciad = </w:t>
      </w:r>
      <w:r w:rsidR="00AD3CC8" w:rsidRPr="00484AE9">
        <w:t>Clinical Infectious Diseases Advance Access</w:t>
      </w:r>
      <w:r w:rsidR="00E61D87" w:rsidRPr="00484AE9">
        <w:t>;</w:t>
      </w:r>
      <w:r w:rsidR="00E977D6" w:rsidRPr="00484AE9">
        <w:t xml:space="preserve"> Clin Infect Dis.</w:t>
      </w:r>
      <w:r w:rsidR="00053223" w:rsidRPr="00484AE9">
        <w:t xml:space="preserve"> = Clinical Infectious Diseases;</w:t>
      </w:r>
      <w:r w:rsidR="00880A32" w:rsidRPr="00484AE9">
        <w:t xml:space="preserve"> </w:t>
      </w:r>
      <w:r w:rsidR="00677E79" w:rsidRPr="00484AE9">
        <w:t xml:space="preserve">J Infect = Journal of Infection; </w:t>
      </w:r>
      <w:r w:rsidR="00E43B7C" w:rsidRPr="00484AE9">
        <w:t>Lancet Infect Dis.</w:t>
      </w:r>
      <w:r w:rsidR="00BA4EAA" w:rsidRPr="00484AE9">
        <w:t xml:space="preserve">= The Lancet Infectious Diseases; </w:t>
      </w:r>
      <w:r w:rsidR="00520B27" w:rsidRPr="00484AE9">
        <w:t>NEJM = New England Journal of Medicine</w:t>
      </w:r>
    </w:p>
    <w:p w14:paraId="468010A2" w14:textId="3C73F3C7" w:rsidR="00F94447" w:rsidRPr="00484AE9" w:rsidRDefault="008E0D3C" w:rsidP="00EC5836">
      <w:pPr>
        <w:pStyle w:val="FooterTableFigure"/>
      </w:pPr>
      <w:r w:rsidRPr="00484AE9">
        <w:t>Source: Table</w:t>
      </w:r>
      <w:r w:rsidR="00520B27" w:rsidRPr="00484AE9">
        <w:t xml:space="preserve">s 2.2.3 and 2.2.4 </w:t>
      </w:r>
      <w:r w:rsidR="00FB1456" w:rsidRPr="00484AE9">
        <w:t xml:space="preserve">on pp </w:t>
      </w:r>
      <w:r w:rsidR="00034758" w:rsidRPr="00484AE9">
        <w:t>39-42 of the submission</w:t>
      </w:r>
    </w:p>
    <w:p w14:paraId="6F61496C" w14:textId="0C06B599" w:rsidR="00F94447" w:rsidRPr="00484AE9" w:rsidRDefault="004144C9" w:rsidP="004144C9">
      <w:pPr>
        <w:pStyle w:val="3-BodyText"/>
        <w:jc w:val="left"/>
      </w:pPr>
      <w:r w:rsidRPr="00484AE9">
        <w:rPr>
          <w:snapToGrid/>
        </w:rPr>
        <w:t>Details of the meta-analyses presented in the submission are provided in</w:t>
      </w:r>
      <w:r w:rsidR="00246D58" w:rsidRPr="00484AE9">
        <w:rPr>
          <w:snapToGrid/>
        </w:rPr>
        <w:t xml:space="preserve"> </w:t>
      </w:r>
      <w:r w:rsidR="00246D58" w:rsidRPr="00484AE9">
        <w:rPr>
          <w:snapToGrid/>
        </w:rPr>
        <w:fldChar w:fldCharType="begin"/>
      </w:r>
      <w:r w:rsidR="00246D58" w:rsidRPr="00484AE9">
        <w:rPr>
          <w:snapToGrid/>
        </w:rPr>
        <w:instrText xml:space="preserve"> REF _Ref145348377 \h </w:instrText>
      </w:r>
      <w:r w:rsidR="00246D58" w:rsidRPr="00484AE9">
        <w:rPr>
          <w:snapToGrid/>
        </w:rPr>
      </w:r>
      <w:r w:rsidR="00246D58" w:rsidRPr="00484AE9">
        <w:rPr>
          <w:snapToGrid/>
        </w:rPr>
        <w:fldChar w:fldCharType="separate"/>
      </w:r>
      <w:r w:rsidR="00872657" w:rsidRPr="00484AE9">
        <w:t xml:space="preserve">Table </w:t>
      </w:r>
      <w:r w:rsidR="00872657">
        <w:rPr>
          <w:noProof/>
        </w:rPr>
        <w:t>9</w:t>
      </w:r>
      <w:r w:rsidR="00246D58" w:rsidRPr="00484AE9">
        <w:rPr>
          <w:snapToGrid/>
        </w:rPr>
        <w:fldChar w:fldCharType="end"/>
      </w:r>
      <w:r w:rsidRPr="00484AE9">
        <w:rPr>
          <w:snapToGrid/>
        </w:rPr>
        <w:t>.</w:t>
      </w:r>
    </w:p>
    <w:p w14:paraId="613B6D79" w14:textId="47415666" w:rsidR="00AD7E18" w:rsidRPr="00484AE9" w:rsidRDefault="00AD7E18" w:rsidP="00AD7E18">
      <w:pPr>
        <w:pStyle w:val="Caption"/>
        <w:rPr>
          <w:szCs w:val="24"/>
        </w:rPr>
      </w:pPr>
      <w:bookmarkStart w:id="64" w:name="_Ref145348377"/>
      <w:r w:rsidRPr="00484AE9">
        <w:t xml:space="preserve">Table </w:t>
      </w:r>
      <w:fldSimple w:instr=" SEQ Table \* ARABIC ">
        <w:r w:rsidR="00872657">
          <w:rPr>
            <w:noProof/>
          </w:rPr>
          <w:t>9</w:t>
        </w:r>
      </w:fldSimple>
      <w:bookmarkEnd w:id="64"/>
      <w:r w:rsidRPr="00484AE9">
        <w:t>:</w:t>
      </w:r>
      <w:r w:rsidRPr="00484AE9">
        <w:rPr>
          <w:rStyle w:val="CommentReference"/>
          <w:b/>
          <w:szCs w:val="24"/>
        </w:rPr>
        <w:t xml:space="preserve"> Meta-analyses presented in the submission </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16"/>
        <w:gridCol w:w="4739"/>
        <w:gridCol w:w="3164"/>
      </w:tblGrid>
      <w:tr w:rsidR="00FD5A7D" w:rsidRPr="00484AE9" w14:paraId="1228804D" w14:textId="77777777" w:rsidTr="008B03CB">
        <w:trPr>
          <w:cantSplit/>
          <w:tblHeader/>
        </w:trPr>
        <w:tc>
          <w:tcPr>
            <w:tcW w:w="619" w:type="pct"/>
            <w:vAlign w:val="center"/>
          </w:tcPr>
          <w:p w14:paraId="3FE3B11F" w14:textId="77777777" w:rsidR="00AD7E18" w:rsidRPr="00484AE9" w:rsidRDefault="00AD7E18" w:rsidP="008B03CB">
            <w:pPr>
              <w:pStyle w:val="In-tableHeading"/>
              <w:keepNext w:val="0"/>
              <w:rPr>
                <w:lang w:val="en-AU"/>
              </w:rPr>
            </w:pPr>
            <w:r w:rsidRPr="00484AE9">
              <w:rPr>
                <w:lang w:val="en-AU"/>
              </w:rPr>
              <w:t>Study ID</w:t>
            </w:r>
          </w:p>
        </w:tc>
        <w:tc>
          <w:tcPr>
            <w:tcW w:w="2627" w:type="pct"/>
            <w:vAlign w:val="center"/>
          </w:tcPr>
          <w:p w14:paraId="1D0EB6E6" w14:textId="2CF00F75" w:rsidR="00AD7E18" w:rsidRPr="00484AE9" w:rsidRDefault="00AD7E18" w:rsidP="008B03CB">
            <w:pPr>
              <w:pStyle w:val="In-tableHeading"/>
              <w:keepNext w:val="0"/>
              <w:rPr>
                <w:lang w:val="en-AU"/>
              </w:rPr>
            </w:pPr>
            <w:r w:rsidRPr="00484AE9">
              <w:rPr>
                <w:lang w:val="en-AU"/>
              </w:rPr>
              <w:t>Publication title</w:t>
            </w:r>
          </w:p>
        </w:tc>
        <w:tc>
          <w:tcPr>
            <w:tcW w:w="1754" w:type="pct"/>
            <w:vAlign w:val="center"/>
          </w:tcPr>
          <w:p w14:paraId="588B57B7" w14:textId="77777777" w:rsidR="00AD7E18" w:rsidRPr="00484AE9" w:rsidRDefault="00AD7E18" w:rsidP="008B03CB">
            <w:pPr>
              <w:pStyle w:val="In-tableHeading"/>
              <w:keepNext w:val="0"/>
              <w:rPr>
                <w:lang w:val="en-AU"/>
              </w:rPr>
            </w:pPr>
            <w:r w:rsidRPr="00484AE9">
              <w:rPr>
                <w:lang w:val="en-AU"/>
              </w:rPr>
              <w:t>Publication citation</w:t>
            </w:r>
          </w:p>
        </w:tc>
      </w:tr>
      <w:tr w:rsidR="00FD5A7D" w:rsidRPr="00484AE9" w14:paraId="33E4FAD9" w14:textId="77777777" w:rsidTr="008B03CB">
        <w:trPr>
          <w:cantSplit/>
        </w:trPr>
        <w:tc>
          <w:tcPr>
            <w:tcW w:w="5000" w:type="pct"/>
            <w:gridSpan w:val="3"/>
            <w:vAlign w:val="center"/>
          </w:tcPr>
          <w:p w14:paraId="42FCDEBA" w14:textId="76D1702B" w:rsidR="00AD7E18" w:rsidRPr="00484AE9" w:rsidRDefault="00B7247B" w:rsidP="008B03CB">
            <w:pPr>
              <w:pStyle w:val="In-tableHeading"/>
              <w:keepNext w:val="0"/>
              <w:rPr>
                <w:u w:val="single"/>
                <w:lang w:val="en-AU"/>
              </w:rPr>
            </w:pPr>
            <w:r w:rsidRPr="00484AE9">
              <w:rPr>
                <w:lang w:val="en-AU"/>
              </w:rPr>
              <w:t>Primary comparator</w:t>
            </w:r>
            <w:r w:rsidR="00CA4A58" w:rsidRPr="00484AE9">
              <w:rPr>
                <w:lang w:val="en-AU"/>
              </w:rPr>
              <w:t xml:space="preserve">: </w:t>
            </w:r>
            <w:r w:rsidR="00CA4A58" w:rsidRPr="00484AE9">
              <w:rPr>
                <w:u w:val="single"/>
                <w:lang w:val="en-AU"/>
              </w:rPr>
              <w:t>nirmatrelvir and ritonavir vs placebo</w:t>
            </w:r>
          </w:p>
        </w:tc>
      </w:tr>
      <w:tr w:rsidR="00FD5A7D" w:rsidRPr="00484AE9" w14:paraId="3F022249" w14:textId="77777777" w:rsidTr="00FD5A7D">
        <w:trPr>
          <w:cantSplit/>
        </w:trPr>
        <w:tc>
          <w:tcPr>
            <w:tcW w:w="619" w:type="pct"/>
            <w:vAlign w:val="center"/>
          </w:tcPr>
          <w:p w14:paraId="6C94EA6C" w14:textId="5364D4D7" w:rsidR="00AD7E18" w:rsidRPr="00484AE9" w:rsidRDefault="00246D58" w:rsidP="008B03CB">
            <w:pPr>
              <w:pStyle w:val="TableText0"/>
              <w:keepNext w:val="0"/>
              <w:rPr>
                <w:szCs w:val="20"/>
              </w:rPr>
            </w:pPr>
            <w:r w:rsidRPr="00484AE9">
              <w:rPr>
                <w:szCs w:val="20"/>
              </w:rPr>
              <w:t>Cheema 2023</w:t>
            </w:r>
          </w:p>
        </w:tc>
        <w:tc>
          <w:tcPr>
            <w:tcW w:w="2627" w:type="pct"/>
            <w:vAlign w:val="center"/>
          </w:tcPr>
          <w:p w14:paraId="27F214F7" w14:textId="0E759427" w:rsidR="00AD7E18" w:rsidRPr="00484AE9" w:rsidRDefault="00CA4A58" w:rsidP="008B03CB">
            <w:pPr>
              <w:pStyle w:val="TableText0"/>
              <w:keepNext w:val="0"/>
            </w:pPr>
            <w:r w:rsidRPr="00484AE9">
              <w:t>Cheema H.A. et al. 2023.</w:t>
            </w:r>
            <w:r w:rsidR="00523E50" w:rsidRPr="00484AE9">
              <w:t xml:space="preserve"> </w:t>
            </w:r>
            <w:r w:rsidRPr="00484AE9">
              <w:t xml:space="preserve">Nirmatrelvir-ritonavir for the treatment of COVID-19 patients: A systematic review and meta-analysis. </w:t>
            </w:r>
          </w:p>
        </w:tc>
        <w:tc>
          <w:tcPr>
            <w:tcW w:w="1754" w:type="pct"/>
            <w:vAlign w:val="center"/>
          </w:tcPr>
          <w:p w14:paraId="0D1B1895" w14:textId="0D2924CA" w:rsidR="00AD7E18" w:rsidRPr="00484AE9" w:rsidRDefault="00537F58" w:rsidP="008B03CB">
            <w:pPr>
              <w:pStyle w:val="TableText0"/>
              <w:keepNext w:val="0"/>
            </w:pPr>
            <w:r w:rsidRPr="00484AE9">
              <w:t>Journal of Medical Virology. 95(2) (no pagination), 2023. Article Number: e28471. Date of Publication: February 2023.</w:t>
            </w:r>
          </w:p>
        </w:tc>
      </w:tr>
      <w:tr w:rsidR="00FD5A7D" w:rsidRPr="00484AE9" w14:paraId="029EEB54" w14:textId="77777777" w:rsidTr="00FD5A7D">
        <w:trPr>
          <w:cantSplit/>
        </w:trPr>
        <w:tc>
          <w:tcPr>
            <w:tcW w:w="619" w:type="pct"/>
            <w:vAlign w:val="center"/>
          </w:tcPr>
          <w:p w14:paraId="15DFDCF9" w14:textId="2EEE0EF9" w:rsidR="00AD7E18" w:rsidRPr="00484AE9" w:rsidRDefault="00246D58" w:rsidP="008B03CB">
            <w:pPr>
              <w:pStyle w:val="TableText0"/>
              <w:keepNext w:val="0"/>
            </w:pPr>
            <w:r w:rsidRPr="00484AE9">
              <w:t xml:space="preserve">Amani </w:t>
            </w:r>
            <w:r w:rsidR="00FC6879" w:rsidRPr="00484AE9">
              <w:t>2023</w:t>
            </w:r>
          </w:p>
        </w:tc>
        <w:tc>
          <w:tcPr>
            <w:tcW w:w="2627" w:type="pct"/>
            <w:vAlign w:val="center"/>
          </w:tcPr>
          <w:p w14:paraId="482CED9C" w14:textId="5D319F54" w:rsidR="00AD7E18" w:rsidRPr="00484AE9" w:rsidRDefault="00CA4A58" w:rsidP="008B03CB">
            <w:pPr>
              <w:pStyle w:val="TableText0"/>
              <w:keepNext w:val="0"/>
            </w:pPr>
            <w:r w:rsidRPr="00484AE9">
              <w:t xml:space="preserve">Amani B, Amani B. Efficacy and safety of nirmatrelvir/ritonavir (Paxlovid) for COVID-19: A rapid review and meta-analysis. </w:t>
            </w:r>
          </w:p>
        </w:tc>
        <w:tc>
          <w:tcPr>
            <w:tcW w:w="1754" w:type="pct"/>
            <w:vAlign w:val="center"/>
          </w:tcPr>
          <w:p w14:paraId="7EA45980" w14:textId="53BA2FD5" w:rsidR="00AD7E18" w:rsidRPr="00484AE9" w:rsidRDefault="00537F58" w:rsidP="008B03CB">
            <w:pPr>
              <w:pStyle w:val="TableText0"/>
              <w:keepNext w:val="0"/>
            </w:pPr>
            <w:r w:rsidRPr="00484AE9">
              <w:t>J Med Virol. 2023 Feb;95(2):e28441</w:t>
            </w:r>
          </w:p>
        </w:tc>
      </w:tr>
      <w:tr w:rsidR="00FD5A7D" w:rsidRPr="00484AE9" w14:paraId="0934842A" w14:textId="77777777" w:rsidTr="008B03CB">
        <w:trPr>
          <w:cantSplit/>
        </w:trPr>
        <w:tc>
          <w:tcPr>
            <w:tcW w:w="5000" w:type="pct"/>
            <w:gridSpan w:val="3"/>
          </w:tcPr>
          <w:p w14:paraId="6A3FED21" w14:textId="1F917459" w:rsidR="00CA4A58" w:rsidRPr="00484AE9" w:rsidRDefault="00CA4A58" w:rsidP="00CA4A58">
            <w:pPr>
              <w:pStyle w:val="TableText0"/>
              <w:keepNext w:val="0"/>
              <w:rPr>
                <w:b/>
                <w:bCs w:val="0"/>
              </w:rPr>
            </w:pPr>
            <w:r w:rsidRPr="00484AE9">
              <w:rPr>
                <w:b/>
                <w:bCs w:val="0"/>
              </w:rPr>
              <w:lastRenderedPageBreak/>
              <w:t>Secondary comparator: molnupiravir vs placebo</w:t>
            </w:r>
          </w:p>
        </w:tc>
      </w:tr>
      <w:tr w:rsidR="00FD5A7D" w:rsidRPr="00484AE9" w14:paraId="56988471" w14:textId="77777777" w:rsidTr="00FD5A7D">
        <w:trPr>
          <w:cantSplit/>
        </w:trPr>
        <w:tc>
          <w:tcPr>
            <w:tcW w:w="619" w:type="pct"/>
            <w:vAlign w:val="center"/>
          </w:tcPr>
          <w:p w14:paraId="0AC669F4" w14:textId="4AEDC6B0" w:rsidR="00CA4A58" w:rsidRPr="00484AE9" w:rsidRDefault="00871BFC" w:rsidP="00CA4A58">
            <w:pPr>
              <w:pStyle w:val="TableText0"/>
              <w:keepNext w:val="0"/>
            </w:pPr>
            <w:r w:rsidRPr="00484AE9">
              <w:t>Huang 2023</w:t>
            </w:r>
          </w:p>
        </w:tc>
        <w:tc>
          <w:tcPr>
            <w:tcW w:w="2627" w:type="pct"/>
          </w:tcPr>
          <w:p w14:paraId="78DB7A7F" w14:textId="6BC1DF9C" w:rsidR="00CA4A58" w:rsidRPr="00484AE9" w:rsidRDefault="00CA4A58" w:rsidP="00CA4A58">
            <w:pPr>
              <w:pStyle w:val="TableText0"/>
              <w:keepNext w:val="0"/>
            </w:pPr>
            <w:r w:rsidRPr="00484AE9">
              <w:t xml:space="preserve">Huang, C et al. 2023 Real-World Clinical Outcomes of Molnupiravir for the Treatment of Mild to Moderate COVID-19 in Adult Patients during the Dominance of the Omicron Variant: A Meta-Analysis. </w:t>
            </w:r>
          </w:p>
        </w:tc>
        <w:tc>
          <w:tcPr>
            <w:tcW w:w="1754" w:type="pct"/>
            <w:vAlign w:val="center"/>
          </w:tcPr>
          <w:p w14:paraId="16F75792" w14:textId="07AC5A4A" w:rsidR="00CA4A58" w:rsidRPr="00484AE9" w:rsidRDefault="00871BFC" w:rsidP="00CA4A58">
            <w:pPr>
              <w:pStyle w:val="TableText0"/>
              <w:keepNext w:val="0"/>
            </w:pPr>
            <w:r w:rsidRPr="00484AE9">
              <w:t>Antibiotics 2023, 12, 393.</w:t>
            </w:r>
          </w:p>
        </w:tc>
      </w:tr>
      <w:tr w:rsidR="00FD5A7D" w:rsidRPr="00484AE9" w14:paraId="210094E0" w14:textId="77777777" w:rsidTr="00FD5A7D">
        <w:trPr>
          <w:cantSplit/>
        </w:trPr>
        <w:tc>
          <w:tcPr>
            <w:tcW w:w="619" w:type="pct"/>
            <w:vAlign w:val="center"/>
          </w:tcPr>
          <w:p w14:paraId="1774E867" w14:textId="765FB312" w:rsidR="00CA4A58" w:rsidRPr="00484AE9" w:rsidRDefault="00871BFC" w:rsidP="00CA4A58">
            <w:pPr>
              <w:pStyle w:val="Tabletext"/>
            </w:pPr>
            <w:r w:rsidRPr="00484AE9">
              <w:t>Benaic</w:t>
            </w:r>
            <w:r w:rsidR="00FD5A7D" w:rsidRPr="00484AE9">
              <w:t>ha 2023</w:t>
            </w:r>
          </w:p>
        </w:tc>
        <w:tc>
          <w:tcPr>
            <w:tcW w:w="2627" w:type="pct"/>
            <w:vAlign w:val="center"/>
          </w:tcPr>
          <w:p w14:paraId="7B04845E" w14:textId="402962AA" w:rsidR="00CA4A58" w:rsidRPr="00484AE9" w:rsidRDefault="00CA4A58" w:rsidP="00CA4A58">
            <w:pPr>
              <w:pStyle w:val="TableText0"/>
              <w:keepNext w:val="0"/>
            </w:pPr>
            <w:r w:rsidRPr="00484AE9">
              <w:t xml:space="preserve">Benaicha K, Khenhrani RR, Veer M, Devi S, Shahbaz U, Salah QM, Hammad M, Palleti SK. Efficacy of Molnupiravir for the Treatment of Mild or Moderate COVID-19 in Adults: A Meta-Analysis. </w:t>
            </w:r>
          </w:p>
        </w:tc>
        <w:tc>
          <w:tcPr>
            <w:tcW w:w="1754" w:type="pct"/>
            <w:vAlign w:val="center"/>
          </w:tcPr>
          <w:p w14:paraId="7756F8E4" w14:textId="781EDBAB" w:rsidR="00CA4A58" w:rsidRPr="00484AE9" w:rsidRDefault="00FD5A7D" w:rsidP="00CA4A58">
            <w:pPr>
              <w:pStyle w:val="TableText0"/>
              <w:keepNext w:val="0"/>
            </w:pPr>
            <w:r w:rsidRPr="00484AE9">
              <w:t>Cureus. 2023 May 5;15(5):e38586.</w:t>
            </w:r>
          </w:p>
        </w:tc>
      </w:tr>
    </w:tbl>
    <w:p w14:paraId="1DD06D7D" w14:textId="4B15BFA6" w:rsidR="007F1017" w:rsidRPr="00484AE9" w:rsidRDefault="00245698" w:rsidP="006853BD">
      <w:pPr>
        <w:pStyle w:val="3-BodyText"/>
        <w:spacing w:before="120"/>
      </w:pPr>
      <w:r w:rsidRPr="00484AE9">
        <w:t xml:space="preserve">The </w:t>
      </w:r>
      <w:bookmarkStart w:id="65" w:name="_Hlk144666329"/>
      <w:r w:rsidRPr="00484AE9">
        <w:t>usual preference of PBAC is for effectiveness to be based on randomised clinical trials</w:t>
      </w:r>
      <w:bookmarkEnd w:id="65"/>
      <w:r w:rsidRPr="00484AE9">
        <w:t xml:space="preserve">. </w:t>
      </w:r>
      <w:r w:rsidR="008F120A" w:rsidRPr="00484AE9">
        <w:t>The key features of the randomised trial</w:t>
      </w:r>
      <w:r w:rsidR="00EE432D" w:rsidRPr="00484AE9">
        <w:t>s considered by the submission</w:t>
      </w:r>
      <w:r w:rsidR="008F120A" w:rsidRPr="00484AE9">
        <w:t xml:space="preserve"> are summarised in</w:t>
      </w:r>
      <w:r w:rsidR="00FB1266" w:rsidRPr="00484AE9">
        <w:t xml:space="preserve"> </w:t>
      </w:r>
      <w:r w:rsidR="00FB1266" w:rsidRPr="00484AE9">
        <w:fldChar w:fldCharType="begin"/>
      </w:r>
      <w:r w:rsidR="00FB1266" w:rsidRPr="00484AE9">
        <w:instrText xml:space="preserve"> REF _Ref144550869 \h </w:instrText>
      </w:r>
      <w:r w:rsidR="00FB1266" w:rsidRPr="00484AE9">
        <w:fldChar w:fldCharType="separate"/>
      </w:r>
      <w:r w:rsidR="00872657" w:rsidRPr="00484AE9">
        <w:t xml:space="preserve">Table </w:t>
      </w:r>
      <w:r w:rsidR="00872657">
        <w:rPr>
          <w:noProof/>
        </w:rPr>
        <w:t>10</w:t>
      </w:r>
      <w:r w:rsidR="00FB1266" w:rsidRPr="00484AE9">
        <w:fldChar w:fldCharType="end"/>
      </w:r>
      <w:r w:rsidR="008F120A" w:rsidRPr="00484AE9">
        <w:t>.</w:t>
      </w:r>
    </w:p>
    <w:p w14:paraId="28DBF443" w14:textId="77777777" w:rsidR="000A3D5C" w:rsidRPr="00484AE9" w:rsidRDefault="005A2367" w:rsidP="00EC5836">
      <w:pPr>
        <w:pStyle w:val="3-BodyText"/>
      </w:pPr>
      <w:r w:rsidRPr="00484AE9">
        <w:t xml:space="preserve">The RCTs </w:t>
      </w:r>
      <w:r w:rsidR="00831779" w:rsidRPr="00484AE9">
        <w:t>were assessed as being</w:t>
      </w:r>
      <w:r w:rsidRPr="00484AE9">
        <w:t xml:space="preserve"> associated with a low risk of bias. Although the PANORAMIC trial was an open-label trial, the key outcomes of interest to th</w:t>
      </w:r>
      <w:r w:rsidR="00831779" w:rsidRPr="00484AE9">
        <w:t>e</w:t>
      </w:r>
      <w:r w:rsidRPr="00484AE9">
        <w:t xml:space="preserve"> submission (i.e., rates of hospitalisation and death) are relatively objective outcomes.</w:t>
      </w:r>
    </w:p>
    <w:p w14:paraId="173C9139" w14:textId="1A48E088" w:rsidR="005A2367" w:rsidRPr="00484AE9" w:rsidRDefault="005A2367" w:rsidP="00EC5836">
      <w:pPr>
        <w:pStyle w:val="3-BodyText"/>
      </w:pPr>
      <w:r w:rsidRPr="00484AE9">
        <w:rPr>
          <w:iCs/>
        </w:rPr>
        <w:t xml:space="preserve">All of the observational studies </w:t>
      </w:r>
      <w:r w:rsidR="00177513" w:rsidRPr="00484AE9">
        <w:rPr>
          <w:iCs/>
        </w:rPr>
        <w:t>were</w:t>
      </w:r>
      <w:r w:rsidRPr="00484AE9">
        <w:rPr>
          <w:iCs/>
        </w:rPr>
        <w:t xml:space="preserve"> </w:t>
      </w:r>
      <w:r w:rsidR="00316941" w:rsidRPr="00484AE9">
        <w:rPr>
          <w:iCs/>
        </w:rPr>
        <w:t xml:space="preserve">assessed as being </w:t>
      </w:r>
      <w:r w:rsidR="00164EC6" w:rsidRPr="00484AE9">
        <w:rPr>
          <w:iCs/>
        </w:rPr>
        <w:t xml:space="preserve">inherently </w:t>
      </w:r>
      <w:r w:rsidRPr="00484AE9">
        <w:rPr>
          <w:iCs/>
        </w:rPr>
        <w:t xml:space="preserve">associated with a </w:t>
      </w:r>
      <w:r w:rsidR="00164EC6" w:rsidRPr="00484AE9">
        <w:rPr>
          <w:iCs/>
        </w:rPr>
        <w:t>substantial</w:t>
      </w:r>
      <w:r w:rsidRPr="00484AE9">
        <w:rPr>
          <w:iCs/>
        </w:rPr>
        <w:t xml:space="preserve"> risk of bias given that all of </w:t>
      </w:r>
      <w:r w:rsidR="00762632" w:rsidRPr="00484AE9">
        <w:rPr>
          <w:iCs/>
        </w:rPr>
        <w:t xml:space="preserve">the </w:t>
      </w:r>
      <w:r w:rsidRPr="00484AE9">
        <w:rPr>
          <w:iCs/>
        </w:rPr>
        <w:t xml:space="preserve">studies were retrospective cohort studies and </w:t>
      </w:r>
      <w:r w:rsidR="00177513" w:rsidRPr="00484AE9">
        <w:rPr>
          <w:iCs/>
        </w:rPr>
        <w:t>were</w:t>
      </w:r>
      <w:r w:rsidRPr="00484AE9">
        <w:rPr>
          <w:iCs/>
        </w:rPr>
        <w:t xml:space="preserve"> thus subject to confounding due to potential for differences across treatment groups in unreported or unmeasured patient characteristics.</w:t>
      </w:r>
    </w:p>
    <w:p w14:paraId="5E9379DF" w14:textId="195BED5E" w:rsidR="00AD2434" w:rsidRPr="00484AE9" w:rsidRDefault="004063CE" w:rsidP="00AD2434">
      <w:pPr>
        <w:pStyle w:val="3-BodyText"/>
      </w:pPr>
      <w:r w:rsidRPr="00484AE9">
        <w:t>A</w:t>
      </w:r>
      <w:r w:rsidR="00AD2434" w:rsidRPr="00484AE9">
        <w:t xml:space="preserve">pplicability issues </w:t>
      </w:r>
      <w:r w:rsidR="001A4E5D" w:rsidRPr="00484AE9">
        <w:t xml:space="preserve">are relevant </w:t>
      </w:r>
      <w:r w:rsidR="007F40C0" w:rsidRPr="00484AE9">
        <w:t>for</w:t>
      </w:r>
      <w:r w:rsidR="00127A50" w:rsidRPr="00484AE9">
        <w:t xml:space="preserve"> </w:t>
      </w:r>
      <w:r w:rsidR="00B714E9" w:rsidRPr="00484AE9">
        <w:t>all of</w:t>
      </w:r>
      <w:r w:rsidR="00AD2434" w:rsidRPr="00484AE9">
        <w:t xml:space="preserve"> the </w:t>
      </w:r>
      <w:r w:rsidR="00B714E9" w:rsidRPr="00484AE9">
        <w:t xml:space="preserve">trials </w:t>
      </w:r>
      <w:r w:rsidR="00AD2434" w:rsidRPr="00484AE9">
        <w:t>presented in</w:t>
      </w:r>
      <w:r w:rsidR="00127A50" w:rsidRPr="00484AE9">
        <w:t xml:space="preserve"> </w:t>
      </w:r>
      <w:r w:rsidR="00127A50" w:rsidRPr="00484AE9">
        <w:fldChar w:fldCharType="begin"/>
      </w:r>
      <w:r w:rsidR="00127A50" w:rsidRPr="00484AE9">
        <w:instrText xml:space="preserve"> REF _Ref144550869 \h </w:instrText>
      </w:r>
      <w:r w:rsidR="00127A50" w:rsidRPr="00484AE9">
        <w:fldChar w:fldCharType="separate"/>
      </w:r>
      <w:r w:rsidR="00872657" w:rsidRPr="00484AE9">
        <w:t xml:space="preserve">Table </w:t>
      </w:r>
      <w:r w:rsidR="00872657">
        <w:rPr>
          <w:noProof/>
        </w:rPr>
        <w:t>10</w:t>
      </w:r>
      <w:r w:rsidR="00127A50" w:rsidRPr="00484AE9">
        <w:fldChar w:fldCharType="end"/>
      </w:r>
      <w:r w:rsidR="00AD2434" w:rsidRPr="00484AE9">
        <w:t xml:space="preserve">. In particular, the variation in the study periods examined by the </w:t>
      </w:r>
      <w:r w:rsidR="00B714E9" w:rsidRPr="00484AE9">
        <w:t xml:space="preserve">trials </w:t>
      </w:r>
      <w:r w:rsidR="00AD2434" w:rsidRPr="00484AE9">
        <w:t xml:space="preserve">could mean that the evidence </w:t>
      </w:r>
      <w:r w:rsidRPr="00484AE9">
        <w:t>would</w:t>
      </w:r>
      <w:r w:rsidR="00AD2434" w:rsidRPr="00484AE9">
        <w:t xml:space="preserve"> not </w:t>
      </w:r>
      <w:r w:rsidRPr="00484AE9">
        <w:t xml:space="preserve">be </w:t>
      </w:r>
      <w:r w:rsidR="00AD2434" w:rsidRPr="00484AE9">
        <w:t xml:space="preserve">applicable to the current scenario (in terms of variants circulating, in terms of proportion of the population vaccinated, etc) and variations in the settings in which the studies were conducted could mean that the data </w:t>
      </w:r>
      <w:r w:rsidRPr="00484AE9">
        <w:t xml:space="preserve">would </w:t>
      </w:r>
      <w:r w:rsidR="00AD2434" w:rsidRPr="00484AE9">
        <w:t xml:space="preserve">not </w:t>
      </w:r>
      <w:r w:rsidRPr="00484AE9">
        <w:t xml:space="preserve">be </w:t>
      </w:r>
      <w:r w:rsidR="00AD2434" w:rsidRPr="00484AE9">
        <w:t xml:space="preserve">applicable to the Australian setting (e.g., if </w:t>
      </w:r>
      <w:r w:rsidR="009F5C78" w:rsidRPr="00484AE9">
        <w:t xml:space="preserve">routine care </w:t>
      </w:r>
      <w:r w:rsidR="00AD2434" w:rsidRPr="00484AE9">
        <w:t xml:space="preserve">before and after hospitalisation </w:t>
      </w:r>
      <w:r w:rsidR="00DF5E7D" w:rsidRPr="00484AE9">
        <w:t>in the studies was</w:t>
      </w:r>
      <w:r w:rsidR="00AD2434" w:rsidRPr="00484AE9">
        <w:t xml:space="preserve"> different to that experienced by patients in Australia, if the threshold</w:t>
      </w:r>
      <w:r w:rsidR="00A16134" w:rsidRPr="00484AE9">
        <w:t>s</w:t>
      </w:r>
      <w:r w:rsidR="00AD2434" w:rsidRPr="00484AE9">
        <w:t xml:space="preserve"> for referring patients for admission to hospital </w:t>
      </w:r>
      <w:r w:rsidR="00A16134" w:rsidRPr="00484AE9">
        <w:t>were</w:t>
      </w:r>
      <w:r w:rsidR="00AD2434" w:rsidRPr="00484AE9">
        <w:t xml:space="preserve"> different to </w:t>
      </w:r>
      <w:r w:rsidR="00A16134" w:rsidRPr="00484AE9">
        <w:t>those</w:t>
      </w:r>
      <w:r w:rsidR="00AD2434" w:rsidRPr="00484AE9">
        <w:t xml:space="preserve"> applying in Australia).</w:t>
      </w:r>
    </w:p>
    <w:p w14:paraId="1EB4ACD9" w14:textId="41CE38BF" w:rsidR="00F76D9A" w:rsidRDefault="00C273D7" w:rsidP="00F76D9A">
      <w:pPr>
        <w:pStyle w:val="3-BodyText"/>
      </w:pPr>
      <w:r w:rsidRPr="00484AE9">
        <w:t>Patients in each of the trials and studies were prescribed</w:t>
      </w:r>
      <w:r w:rsidR="005903A3" w:rsidRPr="00484AE9">
        <w:t xml:space="preserve"> the recommended doses and course of treatment</w:t>
      </w:r>
      <w:r w:rsidR="00666F01" w:rsidRPr="00484AE9">
        <w:t xml:space="preserve"> with either nirmatrelvir and ritonavir or molnupiravir</w:t>
      </w:r>
      <w:r w:rsidR="004F6DCD" w:rsidRPr="00484AE9">
        <w:t>.</w:t>
      </w:r>
    </w:p>
    <w:p w14:paraId="355E2F15" w14:textId="0A8190BC" w:rsidR="007F1017" w:rsidRPr="00484AE9" w:rsidRDefault="00127A50" w:rsidP="00127A50">
      <w:pPr>
        <w:pStyle w:val="Caption"/>
        <w:rPr>
          <w:rStyle w:val="CommentReference"/>
          <w:rFonts w:eastAsiaTheme="majorEastAsia" w:cstheme="majorBidi"/>
          <w:b/>
          <w:szCs w:val="24"/>
        </w:rPr>
      </w:pPr>
      <w:bookmarkStart w:id="66" w:name="_Ref144550869"/>
      <w:r w:rsidRPr="00484AE9">
        <w:t xml:space="preserve">Table </w:t>
      </w:r>
      <w:fldSimple w:instr=" SEQ Table \* ARABIC ">
        <w:r w:rsidR="00872657">
          <w:rPr>
            <w:noProof/>
          </w:rPr>
          <w:t>10</w:t>
        </w:r>
      </w:fldSimple>
      <w:bookmarkEnd w:id="66"/>
      <w:r w:rsidRPr="00484AE9">
        <w:t xml:space="preserve">: </w:t>
      </w:r>
      <w:r w:rsidR="007F1017" w:rsidRPr="00484AE9">
        <w:rPr>
          <w:rStyle w:val="CommentReference"/>
          <w:rFonts w:eastAsiaTheme="majorEastAsia" w:cstheme="majorBidi"/>
          <w:b/>
          <w:szCs w:val="24"/>
        </w:rPr>
        <w:t xml:space="preserve">Key features of the </w:t>
      </w:r>
      <w:r w:rsidR="00817491" w:rsidRPr="00484AE9">
        <w:rPr>
          <w:rStyle w:val="CommentReference"/>
          <w:rFonts w:eastAsiaTheme="majorEastAsia" w:cstheme="majorBidi"/>
          <w:b/>
          <w:szCs w:val="24"/>
        </w:rPr>
        <w:t>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58"/>
        <w:gridCol w:w="1177"/>
        <w:gridCol w:w="1643"/>
        <w:gridCol w:w="1077"/>
        <w:gridCol w:w="2738"/>
        <w:gridCol w:w="1124"/>
      </w:tblGrid>
      <w:tr w:rsidR="008B6130" w:rsidRPr="00484AE9" w14:paraId="53DD7CC6" w14:textId="77777777" w:rsidTr="00070D0B">
        <w:trPr>
          <w:cantSplit/>
          <w:tblHeader/>
        </w:trPr>
        <w:tc>
          <w:tcPr>
            <w:tcW w:w="698" w:type="pct"/>
            <w:shd w:val="clear" w:color="auto" w:fill="auto"/>
            <w:vAlign w:val="center"/>
          </w:tcPr>
          <w:p w14:paraId="794116BC" w14:textId="77777777" w:rsidR="007F1017" w:rsidRPr="00484AE9" w:rsidRDefault="007F1017" w:rsidP="006C0AFA">
            <w:pPr>
              <w:pStyle w:val="In-tableHeading"/>
              <w:keepNext w:val="0"/>
              <w:rPr>
                <w:lang w:val="en-AU"/>
              </w:rPr>
            </w:pPr>
            <w:r w:rsidRPr="00484AE9">
              <w:rPr>
                <w:lang w:val="en-AU"/>
              </w:rPr>
              <w:t>Trial</w:t>
            </w:r>
          </w:p>
        </w:tc>
        <w:tc>
          <w:tcPr>
            <w:tcW w:w="653" w:type="pct"/>
            <w:shd w:val="clear" w:color="auto" w:fill="auto"/>
            <w:vAlign w:val="center"/>
          </w:tcPr>
          <w:p w14:paraId="51122FE5" w14:textId="77777777" w:rsidR="007F1017" w:rsidRPr="00484AE9" w:rsidRDefault="007F1017" w:rsidP="006C0AFA">
            <w:pPr>
              <w:pStyle w:val="In-tableHeading"/>
              <w:keepNext w:val="0"/>
              <w:jc w:val="center"/>
              <w:rPr>
                <w:lang w:val="en-AU"/>
              </w:rPr>
            </w:pPr>
            <w:r w:rsidRPr="00484AE9">
              <w:rPr>
                <w:lang w:val="en-AU"/>
              </w:rPr>
              <w:t>N</w:t>
            </w:r>
          </w:p>
        </w:tc>
        <w:tc>
          <w:tcPr>
            <w:tcW w:w="911" w:type="pct"/>
            <w:shd w:val="clear" w:color="auto" w:fill="auto"/>
            <w:vAlign w:val="center"/>
          </w:tcPr>
          <w:p w14:paraId="41C438EF" w14:textId="77777777" w:rsidR="007F1017" w:rsidRPr="00484AE9" w:rsidRDefault="007F1017" w:rsidP="006C0AFA">
            <w:pPr>
              <w:pStyle w:val="In-tableHeading"/>
              <w:keepNext w:val="0"/>
              <w:jc w:val="center"/>
              <w:rPr>
                <w:lang w:val="en-AU"/>
              </w:rPr>
            </w:pPr>
            <w:r w:rsidRPr="00484AE9">
              <w:rPr>
                <w:lang w:val="en-AU"/>
              </w:rPr>
              <w:t>Design/ duration</w:t>
            </w:r>
          </w:p>
        </w:tc>
        <w:tc>
          <w:tcPr>
            <w:tcW w:w="597" w:type="pct"/>
            <w:shd w:val="clear" w:color="auto" w:fill="auto"/>
            <w:vAlign w:val="center"/>
          </w:tcPr>
          <w:p w14:paraId="1FC91360" w14:textId="77777777" w:rsidR="007F1017" w:rsidRPr="00484AE9" w:rsidRDefault="007F1017" w:rsidP="006C0AFA">
            <w:pPr>
              <w:pStyle w:val="In-tableHeading"/>
              <w:keepNext w:val="0"/>
              <w:jc w:val="center"/>
              <w:rPr>
                <w:lang w:val="en-AU"/>
              </w:rPr>
            </w:pPr>
            <w:r w:rsidRPr="00484AE9">
              <w:rPr>
                <w:lang w:val="en-AU"/>
              </w:rPr>
              <w:t>Risk of bias</w:t>
            </w:r>
          </w:p>
        </w:tc>
        <w:tc>
          <w:tcPr>
            <w:tcW w:w="1518" w:type="pct"/>
            <w:shd w:val="clear" w:color="auto" w:fill="auto"/>
            <w:vAlign w:val="center"/>
          </w:tcPr>
          <w:p w14:paraId="7FF90896" w14:textId="77777777" w:rsidR="007F1017" w:rsidRPr="00484AE9" w:rsidRDefault="007F1017" w:rsidP="006C0AFA">
            <w:pPr>
              <w:pStyle w:val="In-tableHeading"/>
              <w:keepNext w:val="0"/>
              <w:jc w:val="center"/>
              <w:rPr>
                <w:lang w:val="en-AU"/>
              </w:rPr>
            </w:pPr>
            <w:r w:rsidRPr="00484AE9">
              <w:rPr>
                <w:lang w:val="en-AU"/>
              </w:rPr>
              <w:t>Patient population</w:t>
            </w:r>
          </w:p>
        </w:tc>
        <w:tc>
          <w:tcPr>
            <w:tcW w:w="623" w:type="pct"/>
            <w:shd w:val="clear" w:color="auto" w:fill="auto"/>
            <w:vAlign w:val="center"/>
          </w:tcPr>
          <w:p w14:paraId="0FCB63F9" w14:textId="41B687F3" w:rsidR="007F1017" w:rsidRPr="00484AE9" w:rsidRDefault="00F73B5C" w:rsidP="006C0AFA">
            <w:pPr>
              <w:pStyle w:val="In-tableHeading"/>
              <w:keepNext w:val="0"/>
              <w:jc w:val="center"/>
              <w:rPr>
                <w:lang w:val="en-AU"/>
              </w:rPr>
            </w:pPr>
            <w:r w:rsidRPr="00484AE9">
              <w:rPr>
                <w:lang w:val="en-AU"/>
              </w:rPr>
              <w:t>Key o</w:t>
            </w:r>
            <w:r w:rsidR="007F1017" w:rsidRPr="00484AE9">
              <w:rPr>
                <w:lang w:val="en-AU"/>
              </w:rPr>
              <w:t>utcome(s)</w:t>
            </w:r>
          </w:p>
        </w:tc>
      </w:tr>
      <w:tr w:rsidR="00F76D9A" w:rsidRPr="00484AE9" w14:paraId="77E2547C" w14:textId="77777777" w:rsidTr="00F76D9A">
        <w:trPr>
          <w:cantSplit/>
          <w:tblHeader/>
        </w:trPr>
        <w:tc>
          <w:tcPr>
            <w:tcW w:w="5000" w:type="pct"/>
            <w:gridSpan w:val="6"/>
            <w:shd w:val="clear" w:color="auto" w:fill="auto"/>
            <w:vAlign w:val="center"/>
          </w:tcPr>
          <w:p w14:paraId="38C4FB1D" w14:textId="07F62F55" w:rsidR="00F76D9A" w:rsidRPr="00484AE9" w:rsidRDefault="00F76D9A" w:rsidP="00F76D9A">
            <w:pPr>
              <w:pStyle w:val="In-tableHeading"/>
              <w:keepNext w:val="0"/>
              <w:rPr>
                <w:lang w:val="en-AU"/>
              </w:rPr>
            </w:pPr>
            <w:r w:rsidRPr="00484AE9">
              <w:rPr>
                <w:lang w:val="en-AU"/>
              </w:rPr>
              <w:t>Nirmatrelvir and ritonavir versus placebo RCTs</w:t>
            </w:r>
          </w:p>
        </w:tc>
      </w:tr>
      <w:tr w:rsidR="008B6130" w:rsidRPr="00484AE9" w14:paraId="4EE88DCB" w14:textId="77777777" w:rsidTr="00070D0B">
        <w:trPr>
          <w:cantSplit/>
        </w:trPr>
        <w:tc>
          <w:tcPr>
            <w:tcW w:w="698" w:type="pct"/>
            <w:shd w:val="clear" w:color="auto" w:fill="auto"/>
            <w:vAlign w:val="center"/>
          </w:tcPr>
          <w:p w14:paraId="6EE77D33" w14:textId="139FBA35" w:rsidR="009C0ABE" w:rsidRPr="00484AE9" w:rsidRDefault="009C0ABE" w:rsidP="006C0AFA">
            <w:pPr>
              <w:pStyle w:val="TableText0"/>
              <w:keepNext w:val="0"/>
            </w:pPr>
            <w:r w:rsidRPr="00484AE9">
              <w:t>EPIC-HR</w:t>
            </w:r>
          </w:p>
        </w:tc>
        <w:tc>
          <w:tcPr>
            <w:tcW w:w="653" w:type="pct"/>
            <w:shd w:val="clear" w:color="auto" w:fill="auto"/>
            <w:vAlign w:val="center"/>
          </w:tcPr>
          <w:p w14:paraId="41BB0E41" w14:textId="07CBC4A1" w:rsidR="009C0ABE" w:rsidRPr="00484AE9" w:rsidRDefault="009C0ABE" w:rsidP="006C0AFA">
            <w:pPr>
              <w:pStyle w:val="TableText0"/>
              <w:keepNext w:val="0"/>
              <w:jc w:val="center"/>
            </w:pPr>
            <w:r w:rsidRPr="00484AE9">
              <w:t>2,246</w:t>
            </w:r>
          </w:p>
        </w:tc>
        <w:tc>
          <w:tcPr>
            <w:tcW w:w="911" w:type="pct"/>
            <w:shd w:val="clear" w:color="auto" w:fill="auto"/>
            <w:vAlign w:val="center"/>
          </w:tcPr>
          <w:p w14:paraId="401EAFDA" w14:textId="680AADDD" w:rsidR="009C0ABE" w:rsidRPr="00484AE9" w:rsidRDefault="009C0ABE" w:rsidP="006C0AFA">
            <w:pPr>
              <w:pStyle w:val="TableText0"/>
              <w:keepNext w:val="0"/>
              <w:jc w:val="center"/>
            </w:pPr>
            <w:r w:rsidRPr="00484AE9">
              <w:t>R, DB, MC</w:t>
            </w:r>
          </w:p>
          <w:p w14:paraId="6EEFD1BE" w14:textId="65EBCA8A" w:rsidR="009C0ABE" w:rsidRPr="00484AE9" w:rsidRDefault="00166B26" w:rsidP="006C0AFA">
            <w:pPr>
              <w:pStyle w:val="TableText0"/>
              <w:keepNext w:val="0"/>
              <w:jc w:val="center"/>
            </w:pPr>
            <w:r w:rsidRPr="00484AE9">
              <w:t>2</w:t>
            </w:r>
            <w:r w:rsidR="009C0ABE" w:rsidRPr="00484AE9">
              <w:t>4 weeks</w:t>
            </w:r>
          </w:p>
          <w:p w14:paraId="744D08AC" w14:textId="55507182" w:rsidR="00142CF9" w:rsidRPr="00484AE9" w:rsidRDefault="00142CF9" w:rsidP="006C0AFA">
            <w:pPr>
              <w:pStyle w:val="TableText0"/>
              <w:keepNext w:val="0"/>
              <w:jc w:val="center"/>
            </w:pPr>
            <w:r w:rsidRPr="00484AE9">
              <w:t>Jul-Dec 2021</w:t>
            </w:r>
          </w:p>
        </w:tc>
        <w:tc>
          <w:tcPr>
            <w:tcW w:w="597" w:type="pct"/>
            <w:shd w:val="clear" w:color="auto" w:fill="auto"/>
            <w:vAlign w:val="center"/>
          </w:tcPr>
          <w:p w14:paraId="4A529D74" w14:textId="32DFDD8B" w:rsidR="009C0ABE" w:rsidRPr="00484AE9" w:rsidRDefault="009C0ABE" w:rsidP="006C0AFA">
            <w:pPr>
              <w:pStyle w:val="TableText0"/>
              <w:keepNext w:val="0"/>
              <w:jc w:val="center"/>
            </w:pPr>
            <w:r w:rsidRPr="00484AE9">
              <w:rPr>
                <w:iCs/>
              </w:rPr>
              <w:t>Low</w:t>
            </w:r>
          </w:p>
        </w:tc>
        <w:tc>
          <w:tcPr>
            <w:tcW w:w="1518" w:type="pct"/>
            <w:shd w:val="clear" w:color="auto" w:fill="auto"/>
            <w:vAlign w:val="center"/>
          </w:tcPr>
          <w:p w14:paraId="5E6F456D" w14:textId="5E13074E" w:rsidR="009C0ABE" w:rsidRPr="00484AE9" w:rsidRDefault="009C0ABE" w:rsidP="006C0AFA">
            <w:pPr>
              <w:pStyle w:val="TableText0"/>
              <w:keepNext w:val="0"/>
              <w:jc w:val="center"/>
            </w:pPr>
            <w:r w:rsidRPr="00484AE9">
              <w:t xml:space="preserve">Non-hospitalised, unvaccinated adults with mild or moderate </w:t>
            </w:r>
            <w:r w:rsidR="008B2683" w:rsidRPr="00484AE9">
              <w:rPr>
                <w:rStyle w:val="normaltextrun"/>
              </w:rPr>
              <w:t>COVID</w:t>
            </w:r>
            <w:r w:rsidR="008B2683" w:rsidRPr="00484AE9">
              <w:rPr>
                <w:rStyle w:val="normaltextrun"/>
              </w:rPr>
              <w:noBreakHyphen/>
              <w:t>19</w:t>
            </w:r>
            <w:r w:rsidRPr="00484AE9">
              <w:t xml:space="preserve"> and ≥1 risk factor diagnosed within 5 days of symptom onset</w:t>
            </w:r>
          </w:p>
        </w:tc>
        <w:tc>
          <w:tcPr>
            <w:tcW w:w="623" w:type="pct"/>
            <w:shd w:val="clear" w:color="auto" w:fill="auto"/>
            <w:vAlign w:val="center"/>
          </w:tcPr>
          <w:p w14:paraId="6DC76214" w14:textId="441291EA" w:rsidR="009C0ABE" w:rsidRPr="00484AE9" w:rsidRDefault="009C0ABE" w:rsidP="006C0AFA">
            <w:pPr>
              <w:pStyle w:val="TableText0"/>
              <w:keepNext w:val="0"/>
              <w:jc w:val="center"/>
            </w:pPr>
            <w:r w:rsidRPr="00484AE9">
              <w:t>All cause hospitalisation or death</w:t>
            </w:r>
          </w:p>
        </w:tc>
      </w:tr>
      <w:tr w:rsidR="008B6130" w:rsidRPr="00484AE9" w14:paraId="13A6895C" w14:textId="77777777" w:rsidTr="00070D0B">
        <w:trPr>
          <w:cantSplit/>
        </w:trPr>
        <w:tc>
          <w:tcPr>
            <w:tcW w:w="698" w:type="pct"/>
            <w:shd w:val="clear" w:color="auto" w:fill="auto"/>
            <w:vAlign w:val="center"/>
          </w:tcPr>
          <w:p w14:paraId="4A9488B3" w14:textId="1D5E7D1E" w:rsidR="009C0ABE" w:rsidRPr="00484AE9" w:rsidRDefault="009C0ABE" w:rsidP="006C0AFA">
            <w:pPr>
              <w:pStyle w:val="TableText0"/>
              <w:keepNext w:val="0"/>
            </w:pPr>
            <w:r w:rsidRPr="00484AE9">
              <w:t>EPIC-SR</w:t>
            </w:r>
          </w:p>
        </w:tc>
        <w:tc>
          <w:tcPr>
            <w:tcW w:w="653" w:type="pct"/>
            <w:shd w:val="clear" w:color="auto" w:fill="auto"/>
            <w:vAlign w:val="center"/>
          </w:tcPr>
          <w:p w14:paraId="3F4D20B5" w14:textId="0274D432" w:rsidR="009C0ABE" w:rsidRPr="00484AE9" w:rsidRDefault="00F5256A" w:rsidP="006C0AFA">
            <w:pPr>
              <w:pStyle w:val="TableText0"/>
              <w:keepNext w:val="0"/>
              <w:jc w:val="center"/>
            </w:pPr>
            <w:r w:rsidRPr="00484AE9">
              <w:t>1,</w:t>
            </w:r>
            <w:r w:rsidR="00FB09DB" w:rsidRPr="00484AE9">
              <w:t>440</w:t>
            </w:r>
          </w:p>
        </w:tc>
        <w:tc>
          <w:tcPr>
            <w:tcW w:w="911" w:type="pct"/>
            <w:shd w:val="clear" w:color="auto" w:fill="auto"/>
            <w:vAlign w:val="center"/>
          </w:tcPr>
          <w:p w14:paraId="4C2E13E6" w14:textId="77777777" w:rsidR="009C0ABE" w:rsidRPr="00484AE9" w:rsidRDefault="001B6287" w:rsidP="006C0AFA">
            <w:pPr>
              <w:pStyle w:val="TableText0"/>
              <w:keepNext w:val="0"/>
              <w:jc w:val="center"/>
            </w:pPr>
            <w:r w:rsidRPr="00484AE9">
              <w:t>R, DB, MC</w:t>
            </w:r>
          </w:p>
          <w:p w14:paraId="03CA2234" w14:textId="39F34290" w:rsidR="0031499A" w:rsidRPr="00484AE9" w:rsidRDefault="0031499A" w:rsidP="006C0AFA">
            <w:pPr>
              <w:pStyle w:val="TableText0"/>
              <w:keepNext w:val="0"/>
              <w:jc w:val="center"/>
            </w:pPr>
            <w:r w:rsidRPr="00484AE9">
              <w:t>24 weeks</w:t>
            </w:r>
          </w:p>
          <w:p w14:paraId="68D92FE7" w14:textId="0935A7C0" w:rsidR="001B6287" w:rsidRPr="00484AE9" w:rsidRDefault="00A73582" w:rsidP="006C0AFA">
            <w:pPr>
              <w:pStyle w:val="TableText0"/>
              <w:keepNext w:val="0"/>
              <w:jc w:val="center"/>
            </w:pPr>
            <w:r w:rsidRPr="00484AE9">
              <w:t>Aug 2021</w:t>
            </w:r>
            <w:r w:rsidR="006526D5" w:rsidRPr="00484AE9">
              <w:t>-Jul 2022</w:t>
            </w:r>
          </w:p>
        </w:tc>
        <w:tc>
          <w:tcPr>
            <w:tcW w:w="597" w:type="pct"/>
            <w:shd w:val="clear" w:color="auto" w:fill="auto"/>
            <w:vAlign w:val="center"/>
          </w:tcPr>
          <w:p w14:paraId="6F0F93F8" w14:textId="0BC881D3" w:rsidR="009C0ABE" w:rsidRPr="00484AE9" w:rsidRDefault="006526D5" w:rsidP="006C0AFA">
            <w:pPr>
              <w:pStyle w:val="TableText0"/>
              <w:keepNext w:val="0"/>
              <w:jc w:val="center"/>
              <w:rPr>
                <w:iCs/>
              </w:rPr>
            </w:pPr>
            <w:r w:rsidRPr="00484AE9">
              <w:rPr>
                <w:iCs/>
              </w:rPr>
              <w:t>Low</w:t>
            </w:r>
          </w:p>
        </w:tc>
        <w:tc>
          <w:tcPr>
            <w:tcW w:w="1518" w:type="pct"/>
            <w:shd w:val="clear" w:color="auto" w:fill="auto"/>
            <w:vAlign w:val="center"/>
          </w:tcPr>
          <w:p w14:paraId="43AC963E" w14:textId="55D162DD" w:rsidR="009C0ABE" w:rsidRPr="00484AE9" w:rsidRDefault="006526D5" w:rsidP="006C0AFA">
            <w:pPr>
              <w:pStyle w:val="TableText0"/>
              <w:keepNext w:val="0"/>
              <w:jc w:val="center"/>
            </w:pPr>
            <w:r w:rsidRPr="00484AE9">
              <w:t xml:space="preserve">Non-hospitalised, unvaccinated adults with </w:t>
            </w:r>
            <w:r w:rsidR="008B2683" w:rsidRPr="00484AE9">
              <w:t>≥ 1 symptom</w:t>
            </w:r>
            <w:r w:rsidR="00504A72" w:rsidRPr="00484AE9">
              <w:t xml:space="preserve"> &amp; within 5 days of symptom onset</w:t>
            </w:r>
            <w:r w:rsidR="008B2683" w:rsidRPr="00484AE9">
              <w:t xml:space="preserve"> of </w:t>
            </w:r>
            <w:r w:rsidR="008B2683" w:rsidRPr="00484AE9">
              <w:rPr>
                <w:rStyle w:val="normaltextrun"/>
              </w:rPr>
              <w:t>COVID</w:t>
            </w:r>
            <w:r w:rsidR="008B2683" w:rsidRPr="00484AE9">
              <w:rPr>
                <w:rStyle w:val="normaltextrun"/>
              </w:rPr>
              <w:noBreakHyphen/>
              <w:t>19</w:t>
            </w:r>
            <w:r w:rsidRPr="00484AE9">
              <w:t xml:space="preserve"> </w:t>
            </w:r>
            <w:r w:rsidR="00504A72" w:rsidRPr="00484AE9">
              <w:t xml:space="preserve">who </w:t>
            </w:r>
            <w:r w:rsidR="00766ED4" w:rsidRPr="00484AE9">
              <w:t>have a standard risk profile</w:t>
            </w:r>
            <w:r w:rsidR="00AB6C90" w:rsidRPr="00484AE9">
              <w:t xml:space="preserve"> for</w:t>
            </w:r>
            <w:r w:rsidR="009C1FC0" w:rsidRPr="00484AE9">
              <w:t xml:space="preserve"> progression </w:t>
            </w:r>
            <w:r w:rsidR="0017169F" w:rsidRPr="00484AE9">
              <w:t>to</w:t>
            </w:r>
            <w:r w:rsidR="009C1FC0" w:rsidRPr="00484AE9">
              <w:t xml:space="preserve"> severe illness</w:t>
            </w:r>
          </w:p>
        </w:tc>
        <w:tc>
          <w:tcPr>
            <w:tcW w:w="623" w:type="pct"/>
            <w:shd w:val="clear" w:color="auto" w:fill="auto"/>
            <w:vAlign w:val="center"/>
          </w:tcPr>
          <w:p w14:paraId="4F0C99D2" w14:textId="740BC7D6" w:rsidR="009C0ABE" w:rsidRPr="00484AE9" w:rsidRDefault="00946BCD" w:rsidP="006C0AFA">
            <w:pPr>
              <w:pStyle w:val="TableText0"/>
              <w:keepNext w:val="0"/>
              <w:jc w:val="center"/>
            </w:pPr>
            <w:r w:rsidRPr="00484AE9">
              <w:t>Time to alleviation of symptoms, all cause hospitalisation or death</w:t>
            </w:r>
          </w:p>
        </w:tc>
      </w:tr>
      <w:tr w:rsidR="008B6130" w:rsidRPr="00484AE9" w14:paraId="158A5F05" w14:textId="77777777" w:rsidTr="00055A15">
        <w:trPr>
          <w:cantSplit/>
        </w:trPr>
        <w:tc>
          <w:tcPr>
            <w:tcW w:w="5000" w:type="pct"/>
            <w:gridSpan w:val="6"/>
            <w:shd w:val="clear" w:color="auto" w:fill="auto"/>
            <w:vAlign w:val="center"/>
          </w:tcPr>
          <w:p w14:paraId="4D27639A" w14:textId="77777777" w:rsidR="00055A15" w:rsidRPr="00484AE9" w:rsidRDefault="00055A15" w:rsidP="006C0AFA">
            <w:pPr>
              <w:pStyle w:val="In-tableHeading"/>
              <w:keepNext w:val="0"/>
              <w:rPr>
                <w:lang w:val="en-AU"/>
              </w:rPr>
            </w:pPr>
            <w:r w:rsidRPr="00484AE9">
              <w:rPr>
                <w:lang w:val="en-AU"/>
              </w:rPr>
              <w:lastRenderedPageBreak/>
              <w:t>Molnupiravir versus placebo RCTs</w:t>
            </w:r>
          </w:p>
        </w:tc>
      </w:tr>
      <w:tr w:rsidR="008B6130" w:rsidRPr="00484AE9" w14:paraId="5D72F548" w14:textId="77777777" w:rsidTr="00070D0B">
        <w:trPr>
          <w:cantSplit/>
        </w:trPr>
        <w:tc>
          <w:tcPr>
            <w:tcW w:w="698" w:type="pct"/>
            <w:shd w:val="clear" w:color="auto" w:fill="auto"/>
            <w:vAlign w:val="center"/>
          </w:tcPr>
          <w:p w14:paraId="786BFED5" w14:textId="5BFEE3DF" w:rsidR="00142CF9" w:rsidRPr="00484AE9" w:rsidRDefault="00142CF9" w:rsidP="006C0AFA">
            <w:pPr>
              <w:pStyle w:val="TableText0"/>
              <w:keepNext w:val="0"/>
            </w:pPr>
            <w:r w:rsidRPr="00484AE9">
              <w:t>MOVe-OUT</w:t>
            </w:r>
          </w:p>
        </w:tc>
        <w:tc>
          <w:tcPr>
            <w:tcW w:w="653" w:type="pct"/>
            <w:shd w:val="clear" w:color="auto" w:fill="auto"/>
            <w:vAlign w:val="center"/>
          </w:tcPr>
          <w:p w14:paraId="621C1E2C" w14:textId="6D4F01C4" w:rsidR="00142CF9" w:rsidRPr="00484AE9" w:rsidRDefault="00142CF9" w:rsidP="006C0AFA">
            <w:pPr>
              <w:pStyle w:val="TableText0"/>
              <w:keepNext w:val="0"/>
              <w:jc w:val="center"/>
            </w:pPr>
            <w:r w:rsidRPr="00484AE9">
              <w:t>1,433</w:t>
            </w:r>
          </w:p>
        </w:tc>
        <w:tc>
          <w:tcPr>
            <w:tcW w:w="911" w:type="pct"/>
            <w:shd w:val="clear" w:color="auto" w:fill="auto"/>
            <w:vAlign w:val="center"/>
          </w:tcPr>
          <w:p w14:paraId="1085430D" w14:textId="77777777" w:rsidR="00142CF9" w:rsidRPr="00484AE9" w:rsidRDefault="00142CF9" w:rsidP="006C0AFA">
            <w:pPr>
              <w:pStyle w:val="TableText0"/>
              <w:keepNext w:val="0"/>
              <w:widowControl w:val="0"/>
              <w:jc w:val="center"/>
            </w:pPr>
            <w:r w:rsidRPr="00484AE9">
              <w:t>R, DB, MC</w:t>
            </w:r>
          </w:p>
          <w:p w14:paraId="636A006B" w14:textId="77777777" w:rsidR="00142CF9" w:rsidRPr="00484AE9" w:rsidRDefault="00142CF9" w:rsidP="006C0AFA">
            <w:pPr>
              <w:pStyle w:val="TableText0"/>
              <w:keepNext w:val="0"/>
              <w:widowControl w:val="0"/>
              <w:jc w:val="center"/>
            </w:pPr>
            <w:r w:rsidRPr="00484AE9">
              <w:t>4 weeks follow-up</w:t>
            </w:r>
          </w:p>
          <w:p w14:paraId="04805A2F" w14:textId="749EF9A3" w:rsidR="00142CF9" w:rsidRPr="00484AE9" w:rsidRDefault="00142CF9" w:rsidP="006C0AFA">
            <w:pPr>
              <w:pStyle w:val="TableText0"/>
              <w:keepNext w:val="0"/>
              <w:jc w:val="center"/>
            </w:pPr>
            <w:r w:rsidRPr="00484AE9">
              <w:t>May-Nov 2021</w:t>
            </w:r>
          </w:p>
        </w:tc>
        <w:tc>
          <w:tcPr>
            <w:tcW w:w="597" w:type="pct"/>
            <w:shd w:val="clear" w:color="auto" w:fill="auto"/>
            <w:vAlign w:val="center"/>
          </w:tcPr>
          <w:p w14:paraId="4B107725" w14:textId="37E97E51" w:rsidR="00142CF9" w:rsidRPr="00484AE9" w:rsidRDefault="00142CF9" w:rsidP="006C0AFA">
            <w:pPr>
              <w:pStyle w:val="TableText0"/>
              <w:keepNext w:val="0"/>
              <w:jc w:val="center"/>
            </w:pPr>
            <w:r w:rsidRPr="00484AE9">
              <w:t>Low</w:t>
            </w:r>
          </w:p>
        </w:tc>
        <w:tc>
          <w:tcPr>
            <w:tcW w:w="1518" w:type="pct"/>
            <w:shd w:val="clear" w:color="auto" w:fill="auto"/>
            <w:vAlign w:val="center"/>
          </w:tcPr>
          <w:p w14:paraId="51B79783" w14:textId="5240FB6F" w:rsidR="00142CF9" w:rsidRPr="00484AE9" w:rsidRDefault="00142CF9" w:rsidP="006C0AFA">
            <w:pPr>
              <w:pStyle w:val="TableText0"/>
              <w:keepNext w:val="0"/>
              <w:jc w:val="center"/>
            </w:pPr>
            <w:r w:rsidRPr="00484AE9">
              <w:t xml:space="preserve">Non-hospitalised, unvaccinated adults with mild or moderate </w:t>
            </w:r>
            <w:r w:rsidR="008B2683" w:rsidRPr="00484AE9">
              <w:rPr>
                <w:rStyle w:val="normaltextrun"/>
              </w:rPr>
              <w:t>COVID</w:t>
            </w:r>
            <w:r w:rsidR="008B2683" w:rsidRPr="00484AE9">
              <w:rPr>
                <w:rStyle w:val="normaltextrun"/>
              </w:rPr>
              <w:noBreakHyphen/>
              <w:t>19</w:t>
            </w:r>
            <w:r w:rsidRPr="00484AE9">
              <w:t xml:space="preserve"> and ≥1 risk factor diagnosed within 5 days of symptom onset</w:t>
            </w:r>
          </w:p>
        </w:tc>
        <w:tc>
          <w:tcPr>
            <w:tcW w:w="623" w:type="pct"/>
            <w:shd w:val="clear" w:color="auto" w:fill="auto"/>
            <w:vAlign w:val="center"/>
          </w:tcPr>
          <w:p w14:paraId="0B3C6AF6" w14:textId="16E6BB49" w:rsidR="00142CF9" w:rsidRPr="00484AE9" w:rsidRDefault="00142CF9" w:rsidP="006C0AFA">
            <w:pPr>
              <w:pStyle w:val="TableText0"/>
              <w:keepNext w:val="0"/>
              <w:jc w:val="center"/>
            </w:pPr>
            <w:r w:rsidRPr="00484AE9">
              <w:t>All cause hospitalisation or death</w:t>
            </w:r>
          </w:p>
        </w:tc>
      </w:tr>
      <w:tr w:rsidR="008B6130" w:rsidRPr="00484AE9" w14:paraId="1E79AB08" w14:textId="77777777" w:rsidTr="00070D0B">
        <w:trPr>
          <w:cantSplit/>
        </w:trPr>
        <w:tc>
          <w:tcPr>
            <w:tcW w:w="698" w:type="pct"/>
            <w:shd w:val="clear" w:color="auto" w:fill="auto"/>
            <w:vAlign w:val="center"/>
          </w:tcPr>
          <w:p w14:paraId="1E38B34F" w14:textId="60946B2E" w:rsidR="00142CF9" w:rsidRPr="00484AE9" w:rsidRDefault="00142CF9" w:rsidP="006C0AFA">
            <w:pPr>
              <w:pStyle w:val="TableText0"/>
              <w:keepNext w:val="0"/>
            </w:pPr>
            <w:r w:rsidRPr="00484AE9">
              <w:t>PANORAMIC</w:t>
            </w:r>
          </w:p>
        </w:tc>
        <w:tc>
          <w:tcPr>
            <w:tcW w:w="653" w:type="pct"/>
            <w:shd w:val="clear" w:color="auto" w:fill="auto"/>
            <w:vAlign w:val="center"/>
          </w:tcPr>
          <w:p w14:paraId="0043A39D" w14:textId="16163846" w:rsidR="00142CF9" w:rsidRPr="00484AE9" w:rsidRDefault="00142CF9" w:rsidP="006C0AFA">
            <w:pPr>
              <w:pStyle w:val="TableText0"/>
              <w:keepNext w:val="0"/>
              <w:jc w:val="center"/>
            </w:pPr>
            <w:r w:rsidRPr="00484AE9">
              <w:t>25</w:t>
            </w:r>
            <w:r w:rsidR="00DD58D3" w:rsidRPr="00484AE9">
              <w:t>,708</w:t>
            </w:r>
          </w:p>
        </w:tc>
        <w:tc>
          <w:tcPr>
            <w:tcW w:w="911" w:type="pct"/>
            <w:shd w:val="clear" w:color="auto" w:fill="auto"/>
            <w:vAlign w:val="center"/>
          </w:tcPr>
          <w:p w14:paraId="318A9D5B" w14:textId="77777777" w:rsidR="00142CF9" w:rsidRPr="00484AE9" w:rsidRDefault="00142CF9" w:rsidP="006C0AFA">
            <w:pPr>
              <w:pStyle w:val="TableText0"/>
              <w:keepNext w:val="0"/>
              <w:widowControl w:val="0"/>
              <w:jc w:val="center"/>
            </w:pPr>
            <w:r w:rsidRPr="00484AE9">
              <w:t>R, OL, MC</w:t>
            </w:r>
          </w:p>
          <w:p w14:paraId="164C8350" w14:textId="2DC37BC9" w:rsidR="00142CF9" w:rsidRPr="00484AE9" w:rsidRDefault="00142CF9" w:rsidP="006C0AFA">
            <w:pPr>
              <w:pStyle w:val="TableText0"/>
              <w:keepNext w:val="0"/>
              <w:jc w:val="center"/>
            </w:pPr>
            <w:r w:rsidRPr="00484AE9">
              <w:t>4 weeks follow-up</w:t>
            </w:r>
            <w:r w:rsidRPr="00484AE9">
              <w:br/>
              <w:t>Dec 2021 – Apr 2022</w:t>
            </w:r>
          </w:p>
        </w:tc>
        <w:tc>
          <w:tcPr>
            <w:tcW w:w="597" w:type="pct"/>
            <w:shd w:val="clear" w:color="auto" w:fill="auto"/>
            <w:vAlign w:val="center"/>
          </w:tcPr>
          <w:p w14:paraId="105659C0" w14:textId="5BABA538" w:rsidR="00142CF9" w:rsidRPr="00484AE9" w:rsidRDefault="00142CF9" w:rsidP="006C0AFA">
            <w:pPr>
              <w:pStyle w:val="TableText0"/>
              <w:keepNext w:val="0"/>
              <w:jc w:val="center"/>
            </w:pPr>
            <w:r w:rsidRPr="00484AE9">
              <w:rPr>
                <w:iCs/>
              </w:rPr>
              <w:t>Low</w:t>
            </w:r>
          </w:p>
        </w:tc>
        <w:tc>
          <w:tcPr>
            <w:tcW w:w="1518" w:type="pct"/>
            <w:shd w:val="clear" w:color="auto" w:fill="auto"/>
            <w:vAlign w:val="center"/>
          </w:tcPr>
          <w:p w14:paraId="5BBDCB61" w14:textId="014E11D4" w:rsidR="00142CF9" w:rsidRPr="00484AE9" w:rsidRDefault="00142CF9" w:rsidP="006C0AFA">
            <w:pPr>
              <w:pStyle w:val="TableText0"/>
              <w:keepNext w:val="0"/>
              <w:jc w:val="center"/>
            </w:pPr>
            <w:r w:rsidRPr="00484AE9">
              <w:t xml:space="preserve">Vaccinated and unvaccinated non-hospitalised adults </w:t>
            </w:r>
            <w:r w:rsidR="008B2683" w:rsidRPr="00484AE9">
              <w:t xml:space="preserve">with </w:t>
            </w:r>
            <w:r w:rsidR="008B2683" w:rsidRPr="00484AE9">
              <w:rPr>
                <w:rStyle w:val="normaltextrun"/>
              </w:rPr>
              <w:t>COVID</w:t>
            </w:r>
            <w:r w:rsidR="008B2683" w:rsidRPr="00484AE9">
              <w:rPr>
                <w:rStyle w:val="normaltextrun"/>
              </w:rPr>
              <w:noBreakHyphen/>
              <w:t xml:space="preserve">19 </w:t>
            </w:r>
            <w:r w:rsidRPr="00484AE9">
              <w:t>aged ≥50 years (or ≥18 years with relevant comorbidities) diagnosed within 5 days of symptom onset</w:t>
            </w:r>
          </w:p>
        </w:tc>
        <w:tc>
          <w:tcPr>
            <w:tcW w:w="623" w:type="pct"/>
            <w:shd w:val="clear" w:color="auto" w:fill="auto"/>
            <w:vAlign w:val="center"/>
          </w:tcPr>
          <w:p w14:paraId="1B301DA9" w14:textId="7142A6DA" w:rsidR="00142CF9" w:rsidRPr="00484AE9" w:rsidRDefault="00142CF9" w:rsidP="006C0AFA">
            <w:pPr>
              <w:pStyle w:val="TableText0"/>
              <w:keepNext w:val="0"/>
              <w:jc w:val="center"/>
            </w:pPr>
            <w:r w:rsidRPr="00484AE9">
              <w:t>All cause hospitalisation or death</w:t>
            </w:r>
          </w:p>
        </w:tc>
      </w:tr>
      <w:tr w:rsidR="008B6130" w:rsidRPr="00484AE9" w14:paraId="67CFBC47" w14:textId="77777777" w:rsidTr="00055A15">
        <w:trPr>
          <w:cantSplit/>
        </w:trPr>
        <w:tc>
          <w:tcPr>
            <w:tcW w:w="5000" w:type="pct"/>
            <w:gridSpan w:val="6"/>
            <w:shd w:val="clear" w:color="auto" w:fill="auto"/>
            <w:vAlign w:val="center"/>
          </w:tcPr>
          <w:p w14:paraId="576A3A21" w14:textId="77777777" w:rsidR="00055A15" w:rsidRPr="00484AE9" w:rsidRDefault="00055A15" w:rsidP="00E12D28">
            <w:pPr>
              <w:pStyle w:val="TableText0"/>
              <w:rPr>
                <w:b/>
                <w:bCs w:val="0"/>
              </w:rPr>
            </w:pPr>
            <w:r w:rsidRPr="00484AE9">
              <w:rPr>
                <w:b/>
                <w:bCs w:val="0"/>
              </w:rPr>
              <w:t>Observational studies comparing patients treated with nirmatrelvir and ritonavir, patients treated with molnupiravir and untreated patients contemporaneously</w:t>
            </w:r>
          </w:p>
        </w:tc>
      </w:tr>
      <w:tr w:rsidR="008B6130" w:rsidRPr="00484AE9" w14:paraId="0B4ADB09" w14:textId="77777777" w:rsidTr="00070D0B">
        <w:trPr>
          <w:cantSplit/>
        </w:trPr>
        <w:tc>
          <w:tcPr>
            <w:tcW w:w="698" w:type="pct"/>
            <w:shd w:val="clear" w:color="auto" w:fill="auto"/>
            <w:vAlign w:val="center"/>
          </w:tcPr>
          <w:p w14:paraId="045E8B6A" w14:textId="2FA3ED45" w:rsidR="00817491" w:rsidRPr="00484AE9" w:rsidRDefault="00F926CA" w:rsidP="006C0AFA">
            <w:pPr>
              <w:pStyle w:val="TableText0"/>
              <w:keepNext w:val="0"/>
            </w:pPr>
            <w:r w:rsidRPr="00484AE9">
              <w:t xml:space="preserve">Arbel </w:t>
            </w:r>
            <w:r w:rsidR="00055A15" w:rsidRPr="00484AE9">
              <w:t>2022</w:t>
            </w:r>
            <w:r w:rsidR="0071467E" w:rsidRPr="00484AE9">
              <w:t>*</w:t>
            </w:r>
          </w:p>
        </w:tc>
        <w:tc>
          <w:tcPr>
            <w:tcW w:w="653" w:type="pct"/>
            <w:shd w:val="clear" w:color="auto" w:fill="auto"/>
            <w:vAlign w:val="center"/>
          </w:tcPr>
          <w:p w14:paraId="3A1717FB" w14:textId="4BBE9074" w:rsidR="00817491" w:rsidRPr="00484AE9" w:rsidRDefault="000F34BF" w:rsidP="006C0AFA">
            <w:pPr>
              <w:pStyle w:val="TableText0"/>
              <w:keepNext w:val="0"/>
              <w:jc w:val="center"/>
            </w:pPr>
            <w:r w:rsidRPr="00484AE9">
              <w:t>109,254</w:t>
            </w:r>
          </w:p>
        </w:tc>
        <w:tc>
          <w:tcPr>
            <w:tcW w:w="911" w:type="pct"/>
            <w:shd w:val="clear" w:color="auto" w:fill="auto"/>
            <w:vAlign w:val="center"/>
          </w:tcPr>
          <w:p w14:paraId="2204A869" w14:textId="77777777" w:rsidR="00055A15" w:rsidRPr="00484AE9" w:rsidRDefault="0087543C" w:rsidP="006C0AFA">
            <w:pPr>
              <w:pStyle w:val="TableText0"/>
              <w:keepNext w:val="0"/>
              <w:widowControl w:val="0"/>
              <w:jc w:val="center"/>
            </w:pPr>
            <w:r w:rsidRPr="00484AE9">
              <w:t>Retrospective cohort</w:t>
            </w:r>
          </w:p>
          <w:p w14:paraId="2FD5C48F" w14:textId="61B00850" w:rsidR="0087543C" w:rsidRPr="00484AE9" w:rsidRDefault="00796CE1" w:rsidP="006C0AFA">
            <w:pPr>
              <w:pStyle w:val="TableText0"/>
              <w:keepNext w:val="0"/>
              <w:widowControl w:val="0"/>
              <w:jc w:val="center"/>
            </w:pPr>
            <w:r w:rsidRPr="00484AE9">
              <w:t>35 days follow-up</w:t>
            </w:r>
          </w:p>
          <w:p w14:paraId="22FFD40C" w14:textId="7FB159F4" w:rsidR="00817491" w:rsidRPr="00484AE9" w:rsidRDefault="0087543C" w:rsidP="006C0AFA">
            <w:pPr>
              <w:pStyle w:val="TableText0"/>
              <w:keepNext w:val="0"/>
              <w:widowControl w:val="0"/>
              <w:jc w:val="center"/>
            </w:pPr>
            <w:r w:rsidRPr="00484AE9">
              <w:t>Jan-Mar 2022</w:t>
            </w:r>
          </w:p>
        </w:tc>
        <w:tc>
          <w:tcPr>
            <w:tcW w:w="597" w:type="pct"/>
            <w:shd w:val="clear" w:color="auto" w:fill="auto"/>
            <w:vAlign w:val="center"/>
          </w:tcPr>
          <w:p w14:paraId="4B769E5C" w14:textId="779E0DF5" w:rsidR="00817491" w:rsidRPr="00484AE9" w:rsidRDefault="009363BE" w:rsidP="006C0AFA">
            <w:pPr>
              <w:pStyle w:val="TableText0"/>
              <w:keepNext w:val="0"/>
              <w:jc w:val="center"/>
              <w:rPr>
                <w:iCs/>
              </w:rPr>
            </w:pPr>
            <w:r w:rsidRPr="00484AE9">
              <w:rPr>
                <w:iCs/>
              </w:rPr>
              <w:t>Observational</w:t>
            </w:r>
          </w:p>
        </w:tc>
        <w:tc>
          <w:tcPr>
            <w:tcW w:w="1518" w:type="pct"/>
            <w:shd w:val="clear" w:color="auto" w:fill="auto"/>
            <w:vAlign w:val="center"/>
          </w:tcPr>
          <w:p w14:paraId="20A60CA3" w14:textId="60D8C434" w:rsidR="00817491" w:rsidRPr="00484AE9" w:rsidRDefault="00735172" w:rsidP="006C0AFA">
            <w:pPr>
              <w:pStyle w:val="TableText0"/>
              <w:keepNext w:val="0"/>
              <w:jc w:val="center"/>
            </w:pPr>
            <w:r w:rsidRPr="00484AE9">
              <w:t>V</w:t>
            </w:r>
            <w:r w:rsidR="006E0FB6" w:rsidRPr="00484AE9">
              <w:t>accinated and unvaccinated</w:t>
            </w:r>
            <w:r w:rsidRPr="00484AE9">
              <w:t xml:space="preserve">, non-hospitalised </w:t>
            </w:r>
            <w:r w:rsidR="00750BAD" w:rsidRPr="00484AE9">
              <w:t>adults aged ≥40 years</w:t>
            </w:r>
            <w:r w:rsidRPr="00484AE9">
              <w:t xml:space="preserve"> with confirmed SARS-CoV-2 infection </w:t>
            </w:r>
            <w:r w:rsidR="00CE2D24" w:rsidRPr="00484AE9">
              <w:t>at high risk</w:t>
            </w:r>
            <w:r w:rsidRPr="00484AE9">
              <w:t xml:space="preserve"> </w:t>
            </w:r>
            <w:r w:rsidR="005769B6" w:rsidRPr="00484AE9">
              <w:t>for progression to severe COVID</w:t>
            </w:r>
            <w:r w:rsidRPr="00484AE9">
              <w:t xml:space="preserve"> </w:t>
            </w:r>
          </w:p>
        </w:tc>
        <w:tc>
          <w:tcPr>
            <w:tcW w:w="623" w:type="pct"/>
            <w:shd w:val="clear" w:color="auto" w:fill="auto"/>
            <w:vAlign w:val="center"/>
          </w:tcPr>
          <w:p w14:paraId="1D3F7B32" w14:textId="687043CC" w:rsidR="00817491" w:rsidRPr="00484AE9" w:rsidRDefault="0020640A" w:rsidP="006C0AFA">
            <w:pPr>
              <w:pStyle w:val="TableText0"/>
              <w:keepNext w:val="0"/>
              <w:jc w:val="center"/>
            </w:pPr>
            <w:r w:rsidRPr="00484AE9">
              <w:t>Hospitalisation</w:t>
            </w:r>
            <w:r w:rsidR="00A0451A" w:rsidRPr="00484AE9">
              <w:t xml:space="preserve"> due to COVID-19 or death due to COVID-19</w:t>
            </w:r>
          </w:p>
        </w:tc>
      </w:tr>
      <w:tr w:rsidR="008B6130" w:rsidRPr="00484AE9" w14:paraId="28624913" w14:textId="77777777" w:rsidTr="00070D0B">
        <w:trPr>
          <w:cantSplit/>
        </w:trPr>
        <w:tc>
          <w:tcPr>
            <w:tcW w:w="698" w:type="pct"/>
            <w:shd w:val="clear" w:color="auto" w:fill="auto"/>
            <w:vAlign w:val="center"/>
          </w:tcPr>
          <w:p w14:paraId="732B00E5" w14:textId="2C764B46" w:rsidR="00C548F7" w:rsidRPr="00484AE9" w:rsidRDefault="00F926CA" w:rsidP="006C0AFA">
            <w:pPr>
              <w:pStyle w:val="TableText0"/>
              <w:keepNext w:val="0"/>
            </w:pPr>
            <w:r w:rsidRPr="00484AE9">
              <w:t>Najjar-Debbiny 2023a</w:t>
            </w:r>
          </w:p>
        </w:tc>
        <w:tc>
          <w:tcPr>
            <w:tcW w:w="653" w:type="pct"/>
            <w:shd w:val="clear" w:color="auto" w:fill="auto"/>
            <w:vAlign w:val="center"/>
          </w:tcPr>
          <w:p w14:paraId="53CE4EFF" w14:textId="6D5A6AF4" w:rsidR="00C548F7" w:rsidRPr="00484AE9" w:rsidRDefault="004D5912" w:rsidP="006C0AFA">
            <w:pPr>
              <w:pStyle w:val="TableText0"/>
              <w:keepNext w:val="0"/>
              <w:jc w:val="center"/>
            </w:pPr>
            <w:r w:rsidRPr="00484AE9">
              <w:t>180,351</w:t>
            </w:r>
          </w:p>
        </w:tc>
        <w:tc>
          <w:tcPr>
            <w:tcW w:w="911" w:type="pct"/>
            <w:shd w:val="clear" w:color="auto" w:fill="auto"/>
            <w:vAlign w:val="center"/>
          </w:tcPr>
          <w:p w14:paraId="5DD500F2" w14:textId="77777777" w:rsidR="004D5912" w:rsidRPr="00484AE9" w:rsidRDefault="004D5912" w:rsidP="004D5912">
            <w:pPr>
              <w:pStyle w:val="TableText0"/>
              <w:widowControl w:val="0"/>
              <w:jc w:val="center"/>
            </w:pPr>
            <w:r w:rsidRPr="00484AE9">
              <w:t>Retrospective cohort</w:t>
            </w:r>
          </w:p>
          <w:p w14:paraId="4F92209A" w14:textId="77777777" w:rsidR="004D5912" w:rsidRPr="00484AE9" w:rsidRDefault="004D5912" w:rsidP="004D5912">
            <w:pPr>
              <w:pStyle w:val="TableText0"/>
              <w:widowControl w:val="0"/>
              <w:jc w:val="center"/>
            </w:pPr>
            <w:r w:rsidRPr="00484AE9">
              <w:t>4 weeks follow-up</w:t>
            </w:r>
          </w:p>
          <w:p w14:paraId="2CB96594" w14:textId="33F981DF" w:rsidR="00C548F7" w:rsidRPr="00484AE9" w:rsidRDefault="004D5912" w:rsidP="006C0AFA">
            <w:pPr>
              <w:pStyle w:val="TableText0"/>
              <w:keepNext w:val="0"/>
              <w:widowControl w:val="0"/>
              <w:jc w:val="center"/>
            </w:pPr>
            <w:r w:rsidRPr="00484AE9">
              <w:t>Jan-Feb 2022</w:t>
            </w:r>
          </w:p>
        </w:tc>
        <w:tc>
          <w:tcPr>
            <w:tcW w:w="597" w:type="pct"/>
            <w:shd w:val="clear" w:color="auto" w:fill="auto"/>
            <w:vAlign w:val="center"/>
          </w:tcPr>
          <w:p w14:paraId="5F7AA98B" w14:textId="10934D6F" w:rsidR="00C548F7" w:rsidRPr="00484AE9" w:rsidRDefault="0071467E" w:rsidP="006C0AFA">
            <w:pPr>
              <w:pStyle w:val="TableText0"/>
              <w:keepNext w:val="0"/>
              <w:jc w:val="center"/>
              <w:rPr>
                <w:iCs/>
              </w:rPr>
            </w:pPr>
            <w:r w:rsidRPr="00484AE9">
              <w:rPr>
                <w:iCs/>
              </w:rPr>
              <w:t>Observational</w:t>
            </w:r>
          </w:p>
        </w:tc>
        <w:tc>
          <w:tcPr>
            <w:tcW w:w="1518" w:type="pct"/>
            <w:shd w:val="clear" w:color="auto" w:fill="auto"/>
            <w:vAlign w:val="center"/>
          </w:tcPr>
          <w:p w14:paraId="7FC71DF9" w14:textId="477BAED4" w:rsidR="00C548F7" w:rsidRPr="00484AE9" w:rsidRDefault="00884503" w:rsidP="006C0AFA">
            <w:pPr>
              <w:pStyle w:val="TableText0"/>
              <w:keepNext w:val="0"/>
              <w:jc w:val="center"/>
            </w:pPr>
            <w:r w:rsidRPr="00484AE9">
              <w:t>Vaccinated and unvaccinated,</w:t>
            </w:r>
            <w:r w:rsidR="009F7662" w:rsidRPr="00484AE9">
              <w:t xml:space="preserve"> non-hospitalised adults aged ≥18 years with ≥1 comorbidities or condition associated with high risk of progression to severe COVID</w:t>
            </w:r>
          </w:p>
        </w:tc>
        <w:tc>
          <w:tcPr>
            <w:tcW w:w="623" w:type="pct"/>
            <w:shd w:val="clear" w:color="auto" w:fill="auto"/>
            <w:vAlign w:val="center"/>
          </w:tcPr>
          <w:p w14:paraId="14D5C98D" w14:textId="3869ABE1" w:rsidR="00C548F7" w:rsidRPr="00484AE9" w:rsidRDefault="00337EAA" w:rsidP="006C0AFA">
            <w:pPr>
              <w:pStyle w:val="TableText0"/>
              <w:keepNext w:val="0"/>
              <w:jc w:val="center"/>
            </w:pPr>
            <w:r w:rsidRPr="00484AE9">
              <w:t>Severe COVID-19 or COVID-19-related death</w:t>
            </w:r>
          </w:p>
        </w:tc>
      </w:tr>
      <w:tr w:rsidR="008B6130" w:rsidRPr="00484AE9" w14:paraId="3783CCAA" w14:textId="77777777" w:rsidTr="00070D0B">
        <w:trPr>
          <w:cantSplit/>
        </w:trPr>
        <w:tc>
          <w:tcPr>
            <w:tcW w:w="698" w:type="pct"/>
            <w:shd w:val="clear" w:color="auto" w:fill="auto"/>
            <w:vAlign w:val="center"/>
          </w:tcPr>
          <w:p w14:paraId="130FEBCE" w14:textId="6531664B" w:rsidR="00F926CA" w:rsidRPr="00484AE9" w:rsidRDefault="00F926CA" w:rsidP="006C0AFA">
            <w:pPr>
              <w:pStyle w:val="TableText0"/>
              <w:keepNext w:val="0"/>
            </w:pPr>
            <w:r w:rsidRPr="00484AE9">
              <w:t>Najjar-Debbiny 2023b</w:t>
            </w:r>
          </w:p>
        </w:tc>
        <w:tc>
          <w:tcPr>
            <w:tcW w:w="653" w:type="pct"/>
            <w:shd w:val="clear" w:color="auto" w:fill="auto"/>
            <w:vAlign w:val="center"/>
          </w:tcPr>
          <w:p w14:paraId="64D5EE2A" w14:textId="30370A0A" w:rsidR="00F926CA" w:rsidRPr="00484AE9" w:rsidRDefault="00C333C7" w:rsidP="006C0AFA">
            <w:pPr>
              <w:pStyle w:val="TableText0"/>
              <w:keepNext w:val="0"/>
              <w:jc w:val="center"/>
            </w:pPr>
            <w:r w:rsidRPr="00484AE9">
              <w:t>5,322</w:t>
            </w:r>
          </w:p>
        </w:tc>
        <w:tc>
          <w:tcPr>
            <w:tcW w:w="911" w:type="pct"/>
            <w:shd w:val="clear" w:color="auto" w:fill="auto"/>
            <w:vAlign w:val="center"/>
          </w:tcPr>
          <w:p w14:paraId="41C7E5FD" w14:textId="77777777" w:rsidR="007F0256" w:rsidRPr="00484AE9" w:rsidRDefault="007F0256" w:rsidP="007F0256">
            <w:pPr>
              <w:pStyle w:val="TableText0"/>
              <w:widowControl w:val="0"/>
              <w:jc w:val="center"/>
            </w:pPr>
            <w:r w:rsidRPr="00484AE9">
              <w:t>Retrospective cohort</w:t>
            </w:r>
          </w:p>
          <w:p w14:paraId="2CCEF221" w14:textId="414CDCD9" w:rsidR="007F0256" w:rsidRPr="00484AE9" w:rsidRDefault="007F0256" w:rsidP="007F0256">
            <w:pPr>
              <w:pStyle w:val="TableText0"/>
              <w:widowControl w:val="0"/>
              <w:jc w:val="center"/>
            </w:pPr>
            <w:r w:rsidRPr="00484AE9">
              <w:t>4 weeks follow-up</w:t>
            </w:r>
          </w:p>
          <w:p w14:paraId="7E1EA12A" w14:textId="1A2B9FF3" w:rsidR="00F926CA" w:rsidRPr="00484AE9" w:rsidRDefault="007F0256" w:rsidP="006C0AFA">
            <w:pPr>
              <w:pStyle w:val="TableText0"/>
              <w:keepNext w:val="0"/>
              <w:widowControl w:val="0"/>
              <w:jc w:val="center"/>
            </w:pPr>
            <w:r w:rsidRPr="00484AE9">
              <w:t>Jan-Feb 2022</w:t>
            </w:r>
          </w:p>
        </w:tc>
        <w:tc>
          <w:tcPr>
            <w:tcW w:w="597" w:type="pct"/>
            <w:shd w:val="clear" w:color="auto" w:fill="auto"/>
            <w:vAlign w:val="center"/>
          </w:tcPr>
          <w:p w14:paraId="7819B546" w14:textId="7E0E474E" w:rsidR="00F926CA" w:rsidRPr="00484AE9" w:rsidRDefault="0071467E" w:rsidP="006C0AFA">
            <w:pPr>
              <w:pStyle w:val="TableText0"/>
              <w:keepNext w:val="0"/>
              <w:jc w:val="center"/>
              <w:rPr>
                <w:iCs/>
              </w:rPr>
            </w:pPr>
            <w:r w:rsidRPr="00484AE9">
              <w:rPr>
                <w:iCs/>
              </w:rPr>
              <w:t>Observational</w:t>
            </w:r>
          </w:p>
        </w:tc>
        <w:tc>
          <w:tcPr>
            <w:tcW w:w="1518" w:type="pct"/>
            <w:shd w:val="clear" w:color="auto" w:fill="auto"/>
            <w:vAlign w:val="center"/>
          </w:tcPr>
          <w:p w14:paraId="0D4C49BA" w14:textId="31C23E25" w:rsidR="00F926CA" w:rsidRPr="00484AE9" w:rsidRDefault="00E822CA" w:rsidP="006C0AFA">
            <w:pPr>
              <w:pStyle w:val="TableText0"/>
              <w:keepNext w:val="0"/>
              <w:jc w:val="center"/>
            </w:pPr>
            <w:r w:rsidRPr="00484AE9">
              <w:t>Vaccinated and unvaccinated, non-hospitalised adults aged ≥18 years with ≥1 comorbidities or condition associated with high risk of progression to severe COVID</w:t>
            </w:r>
          </w:p>
        </w:tc>
        <w:tc>
          <w:tcPr>
            <w:tcW w:w="623" w:type="pct"/>
            <w:shd w:val="clear" w:color="auto" w:fill="auto"/>
            <w:vAlign w:val="center"/>
          </w:tcPr>
          <w:p w14:paraId="42B50B75" w14:textId="4D52F03D" w:rsidR="00F926CA" w:rsidRPr="00484AE9" w:rsidRDefault="000F6030" w:rsidP="006C0AFA">
            <w:pPr>
              <w:pStyle w:val="TableText0"/>
              <w:keepNext w:val="0"/>
              <w:jc w:val="center"/>
            </w:pPr>
            <w:r w:rsidRPr="00484AE9">
              <w:t>Severe COVID-19 or COVID-19-related death</w:t>
            </w:r>
          </w:p>
        </w:tc>
      </w:tr>
      <w:tr w:rsidR="008B6130" w:rsidRPr="00484AE9" w14:paraId="6AC0DFF0" w14:textId="77777777" w:rsidTr="00070D0B">
        <w:trPr>
          <w:cantSplit/>
        </w:trPr>
        <w:tc>
          <w:tcPr>
            <w:tcW w:w="698" w:type="pct"/>
            <w:shd w:val="clear" w:color="auto" w:fill="auto"/>
            <w:vAlign w:val="center"/>
          </w:tcPr>
          <w:p w14:paraId="33849A50" w14:textId="3EDB8AAA" w:rsidR="00F926CA" w:rsidRPr="00484AE9" w:rsidRDefault="00F926CA" w:rsidP="006C0AFA">
            <w:pPr>
              <w:pStyle w:val="TableText0"/>
              <w:keepNext w:val="0"/>
              <w:rPr>
                <w:iCs/>
              </w:rPr>
            </w:pPr>
            <w:r w:rsidRPr="00484AE9">
              <w:rPr>
                <w:iCs/>
              </w:rPr>
              <w:t>Van Heer 2023</w:t>
            </w:r>
          </w:p>
        </w:tc>
        <w:tc>
          <w:tcPr>
            <w:tcW w:w="653" w:type="pct"/>
            <w:shd w:val="clear" w:color="auto" w:fill="auto"/>
            <w:vAlign w:val="center"/>
          </w:tcPr>
          <w:p w14:paraId="0120CBFA" w14:textId="6074A2ED" w:rsidR="00F926CA" w:rsidRPr="00484AE9" w:rsidRDefault="00054DFD" w:rsidP="006C0AFA">
            <w:pPr>
              <w:pStyle w:val="TableText0"/>
              <w:keepNext w:val="0"/>
              <w:jc w:val="center"/>
              <w:rPr>
                <w:i/>
                <w:iCs/>
              </w:rPr>
            </w:pPr>
            <w:r w:rsidRPr="00484AE9">
              <w:t>38,933</w:t>
            </w:r>
          </w:p>
        </w:tc>
        <w:tc>
          <w:tcPr>
            <w:tcW w:w="911" w:type="pct"/>
            <w:shd w:val="clear" w:color="auto" w:fill="auto"/>
            <w:vAlign w:val="center"/>
          </w:tcPr>
          <w:p w14:paraId="0AE4D83D" w14:textId="77777777" w:rsidR="00337EAA" w:rsidRPr="00484AE9" w:rsidRDefault="0098330E" w:rsidP="00337EAA">
            <w:pPr>
              <w:pStyle w:val="TableText0"/>
              <w:keepNext w:val="0"/>
              <w:widowControl w:val="0"/>
              <w:jc w:val="center"/>
            </w:pPr>
            <w:r w:rsidRPr="00484AE9">
              <w:t>Retrospective cohort</w:t>
            </w:r>
          </w:p>
          <w:p w14:paraId="2F19CCF3" w14:textId="77777777" w:rsidR="00B32AEE" w:rsidRPr="00484AE9" w:rsidRDefault="00B202D2" w:rsidP="00337EAA">
            <w:pPr>
              <w:pStyle w:val="TableText0"/>
              <w:keepNext w:val="0"/>
              <w:widowControl w:val="0"/>
              <w:jc w:val="center"/>
            </w:pPr>
            <w:r w:rsidRPr="00484AE9">
              <w:t>35 days follow-up</w:t>
            </w:r>
          </w:p>
          <w:p w14:paraId="623DF249" w14:textId="5365B6E2" w:rsidR="00F926CA" w:rsidRPr="00484AE9" w:rsidRDefault="003E626F" w:rsidP="006C0AFA">
            <w:pPr>
              <w:pStyle w:val="TableText0"/>
              <w:keepNext w:val="0"/>
              <w:widowControl w:val="0"/>
              <w:jc w:val="center"/>
              <w:rPr>
                <w:iCs/>
              </w:rPr>
            </w:pPr>
            <w:r w:rsidRPr="00484AE9">
              <w:t>Jul-Oct 2022</w:t>
            </w:r>
          </w:p>
        </w:tc>
        <w:tc>
          <w:tcPr>
            <w:tcW w:w="597" w:type="pct"/>
            <w:shd w:val="clear" w:color="auto" w:fill="auto"/>
            <w:vAlign w:val="center"/>
          </w:tcPr>
          <w:p w14:paraId="7D84CAC3" w14:textId="04D26D15" w:rsidR="00F926CA" w:rsidRPr="00484AE9" w:rsidRDefault="0071467E" w:rsidP="006C0AFA">
            <w:pPr>
              <w:pStyle w:val="TableText0"/>
              <w:keepNext w:val="0"/>
              <w:jc w:val="center"/>
              <w:rPr>
                <w:i/>
                <w:iCs/>
              </w:rPr>
            </w:pPr>
            <w:r w:rsidRPr="00484AE9">
              <w:rPr>
                <w:iCs/>
              </w:rPr>
              <w:t>Observational</w:t>
            </w:r>
          </w:p>
        </w:tc>
        <w:tc>
          <w:tcPr>
            <w:tcW w:w="1518" w:type="pct"/>
            <w:shd w:val="clear" w:color="auto" w:fill="auto"/>
            <w:vAlign w:val="center"/>
          </w:tcPr>
          <w:p w14:paraId="6A6383E3" w14:textId="5CBCA99C" w:rsidR="00F926CA" w:rsidRPr="00484AE9" w:rsidRDefault="007F22DC" w:rsidP="006C0AFA">
            <w:pPr>
              <w:pStyle w:val="TableText0"/>
              <w:keepNext w:val="0"/>
              <w:jc w:val="center"/>
              <w:rPr>
                <w:i/>
                <w:iCs/>
              </w:rPr>
            </w:pPr>
            <w:r w:rsidRPr="00484AE9">
              <w:t>Vaccinated, non-hospitalised adults</w:t>
            </w:r>
            <w:r w:rsidR="003E626F" w:rsidRPr="00484AE9">
              <w:t xml:space="preserve"> aged ≥70 years who were diagnosed with COVID-19 and reported to th</w:t>
            </w:r>
            <w:r w:rsidR="00102FC7" w:rsidRPr="00484AE9">
              <w:t>e Victorian Department of Health</w:t>
            </w:r>
          </w:p>
        </w:tc>
        <w:tc>
          <w:tcPr>
            <w:tcW w:w="623" w:type="pct"/>
            <w:shd w:val="clear" w:color="auto" w:fill="auto"/>
            <w:vAlign w:val="center"/>
          </w:tcPr>
          <w:p w14:paraId="06C78EC9" w14:textId="467E6075" w:rsidR="00F926CA" w:rsidRPr="00484AE9" w:rsidRDefault="00A52969" w:rsidP="006C0AFA">
            <w:pPr>
              <w:pStyle w:val="TableText0"/>
              <w:keepNext w:val="0"/>
              <w:jc w:val="center"/>
              <w:rPr>
                <w:iCs/>
              </w:rPr>
            </w:pPr>
            <w:r w:rsidRPr="00484AE9">
              <w:t>All cause hospitalisation or death</w:t>
            </w:r>
          </w:p>
        </w:tc>
      </w:tr>
      <w:tr w:rsidR="008B6130" w:rsidRPr="00484AE9" w14:paraId="7B06AC24" w14:textId="77777777" w:rsidTr="00070D0B">
        <w:trPr>
          <w:cantSplit/>
        </w:trPr>
        <w:tc>
          <w:tcPr>
            <w:tcW w:w="698" w:type="pct"/>
            <w:shd w:val="clear" w:color="auto" w:fill="auto"/>
            <w:vAlign w:val="center"/>
          </w:tcPr>
          <w:p w14:paraId="00C1ED83" w14:textId="1E543098" w:rsidR="00D87D5A" w:rsidRPr="00484AE9" w:rsidRDefault="00D87D5A" w:rsidP="006C0AFA">
            <w:pPr>
              <w:pStyle w:val="TableText0"/>
              <w:keepNext w:val="0"/>
            </w:pPr>
            <w:r w:rsidRPr="00484AE9">
              <w:t>Wong 2022</w:t>
            </w:r>
          </w:p>
        </w:tc>
        <w:tc>
          <w:tcPr>
            <w:tcW w:w="653" w:type="pct"/>
            <w:shd w:val="clear" w:color="auto" w:fill="auto"/>
            <w:vAlign w:val="center"/>
          </w:tcPr>
          <w:p w14:paraId="362FDAAE" w14:textId="77777777" w:rsidR="00A46EFB" w:rsidRPr="00484AE9" w:rsidRDefault="00A46EFB" w:rsidP="00A46EFB">
            <w:pPr>
              <w:pStyle w:val="TableText0"/>
              <w:keepNext w:val="0"/>
              <w:jc w:val="center"/>
            </w:pPr>
            <w:r w:rsidRPr="00484AE9">
              <w:t>60,214</w:t>
            </w:r>
            <w:r w:rsidRPr="00484AE9">
              <w:rPr>
                <w:vertAlign w:val="superscript"/>
              </w:rPr>
              <w:t>a</w:t>
            </w:r>
          </w:p>
          <w:p w14:paraId="2AC15E56" w14:textId="64E5141C" w:rsidR="00D87D5A" w:rsidRPr="00484AE9" w:rsidRDefault="00A46EFB" w:rsidP="006C0AFA">
            <w:pPr>
              <w:pStyle w:val="TableText0"/>
              <w:keepNext w:val="0"/>
              <w:jc w:val="center"/>
            </w:pPr>
            <w:r w:rsidRPr="00484AE9">
              <w:t>54,217</w:t>
            </w:r>
            <w:r w:rsidRPr="00484AE9">
              <w:rPr>
                <w:vertAlign w:val="superscript"/>
              </w:rPr>
              <w:t>b</w:t>
            </w:r>
          </w:p>
        </w:tc>
        <w:tc>
          <w:tcPr>
            <w:tcW w:w="911" w:type="pct"/>
            <w:shd w:val="clear" w:color="auto" w:fill="auto"/>
            <w:vAlign w:val="center"/>
          </w:tcPr>
          <w:p w14:paraId="09249223" w14:textId="77777777" w:rsidR="0071467E" w:rsidRPr="00484AE9" w:rsidRDefault="005F0559" w:rsidP="0071467E">
            <w:pPr>
              <w:pStyle w:val="TableText0"/>
              <w:keepNext w:val="0"/>
              <w:widowControl w:val="0"/>
              <w:jc w:val="center"/>
            </w:pPr>
            <w:r w:rsidRPr="00484AE9">
              <w:t>Retrospective cohort</w:t>
            </w:r>
          </w:p>
          <w:p w14:paraId="781712DF" w14:textId="77777777" w:rsidR="005F0559" w:rsidRPr="00484AE9" w:rsidRDefault="005F0559" w:rsidP="0071467E">
            <w:pPr>
              <w:pStyle w:val="TableText0"/>
              <w:keepNext w:val="0"/>
              <w:widowControl w:val="0"/>
              <w:jc w:val="center"/>
            </w:pPr>
            <w:r w:rsidRPr="00484AE9">
              <w:t>4 weeks follow-up</w:t>
            </w:r>
          </w:p>
          <w:p w14:paraId="574CC601" w14:textId="65C86C82" w:rsidR="00D87D5A" w:rsidRPr="00484AE9" w:rsidRDefault="00051A86" w:rsidP="006C0AFA">
            <w:pPr>
              <w:pStyle w:val="TableText0"/>
              <w:keepNext w:val="0"/>
              <w:widowControl w:val="0"/>
              <w:jc w:val="center"/>
            </w:pPr>
            <w:r w:rsidRPr="00484AE9">
              <w:t>Feb-Jun 2022</w:t>
            </w:r>
          </w:p>
        </w:tc>
        <w:tc>
          <w:tcPr>
            <w:tcW w:w="597" w:type="pct"/>
            <w:shd w:val="clear" w:color="auto" w:fill="auto"/>
            <w:vAlign w:val="center"/>
          </w:tcPr>
          <w:p w14:paraId="3754E6F9" w14:textId="17AF67EB" w:rsidR="00D87D5A" w:rsidRPr="00484AE9" w:rsidRDefault="0071467E" w:rsidP="006C0AFA">
            <w:pPr>
              <w:pStyle w:val="TableText0"/>
              <w:keepNext w:val="0"/>
              <w:jc w:val="center"/>
              <w:rPr>
                <w:iCs/>
              </w:rPr>
            </w:pPr>
            <w:r w:rsidRPr="00484AE9">
              <w:rPr>
                <w:iCs/>
              </w:rPr>
              <w:t>Observational</w:t>
            </w:r>
          </w:p>
        </w:tc>
        <w:tc>
          <w:tcPr>
            <w:tcW w:w="1518" w:type="pct"/>
            <w:shd w:val="clear" w:color="auto" w:fill="auto"/>
            <w:vAlign w:val="center"/>
          </w:tcPr>
          <w:p w14:paraId="4F2DAF14" w14:textId="3E2860DA" w:rsidR="00D87D5A" w:rsidRPr="00484AE9" w:rsidRDefault="001A302B" w:rsidP="006C0AFA">
            <w:pPr>
              <w:pStyle w:val="TableText0"/>
              <w:keepNext w:val="0"/>
              <w:jc w:val="center"/>
            </w:pPr>
            <w:r w:rsidRPr="00484AE9">
              <w:t>Vaccinated and unvaccinated, non-hospitalised adults aged ≥18 years admitted within 5 days of symptom onset in an outpatient setting</w:t>
            </w:r>
          </w:p>
        </w:tc>
        <w:tc>
          <w:tcPr>
            <w:tcW w:w="623" w:type="pct"/>
            <w:shd w:val="clear" w:color="auto" w:fill="auto"/>
            <w:vAlign w:val="center"/>
          </w:tcPr>
          <w:p w14:paraId="26A27D31" w14:textId="395782F8" w:rsidR="00D87D5A" w:rsidRPr="00484AE9" w:rsidRDefault="00251AA4" w:rsidP="006C0AFA">
            <w:pPr>
              <w:pStyle w:val="TableText0"/>
              <w:keepNext w:val="0"/>
              <w:jc w:val="center"/>
            </w:pPr>
            <w:r w:rsidRPr="00484AE9">
              <w:t>All cause hospitalisation or death</w:t>
            </w:r>
          </w:p>
        </w:tc>
      </w:tr>
      <w:tr w:rsidR="008B6130" w:rsidRPr="00484AE9" w14:paraId="1C40808B" w14:textId="77777777" w:rsidTr="00070D0B">
        <w:trPr>
          <w:cantSplit/>
        </w:trPr>
        <w:tc>
          <w:tcPr>
            <w:tcW w:w="698" w:type="pct"/>
            <w:shd w:val="clear" w:color="auto" w:fill="auto"/>
            <w:vAlign w:val="center"/>
          </w:tcPr>
          <w:p w14:paraId="37E946C5" w14:textId="02E980AD" w:rsidR="00D87D5A" w:rsidRPr="00484AE9" w:rsidRDefault="00D87D5A" w:rsidP="006C0AFA">
            <w:pPr>
              <w:pStyle w:val="TableText0"/>
              <w:keepNext w:val="0"/>
            </w:pPr>
            <w:r w:rsidRPr="00484AE9">
              <w:t>Yip 2023</w:t>
            </w:r>
          </w:p>
        </w:tc>
        <w:tc>
          <w:tcPr>
            <w:tcW w:w="653" w:type="pct"/>
            <w:shd w:val="clear" w:color="auto" w:fill="auto"/>
            <w:vAlign w:val="center"/>
          </w:tcPr>
          <w:p w14:paraId="5E2CA9B0" w14:textId="77777777" w:rsidR="00A46EFB" w:rsidRPr="00484AE9" w:rsidRDefault="00A46EFB" w:rsidP="00A46EFB">
            <w:pPr>
              <w:pStyle w:val="TableText0"/>
              <w:keepNext w:val="0"/>
              <w:jc w:val="center"/>
            </w:pPr>
            <w:r w:rsidRPr="00484AE9">
              <w:t>9,679</w:t>
            </w:r>
            <w:r w:rsidRPr="00484AE9">
              <w:rPr>
                <w:vertAlign w:val="superscript"/>
              </w:rPr>
              <w:t>a</w:t>
            </w:r>
          </w:p>
          <w:p w14:paraId="0B4CC252" w14:textId="7276B33B" w:rsidR="00D87D5A" w:rsidRPr="00484AE9" w:rsidRDefault="00A46EFB" w:rsidP="006C0AFA">
            <w:pPr>
              <w:pStyle w:val="TableText0"/>
              <w:keepNext w:val="0"/>
              <w:jc w:val="center"/>
            </w:pPr>
            <w:r w:rsidRPr="00484AE9">
              <w:t>9,556</w:t>
            </w:r>
            <w:r w:rsidRPr="00484AE9">
              <w:rPr>
                <w:vertAlign w:val="superscript"/>
              </w:rPr>
              <w:t>b</w:t>
            </w:r>
          </w:p>
        </w:tc>
        <w:tc>
          <w:tcPr>
            <w:tcW w:w="911" w:type="pct"/>
            <w:shd w:val="clear" w:color="auto" w:fill="auto"/>
            <w:vAlign w:val="center"/>
          </w:tcPr>
          <w:p w14:paraId="3F02E630" w14:textId="77777777" w:rsidR="0071467E" w:rsidRPr="00484AE9" w:rsidRDefault="007E1F2A" w:rsidP="00A46EFB">
            <w:pPr>
              <w:pStyle w:val="TableText0"/>
              <w:keepNext w:val="0"/>
              <w:widowControl w:val="0"/>
              <w:jc w:val="center"/>
            </w:pPr>
            <w:r w:rsidRPr="00484AE9">
              <w:t>Retrospective cohort</w:t>
            </w:r>
          </w:p>
          <w:p w14:paraId="42B76C19" w14:textId="77777777" w:rsidR="007E1F2A" w:rsidRPr="00484AE9" w:rsidRDefault="00BA039C" w:rsidP="00A46EFB">
            <w:pPr>
              <w:pStyle w:val="TableText0"/>
              <w:keepNext w:val="0"/>
              <w:widowControl w:val="0"/>
              <w:jc w:val="center"/>
            </w:pPr>
            <w:r w:rsidRPr="00484AE9">
              <w:t>30 days follow-up</w:t>
            </w:r>
          </w:p>
          <w:p w14:paraId="1AC77399" w14:textId="5B5EAECF" w:rsidR="00D87D5A" w:rsidRPr="00484AE9" w:rsidRDefault="00BA039C" w:rsidP="00792BB8">
            <w:pPr>
              <w:pStyle w:val="TableText0"/>
              <w:keepNext w:val="0"/>
              <w:widowControl w:val="0"/>
              <w:jc w:val="center"/>
            </w:pPr>
            <w:r w:rsidRPr="00484AE9">
              <w:t>Feb-Mar 2022</w:t>
            </w:r>
          </w:p>
        </w:tc>
        <w:tc>
          <w:tcPr>
            <w:tcW w:w="597" w:type="pct"/>
            <w:shd w:val="clear" w:color="auto" w:fill="auto"/>
            <w:vAlign w:val="center"/>
          </w:tcPr>
          <w:p w14:paraId="70AA63B6" w14:textId="3F325912" w:rsidR="00D87D5A" w:rsidRPr="00484AE9" w:rsidRDefault="0071467E" w:rsidP="006C0AFA">
            <w:pPr>
              <w:pStyle w:val="TableText0"/>
              <w:keepNext w:val="0"/>
              <w:jc w:val="center"/>
              <w:rPr>
                <w:iCs/>
              </w:rPr>
            </w:pPr>
            <w:r w:rsidRPr="00484AE9">
              <w:rPr>
                <w:iCs/>
              </w:rPr>
              <w:t>Observational</w:t>
            </w:r>
          </w:p>
        </w:tc>
        <w:tc>
          <w:tcPr>
            <w:tcW w:w="1518" w:type="pct"/>
            <w:shd w:val="clear" w:color="auto" w:fill="auto"/>
            <w:vAlign w:val="center"/>
          </w:tcPr>
          <w:p w14:paraId="53C0209F" w14:textId="646011DC" w:rsidR="00D87D5A" w:rsidRPr="00484AE9" w:rsidRDefault="00273166" w:rsidP="0087543C">
            <w:pPr>
              <w:pStyle w:val="TableText0"/>
              <w:jc w:val="center"/>
            </w:pPr>
            <w:r w:rsidRPr="00484AE9">
              <w:t>Vaccinated and unvaccinated, non-hospitalised patients admitted within 5 days of symptom onset in</w:t>
            </w:r>
            <w:r w:rsidR="0087543C" w:rsidRPr="00484AE9">
              <w:t xml:space="preserve"> </w:t>
            </w:r>
            <w:r w:rsidRPr="00484AE9">
              <w:t>an outpatient setting</w:t>
            </w:r>
          </w:p>
        </w:tc>
        <w:tc>
          <w:tcPr>
            <w:tcW w:w="623" w:type="pct"/>
            <w:shd w:val="clear" w:color="auto" w:fill="auto"/>
            <w:vAlign w:val="center"/>
          </w:tcPr>
          <w:p w14:paraId="0CB055FF" w14:textId="4A2416A6" w:rsidR="00D87D5A" w:rsidRPr="00484AE9" w:rsidRDefault="00251AA4" w:rsidP="006C0AFA">
            <w:pPr>
              <w:pStyle w:val="TableText0"/>
              <w:keepNext w:val="0"/>
              <w:jc w:val="center"/>
            </w:pPr>
            <w:r w:rsidRPr="00484AE9">
              <w:t>All cause hospitalisation or death</w:t>
            </w:r>
          </w:p>
        </w:tc>
      </w:tr>
      <w:tr w:rsidR="008B6130" w:rsidRPr="00484AE9" w14:paraId="3D6117B5" w14:textId="77777777" w:rsidTr="00055A15">
        <w:trPr>
          <w:cantSplit/>
        </w:trPr>
        <w:tc>
          <w:tcPr>
            <w:tcW w:w="5000" w:type="pct"/>
            <w:gridSpan w:val="6"/>
            <w:shd w:val="clear" w:color="auto" w:fill="auto"/>
            <w:vAlign w:val="center"/>
          </w:tcPr>
          <w:p w14:paraId="5A0F1F91" w14:textId="77777777" w:rsidR="00055A15" w:rsidRPr="00484AE9" w:rsidRDefault="00055A15" w:rsidP="007D4FC1">
            <w:pPr>
              <w:pStyle w:val="TableText0"/>
              <w:rPr>
                <w:b/>
                <w:bCs w:val="0"/>
              </w:rPr>
            </w:pPr>
            <w:r w:rsidRPr="00484AE9">
              <w:rPr>
                <w:b/>
                <w:bCs w:val="0"/>
              </w:rPr>
              <w:t>Observational studies comparing outcomes in patients treated with nirmatrelvir and ritonavir and untreated patients contemporaneously</w:t>
            </w:r>
          </w:p>
        </w:tc>
      </w:tr>
      <w:tr w:rsidR="008B6130" w:rsidRPr="00484AE9" w14:paraId="60ACBD92" w14:textId="77777777" w:rsidTr="00070D0B">
        <w:trPr>
          <w:cantSplit/>
        </w:trPr>
        <w:tc>
          <w:tcPr>
            <w:tcW w:w="698" w:type="pct"/>
            <w:shd w:val="clear" w:color="auto" w:fill="auto"/>
            <w:vAlign w:val="center"/>
          </w:tcPr>
          <w:p w14:paraId="46BE533F" w14:textId="670D7017" w:rsidR="00AF51D8" w:rsidRPr="00484AE9" w:rsidRDefault="00CC6424" w:rsidP="006C0AFA">
            <w:pPr>
              <w:pStyle w:val="TableText0"/>
              <w:keepNext w:val="0"/>
            </w:pPr>
            <w:r w:rsidRPr="00484AE9">
              <w:t>Aggarwal 2023</w:t>
            </w:r>
          </w:p>
        </w:tc>
        <w:tc>
          <w:tcPr>
            <w:tcW w:w="653" w:type="pct"/>
            <w:shd w:val="clear" w:color="auto" w:fill="auto"/>
            <w:vAlign w:val="center"/>
          </w:tcPr>
          <w:p w14:paraId="0E8C6A29" w14:textId="45A680BC" w:rsidR="00AF51D8" w:rsidRPr="00484AE9" w:rsidRDefault="000522FF" w:rsidP="006C0AFA">
            <w:pPr>
              <w:pStyle w:val="TableText0"/>
              <w:keepNext w:val="0"/>
              <w:jc w:val="center"/>
            </w:pPr>
            <w:r w:rsidRPr="00484AE9">
              <w:t>16,529</w:t>
            </w:r>
          </w:p>
        </w:tc>
        <w:tc>
          <w:tcPr>
            <w:tcW w:w="911" w:type="pct"/>
            <w:shd w:val="clear" w:color="auto" w:fill="auto"/>
            <w:vAlign w:val="center"/>
          </w:tcPr>
          <w:p w14:paraId="2B7F653E" w14:textId="77777777" w:rsidR="00CC6424" w:rsidRPr="00484AE9" w:rsidRDefault="000836FE" w:rsidP="00CC6424">
            <w:pPr>
              <w:pStyle w:val="TableText0"/>
              <w:keepNext w:val="0"/>
              <w:widowControl w:val="0"/>
              <w:jc w:val="center"/>
            </w:pPr>
            <w:r w:rsidRPr="00484AE9">
              <w:t>Retrospective cohort</w:t>
            </w:r>
          </w:p>
          <w:p w14:paraId="515BC926" w14:textId="77777777" w:rsidR="000836FE" w:rsidRPr="00484AE9" w:rsidRDefault="00005411" w:rsidP="00CC6424">
            <w:pPr>
              <w:pStyle w:val="TableText0"/>
              <w:keepNext w:val="0"/>
              <w:widowControl w:val="0"/>
              <w:jc w:val="center"/>
            </w:pPr>
            <w:r w:rsidRPr="00484AE9">
              <w:t>28 days follow-up</w:t>
            </w:r>
          </w:p>
          <w:p w14:paraId="3BD16B4E" w14:textId="49409789" w:rsidR="00AF51D8" w:rsidRPr="00484AE9" w:rsidRDefault="000836FE" w:rsidP="006C0AFA">
            <w:pPr>
              <w:pStyle w:val="TableText0"/>
              <w:keepNext w:val="0"/>
              <w:widowControl w:val="0"/>
              <w:jc w:val="center"/>
            </w:pPr>
            <w:r w:rsidRPr="00484AE9">
              <w:t xml:space="preserve">Mar-Aug </w:t>
            </w:r>
            <w:r w:rsidR="004B11FD" w:rsidRPr="00484AE9">
              <w:t>2022</w:t>
            </w:r>
          </w:p>
        </w:tc>
        <w:tc>
          <w:tcPr>
            <w:tcW w:w="597" w:type="pct"/>
            <w:shd w:val="clear" w:color="auto" w:fill="auto"/>
            <w:vAlign w:val="center"/>
          </w:tcPr>
          <w:p w14:paraId="6C0E62F4" w14:textId="49B8FD5E" w:rsidR="00AF51D8" w:rsidRPr="00484AE9" w:rsidRDefault="00005411" w:rsidP="006C0AFA">
            <w:pPr>
              <w:pStyle w:val="TableText0"/>
              <w:keepNext w:val="0"/>
              <w:jc w:val="center"/>
              <w:rPr>
                <w:iCs/>
              </w:rPr>
            </w:pPr>
            <w:r w:rsidRPr="00484AE9">
              <w:rPr>
                <w:iCs/>
              </w:rPr>
              <w:t>Observational</w:t>
            </w:r>
          </w:p>
        </w:tc>
        <w:tc>
          <w:tcPr>
            <w:tcW w:w="1518" w:type="pct"/>
            <w:shd w:val="clear" w:color="auto" w:fill="auto"/>
            <w:vAlign w:val="center"/>
          </w:tcPr>
          <w:p w14:paraId="7EF71FC0" w14:textId="292A2E5B" w:rsidR="00AF51D8" w:rsidRPr="00484AE9" w:rsidRDefault="00B73FDF" w:rsidP="006C0AFA">
            <w:pPr>
              <w:pStyle w:val="TableText0"/>
              <w:keepNext w:val="0"/>
              <w:jc w:val="center"/>
            </w:pPr>
            <w:r w:rsidRPr="00484AE9">
              <w:t xml:space="preserve">Vaccinated and unvaccinated, non-hospitalised </w:t>
            </w:r>
            <w:r w:rsidR="009B0DC6" w:rsidRPr="00484AE9">
              <w:t xml:space="preserve">adults </w:t>
            </w:r>
            <w:r w:rsidR="00BB6E8A" w:rsidRPr="00484AE9">
              <w:t>infected with SARS</w:t>
            </w:r>
            <w:r w:rsidR="00E111C1" w:rsidRPr="00484AE9">
              <w:noBreakHyphen/>
            </w:r>
            <w:r w:rsidR="00BB6E8A" w:rsidRPr="00484AE9">
              <w:t>CoV-2</w:t>
            </w:r>
          </w:p>
        </w:tc>
        <w:tc>
          <w:tcPr>
            <w:tcW w:w="623" w:type="pct"/>
            <w:shd w:val="clear" w:color="auto" w:fill="auto"/>
            <w:vAlign w:val="center"/>
          </w:tcPr>
          <w:p w14:paraId="698A055B" w14:textId="25D54692" w:rsidR="00AF51D8" w:rsidRPr="00484AE9" w:rsidRDefault="001C3638" w:rsidP="006C0AFA">
            <w:pPr>
              <w:pStyle w:val="TableText0"/>
              <w:keepNext w:val="0"/>
              <w:jc w:val="center"/>
            </w:pPr>
            <w:r w:rsidRPr="00484AE9">
              <w:t>All cause hospitalisation or death</w:t>
            </w:r>
          </w:p>
        </w:tc>
      </w:tr>
      <w:tr w:rsidR="008B6130" w:rsidRPr="00484AE9" w14:paraId="00635527" w14:textId="77777777" w:rsidTr="00070D0B">
        <w:trPr>
          <w:cantSplit/>
        </w:trPr>
        <w:tc>
          <w:tcPr>
            <w:tcW w:w="698" w:type="pct"/>
            <w:shd w:val="clear" w:color="auto" w:fill="auto"/>
            <w:vAlign w:val="center"/>
          </w:tcPr>
          <w:p w14:paraId="1B0CCF04" w14:textId="7F708997" w:rsidR="00CC6424" w:rsidRPr="00484AE9" w:rsidRDefault="00CC6424" w:rsidP="00CC6424">
            <w:pPr>
              <w:pStyle w:val="TableText0"/>
              <w:keepNext w:val="0"/>
            </w:pPr>
            <w:r w:rsidRPr="00484AE9">
              <w:t>Dryden-Peterson 2023</w:t>
            </w:r>
          </w:p>
        </w:tc>
        <w:tc>
          <w:tcPr>
            <w:tcW w:w="653" w:type="pct"/>
            <w:shd w:val="clear" w:color="auto" w:fill="auto"/>
            <w:vAlign w:val="center"/>
          </w:tcPr>
          <w:p w14:paraId="556E7DAE" w14:textId="1B5B68FC" w:rsidR="00CC6424" w:rsidRPr="00484AE9" w:rsidRDefault="00070D0B" w:rsidP="00CC6424">
            <w:pPr>
              <w:pStyle w:val="TableText0"/>
              <w:keepNext w:val="0"/>
              <w:jc w:val="center"/>
            </w:pPr>
            <w:r w:rsidRPr="00484AE9">
              <w:t>44,551</w:t>
            </w:r>
          </w:p>
        </w:tc>
        <w:tc>
          <w:tcPr>
            <w:tcW w:w="911" w:type="pct"/>
            <w:shd w:val="clear" w:color="auto" w:fill="auto"/>
            <w:vAlign w:val="center"/>
          </w:tcPr>
          <w:p w14:paraId="1CD75128" w14:textId="77777777" w:rsidR="00070D0B" w:rsidRPr="00484AE9" w:rsidRDefault="00070D0B" w:rsidP="00070D0B">
            <w:pPr>
              <w:pStyle w:val="TableText0"/>
              <w:keepNext w:val="0"/>
              <w:widowControl w:val="0"/>
              <w:jc w:val="center"/>
            </w:pPr>
            <w:r w:rsidRPr="00484AE9">
              <w:t>Retrospective cohort</w:t>
            </w:r>
          </w:p>
          <w:p w14:paraId="0AD86304" w14:textId="0B513B8F" w:rsidR="00CC6424" w:rsidRPr="00484AE9" w:rsidRDefault="00070D0B" w:rsidP="00CC6424">
            <w:pPr>
              <w:pStyle w:val="TableText0"/>
              <w:keepNext w:val="0"/>
              <w:widowControl w:val="0"/>
              <w:jc w:val="center"/>
            </w:pPr>
            <w:r w:rsidRPr="00484AE9">
              <w:t>Jan-Jul 2022</w:t>
            </w:r>
          </w:p>
        </w:tc>
        <w:tc>
          <w:tcPr>
            <w:tcW w:w="597" w:type="pct"/>
            <w:shd w:val="clear" w:color="auto" w:fill="auto"/>
            <w:vAlign w:val="center"/>
          </w:tcPr>
          <w:p w14:paraId="2A5B4C06" w14:textId="67B3F7C9" w:rsidR="00CC6424" w:rsidRPr="00484AE9" w:rsidRDefault="00005411" w:rsidP="00CC6424">
            <w:pPr>
              <w:pStyle w:val="TableText0"/>
              <w:keepNext w:val="0"/>
              <w:jc w:val="center"/>
              <w:rPr>
                <w:iCs/>
              </w:rPr>
            </w:pPr>
            <w:r w:rsidRPr="00484AE9">
              <w:rPr>
                <w:iCs/>
              </w:rPr>
              <w:t>Observational</w:t>
            </w:r>
          </w:p>
        </w:tc>
        <w:tc>
          <w:tcPr>
            <w:tcW w:w="1518" w:type="pct"/>
            <w:shd w:val="clear" w:color="auto" w:fill="auto"/>
            <w:vAlign w:val="center"/>
          </w:tcPr>
          <w:p w14:paraId="0B80452B" w14:textId="7E35C3E4" w:rsidR="00CC6424" w:rsidRPr="00484AE9" w:rsidRDefault="00070D0B" w:rsidP="00CC6424">
            <w:pPr>
              <w:pStyle w:val="TableText0"/>
              <w:keepNext w:val="0"/>
              <w:jc w:val="center"/>
            </w:pPr>
            <w:r w:rsidRPr="00484AE9">
              <w:t>Vaccinated and unvaccinated, non-hospitalised adults aged ≥50 years with no contraindications for nirmatrelvir and ritonavir</w:t>
            </w:r>
          </w:p>
        </w:tc>
        <w:tc>
          <w:tcPr>
            <w:tcW w:w="623" w:type="pct"/>
            <w:shd w:val="clear" w:color="auto" w:fill="auto"/>
            <w:vAlign w:val="center"/>
          </w:tcPr>
          <w:p w14:paraId="52EA44EF" w14:textId="6FA8F4EA" w:rsidR="00CC6424" w:rsidRPr="00484AE9" w:rsidRDefault="00070D0B" w:rsidP="00CC6424">
            <w:pPr>
              <w:pStyle w:val="TableText0"/>
              <w:keepNext w:val="0"/>
              <w:jc w:val="center"/>
            </w:pPr>
            <w:r w:rsidRPr="00484AE9">
              <w:t>Hospitalisation within 14 days or death within 28 days</w:t>
            </w:r>
          </w:p>
        </w:tc>
      </w:tr>
      <w:tr w:rsidR="008B6130" w:rsidRPr="00484AE9" w14:paraId="6588E5D8" w14:textId="77777777" w:rsidTr="00070D0B">
        <w:trPr>
          <w:cantSplit/>
        </w:trPr>
        <w:tc>
          <w:tcPr>
            <w:tcW w:w="698" w:type="pct"/>
            <w:shd w:val="clear" w:color="auto" w:fill="auto"/>
            <w:vAlign w:val="center"/>
          </w:tcPr>
          <w:p w14:paraId="17B97DEA" w14:textId="11DCAA5E" w:rsidR="00CC6424" w:rsidRPr="00484AE9" w:rsidRDefault="00CC6424" w:rsidP="00CC6424">
            <w:pPr>
              <w:pStyle w:val="TableText0"/>
              <w:keepNext w:val="0"/>
            </w:pPr>
            <w:r w:rsidRPr="00484AE9">
              <w:lastRenderedPageBreak/>
              <w:t>Ganatra 2023</w:t>
            </w:r>
          </w:p>
        </w:tc>
        <w:tc>
          <w:tcPr>
            <w:tcW w:w="653" w:type="pct"/>
            <w:shd w:val="clear" w:color="auto" w:fill="auto"/>
            <w:vAlign w:val="center"/>
          </w:tcPr>
          <w:p w14:paraId="42203E1E" w14:textId="59809224" w:rsidR="00CC6424" w:rsidRPr="00484AE9" w:rsidRDefault="00070D0B" w:rsidP="00CC6424">
            <w:pPr>
              <w:pStyle w:val="TableText0"/>
              <w:keepNext w:val="0"/>
              <w:jc w:val="center"/>
            </w:pPr>
            <w:r w:rsidRPr="00484AE9">
              <w:t>2,260</w:t>
            </w:r>
          </w:p>
        </w:tc>
        <w:tc>
          <w:tcPr>
            <w:tcW w:w="911" w:type="pct"/>
            <w:shd w:val="clear" w:color="auto" w:fill="auto"/>
            <w:vAlign w:val="center"/>
          </w:tcPr>
          <w:p w14:paraId="34735F8C" w14:textId="77777777" w:rsidR="00070D0B" w:rsidRPr="00484AE9" w:rsidRDefault="00070D0B" w:rsidP="00070D0B">
            <w:pPr>
              <w:pStyle w:val="TableText0"/>
              <w:keepNext w:val="0"/>
              <w:widowControl w:val="0"/>
              <w:jc w:val="center"/>
            </w:pPr>
            <w:r w:rsidRPr="00484AE9">
              <w:t>Retrospective cohort</w:t>
            </w:r>
          </w:p>
          <w:p w14:paraId="492549FC" w14:textId="77777777" w:rsidR="00070D0B" w:rsidRPr="00484AE9" w:rsidRDefault="00070D0B" w:rsidP="00070D0B">
            <w:pPr>
              <w:pStyle w:val="TableText0"/>
              <w:keepNext w:val="0"/>
              <w:widowControl w:val="0"/>
              <w:jc w:val="center"/>
            </w:pPr>
            <w:r w:rsidRPr="00484AE9">
              <w:t>30 day follow-up</w:t>
            </w:r>
          </w:p>
          <w:p w14:paraId="69FBE302" w14:textId="3694375E" w:rsidR="00CC6424" w:rsidRPr="00484AE9" w:rsidRDefault="00070D0B" w:rsidP="00CC6424">
            <w:pPr>
              <w:pStyle w:val="TableText0"/>
              <w:keepNext w:val="0"/>
              <w:widowControl w:val="0"/>
              <w:jc w:val="center"/>
            </w:pPr>
            <w:r w:rsidRPr="00484AE9">
              <w:t>Dec 2021 – Apr 2022</w:t>
            </w:r>
          </w:p>
        </w:tc>
        <w:tc>
          <w:tcPr>
            <w:tcW w:w="597" w:type="pct"/>
            <w:shd w:val="clear" w:color="auto" w:fill="auto"/>
            <w:vAlign w:val="center"/>
          </w:tcPr>
          <w:p w14:paraId="7F40A2F5" w14:textId="416774FD" w:rsidR="00CC6424" w:rsidRPr="00484AE9" w:rsidRDefault="00005411" w:rsidP="00CC6424">
            <w:pPr>
              <w:pStyle w:val="TableText0"/>
              <w:keepNext w:val="0"/>
              <w:jc w:val="center"/>
              <w:rPr>
                <w:iCs/>
              </w:rPr>
            </w:pPr>
            <w:r w:rsidRPr="00484AE9">
              <w:rPr>
                <w:iCs/>
              </w:rPr>
              <w:t>Observational</w:t>
            </w:r>
          </w:p>
        </w:tc>
        <w:tc>
          <w:tcPr>
            <w:tcW w:w="1518" w:type="pct"/>
            <w:shd w:val="clear" w:color="auto" w:fill="auto"/>
            <w:vAlign w:val="center"/>
          </w:tcPr>
          <w:p w14:paraId="6DB88C09" w14:textId="38FFF862" w:rsidR="00CC6424" w:rsidRPr="00484AE9" w:rsidRDefault="00070D0B" w:rsidP="00CC6424">
            <w:pPr>
              <w:pStyle w:val="TableText0"/>
              <w:keepNext w:val="0"/>
              <w:jc w:val="center"/>
            </w:pPr>
            <w:r w:rsidRPr="00484AE9">
              <w:t>Vaccinated, non-hospitalised adults aged ≥18 years</w:t>
            </w:r>
          </w:p>
        </w:tc>
        <w:tc>
          <w:tcPr>
            <w:tcW w:w="623" w:type="pct"/>
            <w:shd w:val="clear" w:color="auto" w:fill="auto"/>
            <w:vAlign w:val="center"/>
          </w:tcPr>
          <w:p w14:paraId="5BE118FF" w14:textId="4F3E6294" w:rsidR="00CC6424" w:rsidRPr="00484AE9" w:rsidRDefault="00070D0B" w:rsidP="00CC6424">
            <w:pPr>
              <w:pStyle w:val="TableText0"/>
              <w:keepNext w:val="0"/>
              <w:jc w:val="center"/>
            </w:pPr>
            <w:r w:rsidRPr="00484AE9">
              <w:t xml:space="preserve">All cause </w:t>
            </w:r>
            <w:r w:rsidR="004D266E" w:rsidRPr="00484AE9">
              <w:t xml:space="preserve">ER visit, </w:t>
            </w:r>
            <w:r w:rsidRPr="00484AE9">
              <w:t>hospitalisation or death</w:t>
            </w:r>
          </w:p>
        </w:tc>
      </w:tr>
      <w:tr w:rsidR="008B6130" w:rsidRPr="00484AE9" w14:paraId="0A03DE4D" w14:textId="77777777" w:rsidTr="00070D0B">
        <w:trPr>
          <w:cantSplit/>
        </w:trPr>
        <w:tc>
          <w:tcPr>
            <w:tcW w:w="698" w:type="pct"/>
            <w:shd w:val="clear" w:color="auto" w:fill="auto"/>
            <w:vAlign w:val="center"/>
          </w:tcPr>
          <w:p w14:paraId="6FD7F629" w14:textId="3FA84F5D" w:rsidR="00CC6424" w:rsidRPr="00484AE9" w:rsidRDefault="00CC6424" w:rsidP="00CC6424">
            <w:pPr>
              <w:pStyle w:val="TableText0"/>
              <w:keepNext w:val="0"/>
            </w:pPr>
            <w:r w:rsidRPr="00484AE9">
              <w:t>Kaboré 2023</w:t>
            </w:r>
          </w:p>
        </w:tc>
        <w:tc>
          <w:tcPr>
            <w:tcW w:w="653" w:type="pct"/>
            <w:shd w:val="clear" w:color="auto" w:fill="auto"/>
            <w:vAlign w:val="center"/>
          </w:tcPr>
          <w:p w14:paraId="4B0B74DC" w14:textId="36F9865E" w:rsidR="00CC6424" w:rsidRPr="00484AE9" w:rsidRDefault="00070D0B" w:rsidP="00CC6424">
            <w:pPr>
              <w:pStyle w:val="TableText0"/>
              <w:keepNext w:val="0"/>
              <w:jc w:val="center"/>
            </w:pPr>
            <w:r w:rsidRPr="00484AE9">
              <w:t>16,804</w:t>
            </w:r>
          </w:p>
        </w:tc>
        <w:tc>
          <w:tcPr>
            <w:tcW w:w="911" w:type="pct"/>
            <w:shd w:val="clear" w:color="auto" w:fill="auto"/>
            <w:vAlign w:val="center"/>
          </w:tcPr>
          <w:p w14:paraId="1DA486FD" w14:textId="77777777" w:rsidR="00070D0B" w:rsidRPr="00484AE9" w:rsidRDefault="00070D0B" w:rsidP="00070D0B">
            <w:pPr>
              <w:pStyle w:val="TableText0"/>
              <w:keepNext w:val="0"/>
              <w:widowControl w:val="0"/>
              <w:jc w:val="center"/>
            </w:pPr>
            <w:r w:rsidRPr="00484AE9">
              <w:t>Retrospective cohort</w:t>
            </w:r>
          </w:p>
          <w:p w14:paraId="4BDB4C49" w14:textId="77777777" w:rsidR="00070D0B" w:rsidRPr="00484AE9" w:rsidRDefault="00070D0B" w:rsidP="00070D0B">
            <w:pPr>
              <w:pStyle w:val="TableText0"/>
              <w:keepNext w:val="0"/>
              <w:widowControl w:val="0"/>
              <w:jc w:val="center"/>
            </w:pPr>
            <w:r w:rsidRPr="00484AE9">
              <w:t>30 days follow-up</w:t>
            </w:r>
          </w:p>
          <w:p w14:paraId="118F0067" w14:textId="370A6516" w:rsidR="00CC6424" w:rsidRPr="00484AE9" w:rsidRDefault="00070D0B" w:rsidP="00CC6424">
            <w:pPr>
              <w:pStyle w:val="TableText0"/>
              <w:keepNext w:val="0"/>
              <w:widowControl w:val="0"/>
              <w:jc w:val="center"/>
            </w:pPr>
            <w:r w:rsidRPr="00484AE9">
              <w:t>Mar-Oct 2022</w:t>
            </w:r>
          </w:p>
        </w:tc>
        <w:tc>
          <w:tcPr>
            <w:tcW w:w="597" w:type="pct"/>
            <w:shd w:val="clear" w:color="auto" w:fill="auto"/>
            <w:vAlign w:val="center"/>
          </w:tcPr>
          <w:p w14:paraId="360F3926" w14:textId="1287CEF8" w:rsidR="00CC6424" w:rsidRPr="00484AE9" w:rsidRDefault="00005411" w:rsidP="00CC6424">
            <w:pPr>
              <w:pStyle w:val="TableText0"/>
              <w:keepNext w:val="0"/>
              <w:jc w:val="center"/>
              <w:rPr>
                <w:iCs/>
              </w:rPr>
            </w:pPr>
            <w:r w:rsidRPr="00484AE9">
              <w:rPr>
                <w:iCs/>
              </w:rPr>
              <w:t>Observational</w:t>
            </w:r>
          </w:p>
        </w:tc>
        <w:tc>
          <w:tcPr>
            <w:tcW w:w="1518" w:type="pct"/>
            <w:shd w:val="clear" w:color="auto" w:fill="auto"/>
            <w:vAlign w:val="center"/>
          </w:tcPr>
          <w:p w14:paraId="01103675" w14:textId="7F1BC7F2" w:rsidR="00CC6424" w:rsidRPr="00484AE9" w:rsidRDefault="00070D0B" w:rsidP="00CC6424">
            <w:pPr>
              <w:pStyle w:val="TableText0"/>
              <w:keepNext w:val="0"/>
              <w:jc w:val="center"/>
            </w:pPr>
            <w:r w:rsidRPr="00484AE9">
              <w:t>Vaccinated and unvaccinated, non-hospitalised patients</w:t>
            </w:r>
          </w:p>
        </w:tc>
        <w:tc>
          <w:tcPr>
            <w:tcW w:w="623" w:type="pct"/>
            <w:shd w:val="clear" w:color="auto" w:fill="auto"/>
            <w:vAlign w:val="center"/>
          </w:tcPr>
          <w:p w14:paraId="6605DD33" w14:textId="67D29688" w:rsidR="00CC6424" w:rsidRPr="00484AE9" w:rsidRDefault="00070D0B" w:rsidP="00CC6424">
            <w:pPr>
              <w:pStyle w:val="TableText0"/>
              <w:keepNext w:val="0"/>
              <w:jc w:val="center"/>
            </w:pPr>
            <w:r w:rsidRPr="00484AE9">
              <w:t>COVID-19 related hospitalisation</w:t>
            </w:r>
          </w:p>
        </w:tc>
      </w:tr>
      <w:tr w:rsidR="008B6130" w:rsidRPr="00484AE9" w14:paraId="7BB18BA2" w14:textId="77777777" w:rsidTr="00070D0B">
        <w:trPr>
          <w:cantSplit/>
        </w:trPr>
        <w:tc>
          <w:tcPr>
            <w:tcW w:w="698" w:type="pct"/>
            <w:shd w:val="clear" w:color="auto" w:fill="auto"/>
            <w:vAlign w:val="center"/>
          </w:tcPr>
          <w:p w14:paraId="1DA699C7" w14:textId="5072C458" w:rsidR="00CC6424" w:rsidRPr="00484AE9" w:rsidRDefault="00CC6424" w:rsidP="00CC6424">
            <w:pPr>
              <w:pStyle w:val="TableText0"/>
              <w:keepNext w:val="0"/>
            </w:pPr>
            <w:r w:rsidRPr="00484AE9">
              <w:t>Lewnard 2023</w:t>
            </w:r>
          </w:p>
        </w:tc>
        <w:tc>
          <w:tcPr>
            <w:tcW w:w="653" w:type="pct"/>
            <w:shd w:val="clear" w:color="auto" w:fill="auto"/>
            <w:vAlign w:val="center"/>
          </w:tcPr>
          <w:p w14:paraId="1B662F74" w14:textId="5DE34F0A" w:rsidR="00CC6424" w:rsidRPr="00484AE9" w:rsidRDefault="00070D0B" w:rsidP="00CC6424">
            <w:pPr>
              <w:pStyle w:val="TableText0"/>
              <w:keepNext w:val="0"/>
              <w:jc w:val="center"/>
            </w:pPr>
            <w:r w:rsidRPr="00484AE9">
              <w:t>133,426</w:t>
            </w:r>
          </w:p>
        </w:tc>
        <w:tc>
          <w:tcPr>
            <w:tcW w:w="911" w:type="pct"/>
            <w:shd w:val="clear" w:color="auto" w:fill="auto"/>
            <w:vAlign w:val="center"/>
          </w:tcPr>
          <w:p w14:paraId="745C2220" w14:textId="77777777" w:rsidR="00070D0B" w:rsidRPr="00484AE9" w:rsidRDefault="00070D0B" w:rsidP="00070D0B">
            <w:pPr>
              <w:pStyle w:val="TableText0"/>
              <w:keepNext w:val="0"/>
              <w:widowControl w:val="0"/>
              <w:jc w:val="center"/>
            </w:pPr>
            <w:r w:rsidRPr="00484AE9">
              <w:t>Retrospective cohort</w:t>
            </w:r>
          </w:p>
          <w:p w14:paraId="0D960A42" w14:textId="77777777" w:rsidR="00070D0B" w:rsidRPr="00484AE9" w:rsidRDefault="00070D0B" w:rsidP="00070D0B">
            <w:pPr>
              <w:pStyle w:val="TableText0"/>
              <w:keepNext w:val="0"/>
              <w:widowControl w:val="0"/>
              <w:jc w:val="center"/>
            </w:pPr>
            <w:r w:rsidRPr="00484AE9">
              <w:t>30 days follow-up</w:t>
            </w:r>
          </w:p>
          <w:p w14:paraId="3A37258C" w14:textId="5014375B" w:rsidR="00CC6424" w:rsidRPr="00484AE9" w:rsidRDefault="00070D0B" w:rsidP="00CC6424">
            <w:pPr>
              <w:pStyle w:val="TableText0"/>
              <w:keepNext w:val="0"/>
              <w:widowControl w:val="0"/>
              <w:jc w:val="center"/>
            </w:pPr>
            <w:r w:rsidRPr="00484AE9">
              <w:t>Apr-Oct 2022</w:t>
            </w:r>
          </w:p>
        </w:tc>
        <w:tc>
          <w:tcPr>
            <w:tcW w:w="597" w:type="pct"/>
            <w:shd w:val="clear" w:color="auto" w:fill="auto"/>
            <w:vAlign w:val="center"/>
          </w:tcPr>
          <w:p w14:paraId="70A82C5F" w14:textId="35F8B804" w:rsidR="00CC6424" w:rsidRPr="00484AE9" w:rsidRDefault="00005411" w:rsidP="00CC6424">
            <w:pPr>
              <w:pStyle w:val="TableText0"/>
              <w:keepNext w:val="0"/>
              <w:jc w:val="center"/>
              <w:rPr>
                <w:iCs/>
              </w:rPr>
            </w:pPr>
            <w:r w:rsidRPr="00484AE9">
              <w:rPr>
                <w:iCs/>
              </w:rPr>
              <w:t>Observational</w:t>
            </w:r>
          </w:p>
        </w:tc>
        <w:tc>
          <w:tcPr>
            <w:tcW w:w="1518" w:type="pct"/>
            <w:shd w:val="clear" w:color="auto" w:fill="auto"/>
            <w:vAlign w:val="center"/>
          </w:tcPr>
          <w:p w14:paraId="7EBB2168" w14:textId="21B83531" w:rsidR="00CC6424" w:rsidRPr="00484AE9" w:rsidRDefault="00070D0B" w:rsidP="00CC6424">
            <w:pPr>
              <w:pStyle w:val="TableText0"/>
              <w:keepNext w:val="0"/>
              <w:jc w:val="center"/>
            </w:pPr>
            <w:r w:rsidRPr="00484AE9">
              <w:t>Vaccinated and unvaccinated, non-hospitalised patients aged ≥12 years</w:t>
            </w:r>
          </w:p>
        </w:tc>
        <w:tc>
          <w:tcPr>
            <w:tcW w:w="623" w:type="pct"/>
            <w:shd w:val="clear" w:color="auto" w:fill="auto"/>
            <w:vAlign w:val="center"/>
          </w:tcPr>
          <w:p w14:paraId="6BFD9E5F" w14:textId="32DD5412" w:rsidR="00CC6424" w:rsidRPr="00484AE9" w:rsidRDefault="00070D0B" w:rsidP="00CC6424">
            <w:pPr>
              <w:pStyle w:val="TableText0"/>
              <w:keepNext w:val="0"/>
              <w:jc w:val="center"/>
            </w:pPr>
            <w:r w:rsidRPr="00484AE9">
              <w:t>All cause hospitalisation or death</w:t>
            </w:r>
          </w:p>
        </w:tc>
      </w:tr>
    </w:tbl>
    <w:p w14:paraId="77496F76" w14:textId="09323C9A" w:rsidR="00CC6424" w:rsidRPr="00484AE9" w:rsidRDefault="00CC6424" w:rsidP="00EC5836">
      <w:pPr>
        <w:pStyle w:val="FooterTableFigure"/>
        <w:rPr>
          <w:rStyle w:val="Hyperlink"/>
          <w:color w:val="auto"/>
        </w:rPr>
      </w:pPr>
      <w:r w:rsidRPr="00484AE9">
        <w:t xml:space="preserve">* a preprint of a matching study for molnupiravir was located during the evaluation: </w:t>
      </w:r>
      <w:hyperlink r:id="rId10" w:history="1">
        <w:r w:rsidRPr="00484AE9">
          <w:rPr>
            <w:rStyle w:val="Hyperlink"/>
            <w:iCs/>
            <w:color w:val="auto"/>
          </w:rPr>
          <w:t>https://www.researchsquare.com/article/rs-2115769/v1</w:t>
        </w:r>
      </w:hyperlink>
    </w:p>
    <w:p w14:paraId="1C76C6DF" w14:textId="77777777" w:rsidR="00BA62BA" w:rsidRPr="00484AE9" w:rsidRDefault="00BA62BA" w:rsidP="00BA62BA">
      <w:pPr>
        <w:pStyle w:val="FooterTableFigure"/>
        <w:tabs>
          <w:tab w:val="left" w:pos="284"/>
        </w:tabs>
      </w:pPr>
      <w:r w:rsidRPr="00484AE9">
        <w:rPr>
          <w:vertAlign w:val="superscript"/>
        </w:rPr>
        <w:t>a</w:t>
      </w:r>
      <w:r w:rsidRPr="00484AE9">
        <w:rPr>
          <w:vertAlign w:val="superscript"/>
        </w:rPr>
        <w:tab/>
      </w:r>
      <w:r w:rsidRPr="00484AE9">
        <w:t>for comparison of nirmatrelvir and ritonavir vs usual care</w:t>
      </w:r>
    </w:p>
    <w:p w14:paraId="731FF945" w14:textId="7C69C91E" w:rsidR="00545845" w:rsidRPr="00484AE9" w:rsidRDefault="00BA62BA" w:rsidP="00BA62BA">
      <w:pPr>
        <w:pStyle w:val="FooterTableFigure"/>
        <w:tabs>
          <w:tab w:val="left" w:pos="284"/>
        </w:tabs>
      </w:pPr>
      <w:r w:rsidRPr="00484AE9">
        <w:rPr>
          <w:vertAlign w:val="superscript"/>
        </w:rPr>
        <w:t>b</w:t>
      </w:r>
      <w:r w:rsidRPr="00484AE9">
        <w:rPr>
          <w:vertAlign w:val="superscript"/>
        </w:rPr>
        <w:tab/>
      </w:r>
      <w:r w:rsidRPr="00484AE9">
        <w:t>for comparison of molnupiravir vs usual care</w:t>
      </w:r>
    </w:p>
    <w:p w14:paraId="560080D2" w14:textId="30A1C687" w:rsidR="00045017" w:rsidRPr="00484AE9" w:rsidRDefault="00045017" w:rsidP="00EC5836">
      <w:pPr>
        <w:pStyle w:val="FooterTableFigure"/>
      </w:pPr>
      <w:r w:rsidRPr="00484AE9">
        <w:t>Source</w:t>
      </w:r>
      <w:r w:rsidR="00760AD7" w:rsidRPr="00484AE9">
        <w:t>s</w:t>
      </w:r>
      <w:r w:rsidRPr="00484AE9">
        <w:t xml:space="preserve">: </w:t>
      </w:r>
      <w:r w:rsidR="00F1387B" w:rsidRPr="00484AE9">
        <w:t>Section</w:t>
      </w:r>
      <w:r w:rsidR="00020D96" w:rsidRPr="00484AE9">
        <w:t>s</w:t>
      </w:r>
      <w:r w:rsidR="00F1387B" w:rsidRPr="00484AE9">
        <w:t xml:space="preserve"> 2.3 </w:t>
      </w:r>
      <w:r w:rsidR="00020D96" w:rsidRPr="00484AE9">
        <w:t xml:space="preserve">and 2.4 </w:t>
      </w:r>
      <w:r w:rsidR="00F1387B" w:rsidRPr="00484AE9">
        <w:t>on pp</w:t>
      </w:r>
      <w:r w:rsidR="005B6B56" w:rsidRPr="00484AE9">
        <w:t>43-</w:t>
      </w:r>
      <w:r w:rsidR="009559D2" w:rsidRPr="00484AE9">
        <w:t xml:space="preserve">63, </w:t>
      </w:r>
      <w:r w:rsidRPr="00484AE9">
        <w:t>Table</w:t>
      </w:r>
      <w:r w:rsidR="00760AD7" w:rsidRPr="00484AE9">
        <w:t xml:space="preserve"> </w:t>
      </w:r>
      <w:r w:rsidR="00464DD0" w:rsidRPr="00484AE9">
        <w:t>2.3.1 on</w:t>
      </w:r>
      <w:r w:rsidRPr="00484AE9">
        <w:t xml:space="preserve"> p</w:t>
      </w:r>
      <w:r w:rsidR="00B72879" w:rsidRPr="00484AE9">
        <w:t xml:space="preserve">44, </w:t>
      </w:r>
      <w:r w:rsidR="007C0F65" w:rsidRPr="00484AE9">
        <w:t>Table 2.3.2 on pp,46-47</w:t>
      </w:r>
      <w:r w:rsidR="00FD0980" w:rsidRPr="00484AE9">
        <w:t xml:space="preserve">, </w:t>
      </w:r>
      <w:r w:rsidR="00C92C2D" w:rsidRPr="00484AE9">
        <w:t>Section 2.4.1 on p</w:t>
      </w:r>
      <w:r w:rsidR="004A0763" w:rsidRPr="00484AE9">
        <w:t>55</w:t>
      </w:r>
      <w:r w:rsidR="008A6C15" w:rsidRPr="00484AE9">
        <w:t>-57</w:t>
      </w:r>
      <w:r w:rsidR="004A0763" w:rsidRPr="00484AE9">
        <w:t>,</w:t>
      </w:r>
      <w:r w:rsidR="00471323" w:rsidRPr="00484AE9">
        <w:t xml:space="preserve"> Section 2.6.2 on pp</w:t>
      </w:r>
      <w:r w:rsidR="0009586D" w:rsidRPr="00484AE9">
        <w:t>132-</w:t>
      </w:r>
      <w:r w:rsidR="00804069" w:rsidRPr="00484AE9">
        <w:t>137</w:t>
      </w:r>
      <w:r w:rsidR="002D7744" w:rsidRPr="00484AE9">
        <w:t xml:space="preserve"> of the submission, </w:t>
      </w:r>
      <w:r w:rsidR="00B72879" w:rsidRPr="00484AE9">
        <w:t>Table 6 of the EPIC-SR CSR</w:t>
      </w:r>
      <w:r w:rsidR="00196411" w:rsidRPr="00484AE9">
        <w:t xml:space="preserve">, </w:t>
      </w:r>
      <w:r w:rsidR="00291FBF" w:rsidRPr="00484AE9">
        <w:t>Section 1</w:t>
      </w:r>
      <w:r w:rsidR="00DF2528" w:rsidRPr="00484AE9">
        <w:t>.1</w:t>
      </w:r>
      <w:r w:rsidR="00291FBF" w:rsidRPr="00484AE9">
        <w:t xml:space="preserve"> on pp</w:t>
      </w:r>
      <w:r w:rsidR="00561827" w:rsidRPr="00484AE9">
        <w:t>1-4 and Section</w:t>
      </w:r>
      <w:r w:rsidR="00317D99" w:rsidRPr="00484AE9">
        <w:t xml:space="preserve"> 1.3 on pp</w:t>
      </w:r>
      <w:r w:rsidR="005C6482" w:rsidRPr="00484AE9">
        <w:t xml:space="preserve">9-11 </w:t>
      </w:r>
      <w:r w:rsidR="00317D99" w:rsidRPr="00484AE9">
        <w:t xml:space="preserve">of </w:t>
      </w:r>
      <w:r w:rsidR="00196411" w:rsidRPr="00484AE9">
        <w:t xml:space="preserve">Attachment </w:t>
      </w:r>
      <w:r w:rsidR="002D7744" w:rsidRPr="00484AE9">
        <w:t>3</w:t>
      </w:r>
      <w:r w:rsidR="00E25EE8" w:rsidRPr="00484AE9">
        <w:t xml:space="preserve"> to the submission</w:t>
      </w:r>
    </w:p>
    <w:p w14:paraId="1095487C" w14:textId="71E2958B" w:rsidR="00620C25" w:rsidRPr="00484AE9" w:rsidRDefault="00ED470A" w:rsidP="004C3645">
      <w:pPr>
        <w:pStyle w:val="FooterTableFigure"/>
        <w:jc w:val="left"/>
        <w:rPr>
          <w:sz w:val="20"/>
        </w:rPr>
      </w:pPr>
      <w:r w:rsidRPr="00484AE9">
        <w:t xml:space="preserve">Abbreviations: Aug = August; </w:t>
      </w:r>
      <w:r w:rsidR="00620C25" w:rsidRPr="00484AE9">
        <w:t xml:space="preserve">DB = double blind; </w:t>
      </w:r>
      <w:r w:rsidR="0037245F" w:rsidRPr="00484AE9">
        <w:t xml:space="preserve">Dec = December Jul = July; </w:t>
      </w:r>
      <w:r w:rsidR="00620C25" w:rsidRPr="00484AE9">
        <w:t xml:space="preserve">MC = multi-centre; </w:t>
      </w:r>
      <w:r w:rsidR="00094F65" w:rsidRPr="00484AE9">
        <w:t xml:space="preserve">N </w:t>
      </w:r>
      <w:r w:rsidR="00F11FC0" w:rsidRPr="00484AE9">
        <w:t>= number randomised;</w:t>
      </w:r>
      <w:r w:rsidR="00F11FC0" w:rsidRPr="00484AE9">
        <w:br/>
      </w:r>
      <w:r w:rsidRPr="00484AE9">
        <w:t>Nov = November</w:t>
      </w:r>
      <w:r w:rsidR="00464932" w:rsidRPr="00484AE9">
        <w:t xml:space="preserve">; </w:t>
      </w:r>
      <w:r w:rsidR="00620C25" w:rsidRPr="00484AE9">
        <w:t>OL = open label;</w:t>
      </w:r>
      <w:r w:rsidR="00F11FC0" w:rsidRPr="00484AE9">
        <w:t xml:space="preserve"> </w:t>
      </w:r>
      <w:r w:rsidR="00620C25" w:rsidRPr="00484AE9">
        <w:t>R = randomised.</w:t>
      </w:r>
    </w:p>
    <w:p w14:paraId="4A4FE085" w14:textId="1C5613CC" w:rsidR="00B60939" w:rsidRPr="00484AE9" w:rsidRDefault="00B60939" w:rsidP="00F40641">
      <w:pPr>
        <w:pStyle w:val="4-SubsectionHeading"/>
      </w:pPr>
      <w:bookmarkStart w:id="67" w:name="_Toc22897641"/>
      <w:bookmarkStart w:id="68" w:name="_Toc144920967"/>
      <w:bookmarkStart w:id="69" w:name="_Toc145506595"/>
      <w:r w:rsidRPr="00484AE9">
        <w:t>Comparative effectiveness</w:t>
      </w:r>
      <w:bookmarkEnd w:id="67"/>
      <w:bookmarkEnd w:id="68"/>
      <w:bookmarkEnd w:id="69"/>
    </w:p>
    <w:p w14:paraId="21B1E2DA" w14:textId="572A5BE4" w:rsidR="001D2AFD" w:rsidRPr="00484AE9" w:rsidRDefault="00147E13" w:rsidP="008B03CB">
      <w:pPr>
        <w:pStyle w:val="3-BodyText"/>
        <w:rPr>
          <w:iCs/>
        </w:rPr>
      </w:pPr>
      <w:r w:rsidRPr="00484AE9">
        <w:fldChar w:fldCharType="begin"/>
      </w:r>
      <w:r w:rsidRPr="00484AE9">
        <w:instrText xml:space="preserve"> REF _Ref144665923 \h </w:instrText>
      </w:r>
      <w:r w:rsidRPr="00484AE9">
        <w:fldChar w:fldCharType="separate"/>
      </w:r>
      <w:r w:rsidR="00872657" w:rsidRPr="00484AE9">
        <w:t xml:space="preserve">Table </w:t>
      </w:r>
      <w:r w:rsidR="00872657">
        <w:rPr>
          <w:noProof/>
        </w:rPr>
        <w:t>11</w:t>
      </w:r>
      <w:r w:rsidRPr="00484AE9">
        <w:fldChar w:fldCharType="end"/>
      </w:r>
      <w:r w:rsidRPr="00484AE9">
        <w:t xml:space="preserve"> </w:t>
      </w:r>
      <w:r w:rsidR="00836D73" w:rsidRPr="00484AE9">
        <w:t xml:space="preserve">summarises the </w:t>
      </w:r>
      <w:r w:rsidR="00A66C20" w:rsidRPr="00484AE9">
        <w:t>results from each of the trials for the key outcome</w:t>
      </w:r>
      <w:r w:rsidR="00D61F2C" w:rsidRPr="00484AE9">
        <w:t xml:space="preserve"> of</w:t>
      </w:r>
      <w:r w:rsidR="00A66C20" w:rsidRPr="00484AE9">
        <w:t xml:space="preserve"> </w:t>
      </w:r>
      <w:r w:rsidR="00F54DBE" w:rsidRPr="00484AE9">
        <w:t xml:space="preserve">proportion of patients </w:t>
      </w:r>
      <w:r w:rsidR="00B1070E" w:rsidRPr="00484AE9">
        <w:t xml:space="preserve">hospitalised or died </w:t>
      </w:r>
      <w:r w:rsidR="00D61F2C" w:rsidRPr="00484AE9">
        <w:t xml:space="preserve">(due to any cause) </w:t>
      </w:r>
      <w:r w:rsidR="00B1070E" w:rsidRPr="00484AE9">
        <w:t xml:space="preserve">through Day 28 </w:t>
      </w:r>
      <w:r w:rsidR="00836D73" w:rsidRPr="00484AE9">
        <w:t>from each of the trials.</w:t>
      </w:r>
      <w:r w:rsidR="00F66899" w:rsidRPr="00484AE9">
        <w:t xml:space="preserve"> There is significant variation in the estimates of treatment effect of </w:t>
      </w:r>
      <w:r w:rsidR="00F66899" w:rsidRPr="00484AE9">
        <w:rPr>
          <w:color w:val="000000" w:themeColor="text1"/>
        </w:rPr>
        <w:t xml:space="preserve">nirmatrelvir and ritonavir </w:t>
      </w:r>
      <w:r w:rsidR="003C5046" w:rsidRPr="00484AE9">
        <w:rPr>
          <w:color w:val="000000" w:themeColor="text1"/>
        </w:rPr>
        <w:t xml:space="preserve">reported by the </w:t>
      </w:r>
      <w:r w:rsidR="00A91383" w:rsidRPr="00484AE9">
        <w:rPr>
          <w:color w:val="000000" w:themeColor="text1"/>
        </w:rPr>
        <w:t>various studies</w:t>
      </w:r>
      <w:r w:rsidR="00A62B3A" w:rsidRPr="00484AE9">
        <w:rPr>
          <w:color w:val="000000" w:themeColor="text1"/>
        </w:rPr>
        <w:t xml:space="preserve">. </w:t>
      </w:r>
      <w:r w:rsidR="001D2AFD" w:rsidRPr="00484AE9">
        <w:rPr>
          <w:iCs/>
        </w:rPr>
        <w:t>The PSCR stated that variation in estimates of treatment effect was expected, due to differing populations (and high-risk subgroups), vaccine histories, countries and variants</w:t>
      </w:r>
      <w:r w:rsidR="00A62B3A" w:rsidRPr="00484AE9">
        <w:rPr>
          <w:iCs/>
        </w:rPr>
        <w:t xml:space="preserve">. </w:t>
      </w:r>
      <w:r w:rsidR="001D2AFD" w:rsidRPr="00484AE9">
        <w:rPr>
          <w:iCs/>
        </w:rPr>
        <w:t xml:space="preserve">The PSCR noted that the evidence presented in the submission included the EPIC-HR randomised controlled trial conducted at the time of the Delta variant in an unvaccinated population, and more recent observational studies conducted in a highly vaccinated and boosted population with predominance of the Omicron variant. </w:t>
      </w:r>
    </w:p>
    <w:p w14:paraId="6DD0E911" w14:textId="622BA95C" w:rsidR="00A3251D" w:rsidRPr="00484AE9" w:rsidRDefault="0037458C" w:rsidP="00F40641">
      <w:pPr>
        <w:pStyle w:val="4-SubsectionHeading"/>
      </w:pPr>
      <w:bookmarkStart w:id="70" w:name="_Toc144920968"/>
      <w:bookmarkStart w:id="71" w:name="_Toc145506596"/>
      <w:r w:rsidRPr="00484AE9">
        <w:t>EPIC-HR</w:t>
      </w:r>
      <w:bookmarkEnd w:id="70"/>
      <w:bookmarkEnd w:id="71"/>
    </w:p>
    <w:p w14:paraId="7AC3AC65" w14:textId="14624955" w:rsidR="00274BF8" w:rsidRPr="00484AE9" w:rsidRDefault="00AD63E9" w:rsidP="006853BD">
      <w:pPr>
        <w:pStyle w:val="3-BodyText"/>
      </w:pPr>
      <w:r w:rsidRPr="00484AE9">
        <w:rPr>
          <w:snapToGrid/>
        </w:rPr>
        <w:t xml:space="preserve">As noted in paragraph </w:t>
      </w:r>
      <w:r w:rsidR="00725265" w:rsidRPr="00484AE9">
        <w:rPr>
          <w:snapToGrid/>
        </w:rPr>
        <w:fldChar w:fldCharType="begin"/>
      </w:r>
      <w:r w:rsidR="00725265" w:rsidRPr="00484AE9">
        <w:rPr>
          <w:snapToGrid/>
        </w:rPr>
        <w:instrText xml:space="preserve"> REF _Ref144566933 \r \h </w:instrText>
      </w:r>
      <w:r w:rsidR="005730DE" w:rsidRPr="00484AE9">
        <w:rPr>
          <w:snapToGrid/>
        </w:rPr>
        <w:instrText xml:space="preserve"> \* MERGEFORMAT </w:instrText>
      </w:r>
      <w:r w:rsidR="00725265" w:rsidRPr="00484AE9">
        <w:rPr>
          <w:snapToGrid/>
        </w:rPr>
      </w:r>
      <w:r w:rsidR="00725265" w:rsidRPr="00484AE9">
        <w:rPr>
          <w:snapToGrid/>
        </w:rPr>
        <w:fldChar w:fldCharType="separate"/>
      </w:r>
      <w:r w:rsidR="00872657">
        <w:rPr>
          <w:snapToGrid/>
        </w:rPr>
        <w:t>2.7</w:t>
      </w:r>
      <w:r w:rsidR="00725265" w:rsidRPr="00484AE9">
        <w:rPr>
          <w:snapToGrid/>
        </w:rPr>
        <w:fldChar w:fldCharType="end"/>
      </w:r>
      <w:r w:rsidR="00725265" w:rsidRPr="00484AE9">
        <w:rPr>
          <w:snapToGrid/>
        </w:rPr>
        <w:t>, a number of analysis sets were defined for the EPIC-HR trial. No analyses of outcomes were performed using the full analysis set (FAS)</w:t>
      </w:r>
      <w:r w:rsidR="00DA429C" w:rsidRPr="00484AE9">
        <w:rPr>
          <w:snapToGrid/>
        </w:rPr>
        <w:t>, which included</w:t>
      </w:r>
      <w:r w:rsidR="00CE7385" w:rsidRPr="00484AE9">
        <w:rPr>
          <w:snapToGrid/>
        </w:rPr>
        <w:t xml:space="preserve"> 2,113 patients</w:t>
      </w:r>
      <w:r w:rsidR="00725265" w:rsidRPr="00484AE9">
        <w:rPr>
          <w:snapToGrid/>
        </w:rPr>
        <w:t xml:space="preserve">. </w:t>
      </w:r>
      <w:r w:rsidR="00004FCD" w:rsidRPr="00484AE9">
        <w:rPr>
          <w:snapToGrid/>
        </w:rPr>
        <w:t xml:space="preserve">The definitions of the other key analysis sets </w:t>
      </w:r>
      <w:r w:rsidR="00274BF8" w:rsidRPr="00484AE9">
        <w:rPr>
          <w:snapToGrid/>
        </w:rPr>
        <w:t>upon which effectiveness of nirmatrelvir and ritonavir was assessed were:</w:t>
      </w:r>
    </w:p>
    <w:p w14:paraId="7A0895B2" w14:textId="32012ABD" w:rsidR="00274BF8" w:rsidRPr="006853BD" w:rsidRDefault="00096F7D" w:rsidP="006853BD">
      <w:pPr>
        <w:pStyle w:val="3-BodyText"/>
        <w:numPr>
          <w:ilvl w:val="2"/>
          <w:numId w:val="1"/>
        </w:numPr>
        <w:ind w:left="1080"/>
        <w:rPr>
          <w:snapToGrid/>
        </w:rPr>
      </w:pPr>
      <w:r w:rsidRPr="00484AE9">
        <w:t>m</w:t>
      </w:r>
      <w:r w:rsidR="00BF682D" w:rsidRPr="00484AE9">
        <w:t>odified intent</w:t>
      </w:r>
      <w:r w:rsidRPr="00484AE9">
        <w:t>ion-to-treat (</w:t>
      </w:r>
      <w:r w:rsidR="001571DE" w:rsidRPr="00484AE9">
        <w:t>mITT</w:t>
      </w:r>
      <w:r w:rsidRPr="00484AE9">
        <w:t>)</w:t>
      </w:r>
      <w:r w:rsidR="001571DE" w:rsidRPr="00484AE9">
        <w:t xml:space="preserve"> analysis set</w:t>
      </w:r>
      <w:r w:rsidR="00B32072" w:rsidRPr="00484AE9">
        <w:t xml:space="preserve"> (N=</w:t>
      </w:r>
      <w:r w:rsidR="00CB64E7" w:rsidRPr="00484AE9">
        <w:t>1,318)</w:t>
      </w:r>
      <w:r w:rsidR="001571DE" w:rsidRPr="00484AE9">
        <w:t>: a</w:t>
      </w:r>
      <w:r w:rsidR="00274BF8" w:rsidRPr="00484AE9">
        <w:t xml:space="preserve">ll participants </w:t>
      </w:r>
      <w:r w:rsidR="00274BF8" w:rsidRPr="006853BD">
        <w:rPr>
          <w:snapToGrid/>
        </w:rPr>
        <w:t>randomly</w:t>
      </w:r>
      <w:r w:rsidR="00274BF8" w:rsidRPr="00484AE9">
        <w:t xml:space="preserve"> assigned to study intervention, who took at least 1 dose of study </w:t>
      </w:r>
      <w:r w:rsidR="00274BF8" w:rsidRPr="006853BD">
        <w:rPr>
          <w:snapToGrid/>
        </w:rPr>
        <w:t>intervention, who at baseline did not receive nor were expected to receive COVID-19 therapeutic mAb treatment and were treated ≤3 days of COVID-19 onset</w:t>
      </w:r>
      <w:r w:rsidR="00193E1F" w:rsidRPr="006853BD">
        <w:rPr>
          <w:snapToGrid/>
        </w:rPr>
        <w:t>;</w:t>
      </w:r>
    </w:p>
    <w:p w14:paraId="3663BDAF" w14:textId="14264DFB" w:rsidR="00274BF8" w:rsidRPr="006853BD" w:rsidRDefault="001571DE" w:rsidP="006853BD">
      <w:pPr>
        <w:pStyle w:val="3-BodyText"/>
        <w:numPr>
          <w:ilvl w:val="2"/>
          <w:numId w:val="1"/>
        </w:numPr>
        <w:ind w:left="1080"/>
        <w:rPr>
          <w:snapToGrid/>
        </w:rPr>
      </w:pPr>
      <w:r w:rsidRPr="006853BD">
        <w:rPr>
          <w:snapToGrid/>
        </w:rPr>
        <w:t>mITT1 analysis set</w:t>
      </w:r>
      <w:r w:rsidR="00797FA4" w:rsidRPr="006853BD">
        <w:rPr>
          <w:snapToGrid/>
        </w:rPr>
        <w:t xml:space="preserve"> (N=1,966)</w:t>
      </w:r>
      <w:r w:rsidRPr="006853BD">
        <w:rPr>
          <w:snapToGrid/>
        </w:rPr>
        <w:t>: a</w:t>
      </w:r>
      <w:r w:rsidR="00274BF8" w:rsidRPr="006853BD">
        <w:rPr>
          <w:snapToGrid/>
        </w:rPr>
        <w:t>ll participants randomly assigned to study intervention, who took at least 1 dose of study intervention, and who at baseline did not receive nor were expected to receive COVID-19 therapeutic mAb treatment</w:t>
      </w:r>
      <w:r w:rsidR="00193E1F" w:rsidRPr="006853BD">
        <w:rPr>
          <w:snapToGrid/>
        </w:rPr>
        <w:t>;</w:t>
      </w:r>
    </w:p>
    <w:p w14:paraId="4F1188F0" w14:textId="54306502" w:rsidR="00274BF8" w:rsidRPr="00484AE9" w:rsidRDefault="00193E1F" w:rsidP="00274BF8">
      <w:pPr>
        <w:pStyle w:val="3-BodyText"/>
        <w:numPr>
          <w:ilvl w:val="2"/>
          <w:numId w:val="1"/>
        </w:numPr>
        <w:ind w:left="1080"/>
      </w:pPr>
      <w:r w:rsidRPr="006853BD">
        <w:rPr>
          <w:snapToGrid/>
        </w:rPr>
        <w:lastRenderedPageBreak/>
        <w:t>mITT2</w:t>
      </w:r>
      <w:r w:rsidRPr="00484AE9">
        <w:t xml:space="preserve"> analysis set</w:t>
      </w:r>
      <w:r w:rsidR="00797FA4" w:rsidRPr="00484AE9">
        <w:t xml:space="preserve"> (N=</w:t>
      </w:r>
      <w:r w:rsidR="004C7FA8" w:rsidRPr="00484AE9">
        <w:t>2,091)</w:t>
      </w:r>
      <w:r w:rsidRPr="00484AE9">
        <w:t>: a</w:t>
      </w:r>
      <w:r w:rsidR="00274BF8" w:rsidRPr="00484AE9">
        <w:t xml:space="preserve">ll participants randomly assigned to study intervention, who took at least 1 dose of study intervention. </w:t>
      </w:r>
    </w:p>
    <w:p w14:paraId="37F904F4" w14:textId="1CA07637" w:rsidR="00456A04" w:rsidRPr="00484AE9" w:rsidRDefault="00725265" w:rsidP="00315837">
      <w:pPr>
        <w:pStyle w:val="3-BodyText"/>
        <w:numPr>
          <w:ilvl w:val="0"/>
          <w:numId w:val="0"/>
        </w:numPr>
        <w:ind w:left="720"/>
        <w:rPr>
          <w:snapToGrid/>
        </w:rPr>
      </w:pPr>
      <w:r w:rsidRPr="00484AE9">
        <w:rPr>
          <w:snapToGrid/>
        </w:rPr>
        <w:t>The</w:t>
      </w:r>
      <w:r w:rsidR="002C7BE9" w:rsidRPr="00484AE9">
        <w:rPr>
          <w:snapToGrid/>
        </w:rPr>
        <w:t xml:space="preserve"> </w:t>
      </w:r>
      <w:r w:rsidR="00315837" w:rsidRPr="00484AE9">
        <w:rPr>
          <w:snapToGrid/>
        </w:rPr>
        <w:t>submission focussed on</w:t>
      </w:r>
      <w:r w:rsidR="00144CED" w:rsidRPr="00484AE9">
        <w:rPr>
          <w:snapToGrid/>
        </w:rPr>
        <w:t xml:space="preserve"> </w:t>
      </w:r>
      <w:r w:rsidR="001C7D78" w:rsidRPr="00484AE9">
        <w:rPr>
          <w:snapToGrid/>
        </w:rPr>
        <w:t xml:space="preserve">results </w:t>
      </w:r>
      <w:r w:rsidR="00144CED" w:rsidRPr="00484AE9">
        <w:rPr>
          <w:snapToGrid/>
        </w:rPr>
        <w:t>reported for</w:t>
      </w:r>
      <w:r w:rsidR="001C7D78" w:rsidRPr="00484AE9">
        <w:rPr>
          <w:snapToGrid/>
        </w:rPr>
        <w:t xml:space="preserve"> the </w:t>
      </w:r>
      <w:r w:rsidR="002C7BE9" w:rsidRPr="00484AE9">
        <w:rPr>
          <w:snapToGrid/>
        </w:rPr>
        <w:t>mITT analysis set</w:t>
      </w:r>
      <w:r w:rsidR="001C7D78" w:rsidRPr="00484AE9">
        <w:rPr>
          <w:snapToGrid/>
        </w:rPr>
        <w:t>, which</w:t>
      </w:r>
      <w:r w:rsidR="002C7BE9" w:rsidRPr="00484AE9">
        <w:rPr>
          <w:snapToGrid/>
        </w:rPr>
        <w:t xml:space="preserve"> </w:t>
      </w:r>
      <w:r w:rsidR="00B84B88" w:rsidRPr="00484AE9">
        <w:rPr>
          <w:snapToGrid/>
        </w:rPr>
        <w:t>was</w:t>
      </w:r>
      <w:r w:rsidR="002C7BE9" w:rsidRPr="00484AE9">
        <w:rPr>
          <w:snapToGrid/>
        </w:rPr>
        <w:t xml:space="preserve"> limited to patient</w:t>
      </w:r>
      <w:r w:rsidR="00144CED" w:rsidRPr="00484AE9">
        <w:rPr>
          <w:snapToGrid/>
        </w:rPr>
        <w:t>s</w:t>
      </w:r>
      <w:r w:rsidR="002C7BE9" w:rsidRPr="00484AE9">
        <w:rPr>
          <w:snapToGrid/>
        </w:rPr>
        <w:t xml:space="preserve"> who were treated</w:t>
      </w:r>
      <w:r w:rsidR="002C7BE9" w:rsidRPr="00484AE9">
        <w:t xml:space="preserve"> ≤</w:t>
      </w:r>
      <w:r w:rsidR="007F65CB" w:rsidRPr="00484AE9">
        <w:t xml:space="preserve"> </w:t>
      </w:r>
      <w:r w:rsidR="002C7BE9" w:rsidRPr="00484AE9">
        <w:t>3 days of COVID-19 onset</w:t>
      </w:r>
      <w:r w:rsidR="00144CED" w:rsidRPr="00484AE9">
        <w:t>. The</w:t>
      </w:r>
      <w:r w:rsidR="00AF7749" w:rsidRPr="00484AE9">
        <w:t xml:space="preserve"> </w:t>
      </w:r>
      <w:r w:rsidR="00EB5D2A" w:rsidRPr="00484AE9">
        <w:t>submission’s focus on</w:t>
      </w:r>
      <w:r w:rsidR="00144CED" w:rsidRPr="00484AE9">
        <w:t xml:space="preserve"> results </w:t>
      </w:r>
      <w:r w:rsidR="0006634A" w:rsidRPr="00484AE9">
        <w:t>based on this subgroup of patients in the trial</w:t>
      </w:r>
      <w:r w:rsidR="001C7D78" w:rsidRPr="00484AE9">
        <w:rPr>
          <w:snapToGrid/>
        </w:rPr>
        <w:t xml:space="preserve"> </w:t>
      </w:r>
      <w:r w:rsidR="00310DFB" w:rsidRPr="00484AE9">
        <w:rPr>
          <w:snapToGrid/>
        </w:rPr>
        <w:t xml:space="preserve">was </w:t>
      </w:r>
      <w:r w:rsidR="00EB5D2A" w:rsidRPr="00484AE9">
        <w:rPr>
          <w:snapToGrid/>
        </w:rPr>
        <w:t xml:space="preserve">not justified </w:t>
      </w:r>
      <w:r w:rsidR="00B945C5" w:rsidRPr="00484AE9">
        <w:rPr>
          <w:snapToGrid/>
        </w:rPr>
        <w:t xml:space="preserve">given that </w:t>
      </w:r>
      <w:r w:rsidR="004C7FA8" w:rsidRPr="00484AE9">
        <w:rPr>
          <w:snapToGrid/>
        </w:rPr>
        <w:t xml:space="preserve">the population for whom continued availability of </w:t>
      </w:r>
      <w:r w:rsidR="007F65CB" w:rsidRPr="00484AE9">
        <w:rPr>
          <w:snapToGrid/>
        </w:rPr>
        <w:t xml:space="preserve">nirmatrelvir and ritonavir is sought permits patients to be treated </w:t>
      </w:r>
      <w:r w:rsidR="008A01B7" w:rsidRPr="00484AE9">
        <w:rPr>
          <w:snapToGrid/>
        </w:rPr>
        <w:t xml:space="preserve">within </w:t>
      </w:r>
      <w:r w:rsidR="007F65CB" w:rsidRPr="00484AE9">
        <w:t xml:space="preserve">≤ 5 days of </w:t>
      </w:r>
      <w:r w:rsidR="00F5666B" w:rsidRPr="00484AE9">
        <w:t xml:space="preserve">onset of </w:t>
      </w:r>
      <w:r w:rsidR="007F65CB" w:rsidRPr="00484AE9">
        <w:t xml:space="preserve">COVID-19 </w:t>
      </w:r>
      <w:r w:rsidR="0006634A" w:rsidRPr="00484AE9">
        <w:rPr>
          <w:snapToGrid/>
        </w:rPr>
        <w:t>rather than</w:t>
      </w:r>
      <w:r w:rsidR="007A061D" w:rsidRPr="00484AE9">
        <w:t xml:space="preserve"> ≤ 3 days</w:t>
      </w:r>
      <w:r w:rsidR="00BF682D" w:rsidRPr="00484AE9">
        <w:rPr>
          <w:snapToGrid/>
        </w:rPr>
        <w:t xml:space="preserve">. </w:t>
      </w:r>
      <w:r w:rsidR="007A061D" w:rsidRPr="00484AE9">
        <w:rPr>
          <w:snapToGrid/>
        </w:rPr>
        <w:t>As discussed in paragraph 2.1</w:t>
      </w:r>
      <w:r w:rsidR="00E611EF" w:rsidRPr="00484AE9">
        <w:rPr>
          <w:snapToGrid/>
        </w:rPr>
        <w:t>0, the</w:t>
      </w:r>
      <w:r w:rsidR="00296644" w:rsidRPr="00484AE9">
        <w:rPr>
          <w:snapToGrid/>
        </w:rPr>
        <w:t xml:space="preserve"> PBAC considered </w:t>
      </w:r>
      <w:r w:rsidR="00D47A20" w:rsidRPr="00484AE9">
        <w:rPr>
          <w:snapToGrid/>
        </w:rPr>
        <w:t>analyses based on the</w:t>
      </w:r>
      <w:r w:rsidR="00E611EF" w:rsidRPr="00484AE9">
        <w:rPr>
          <w:snapToGrid/>
        </w:rPr>
        <w:t xml:space="preserve"> </w:t>
      </w:r>
      <w:r w:rsidRPr="00484AE9">
        <w:rPr>
          <w:snapToGrid/>
        </w:rPr>
        <w:t xml:space="preserve">mITT2 population </w:t>
      </w:r>
      <w:r w:rsidR="007750B8" w:rsidRPr="00484AE9">
        <w:rPr>
          <w:snapToGrid/>
        </w:rPr>
        <w:t>to be</w:t>
      </w:r>
      <w:r w:rsidRPr="00484AE9">
        <w:rPr>
          <w:snapToGrid/>
        </w:rPr>
        <w:t xml:space="preserve"> the </w:t>
      </w:r>
      <w:r w:rsidR="00E611EF" w:rsidRPr="00484AE9">
        <w:rPr>
          <w:snapToGrid/>
        </w:rPr>
        <w:t xml:space="preserve">most relevant </w:t>
      </w:r>
      <w:r w:rsidRPr="00484AE9">
        <w:rPr>
          <w:snapToGrid/>
        </w:rPr>
        <w:t>analysis set as it included all patients who received at least one dose of study intervention.</w:t>
      </w:r>
      <w:r w:rsidR="00F11DBA" w:rsidRPr="00484AE9">
        <w:rPr>
          <w:snapToGrid/>
        </w:rPr>
        <w:t xml:space="preserve"> </w:t>
      </w:r>
      <w:r w:rsidR="007667F5" w:rsidRPr="00484AE9">
        <w:rPr>
          <w:snapToGrid/>
        </w:rPr>
        <w:t>Th</w:t>
      </w:r>
      <w:r w:rsidR="00E242F2" w:rsidRPr="00484AE9">
        <w:rPr>
          <w:snapToGrid/>
        </w:rPr>
        <w:t>e mITT2</w:t>
      </w:r>
      <w:r w:rsidR="007667F5" w:rsidRPr="00484AE9">
        <w:rPr>
          <w:snapToGrid/>
        </w:rPr>
        <w:t xml:space="preserve"> analysis set is </w:t>
      </w:r>
      <w:r w:rsidR="00E242F2" w:rsidRPr="00484AE9">
        <w:rPr>
          <w:snapToGrid/>
        </w:rPr>
        <w:t xml:space="preserve">also </w:t>
      </w:r>
      <w:r w:rsidR="00975E63" w:rsidRPr="00484AE9">
        <w:rPr>
          <w:snapToGrid/>
        </w:rPr>
        <w:t>consistent with</w:t>
      </w:r>
      <w:r w:rsidR="00E242F2" w:rsidRPr="00484AE9">
        <w:rPr>
          <w:snapToGrid/>
        </w:rPr>
        <w:t xml:space="preserve"> the safety analysis set. </w:t>
      </w:r>
      <w:r w:rsidR="00F11DBA" w:rsidRPr="00484AE9">
        <w:rPr>
          <w:snapToGrid/>
        </w:rPr>
        <w:t xml:space="preserve">Thus, results presented in </w:t>
      </w:r>
      <w:r w:rsidR="0036594D" w:rsidRPr="00484AE9">
        <w:rPr>
          <w:snapToGrid/>
        </w:rPr>
        <w:fldChar w:fldCharType="begin"/>
      </w:r>
      <w:r w:rsidR="0036594D" w:rsidRPr="00484AE9">
        <w:rPr>
          <w:snapToGrid/>
        </w:rPr>
        <w:instrText xml:space="preserve"> REF _Ref144665923 \h  \* MERGEFORMAT </w:instrText>
      </w:r>
      <w:r w:rsidR="0036594D" w:rsidRPr="00484AE9">
        <w:rPr>
          <w:snapToGrid/>
        </w:rPr>
      </w:r>
      <w:r w:rsidR="0036594D" w:rsidRPr="00484AE9">
        <w:rPr>
          <w:snapToGrid/>
        </w:rPr>
        <w:fldChar w:fldCharType="separate"/>
      </w:r>
      <w:r w:rsidR="00872657" w:rsidRPr="00484AE9">
        <w:t xml:space="preserve">Table </w:t>
      </w:r>
      <w:r w:rsidR="00872657">
        <w:t>11</w:t>
      </w:r>
      <w:r w:rsidR="0036594D" w:rsidRPr="00484AE9">
        <w:rPr>
          <w:snapToGrid/>
        </w:rPr>
        <w:fldChar w:fldCharType="end"/>
      </w:r>
      <w:r w:rsidR="00514982" w:rsidRPr="00484AE9">
        <w:rPr>
          <w:snapToGrid/>
        </w:rPr>
        <w:t xml:space="preserve"> are not those reported in the submission but </w:t>
      </w:r>
      <w:r w:rsidR="00F7627C" w:rsidRPr="00484AE9">
        <w:rPr>
          <w:snapToGrid/>
        </w:rPr>
        <w:t>are the results reported for the mITT2 population.</w:t>
      </w:r>
    </w:p>
    <w:p w14:paraId="4BA7DD8C" w14:textId="4C46558E" w:rsidR="0037458C" w:rsidRPr="00484AE9" w:rsidRDefault="0037458C" w:rsidP="00F40641">
      <w:pPr>
        <w:pStyle w:val="4-SubsectionHeading"/>
      </w:pPr>
      <w:bookmarkStart w:id="72" w:name="_Toc144920969"/>
      <w:bookmarkStart w:id="73" w:name="_Toc145506597"/>
      <w:r w:rsidRPr="00484AE9">
        <w:t>EPIC-</w:t>
      </w:r>
      <w:r w:rsidR="003E4D49" w:rsidRPr="00484AE9">
        <w:t>S</w:t>
      </w:r>
      <w:r w:rsidRPr="00484AE9">
        <w:t>R</w:t>
      </w:r>
      <w:bookmarkEnd w:id="72"/>
      <w:bookmarkEnd w:id="73"/>
    </w:p>
    <w:p w14:paraId="64A2B9F9" w14:textId="12472814" w:rsidR="00E8602A" w:rsidRPr="00484AE9" w:rsidRDefault="00646562" w:rsidP="003E2A1F">
      <w:pPr>
        <w:pStyle w:val="3-BodyText"/>
        <w:rPr>
          <w:rStyle w:val="normaltextrun"/>
          <w:iCs/>
        </w:rPr>
      </w:pPr>
      <w:bookmarkStart w:id="74" w:name="_Ref144668210"/>
      <w:bookmarkStart w:id="75" w:name="_Ref150978469"/>
      <w:r w:rsidRPr="00484AE9">
        <w:t xml:space="preserve">The EPIC-SR trial was terminated early. </w:t>
      </w:r>
      <w:r w:rsidR="006F2789" w:rsidRPr="00484AE9">
        <w:t>The submission reports that early termination was “</w:t>
      </w:r>
      <w:r w:rsidR="00B216C4" w:rsidRPr="00484AE9">
        <w:t>due to a very low rate of hospitalisation or death observed in the standard-risk patient population</w:t>
      </w:r>
      <w:r w:rsidR="006F2789" w:rsidRPr="00484AE9">
        <w:t>”</w:t>
      </w:r>
      <w:r w:rsidR="00B216C4" w:rsidRPr="00484AE9">
        <w:t xml:space="preserve">. </w:t>
      </w:r>
      <w:r w:rsidR="00584721" w:rsidRPr="00484AE9">
        <w:t xml:space="preserve">Results are presented based on the mITT1 </w:t>
      </w:r>
      <w:r w:rsidR="00750972" w:rsidRPr="00484AE9">
        <w:t xml:space="preserve">analysis set, which included </w:t>
      </w:r>
      <w:r w:rsidR="00527382" w:rsidRPr="00484AE9">
        <w:t>al</w:t>
      </w:r>
      <w:r w:rsidR="00750972" w:rsidRPr="00484AE9">
        <w:t>l participants randomly assigned to study intervention, who took at least 1 dose of study</w:t>
      </w:r>
      <w:r w:rsidR="00527382" w:rsidRPr="00484AE9">
        <w:t xml:space="preserve"> </w:t>
      </w:r>
      <w:r w:rsidR="00750972" w:rsidRPr="00484AE9">
        <w:t xml:space="preserve">intervention. </w:t>
      </w:r>
      <w:r w:rsidR="001D4BA7" w:rsidRPr="00484AE9">
        <w:t>As can be seen from</w:t>
      </w:r>
      <w:r w:rsidR="0036594D" w:rsidRPr="00484AE9">
        <w:t xml:space="preserve"> </w:t>
      </w:r>
      <w:r w:rsidR="0036594D" w:rsidRPr="00484AE9">
        <w:fldChar w:fldCharType="begin"/>
      </w:r>
      <w:r w:rsidR="0036594D" w:rsidRPr="00484AE9">
        <w:instrText xml:space="preserve"> REF _Ref144665923 \h </w:instrText>
      </w:r>
      <w:r w:rsidR="0036594D" w:rsidRPr="00484AE9">
        <w:fldChar w:fldCharType="separate"/>
      </w:r>
      <w:r w:rsidR="00872657" w:rsidRPr="00484AE9">
        <w:t xml:space="preserve">Table </w:t>
      </w:r>
      <w:r w:rsidR="00872657">
        <w:rPr>
          <w:noProof/>
        </w:rPr>
        <w:t>11</w:t>
      </w:r>
      <w:r w:rsidR="0036594D" w:rsidRPr="00484AE9">
        <w:fldChar w:fldCharType="end"/>
      </w:r>
      <w:r w:rsidR="0036594D" w:rsidRPr="00484AE9">
        <w:t>,</w:t>
      </w:r>
      <w:r w:rsidR="00854AD3" w:rsidRPr="00484AE9">
        <w:t xml:space="preserve"> </w:t>
      </w:r>
      <w:r w:rsidR="00321F0D" w:rsidRPr="00484AE9">
        <w:t>the difference in</w:t>
      </w:r>
      <w:r w:rsidR="00E8602A" w:rsidRPr="00484AE9">
        <w:t xml:space="preserve"> </w:t>
      </w:r>
      <w:r w:rsidR="004002AE" w:rsidRPr="00484AE9">
        <w:t>the EPIC</w:t>
      </w:r>
      <w:r w:rsidR="0036594D" w:rsidRPr="00484AE9">
        <w:noBreakHyphen/>
      </w:r>
      <w:r w:rsidR="004002AE" w:rsidRPr="00484AE9">
        <w:t xml:space="preserve">SR trial in </w:t>
      </w:r>
      <w:r w:rsidR="00E8602A" w:rsidRPr="00484AE9">
        <w:t>the proportion of patient who had been hospitalised or had died</w:t>
      </w:r>
      <w:r w:rsidR="004002AE" w:rsidRPr="00484AE9">
        <w:t xml:space="preserve"> through to Day 28 did not reach statistical significance.</w:t>
      </w:r>
      <w:r w:rsidR="00B216C4" w:rsidRPr="00484AE9">
        <w:t xml:space="preserve"> In addition,</w:t>
      </w:r>
      <w:r w:rsidR="00582E6A" w:rsidRPr="00484AE9">
        <w:t xml:space="preserve"> the primary analysis result (</w:t>
      </w:r>
      <w:r w:rsidR="00744C3E" w:rsidRPr="00484AE9">
        <w:t xml:space="preserve">difference </w:t>
      </w:r>
      <w:r w:rsidR="00064C9B" w:rsidRPr="00484AE9">
        <w:t xml:space="preserve">in </w:t>
      </w:r>
      <w:r w:rsidR="00582E6A" w:rsidRPr="00484AE9">
        <w:t>time to</w:t>
      </w:r>
      <w:r w:rsidR="00866DA1" w:rsidRPr="00484AE9">
        <w:t xml:space="preserve"> sustained alleviation of all targeted </w:t>
      </w:r>
      <w:r w:rsidR="00866DA1" w:rsidRPr="00484AE9">
        <w:rPr>
          <w:rStyle w:val="normaltextrun"/>
        </w:rPr>
        <w:t>COVID</w:t>
      </w:r>
      <w:r w:rsidR="00866DA1" w:rsidRPr="00484AE9">
        <w:rPr>
          <w:rStyle w:val="normaltextrun"/>
        </w:rPr>
        <w:noBreakHyphen/>
        <w:t>19 signs/symptoms through Day 28) was not statistically</w:t>
      </w:r>
      <w:r w:rsidR="00744C3E" w:rsidRPr="00484AE9">
        <w:rPr>
          <w:rStyle w:val="normaltextrun"/>
        </w:rPr>
        <w:t xml:space="preserve"> significant and the primary objective of the trial </w:t>
      </w:r>
      <w:r w:rsidR="00C10B5A" w:rsidRPr="00484AE9">
        <w:rPr>
          <w:rStyle w:val="normaltextrun"/>
        </w:rPr>
        <w:t xml:space="preserve">was </w:t>
      </w:r>
      <w:r w:rsidR="00744C3E" w:rsidRPr="00484AE9">
        <w:rPr>
          <w:rStyle w:val="normaltextrun"/>
        </w:rPr>
        <w:t>not met.</w:t>
      </w:r>
      <w:r w:rsidR="00F76427" w:rsidRPr="00484AE9">
        <w:rPr>
          <w:rStyle w:val="normaltextrun"/>
        </w:rPr>
        <w:t xml:space="preserve"> </w:t>
      </w:r>
      <w:r w:rsidR="00981584" w:rsidRPr="00484AE9">
        <w:t xml:space="preserve">As </w:t>
      </w:r>
      <w:r w:rsidR="00B379FE" w:rsidRPr="00484AE9">
        <w:t>shown in</w:t>
      </w:r>
      <w:r w:rsidR="0036594D" w:rsidRPr="00484AE9">
        <w:t xml:space="preserve"> </w:t>
      </w:r>
      <w:r w:rsidR="0036594D" w:rsidRPr="00484AE9">
        <w:fldChar w:fldCharType="begin"/>
      </w:r>
      <w:r w:rsidR="0036594D" w:rsidRPr="00484AE9">
        <w:instrText xml:space="preserve"> REF _Ref144665923 \h </w:instrText>
      </w:r>
      <w:r w:rsidR="0036594D" w:rsidRPr="00484AE9">
        <w:fldChar w:fldCharType="separate"/>
      </w:r>
      <w:r w:rsidR="00872657" w:rsidRPr="00484AE9">
        <w:t xml:space="preserve">Table </w:t>
      </w:r>
      <w:r w:rsidR="00872657">
        <w:rPr>
          <w:noProof/>
        </w:rPr>
        <w:t>11</w:t>
      </w:r>
      <w:r w:rsidR="0036594D" w:rsidRPr="00484AE9">
        <w:fldChar w:fldCharType="end"/>
      </w:r>
      <w:r w:rsidR="0036594D" w:rsidRPr="00484AE9">
        <w:t>,</w:t>
      </w:r>
      <w:r w:rsidR="00B379FE" w:rsidRPr="00484AE9">
        <w:t xml:space="preserve"> t</w:t>
      </w:r>
      <w:r w:rsidR="002A22A6" w:rsidRPr="00484AE9">
        <w:rPr>
          <w:rStyle w:val="normaltextrun"/>
        </w:rPr>
        <w:t xml:space="preserve">he submission </w:t>
      </w:r>
      <w:r w:rsidR="008D32A9" w:rsidRPr="00484AE9">
        <w:rPr>
          <w:rStyle w:val="normaltextrun"/>
        </w:rPr>
        <w:t xml:space="preserve">also </w:t>
      </w:r>
      <w:r w:rsidR="002A22A6" w:rsidRPr="00484AE9">
        <w:rPr>
          <w:rStyle w:val="normaltextrun"/>
        </w:rPr>
        <w:t>present</w:t>
      </w:r>
      <w:r w:rsidR="00933CE8" w:rsidRPr="00484AE9">
        <w:rPr>
          <w:rStyle w:val="normaltextrun"/>
        </w:rPr>
        <w:t>ed</w:t>
      </w:r>
      <w:r w:rsidR="002A22A6" w:rsidRPr="00484AE9">
        <w:rPr>
          <w:rStyle w:val="normaltextrun"/>
        </w:rPr>
        <w:t xml:space="preserve"> results from prespecified subgroup analyses</w:t>
      </w:r>
      <w:r w:rsidR="000A5F02" w:rsidRPr="00484AE9">
        <w:rPr>
          <w:rStyle w:val="normaltextrun"/>
        </w:rPr>
        <w:t xml:space="preserve"> that restricted analysis to patients who were considered at high risk (defined as having at least one risk factor)</w:t>
      </w:r>
      <w:r w:rsidR="00A65E17" w:rsidRPr="00484AE9">
        <w:rPr>
          <w:rStyle w:val="normaltextrun"/>
        </w:rPr>
        <w:t xml:space="preserve">. The </w:t>
      </w:r>
      <w:r w:rsidR="00B17757" w:rsidRPr="00484AE9">
        <w:rPr>
          <w:rStyle w:val="normaltextrun"/>
        </w:rPr>
        <w:t xml:space="preserve">difference between nirmatrelvir and ritonavir versus placebo again </w:t>
      </w:r>
      <w:r w:rsidR="00C10B5A" w:rsidRPr="00484AE9">
        <w:rPr>
          <w:rStyle w:val="normaltextrun"/>
        </w:rPr>
        <w:t xml:space="preserve">did </w:t>
      </w:r>
      <w:r w:rsidR="00B17757" w:rsidRPr="00484AE9">
        <w:rPr>
          <w:rStyle w:val="normaltextrun"/>
        </w:rPr>
        <w:t xml:space="preserve">not reach statistical significance. However, on the EPIC-SR trial, the submission </w:t>
      </w:r>
      <w:r w:rsidR="00B379FE" w:rsidRPr="00484AE9">
        <w:rPr>
          <w:rStyle w:val="normaltextrun"/>
        </w:rPr>
        <w:t>conclude</w:t>
      </w:r>
      <w:r w:rsidR="00B84B88" w:rsidRPr="00484AE9">
        <w:rPr>
          <w:rStyle w:val="normaltextrun"/>
        </w:rPr>
        <w:t>d that</w:t>
      </w:r>
      <w:r w:rsidR="00B379FE" w:rsidRPr="00484AE9">
        <w:rPr>
          <w:rStyle w:val="normaltextrun"/>
        </w:rPr>
        <w:t xml:space="preserve"> </w:t>
      </w:r>
      <w:r w:rsidR="00862BDD" w:rsidRPr="00484AE9">
        <w:rPr>
          <w:rStyle w:val="normaltextrun"/>
        </w:rPr>
        <w:t>“</w:t>
      </w:r>
      <w:r w:rsidR="007D5F01" w:rsidRPr="00484AE9">
        <w:rPr>
          <w:rStyle w:val="normaltextrun"/>
        </w:rPr>
        <w:t>the risk reduction was more apparent in the subgroup of participants who were considered as high risk (i.e., vaccinated with at least 1 risk factor) than in participants who were considered as standard risk (i.e., participants who did not have risk factors and were either vaccinated or not vaccinated)</w:t>
      </w:r>
      <w:r w:rsidR="00862BDD" w:rsidRPr="00484AE9">
        <w:rPr>
          <w:rStyle w:val="normaltextrun"/>
        </w:rPr>
        <w:t>”</w:t>
      </w:r>
      <w:r w:rsidR="007D5F01" w:rsidRPr="00484AE9">
        <w:rPr>
          <w:rStyle w:val="normaltextrun"/>
        </w:rPr>
        <w:t xml:space="preserve">. </w:t>
      </w:r>
      <w:bookmarkEnd w:id="74"/>
      <w:r w:rsidR="0043167F" w:rsidRPr="00484AE9">
        <w:rPr>
          <w:rStyle w:val="normaltextrun"/>
          <w:iCs/>
        </w:rPr>
        <w:t xml:space="preserve">Overall, </w:t>
      </w:r>
      <w:r w:rsidR="00E06411" w:rsidRPr="00484AE9">
        <w:rPr>
          <w:rStyle w:val="normaltextrun"/>
          <w:iCs/>
        </w:rPr>
        <w:t xml:space="preserve">the </w:t>
      </w:r>
      <w:r w:rsidR="0043167F" w:rsidRPr="00484AE9">
        <w:rPr>
          <w:rStyle w:val="normaltextrun"/>
          <w:iCs/>
        </w:rPr>
        <w:t xml:space="preserve">ESC considered that a claim of superiority was supported for high risk patients, including vaccinated patients however, the data were less convincing for patients at lower risk of developing severe COVID 19. </w:t>
      </w:r>
      <w:r w:rsidR="00E06411" w:rsidRPr="00484AE9">
        <w:rPr>
          <w:rStyle w:val="normaltextrun"/>
          <w:iCs/>
        </w:rPr>
        <w:t xml:space="preserve">The </w:t>
      </w:r>
      <w:r w:rsidR="0087251C" w:rsidRPr="00484AE9">
        <w:rPr>
          <w:iCs/>
        </w:rPr>
        <w:t xml:space="preserve">ESC noted that estimates of treatment effect (in terms of incidence of hospitalisation or death) from EPIC-SR (including the high risk subgroup) and some of the observational studies did not reach statistical significance. </w:t>
      </w:r>
      <w:r w:rsidR="00E06411" w:rsidRPr="00484AE9">
        <w:rPr>
          <w:iCs/>
        </w:rPr>
        <w:t xml:space="preserve">The </w:t>
      </w:r>
      <w:r w:rsidR="0087251C" w:rsidRPr="00484AE9">
        <w:rPr>
          <w:iCs/>
        </w:rPr>
        <w:t xml:space="preserve">ESC considered that, overall, the treatment effect of nirmatrelvir and ritonavir in practice appeared to be less than what was expected </w:t>
      </w:r>
      <w:r w:rsidR="0043167F" w:rsidRPr="00484AE9">
        <w:rPr>
          <w:iCs/>
        </w:rPr>
        <w:t xml:space="preserve">at the time it was recommended for inclusion on the PBS </w:t>
      </w:r>
      <w:r w:rsidR="0087251C" w:rsidRPr="00484AE9">
        <w:rPr>
          <w:iCs/>
        </w:rPr>
        <w:t>based on the results of EPIC-HR</w:t>
      </w:r>
      <w:r w:rsidR="0043167F" w:rsidRPr="00484AE9">
        <w:rPr>
          <w:iCs/>
        </w:rPr>
        <w:t xml:space="preserve">. </w:t>
      </w:r>
      <w:bookmarkEnd w:id="75"/>
    </w:p>
    <w:p w14:paraId="5131FAE9" w14:textId="582D2589" w:rsidR="00B651D9" w:rsidRPr="00484AE9" w:rsidRDefault="002B246D" w:rsidP="004528EE">
      <w:pPr>
        <w:pStyle w:val="Caption"/>
        <w:rPr>
          <w:rStyle w:val="CommentReference"/>
          <w:b/>
          <w:szCs w:val="24"/>
        </w:rPr>
      </w:pPr>
      <w:bookmarkStart w:id="76" w:name="_Ref144665923"/>
      <w:bookmarkStart w:id="77" w:name="_Hlk141700493"/>
      <w:r w:rsidRPr="00484AE9">
        <w:lastRenderedPageBreak/>
        <w:t xml:space="preserve">Table </w:t>
      </w:r>
      <w:fldSimple w:instr=" SEQ Table \* ARABIC ">
        <w:r w:rsidR="00872657">
          <w:rPr>
            <w:noProof/>
          </w:rPr>
          <w:t>11</w:t>
        </w:r>
      </w:fldSimple>
      <w:bookmarkEnd w:id="76"/>
      <w:r w:rsidRPr="00484AE9">
        <w:t xml:space="preserve">: </w:t>
      </w:r>
      <w:r w:rsidR="00B651D9" w:rsidRPr="00484AE9">
        <w:rPr>
          <w:rStyle w:val="CommentReference"/>
          <w:b/>
          <w:szCs w:val="24"/>
        </w:rPr>
        <w:t xml:space="preserve">Key results </w:t>
      </w:r>
      <w:r w:rsidR="00FE757B" w:rsidRPr="00484AE9">
        <w:rPr>
          <w:rStyle w:val="CommentReference"/>
          <w:b/>
          <w:szCs w:val="24"/>
        </w:rPr>
        <w:t xml:space="preserve">from the </w:t>
      </w:r>
      <w:r w:rsidR="00312742" w:rsidRPr="00484AE9">
        <w:rPr>
          <w:rStyle w:val="CommentReference"/>
          <w:b/>
          <w:szCs w:val="24"/>
        </w:rPr>
        <w:t xml:space="preserve">studies </w:t>
      </w:r>
      <w:r w:rsidR="00FE757B" w:rsidRPr="00484AE9">
        <w:rPr>
          <w:rStyle w:val="CommentReference"/>
          <w:b/>
          <w:szCs w:val="24"/>
        </w:rPr>
        <w:t>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29"/>
        <w:gridCol w:w="1264"/>
        <w:gridCol w:w="1264"/>
        <w:gridCol w:w="1266"/>
        <w:gridCol w:w="1266"/>
        <w:gridCol w:w="1266"/>
        <w:gridCol w:w="1262"/>
      </w:tblGrid>
      <w:tr w:rsidR="008B6130" w:rsidRPr="00484AE9" w14:paraId="2C7CB808" w14:textId="77777777" w:rsidTr="00ED28E9">
        <w:trPr>
          <w:cantSplit/>
          <w:tblHeader/>
        </w:trPr>
        <w:tc>
          <w:tcPr>
            <w:tcW w:w="792" w:type="pct"/>
            <w:shd w:val="clear" w:color="auto" w:fill="auto"/>
            <w:vAlign w:val="center"/>
          </w:tcPr>
          <w:bookmarkEnd w:id="77"/>
          <w:p w14:paraId="05739716" w14:textId="77777777" w:rsidR="002B35A3" w:rsidRPr="00484AE9" w:rsidRDefault="002B35A3" w:rsidP="00F76D9A">
            <w:pPr>
              <w:pStyle w:val="In-tableHeading"/>
              <w:keepLines/>
              <w:rPr>
                <w:lang w:val="en-AU"/>
              </w:rPr>
            </w:pPr>
            <w:r w:rsidRPr="00484AE9">
              <w:rPr>
                <w:lang w:val="en-AU"/>
              </w:rPr>
              <w:t>Study (and subgroup)</w:t>
            </w:r>
          </w:p>
        </w:tc>
        <w:tc>
          <w:tcPr>
            <w:tcW w:w="701" w:type="pct"/>
            <w:vAlign w:val="center"/>
          </w:tcPr>
          <w:p w14:paraId="11333A90" w14:textId="0D9A7233" w:rsidR="001C1C3B" w:rsidRPr="00484AE9" w:rsidRDefault="00ED28E9" w:rsidP="00F76D9A">
            <w:pPr>
              <w:pStyle w:val="In-tableHeading"/>
              <w:keepLines/>
              <w:jc w:val="center"/>
              <w:rPr>
                <w:lang w:val="en-AU"/>
              </w:rPr>
            </w:pPr>
            <w:r w:rsidRPr="00484AE9">
              <w:rPr>
                <w:lang w:val="en-AU"/>
              </w:rPr>
              <w:t>Endpoint</w:t>
            </w:r>
          </w:p>
        </w:tc>
        <w:tc>
          <w:tcPr>
            <w:tcW w:w="701" w:type="pct"/>
            <w:shd w:val="clear" w:color="auto" w:fill="auto"/>
            <w:vAlign w:val="center"/>
          </w:tcPr>
          <w:p w14:paraId="2E02EC74" w14:textId="77777777" w:rsidR="002B35A3" w:rsidRPr="00484AE9" w:rsidRDefault="002B35A3" w:rsidP="00F76D9A">
            <w:pPr>
              <w:pStyle w:val="In-tableHeading"/>
              <w:keepLines/>
              <w:jc w:val="center"/>
              <w:rPr>
                <w:lang w:val="en-AU"/>
              </w:rPr>
            </w:pPr>
            <w:r w:rsidRPr="00484AE9">
              <w:rPr>
                <w:lang w:val="en-AU"/>
              </w:rPr>
              <w:t>Nirmatrelvir and ritonavir</w:t>
            </w:r>
          </w:p>
          <w:p w14:paraId="31968DA5" w14:textId="4135E7F2" w:rsidR="002B35A3" w:rsidRPr="00484AE9" w:rsidRDefault="002B35A3" w:rsidP="00F76D9A">
            <w:pPr>
              <w:pStyle w:val="In-tableHeading"/>
              <w:keepLines/>
              <w:jc w:val="center"/>
              <w:rPr>
                <w:lang w:val="en-AU"/>
              </w:rPr>
            </w:pPr>
            <w:r w:rsidRPr="00484AE9">
              <w:rPr>
                <w:lang w:val="en-AU"/>
              </w:rPr>
              <w:t>n/N (%)</w:t>
            </w:r>
          </w:p>
        </w:tc>
        <w:tc>
          <w:tcPr>
            <w:tcW w:w="702" w:type="pct"/>
            <w:vAlign w:val="center"/>
          </w:tcPr>
          <w:p w14:paraId="77C4C8E2" w14:textId="63895E4D" w:rsidR="002B35A3" w:rsidRPr="00484AE9" w:rsidRDefault="002B35A3" w:rsidP="00F76D9A">
            <w:pPr>
              <w:pStyle w:val="In-tableHeading"/>
              <w:keepLines/>
              <w:jc w:val="center"/>
              <w:rPr>
                <w:lang w:val="en-AU"/>
              </w:rPr>
            </w:pPr>
            <w:r w:rsidRPr="00484AE9">
              <w:rPr>
                <w:lang w:val="en-AU"/>
              </w:rPr>
              <w:t>Placebo</w:t>
            </w:r>
          </w:p>
          <w:p w14:paraId="535B6D0D" w14:textId="77777777" w:rsidR="002B35A3" w:rsidRPr="00484AE9" w:rsidRDefault="002B35A3" w:rsidP="00F76D9A">
            <w:pPr>
              <w:pStyle w:val="In-tableHeading"/>
              <w:keepLines/>
              <w:jc w:val="center"/>
              <w:rPr>
                <w:lang w:val="en-AU"/>
              </w:rPr>
            </w:pPr>
            <w:r w:rsidRPr="00484AE9">
              <w:rPr>
                <w:lang w:val="en-AU"/>
              </w:rPr>
              <w:t>n/N (%)</w:t>
            </w:r>
          </w:p>
        </w:tc>
        <w:tc>
          <w:tcPr>
            <w:tcW w:w="702" w:type="pct"/>
            <w:shd w:val="clear" w:color="auto" w:fill="auto"/>
            <w:vAlign w:val="center"/>
          </w:tcPr>
          <w:p w14:paraId="6A5EF0B4" w14:textId="27F3A3BD" w:rsidR="002B35A3" w:rsidRPr="00484AE9" w:rsidRDefault="002B35A3" w:rsidP="00F76D9A">
            <w:pPr>
              <w:pStyle w:val="In-tableHeading"/>
              <w:keepLines/>
              <w:jc w:val="center"/>
              <w:rPr>
                <w:lang w:val="en-AU"/>
              </w:rPr>
            </w:pPr>
            <w:r w:rsidRPr="00484AE9">
              <w:rPr>
                <w:lang w:val="en-AU"/>
              </w:rPr>
              <w:t>Molnupiravir n/N (%)</w:t>
            </w:r>
          </w:p>
        </w:tc>
        <w:tc>
          <w:tcPr>
            <w:tcW w:w="702" w:type="pct"/>
            <w:shd w:val="clear" w:color="auto" w:fill="auto"/>
            <w:vAlign w:val="center"/>
          </w:tcPr>
          <w:p w14:paraId="0EB9332D" w14:textId="69AB188B" w:rsidR="002B35A3" w:rsidRPr="00484AE9" w:rsidRDefault="002B35A3" w:rsidP="00F76D9A">
            <w:pPr>
              <w:pStyle w:val="In-tableHeading"/>
              <w:keepLines/>
              <w:jc w:val="center"/>
              <w:rPr>
                <w:lang w:val="en-AU"/>
              </w:rPr>
            </w:pPr>
            <w:r w:rsidRPr="00484AE9">
              <w:rPr>
                <w:lang w:val="en-AU"/>
              </w:rPr>
              <w:t>RR nirmatrelvir and ritonavir vs placebo (95% CI)</w:t>
            </w:r>
          </w:p>
        </w:tc>
        <w:tc>
          <w:tcPr>
            <w:tcW w:w="700" w:type="pct"/>
            <w:vAlign w:val="center"/>
          </w:tcPr>
          <w:p w14:paraId="53214768" w14:textId="48B1A0D1" w:rsidR="002B35A3" w:rsidRPr="00484AE9" w:rsidRDefault="002B35A3" w:rsidP="00F76D9A">
            <w:pPr>
              <w:pStyle w:val="In-tableHeading"/>
              <w:keepLines/>
              <w:jc w:val="center"/>
              <w:rPr>
                <w:lang w:val="en-AU"/>
              </w:rPr>
            </w:pPr>
            <w:r w:rsidRPr="00484AE9">
              <w:rPr>
                <w:lang w:val="en-AU"/>
              </w:rPr>
              <w:t>RR molnupiravir vs placebo (95% CI)</w:t>
            </w:r>
          </w:p>
        </w:tc>
      </w:tr>
      <w:tr w:rsidR="008B6130" w:rsidRPr="00484AE9" w14:paraId="1DCA79C2" w14:textId="77777777" w:rsidTr="00FF263C">
        <w:trPr>
          <w:cantSplit/>
        </w:trPr>
        <w:tc>
          <w:tcPr>
            <w:tcW w:w="5000" w:type="pct"/>
            <w:gridSpan w:val="7"/>
          </w:tcPr>
          <w:p w14:paraId="2EA2274D" w14:textId="24DE40CC" w:rsidR="00C84B7F" w:rsidRPr="00484AE9" w:rsidRDefault="00C84B7F" w:rsidP="00F76D9A">
            <w:pPr>
              <w:pStyle w:val="In-tableHeading"/>
              <w:keepLines/>
              <w:rPr>
                <w:lang w:val="en-AU"/>
              </w:rPr>
            </w:pPr>
            <w:r w:rsidRPr="00484AE9">
              <w:rPr>
                <w:lang w:val="en-AU"/>
              </w:rPr>
              <w:t>RANDOMISED TRIALS</w:t>
            </w:r>
          </w:p>
        </w:tc>
      </w:tr>
      <w:tr w:rsidR="008B6130" w:rsidRPr="00484AE9" w14:paraId="1372B400" w14:textId="77777777" w:rsidTr="00E3038D">
        <w:trPr>
          <w:cantSplit/>
        </w:trPr>
        <w:tc>
          <w:tcPr>
            <w:tcW w:w="792" w:type="pct"/>
            <w:shd w:val="clear" w:color="auto" w:fill="auto"/>
            <w:vAlign w:val="center"/>
          </w:tcPr>
          <w:p w14:paraId="4F9193D9" w14:textId="77777777" w:rsidR="002B35A3" w:rsidRPr="00484AE9" w:rsidRDefault="002B35A3" w:rsidP="00F76D9A">
            <w:pPr>
              <w:pStyle w:val="TableText0"/>
              <w:keepLines/>
            </w:pPr>
            <w:r w:rsidRPr="00484AE9">
              <w:t>EPIC-HR</w:t>
            </w:r>
          </w:p>
        </w:tc>
        <w:tc>
          <w:tcPr>
            <w:tcW w:w="701" w:type="pct"/>
            <w:vAlign w:val="center"/>
          </w:tcPr>
          <w:p w14:paraId="6856BA7A" w14:textId="4FF34E90" w:rsidR="001C1C3B" w:rsidRPr="00484AE9" w:rsidRDefault="00926853" w:rsidP="00F76D9A">
            <w:pPr>
              <w:pStyle w:val="TableText0"/>
              <w:keepLines/>
              <w:jc w:val="center"/>
            </w:pPr>
            <w:r w:rsidRPr="00484AE9">
              <w:t>Hospitalisation or death</w:t>
            </w:r>
          </w:p>
        </w:tc>
        <w:tc>
          <w:tcPr>
            <w:tcW w:w="701" w:type="pct"/>
            <w:shd w:val="clear" w:color="auto" w:fill="auto"/>
            <w:vAlign w:val="center"/>
          </w:tcPr>
          <w:p w14:paraId="0FFC01A7" w14:textId="77777777" w:rsidR="002B35A3" w:rsidRPr="00484AE9" w:rsidRDefault="002B35A3" w:rsidP="00F76D9A">
            <w:pPr>
              <w:pStyle w:val="TableText0"/>
              <w:keepLines/>
              <w:jc w:val="center"/>
              <w:rPr>
                <w:iCs/>
              </w:rPr>
            </w:pPr>
            <w:r w:rsidRPr="00484AE9">
              <w:rPr>
                <w:iCs/>
              </w:rPr>
              <w:t>10/1038</w:t>
            </w:r>
          </w:p>
          <w:p w14:paraId="58F88BAB" w14:textId="5828836D" w:rsidR="002B35A3" w:rsidRPr="00484AE9" w:rsidRDefault="002B35A3" w:rsidP="00F76D9A">
            <w:pPr>
              <w:pStyle w:val="TableText0"/>
              <w:keepLines/>
              <w:jc w:val="center"/>
              <w:rPr>
                <w:i/>
                <w:iCs/>
              </w:rPr>
            </w:pPr>
            <w:r w:rsidRPr="00484AE9">
              <w:rPr>
                <w:iCs/>
              </w:rPr>
              <w:t>(1.0%)</w:t>
            </w:r>
          </w:p>
        </w:tc>
        <w:tc>
          <w:tcPr>
            <w:tcW w:w="702" w:type="pct"/>
            <w:vAlign w:val="center"/>
          </w:tcPr>
          <w:p w14:paraId="52130BFE" w14:textId="0AF1D5BB" w:rsidR="002B35A3" w:rsidRPr="00484AE9" w:rsidRDefault="002B35A3" w:rsidP="00F76D9A">
            <w:pPr>
              <w:pStyle w:val="TableText0"/>
              <w:keepLines/>
              <w:jc w:val="center"/>
              <w:rPr>
                <w:iCs/>
              </w:rPr>
            </w:pPr>
            <w:r w:rsidRPr="00484AE9">
              <w:rPr>
                <w:iCs/>
              </w:rPr>
              <w:t>66/1053</w:t>
            </w:r>
          </w:p>
          <w:p w14:paraId="3FBFE631" w14:textId="77777777" w:rsidR="002B35A3" w:rsidRPr="00484AE9" w:rsidRDefault="002B35A3" w:rsidP="00F76D9A">
            <w:pPr>
              <w:pStyle w:val="TableText0"/>
              <w:keepLines/>
              <w:jc w:val="center"/>
              <w:rPr>
                <w:iCs/>
              </w:rPr>
            </w:pPr>
            <w:r w:rsidRPr="00484AE9">
              <w:rPr>
                <w:iCs/>
              </w:rPr>
              <w:t>(6.3%)</w:t>
            </w:r>
          </w:p>
        </w:tc>
        <w:tc>
          <w:tcPr>
            <w:tcW w:w="702" w:type="pct"/>
            <w:shd w:val="clear" w:color="auto" w:fill="auto"/>
            <w:vAlign w:val="center"/>
          </w:tcPr>
          <w:p w14:paraId="4385DBE8" w14:textId="231CFD2E" w:rsidR="002B35A3" w:rsidRPr="00484AE9" w:rsidRDefault="00DF09A9" w:rsidP="00F76D9A">
            <w:pPr>
              <w:pStyle w:val="TableText0"/>
              <w:keepLines/>
              <w:jc w:val="center"/>
            </w:pPr>
            <w:r w:rsidRPr="00484AE9">
              <w:t>n/a</w:t>
            </w:r>
          </w:p>
        </w:tc>
        <w:tc>
          <w:tcPr>
            <w:tcW w:w="702" w:type="pct"/>
            <w:shd w:val="clear" w:color="auto" w:fill="auto"/>
            <w:vAlign w:val="center"/>
          </w:tcPr>
          <w:p w14:paraId="4A6B7AFC" w14:textId="5B12385A" w:rsidR="002B35A3" w:rsidRPr="00484AE9" w:rsidRDefault="002B35A3" w:rsidP="00F76D9A">
            <w:pPr>
              <w:pStyle w:val="TableText0"/>
              <w:keepLines/>
              <w:jc w:val="center"/>
              <w:rPr>
                <w:b/>
                <w:bCs w:val="0"/>
              </w:rPr>
            </w:pPr>
            <w:r w:rsidRPr="00484AE9">
              <w:rPr>
                <w:b/>
                <w:bCs w:val="0"/>
              </w:rPr>
              <w:t>0.1</w:t>
            </w:r>
            <w:r w:rsidR="0063751C" w:rsidRPr="00484AE9">
              <w:rPr>
                <w:b/>
                <w:bCs w:val="0"/>
              </w:rPr>
              <w:t>5</w:t>
            </w:r>
          </w:p>
          <w:p w14:paraId="1859DF81" w14:textId="6155587F" w:rsidR="002B35A3" w:rsidRPr="00484AE9" w:rsidRDefault="002B35A3" w:rsidP="00F76D9A">
            <w:pPr>
              <w:pStyle w:val="TableText0"/>
              <w:keepLines/>
              <w:jc w:val="center"/>
              <w:rPr>
                <w:b/>
                <w:bCs w:val="0"/>
              </w:rPr>
            </w:pPr>
            <w:r w:rsidRPr="00484AE9">
              <w:rPr>
                <w:b/>
                <w:bCs w:val="0"/>
              </w:rPr>
              <w:t>(0.0</w:t>
            </w:r>
            <w:r w:rsidR="00DF09A9" w:rsidRPr="00484AE9">
              <w:rPr>
                <w:b/>
                <w:bCs w:val="0"/>
              </w:rPr>
              <w:t>8</w:t>
            </w:r>
            <w:r w:rsidRPr="00484AE9">
              <w:rPr>
                <w:b/>
                <w:bCs w:val="0"/>
              </w:rPr>
              <w:t>, 0.</w:t>
            </w:r>
            <w:r w:rsidR="00DF09A9" w:rsidRPr="00484AE9">
              <w:rPr>
                <w:b/>
                <w:bCs w:val="0"/>
              </w:rPr>
              <w:t>30</w:t>
            </w:r>
            <w:r w:rsidRPr="00484AE9">
              <w:rPr>
                <w:b/>
                <w:bCs w:val="0"/>
              </w:rPr>
              <w:t>)</w:t>
            </w:r>
          </w:p>
        </w:tc>
        <w:tc>
          <w:tcPr>
            <w:tcW w:w="700" w:type="pct"/>
            <w:vAlign w:val="center"/>
          </w:tcPr>
          <w:p w14:paraId="6781E4E8" w14:textId="79A79759" w:rsidR="002B35A3" w:rsidRPr="00484AE9" w:rsidRDefault="002B35A3" w:rsidP="00F76D9A">
            <w:pPr>
              <w:pStyle w:val="TableText0"/>
              <w:keepLines/>
              <w:jc w:val="center"/>
            </w:pPr>
            <w:r w:rsidRPr="00484AE9">
              <w:t>n/a</w:t>
            </w:r>
          </w:p>
        </w:tc>
      </w:tr>
      <w:tr w:rsidR="008B6130" w:rsidRPr="00484AE9" w14:paraId="626B80EB" w14:textId="77777777" w:rsidTr="00E3038D">
        <w:trPr>
          <w:cantSplit/>
        </w:trPr>
        <w:tc>
          <w:tcPr>
            <w:tcW w:w="792" w:type="pct"/>
            <w:shd w:val="clear" w:color="auto" w:fill="auto"/>
            <w:vAlign w:val="center"/>
          </w:tcPr>
          <w:p w14:paraId="54BFD98E" w14:textId="06825897" w:rsidR="00DF09A9" w:rsidRPr="00484AE9" w:rsidRDefault="00DF09A9" w:rsidP="00F76D9A">
            <w:pPr>
              <w:pStyle w:val="TableText0"/>
              <w:keepLines/>
            </w:pPr>
            <w:r w:rsidRPr="00484AE9">
              <w:t>EPIC-SR (</w:t>
            </w:r>
            <w:r w:rsidR="008C3C38" w:rsidRPr="00484AE9">
              <w:t>m</w:t>
            </w:r>
            <w:r w:rsidRPr="00484AE9">
              <w:t>ITT</w:t>
            </w:r>
            <w:r w:rsidR="008C3C38" w:rsidRPr="00484AE9">
              <w:t>1</w:t>
            </w:r>
            <w:r w:rsidRPr="00484AE9">
              <w:t>)</w:t>
            </w:r>
          </w:p>
        </w:tc>
        <w:tc>
          <w:tcPr>
            <w:tcW w:w="701" w:type="pct"/>
            <w:vAlign w:val="center"/>
          </w:tcPr>
          <w:p w14:paraId="1BA917DA" w14:textId="4419C952" w:rsidR="001C1C3B" w:rsidRPr="00484AE9" w:rsidRDefault="00854B64" w:rsidP="00F76D9A">
            <w:pPr>
              <w:pStyle w:val="TableText0"/>
              <w:keepLines/>
              <w:jc w:val="center"/>
            </w:pPr>
            <w:r w:rsidRPr="00484AE9">
              <w:t>Hospitalisation or death</w:t>
            </w:r>
          </w:p>
        </w:tc>
        <w:tc>
          <w:tcPr>
            <w:tcW w:w="701" w:type="pct"/>
            <w:shd w:val="clear" w:color="auto" w:fill="auto"/>
            <w:vAlign w:val="center"/>
          </w:tcPr>
          <w:p w14:paraId="1CA19919" w14:textId="77777777" w:rsidR="00DF09A9" w:rsidRPr="00484AE9" w:rsidRDefault="00E15BE5" w:rsidP="00F76D9A">
            <w:pPr>
              <w:pStyle w:val="TableText0"/>
              <w:keepLines/>
              <w:jc w:val="center"/>
              <w:rPr>
                <w:iCs/>
              </w:rPr>
            </w:pPr>
            <w:r w:rsidRPr="00484AE9">
              <w:rPr>
                <w:iCs/>
              </w:rPr>
              <w:t>5/654</w:t>
            </w:r>
          </w:p>
          <w:p w14:paraId="5F09F8D2" w14:textId="0C40C08D" w:rsidR="00E15BE5" w:rsidRPr="00484AE9" w:rsidRDefault="00E15BE5" w:rsidP="00F76D9A">
            <w:pPr>
              <w:pStyle w:val="TableText0"/>
              <w:keepLines/>
              <w:jc w:val="center"/>
              <w:rPr>
                <w:i/>
                <w:iCs/>
              </w:rPr>
            </w:pPr>
            <w:r w:rsidRPr="00484AE9">
              <w:rPr>
                <w:iCs/>
              </w:rPr>
              <w:t>(</w:t>
            </w:r>
            <w:r w:rsidR="00A44CF4" w:rsidRPr="00484AE9">
              <w:rPr>
                <w:iCs/>
              </w:rPr>
              <w:t>0.</w:t>
            </w:r>
            <w:r w:rsidR="00C93596" w:rsidRPr="00484AE9">
              <w:rPr>
                <w:iCs/>
              </w:rPr>
              <w:t>76%)</w:t>
            </w:r>
          </w:p>
        </w:tc>
        <w:tc>
          <w:tcPr>
            <w:tcW w:w="702" w:type="pct"/>
            <w:vAlign w:val="center"/>
          </w:tcPr>
          <w:p w14:paraId="26AEBDA7" w14:textId="77777777" w:rsidR="00DF09A9" w:rsidRPr="00484AE9" w:rsidRDefault="00E15BE5" w:rsidP="00F76D9A">
            <w:pPr>
              <w:pStyle w:val="TableText0"/>
              <w:keepLines/>
              <w:jc w:val="center"/>
              <w:rPr>
                <w:iCs/>
              </w:rPr>
            </w:pPr>
            <w:r w:rsidRPr="00484AE9">
              <w:rPr>
                <w:iCs/>
              </w:rPr>
              <w:t>10/634</w:t>
            </w:r>
          </w:p>
          <w:p w14:paraId="1C9B8122" w14:textId="5B35213D" w:rsidR="00C93596" w:rsidRPr="00484AE9" w:rsidRDefault="00C93596" w:rsidP="00F76D9A">
            <w:pPr>
              <w:pStyle w:val="TableText0"/>
              <w:keepLines/>
              <w:jc w:val="center"/>
              <w:rPr>
                <w:iCs/>
              </w:rPr>
            </w:pPr>
            <w:r w:rsidRPr="00484AE9">
              <w:rPr>
                <w:iCs/>
              </w:rPr>
              <w:t>(1.58%)</w:t>
            </w:r>
          </w:p>
        </w:tc>
        <w:tc>
          <w:tcPr>
            <w:tcW w:w="702" w:type="pct"/>
            <w:shd w:val="clear" w:color="auto" w:fill="auto"/>
            <w:vAlign w:val="center"/>
          </w:tcPr>
          <w:p w14:paraId="14B5BDF6" w14:textId="72555426" w:rsidR="00DF09A9" w:rsidRPr="00484AE9" w:rsidRDefault="00C93596" w:rsidP="00F76D9A">
            <w:pPr>
              <w:pStyle w:val="TableText0"/>
              <w:keepLines/>
              <w:jc w:val="center"/>
            </w:pPr>
            <w:r w:rsidRPr="00484AE9">
              <w:t>n/a</w:t>
            </w:r>
          </w:p>
        </w:tc>
        <w:tc>
          <w:tcPr>
            <w:tcW w:w="702" w:type="pct"/>
            <w:shd w:val="clear" w:color="auto" w:fill="auto"/>
            <w:vAlign w:val="center"/>
          </w:tcPr>
          <w:p w14:paraId="481F7ACF" w14:textId="77777777" w:rsidR="00DF09A9" w:rsidRPr="00484AE9" w:rsidRDefault="00C93596" w:rsidP="00F76D9A">
            <w:pPr>
              <w:pStyle w:val="TableText0"/>
              <w:keepLines/>
              <w:jc w:val="center"/>
            </w:pPr>
            <w:r w:rsidRPr="00484AE9">
              <w:t>0.4</w:t>
            </w:r>
            <w:r w:rsidR="008C3C38" w:rsidRPr="00484AE9">
              <w:t>8</w:t>
            </w:r>
          </w:p>
          <w:p w14:paraId="1B453A38" w14:textId="5B1A864D" w:rsidR="008C3C38" w:rsidRPr="00484AE9" w:rsidRDefault="008C3C38" w:rsidP="00F76D9A">
            <w:pPr>
              <w:pStyle w:val="TableText0"/>
              <w:keepLines/>
              <w:jc w:val="center"/>
              <w:rPr>
                <w:b/>
                <w:bCs w:val="0"/>
              </w:rPr>
            </w:pPr>
            <w:r w:rsidRPr="00484AE9">
              <w:t>(0.17, 1.41)</w:t>
            </w:r>
          </w:p>
        </w:tc>
        <w:tc>
          <w:tcPr>
            <w:tcW w:w="700" w:type="pct"/>
            <w:vAlign w:val="center"/>
          </w:tcPr>
          <w:p w14:paraId="49D7447E" w14:textId="4197152C" w:rsidR="00DF09A9" w:rsidRPr="00484AE9" w:rsidRDefault="008C3C38" w:rsidP="00F76D9A">
            <w:pPr>
              <w:pStyle w:val="TableText0"/>
              <w:keepLines/>
              <w:jc w:val="center"/>
            </w:pPr>
            <w:r w:rsidRPr="00484AE9">
              <w:t>n/a</w:t>
            </w:r>
          </w:p>
        </w:tc>
      </w:tr>
      <w:tr w:rsidR="008B6130" w:rsidRPr="00484AE9" w14:paraId="4DF7A97E" w14:textId="77777777" w:rsidTr="00E3038D">
        <w:trPr>
          <w:cantSplit/>
        </w:trPr>
        <w:tc>
          <w:tcPr>
            <w:tcW w:w="792" w:type="pct"/>
            <w:shd w:val="clear" w:color="auto" w:fill="auto"/>
            <w:vAlign w:val="center"/>
          </w:tcPr>
          <w:p w14:paraId="19FD966F" w14:textId="434813E7" w:rsidR="008C3C38" w:rsidRPr="00484AE9" w:rsidRDefault="008C3C38" w:rsidP="00F76D9A">
            <w:pPr>
              <w:pStyle w:val="TableText0"/>
              <w:keepLines/>
            </w:pPr>
            <w:r w:rsidRPr="00484AE9">
              <w:t>EPIC-SR (subgroup</w:t>
            </w:r>
            <w:r w:rsidR="007A21D8" w:rsidRPr="00484AE9">
              <w:t>*</w:t>
            </w:r>
            <w:r w:rsidRPr="00484AE9">
              <w:t>)</w:t>
            </w:r>
          </w:p>
        </w:tc>
        <w:tc>
          <w:tcPr>
            <w:tcW w:w="701" w:type="pct"/>
            <w:vAlign w:val="center"/>
          </w:tcPr>
          <w:p w14:paraId="6657ABD9" w14:textId="2C4D34EB" w:rsidR="001C1C3B" w:rsidRPr="00484AE9" w:rsidRDefault="00854B64" w:rsidP="00F76D9A">
            <w:pPr>
              <w:pStyle w:val="TableText0"/>
              <w:keepLines/>
              <w:jc w:val="center"/>
            </w:pPr>
            <w:r w:rsidRPr="00484AE9">
              <w:t>Hospitalisation or death</w:t>
            </w:r>
          </w:p>
        </w:tc>
        <w:tc>
          <w:tcPr>
            <w:tcW w:w="701" w:type="pct"/>
            <w:shd w:val="clear" w:color="auto" w:fill="auto"/>
            <w:vAlign w:val="center"/>
          </w:tcPr>
          <w:p w14:paraId="2F84F7FD" w14:textId="77777777" w:rsidR="008C3C38" w:rsidRPr="00484AE9" w:rsidRDefault="002635D2" w:rsidP="00F76D9A">
            <w:pPr>
              <w:pStyle w:val="TableText0"/>
              <w:keepLines/>
              <w:jc w:val="center"/>
            </w:pPr>
            <w:r w:rsidRPr="00484AE9">
              <w:t>3/317</w:t>
            </w:r>
          </w:p>
          <w:p w14:paraId="3080E675" w14:textId="103381EC" w:rsidR="00291CF6" w:rsidRPr="00484AE9" w:rsidRDefault="00291CF6" w:rsidP="00F76D9A">
            <w:pPr>
              <w:pStyle w:val="TableText0"/>
              <w:keepLines/>
              <w:jc w:val="center"/>
            </w:pPr>
            <w:r w:rsidRPr="00484AE9">
              <w:t>(0.95%)</w:t>
            </w:r>
          </w:p>
        </w:tc>
        <w:tc>
          <w:tcPr>
            <w:tcW w:w="702" w:type="pct"/>
            <w:vAlign w:val="center"/>
          </w:tcPr>
          <w:p w14:paraId="50ACDE70" w14:textId="77777777" w:rsidR="008C3C38" w:rsidRPr="00484AE9" w:rsidRDefault="00345337" w:rsidP="00F76D9A">
            <w:pPr>
              <w:pStyle w:val="TableText0"/>
              <w:keepLines/>
              <w:jc w:val="center"/>
            </w:pPr>
            <w:r w:rsidRPr="00484AE9">
              <w:t>7/214</w:t>
            </w:r>
          </w:p>
          <w:p w14:paraId="5C15F0F1" w14:textId="6ACB4E6F" w:rsidR="00345337" w:rsidRPr="00484AE9" w:rsidRDefault="00345337" w:rsidP="00F76D9A">
            <w:pPr>
              <w:pStyle w:val="TableText0"/>
              <w:keepLines/>
              <w:jc w:val="center"/>
            </w:pPr>
            <w:r w:rsidRPr="00484AE9">
              <w:t>(</w:t>
            </w:r>
            <w:r w:rsidR="00CE4971" w:rsidRPr="00484AE9">
              <w:t>2.23%)</w:t>
            </w:r>
          </w:p>
        </w:tc>
        <w:tc>
          <w:tcPr>
            <w:tcW w:w="702" w:type="pct"/>
            <w:shd w:val="clear" w:color="auto" w:fill="auto"/>
            <w:vAlign w:val="center"/>
          </w:tcPr>
          <w:p w14:paraId="50C9309B" w14:textId="16C42647" w:rsidR="008C3C38" w:rsidRPr="00484AE9" w:rsidRDefault="002C5BAF" w:rsidP="00F76D9A">
            <w:pPr>
              <w:pStyle w:val="TableText0"/>
              <w:keepLines/>
              <w:jc w:val="center"/>
            </w:pPr>
            <w:r w:rsidRPr="00484AE9">
              <w:t>n/a</w:t>
            </w:r>
          </w:p>
        </w:tc>
        <w:tc>
          <w:tcPr>
            <w:tcW w:w="702" w:type="pct"/>
            <w:shd w:val="clear" w:color="auto" w:fill="auto"/>
            <w:vAlign w:val="center"/>
          </w:tcPr>
          <w:p w14:paraId="2B7801D5" w14:textId="77777777" w:rsidR="008C3C38" w:rsidRPr="00484AE9" w:rsidRDefault="0031633F" w:rsidP="00F76D9A">
            <w:pPr>
              <w:pStyle w:val="TableText0"/>
              <w:keepLines/>
              <w:jc w:val="center"/>
            </w:pPr>
            <w:r w:rsidRPr="00484AE9">
              <w:t>0.29</w:t>
            </w:r>
          </w:p>
          <w:p w14:paraId="515A8918" w14:textId="1CC13F9B" w:rsidR="0031633F" w:rsidRPr="00484AE9" w:rsidRDefault="0031633F" w:rsidP="00F76D9A">
            <w:pPr>
              <w:pStyle w:val="TableText0"/>
              <w:keepLines/>
              <w:jc w:val="center"/>
              <w:rPr>
                <w:b/>
                <w:bCs w:val="0"/>
              </w:rPr>
            </w:pPr>
            <w:r w:rsidRPr="00484AE9">
              <w:t>(</w:t>
            </w:r>
            <w:r w:rsidR="003350DA" w:rsidRPr="00484AE9">
              <w:t>0.08, 1.11)</w:t>
            </w:r>
          </w:p>
        </w:tc>
        <w:tc>
          <w:tcPr>
            <w:tcW w:w="700" w:type="pct"/>
            <w:vAlign w:val="center"/>
          </w:tcPr>
          <w:p w14:paraId="194A2EF2" w14:textId="77777777" w:rsidR="008C3C38" w:rsidRPr="00484AE9" w:rsidRDefault="008C3C38" w:rsidP="00F76D9A">
            <w:pPr>
              <w:pStyle w:val="TableText0"/>
              <w:keepLines/>
              <w:jc w:val="center"/>
            </w:pPr>
          </w:p>
        </w:tc>
      </w:tr>
      <w:tr w:rsidR="008B6130" w:rsidRPr="00484AE9" w14:paraId="3EDF99C0" w14:textId="77777777" w:rsidTr="00E3038D">
        <w:trPr>
          <w:cantSplit/>
        </w:trPr>
        <w:tc>
          <w:tcPr>
            <w:tcW w:w="792" w:type="pct"/>
            <w:shd w:val="clear" w:color="auto" w:fill="auto"/>
            <w:vAlign w:val="center"/>
          </w:tcPr>
          <w:p w14:paraId="2A2D3D74" w14:textId="433409DE" w:rsidR="000B566C" w:rsidRPr="00484AE9" w:rsidRDefault="000B566C" w:rsidP="00F76D9A">
            <w:pPr>
              <w:pStyle w:val="TableText0"/>
              <w:keepLines/>
            </w:pPr>
            <w:r w:rsidRPr="00484AE9">
              <w:t>MOVe-OUT</w:t>
            </w:r>
          </w:p>
        </w:tc>
        <w:tc>
          <w:tcPr>
            <w:tcW w:w="701" w:type="pct"/>
            <w:vAlign w:val="center"/>
          </w:tcPr>
          <w:p w14:paraId="6C0703E2" w14:textId="28F3E4F4" w:rsidR="001C1C3B" w:rsidRPr="00484AE9" w:rsidRDefault="00854B64" w:rsidP="00F76D9A">
            <w:pPr>
              <w:pStyle w:val="TableText0"/>
              <w:keepLines/>
              <w:jc w:val="center"/>
            </w:pPr>
            <w:r w:rsidRPr="00484AE9">
              <w:t>Hospitalisation or death</w:t>
            </w:r>
          </w:p>
        </w:tc>
        <w:tc>
          <w:tcPr>
            <w:tcW w:w="701" w:type="pct"/>
            <w:shd w:val="clear" w:color="auto" w:fill="auto"/>
            <w:vAlign w:val="center"/>
          </w:tcPr>
          <w:p w14:paraId="784A052E" w14:textId="61E8B468" w:rsidR="000B566C" w:rsidRPr="00484AE9" w:rsidRDefault="000B566C" w:rsidP="00F76D9A">
            <w:pPr>
              <w:pStyle w:val="TableText0"/>
              <w:keepLines/>
              <w:jc w:val="center"/>
            </w:pPr>
            <w:r w:rsidRPr="00484AE9">
              <w:t>n/a</w:t>
            </w:r>
          </w:p>
        </w:tc>
        <w:tc>
          <w:tcPr>
            <w:tcW w:w="702" w:type="pct"/>
            <w:vAlign w:val="center"/>
          </w:tcPr>
          <w:p w14:paraId="3A2864E5" w14:textId="77777777" w:rsidR="000B566C" w:rsidRPr="00484AE9" w:rsidRDefault="000B566C" w:rsidP="00F76D9A">
            <w:pPr>
              <w:pStyle w:val="TableText0"/>
              <w:keepLines/>
              <w:jc w:val="center"/>
            </w:pPr>
            <w:r w:rsidRPr="00484AE9">
              <w:t>68/699</w:t>
            </w:r>
          </w:p>
          <w:p w14:paraId="4AB5B2EA" w14:textId="3AB365DB" w:rsidR="000B566C" w:rsidRPr="00484AE9" w:rsidRDefault="000B566C" w:rsidP="00F76D9A">
            <w:pPr>
              <w:pStyle w:val="TableText0"/>
              <w:keepLines/>
              <w:jc w:val="center"/>
            </w:pPr>
            <w:r w:rsidRPr="00484AE9">
              <w:t>(9.7%)</w:t>
            </w:r>
          </w:p>
        </w:tc>
        <w:tc>
          <w:tcPr>
            <w:tcW w:w="702" w:type="pct"/>
            <w:shd w:val="clear" w:color="auto" w:fill="auto"/>
            <w:vAlign w:val="center"/>
          </w:tcPr>
          <w:p w14:paraId="6A9F8444" w14:textId="77777777" w:rsidR="000B566C" w:rsidRPr="00484AE9" w:rsidRDefault="000B566C" w:rsidP="00F76D9A">
            <w:pPr>
              <w:pStyle w:val="TableText0"/>
              <w:keepLines/>
              <w:jc w:val="center"/>
            </w:pPr>
            <w:r w:rsidRPr="00484AE9">
              <w:t>48/709</w:t>
            </w:r>
          </w:p>
          <w:p w14:paraId="379DA8EE" w14:textId="04A21F37" w:rsidR="000B566C" w:rsidRPr="00484AE9" w:rsidRDefault="000B566C" w:rsidP="00F76D9A">
            <w:pPr>
              <w:pStyle w:val="TableText0"/>
              <w:keepLines/>
              <w:jc w:val="center"/>
            </w:pPr>
            <w:r w:rsidRPr="00484AE9">
              <w:t>(6.8%)</w:t>
            </w:r>
          </w:p>
        </w:tc>
        <w:tc>
          <w:tcPr>
            <w:tcW w:w="702" w:type="pct"/>
            <w:shd w:val="clear" w:color="auto" w:fill="auto"/>
            <w:vAlign w:val="center"/>
          </w:tcPr>
          <w:p w14:paraId="14107AF4" w14:textId="553266D4" w:rsidR="000B566C" w:rsidRPr="00484AE9" w:rsidRDefault="000B566C" w:rsidP="00F76D9A">
            <w:pPr>
              <w:pStyle w:val="TableText0"/>
              <w:keepLines/>
              <w:jc w:val="center"/>
              <w:rPr>
                <w:b/>
                <w:bCs w:val="0"/>
              </w:rPr>
            </w:pPr>
          </w:p>
        </w:tc>
        <w:tc>
          <w:tcPr>
            <w:tcW w:w="700" w:type="pct"/>
            <w:vAlign w:val="center"/>
          </w:tcPr>
          <w:p w14:paraId="3AE940F6" w14:textId="77777777" w:rsidR="000B566C" w:rsidRPr="00484AE9" w:rsidRDefault="000B566C" w:rsidP="00F76D9A">
            <w:pPr>
              <w:pStyle w:val="TableText0"/>
              <w:keepLines/>
              <w:jc w:val="center"/>
              <w:rPr>
                <w:b/>
              </w:rPr>
            </w:pPr>
            <w:r w:rsidRPr="00484AE9">
              <w:rPr>
                <w:b/>
                <w:bCs w:val="0"/>
              </w:rPr>
              <w:t>0</w:t>
            </w:r>
            <w:r w:rsidRPr="00484AE9">
              <w:rPr>
                <w:b/>
              </w:rPr>
              <w:t>.70</w:t>
            </w:r>
          </w:p>
          <w:p w14:paraId="78FFC24B" w14:textId="216DF004" w:rsidR="000B566C" w:rsidRPr="00484AE9" w:rsidRDefault="000B566C" w:rsidP="00F76D9A">
            <w:pPr>
              <w:pStyle w:val="TableText0"/>
              <w:keepLines/>
              <w:jc w:val="center"/>
            </w:pPr>
            <w:r w:rsidRPr="00484AE9">
              <w:rPr>
                <w:b/>
              </w:rPr>
              <w:t>(0.49, 0.99)</w:t>
            </w:r>
          </w:p>
        </w:tc>
      </w:tr>
      <w:tr w:rsidR="008B6130" w:rsidRPr="00484AE9" w14:paraId="29833A9B" w14:textId="77777777" w:rsidTr="00E3038D">
        <w:trPr>
          <w:cantSplit/>
        </w:trPr>
        <w:tc>
          <w:tcPr>
            <w:tcW w:w="792" w:type="pct"/>
            <w:shd w:val="clear" w:color="auto" w:fill="auto"/>
            <w:vAlign w:val="center"/>
          </w:tcPr>
          <w:p w14:paraId="1AFDCC7B" w14:textId="77777777" w:rsidR="000B566C" w:rsidRPr="00484AE9" w:rsidRDefault="000B566C" w:rsidP="00F76D9A">
            <w:pPr>
              <w:pStyle w:val="TableText0"/>
              <w:keepLines/>
            </w:pPr>
            <w:r w:rsidRPr="00484AE9">
              <w:t>PANORAMIC</w:t>
            </w:r>
          </w:p>
        </w:tc>
        <w:tc>
          <w:tcPr>
            <w:tcW w:w="701" w:type="pct"/>
            <w:vAlign w:val="center"/>
          </w:tcPr>
          <w:p w14:paraId="555AAD89" w14:textId="2FA3265B" w:rsidR="001C1C3B" w:rsidRPr="00484AE9" w:rsidRDefault="00854B64" w:rsidP="00F76D9A">
            <w:pPr>
              <w:pStyle w:val="TableText0"/>
              <w:keepLines/>
              <w:jc w:val="center"/>
            </w:pPr>
            <w:r w:rsidRPr="00484AE9">
              <w:t>Hospitalisation or death</w:t>
            </w:r>
          </w:p>
        </w:tc>
        <w:tc>
          <w:tcPr>
            <w:tcW w:w="701" w:type="pct"/>
            <w:shd w:val="clear" w:color="auto" w:fill="auto"/>
            <w:vAlign w:val="center"/>
          </w:tcPr>
          <w:p w14:paraId="1C25D90F" w14:textId="18C1215B" w:rsidR="000B566C" w:rsidRPr="00484AE9" w:rsidRDefault="00022DD0" w:rsidP="00F76D9A">
            <w:pPr>
              <w:pStyle w:val="TableText0"/>
              <w:keepLines/>
              <w:jc w:val="center"/>
            </w:pPr>
            <w:r w:rsidRPr="00484AE9">
              <w:t>n/a</w:t>
            </w:r>
          </w:p>
        </w:tc>
        <w:tc>
          <w:tcPr>
            <w:tcW w:w="702" w:type="pct"/>
            <w:vAlign w:val="center"/>
          </w:tcPr>
          <w:p w14:paraId="7304C287" w14:textId="77777777" w:rsidR="000B566C" w:rsidRPr="00484AE9" w:rsidRDefault="000B566C" w:rsidP="00F76D9A">
            <w:pPr>
              <w:pStyle w:val="TableText0"/>
              <w:keepLines/>
              <w:jc w:val="center"/>
            </w:pPr>
            <w:r w:rsidRPr="00484AE9">
              <w:t>98/12525</w:t>
            </w:r>
          </w:p>
          <w:p w14:paraId="18A7AA15" w14:textId="77777777" w:rsidR="000B566C" w:rsidRPr="00484AE9" w:rsidRDefault="000B566C" w:rsidP="00F76D9A">
            <w:pPr>
              <w:pStyle w:val="TableText0"/>
              <w:keepLines/>
              <w:jc w:val="center"/>
            </w:pPr>
            <w:r w:rsidRPr="00484AE9">
              <w:t>(0.78%)</w:t>
            </w:r>
          </w:p>
        </w:tc>
        <w:tc>
          <w:tcPr>
            <w:tcW w:w="702" w:type="pct"/>
            <w:shd w:val="clear" w:color="auto" w:fill="auto"/>
            <w:vAlign w:val="center"/>
          </w:tcPr>
          <w:p w14:paraId="3ED0D54B" w14:textId="77777777" w:rsidR="0046764F" w:rsidRPr="00484AE9" w:rsidRDefault="0046764F" w:rsidP="00F76D9A">
            <w:pPr>
              <w:pStyle w:val="TableText0"/>
              <w:keepLines/>
              <w:jc w:val="center"/>
            </w:pPr>
            <w:r w:rsidRPr="00484AE9">
              <w:t>105/12529</w:t>
            </w:r>
          </w:p>
          <w:p w14:paraId="7334B6FA" w14:textId="6C9361E7" w:rsidR="000B566C" w:rsidRPr="00484AE9" w:rsidRDefault="0046764F" w:rsidP="00F76D9A">
            <w:pPr>
              <w:pStyle w:val="TableText0"/>
              <w:keepLines/>
              <w:jc w:val="center"/>
            </w:pPr>
            <w:r w:rsidRPr="00484AE9">
              <w:t>(0.84%)</w:t>
            </w:r>
          </w:p>
        </w:tc>
        <w:tc>
          <w:tcPr>
            <w:tcW w:w="702" w:type="pct"/>
            <w:shd w:val="clear" w:color="auto" w:fill="auto"/>
            <w:vAlign w:val="center"/>
          </w:tcPr>
          <w:p w14:paraId="158CA64D" w14:textId="77777777" w:rsidR="000B566C" w:rsidRPr="00484AE9" w:rsidRDefault="000B566C" w:rsidP="00F76D9A">
            <w:pPr>
              <w:pStyle w:val="TableText0"/>
              <w:keepLines/>
              <w:jc w:val="center"/>
            </w:pPr>
            <w:r w:rsidRPr="00484AE9">
              <w:t>n/a</w:t>
            </w:r>
          </w:p>
        </w:tc>
        <w:tc>
          <w:tcPr>
            <w:tcW w:w="700" w:type="pct"/>
            <w:vAlign w:val="center"/>
          </w:tcPr>
          <w:p w14:paraId="2D662E50" w14:textId="77777777" w:rsidR="000B566C" w:rsidRPr="00484AE9" w:rsidRDefault="000B566C" w:rsidP="00F76D9A">
            <w:pPr>
              <w:pStyle w:val="TableText0"/>
              <w:keepLines/>
              <w:jc w:val="center"/>
            </w:pPr>
            <w:r w:rsidRPr="00484AE9">
              <w:t>1.07</w:t>
            </w:r>
          </w:p>
          <w:p w14:paraId="034D53E5" w14:textId="440B8C01" w:rsidR="000B566C" w:rsidRPr="00484AE9" w:rsidRDefault="000B566C" w:rsidP="00F76D9A">
            <w:pPr>
              <w:pStyle w:val="TableText0"/>
              <w:keepLines/>
              <w:jc w:val="center"/>
            </w:pPr>
            <w:r w:rsidRPr="00484AE9">
              <w:t>(0.81, 1.41)</w:t>
            </w:r>
          </w:p>
        </w:tc>
      </w:tr>
      <w:tr w:rsidR="008B6130" w:rsidRPr="00484AE9" w14:paraId="6A3BF168" w14:textId="77777777" w:rsidTr="001C1C3B">
        <w:trPr>
          <w:cantSplit/>
        </w:trPr>
        <w:tc>
          <w:tcPr>
            <w:tcW w:w="5000" w:type="pct"/>
            <w:gridSpan w:val="7"/>
          </w:tcPr>
          <w:p w14:paraId="743D2EDE" w14:textId="30C40A37" w:rsidR="00C84B7F" w:rsidRPr="00484AE9" w:rsidRDefault="00C84B7F" w:rsidP="00F76D9A">
            <w:pPr>
              <w:pStyle w:val="TableText0"/>
              <w:keepLines/>
              <w:rPr>
                <w:b/>
                <w:bCs w:val="0"/>
                <w:iCs/>
              </w:rPr>
            </w:pPr>
            <w:r w:rsidRPr="00484AE9">
              <w:rPr>
                <w:b/>
                <w:bCs w:val="0"/>
              </w:rPr>
              <w:t>OBSERVATIONAL STUDIES</w:t>
            </w:r>
          </w:p>
        </w:tc>
      </w:tr>
      <w:tr w:rsidR="008B6130" w:rsidRPr="00484AE9" w14:paraId="0B330073" w14:textId="77777777" w:rsidTr="00E3038D">
        <w:trPr>
          <w:cantSplit/>
        </w:trPr>
        <w:tc>
          <w:tcPr>
            <w:tcW w:w="792" w:type="pct"/>
            <w:vMerge w:val="restart"/>
            <w:shd w:val="clear" w:color="auto" w:fill="auto"/>
            <w:vAlign w:val="center"/>
          </w:tcPr>
          <w:p w14:paraId="33E487AE" w14:textId="77777777" w:rsidR="00CD71AC" w:rsidRPr="00484AE9" w:rsidRDefault="00CD71AC" w:rsidP="00F76D9A">
            <w:pPr>
              <w:pStyle w:val="TableText0"/>
              <w:keepLines/>
            </w:pPr>
            <w:r w:rsidRPr="00484AE9">
              <w:t>Arbel 2022</w:t>
            </w:r>
          </w:p>
          <w:p w14:paraId="13729336" w14:textId="0F879782" w:rsidR="00A1065F" w:rsidRPr="00484AE9" w:rsidRDefault="00A00047" w:rsidP="00F76D9A">
            <w:pPr>
              <w:pStyle w:val="TableText0"/>
              <w:keepLines/>
            </w:pPr>
            <w:r w:rsidRPr="00484AE9">
              <w:t>≥65 years</w:t>
            </w:r>
          </w:p>
        </w:tc>
        <w:tc>
          <w:tcPr>
            <w:tcW w:w="701" w:type="pct"/>
            <w:vAlign w:val="center"/>
          </w:tcPr>
          <w:p w14:paraId="2461C794" w14:textId="64CDC004" w:rsidR="001C1C3B" w:rsidRPr="00484AE9" w:rsidRDefault="00416CE9" w:rsidP="00F76D9A">
            <w:pPr>
              <w:pStyle w:val="TableText0"/>
              <w:keepLines/>
              <w:jc w:val="center"/>
            </w:pPr>
            <w:r w:rsidRPr="00484AE9">
              <w:t>Hospitalisation due to COVID-19</w:t>
            </w:r>
          </w:p>
        </w:tc>
        <w:tc>
          <w:tcPr>
            <w:tcW w:w="701" w:type="pct"/>
            <w:shd w:val="clear" w:color="auto" w:fill="auto"/>
            <w:vAlign w:val="center"/>
          </w:tcPr>
          <w:p w14:paraId="0196FC7C" w14:textId="7841C844" w:rsidR="00CD21B4" w:rsidRPr="00484AE9" w:rsidRDefault="00362F53" w:rsidP="00F76D9A">
            <w:pPr>
              <w:pStyle w:val="TableText0"/>
              <w:keepLines/>
              <w:jc w:val="center"/>
            </w:pPr>
            <w:r w:rsidRPr="00484AE9">
              <w:t>11/</w:t>
            </w:r>
            <w:r w:rsidR="00E07EB7" w:rsidRPr="00484AE9">
              <w:t>2,48</w:t>
            </w:r>
            <w:r w:rsidR="000321EB" w:rsidRPr="00484AE9">
              <w:t>4</w:t>
            </w:r>
          </w:p>
          <w:p w14:paraId="2D864AF9" w14:textId="04BEE92E" w:rsidR="00A1065F" w:rsidRPr="00484AE9" w:rsidRDefault="00F501A0" w:rsidP="00F76D9A">
            <w:pPr>
              <w:pStyle w:val="TableText0"/>
              <w:keepLines/>
              <w:jc w:val="center"/>
            </w:pPr>
            <w:r w:rsidRPr="00484AE9">
              <w:t>(</w:t>
            </w:r>
            <w:r w:rsidR="00303AC4" w:rsidRPr="00484AE9">
              <w:t>0.4</w:t>
            </w:r>
            <w:r w:rsidR="00AD5B97" w:rsidRPr="00484AE9">
              <w:t>4</w:t>
            </w:r>
            <w:r w:rsidR="00303AC4" w:rsidRPr="00484AE9">
              <w:t>%</w:t>
            </w:r>
            <w:r w:rsidRPr="00484AE9">
              <w:t>)</w:t>
            </w:r>
          </w:p>
        </w:tc>
        <w:tc>
          <w:tcPr>
            <w:tcW w:w="702" w:type="pct"/>
            <w:vAlign w:val="center"/>
          </w:tcPr>
          <w:p w14:paraId="51E55850" w14:textId="5AB10ADD" w:rsidR="00CD21B4" w:rsidRPr="00484AE9" w:rsidRDefault="00F501A0" w:rsidP="00F76D9A">
            <w:pPr>
              <w:pStyle w:val="TableText0"/>
              <w:keepLines/>
              <w:jc w:val="center"/>
            </w:pPr>
            <w:r w:rsidRPr="00484AE9">
              <w:t>766/</w:t>
            </w:r>
            <w:r w:rsidR="005012F9" w:rsidRPr="00484AE9">
              <w:t>40,3</w:t>
            </w:r>
            <w:r w:rsidR="00AB0D66" w:rsidRPr="00484AE9">
              <w:t>37</w:t>
            </w:r>
          </w:p>
          <w:p w14:paraId="13F70076" w14:textId="6771F5C4" w:rsidR="00A1065F" w:rsidRPr="00484AE9" w:rsidRDefault="00F501A0" w:rsidP="00F76D9A">
            <w:pPr>
              <w:pStyle w:val="TableText0"/>
              <w:keepLines/>
              <w:jc w:val="center"/>
            </w:pPr>
            <w:r w:rsidRPr="00484AE9">
              <w:t>(</w:t>
            </w:r>
            <w:r w:rsidR="00A47087" w:rsidRPr="00484AE9">
              <w:t>1.9%</w:t>
            </w:r>
            <w:r w:rsidRPr="00484AE9">
              <w:t>)</w:t>
            </w:r>
          </w:p>
        </w:tc>
        <w:tc>
          <w:tcPr>
            <w:tcW w:w="702" w:type="pct"/>
            <w:shd w:val="clear" w:color="auto" w:fill="auto"/>
            <w:vAlign w:val="center"/>
          </w:tcPr>
          <w:p w14:paraId="05D965B8" w14:textId="2F2BFE6E" w:rsidR="00A1065F" w:rsidRPr="00484AE9" w:rsidRDefault="00CD21B4" w:rsidP="00F76D9A">
            <w:pPr>
              <w:pStyle w:val="TableText0"/>
              <w:keepLines/>
              <w:jc w:val="center"/>
            </w:pPr>
            <w:r w:rsidRPr="00484AE9">
              <w:t>n/a</w:t>
            </w:r>
          </w:p>
        </w:tc>
        <w:tc>
          <w:tcPr>
            <w:tcW w:w="702" w:type="pct"/>
            <w:shd w:val="clear" w:color="auto" w:fill="auto"/>
            <w:vAlign w:val="center"/>
          </w:tcPr>
          <w:p w14:paraId="72914FDC" w14:textId="367D0289" w:rsidR="00CD21B4" w:rsidRPr="00484AE9" w:rsidRDefault="00F501A0" w:rsidP="00F76D9A">
            <w:pPr>
              <w:pStyle w:val="TableText0"/>
              <w:keepLines/>
              <w:jc w:val="center"/>
              <w:rPr>
                <w:b/>
              </w:rPr>
            </w:pPr>
            <w:r w:rsidRPr="00484AE9">
              <w:rPr>
                <w:b/>
              </w:rPr>
              <w:t>0.27</w:t>
            </w:r>
            <w:r w:rsidR="00571F1A" w:rsidRPr="00484AE9">
              <w:rPr>
                <w:b/>
              </w:rPr>
              <w:t>^</w:t>
            </w:r>
          </w:p>
          <w:p w14:paraId="001FF5D3" w14:textId="0823BE27" w:rsidR="00A1065F" w:rsidRPr="00484AE9" w:rsidRDefault="00F501A0" w:rsidP="00F76D9A">
            <w:pPr>
              <w:pStyle w:val="TableText0"/>
              <w:keepLines/>
              <w:jc w:val="center"/>
            </w:pPr>
            <w:r w:rsidRPr="00484AE9">
              <w:rPr>
                <w:b/>
              </w:rPr>
              <w:t>(0.15, 0.49)</w:t>
            </w:r>
          </w:p>
        </w:tc>
        <w:tc>
          <w:tcPr>
            <w:tcW w:w="700" w:type="pct"/>
            <w:vAlign w:val="center"/>
          </w:tcPr>
          <w:p w14:paraId="6526590C" w14:textId="5A05FC1C" w:rsidR="00A1065F" w:rsidRPr="00484AE9" w:rsidRDefault="00CD21B4" w:rsidP="00F76D9A">
            <w:pPr>
              <w:pStyle w:val="TableText0"/>
              <w:keepLines/>
              <w:jc w:val="center"/>
              <w:rPr>
                <w:iCs/>
              </w:rPr>
            </w:pPr>
            <w:r w:rsidRPr="00484AE9">
              <w:t>n/a</w:t>
            </w:r>
          </w:p>
        </w:tc>
      </w:tr>
      <w:tr w:rsidR="008E2CF8" w:rsidRPr="00484AE9" w14:paraId="0B041E25" w14:textId="77777777" w:rsidTr="00E3038D">
        <w:trPr>
          <w:cantSplit/>
        </w:trPr>
        <w:tc>
          <w:tcPr>
            <w:tcW w:w="792" w:type="pct"/>
            <w:vMerge/>
            <w:shd w:val="clear" w:color="auto" w:fill="auto"/>
            <w:vAlign w:val="center"/>
          </w:tcPr>
          <w:p w14:paraId="470EF43E" w14:textId="77777777" w:rsidR="00CD21B4" w:rsidRPr="00484AE9" w:rsidRDefault="00CD21B4" w:rsidP="00F76D9A">
            <w:pPr>
              <w:pStyle w:val="TableText0"/>
              <w:keepLines/>
            </w:pPr>
          </w:p>
        </w:tc>
        <w:tc>
          <w:tcPr>
            <w:tcW w:w="701" w:type="pct"/>
            <w:vAlign w:val="center"/>
          </w:tcPr>
          <w:p w14:paraId="23BCD6D3" w14:textId="3B61526C" w:rsidR="00CD21B4" w:rsidRPr="00484AE9" w:rsidRDefault="00CD21B4" w:rsidP="00F76D9A">
            <w:pPr>
              <w:pStyle w:val="TableText0"/>
              <w:keepLines/>
              <w:jc w:val="center"/>
            </w:pPr>
            <w:r w:rsidRPr="00484AE9">
              <w:t>Death due to COVID-19</w:t>
            </w:r>
          </w:p>
        </w:tc>
        <w:tc>
          <w:tcPr>
            <w:tcW w:w="701" w:type="pct"/>
            <w:shd w:val="clear" w:color="auto" w:fill="auto"/>
            <w:vAlign w:val="center"/>
          </w:tcPr>
          <w:p w14:paraId="68F54773" w14:textId="77777777" w:rsidR="00CD21B4" w:rsidRPr="00484AE9" w:rsidRDefault="00AF3884" w:rsidP="00F76D9A">
            <w:pPr>
              <w:pStyle w:val="TableText0"/>
              <w:keepLines/>
              <w:jc w:val="center"/>
            </w:pPr>
            <w:r w:rsidRPr="00484AE9">
              <w:t>2/2,484</w:t>
            </w:r>
          </w:p>
          <w:p w14:paraId="1E8A3080" w14:textId="551CD403" w:rsidR="00CD21B4" w:rsidRPr="00484AE9" w:rsidRDefault="00A47087" w:rsidP="00F76D9A">
            <w:pPr>
              <w:pStyle w:val="TableText0"/>
              <w:keepLines/>
              <w:jc w:val="center"/>
            </w:pPr>
            <w:r w:rsidRPr="00484AE9">
              <w:t>(</w:t>
            </w:r>
            <w:r w:rsidR="008451B4" w:rsidRPr="00484AE9">
              <w:t>0.08%)</w:t>
            </w:r>
          </w:p>
        </w:tc>
        <w:tc>
          <w:tcPr>
            <w:tcW w:w="702" w:type="pct"/>
            <w:vAlign w:val="center"/>
          </w:tcPr>
          <w:p w14:paraId="2F7F3720" w14:textId="77777777" w:rsidR="00CD21B4" w:rsidRPr="00484AE9" w:rsidRDefault="00AF3884" w:rsidP="00F76D9A">
            <w:pPr>
              <w:pStyle w:val="TableText0"/>
              <w:keepLines/>
              <w:jc w:val="center"/>
            </w:pPr>
            <w:r w:rsidRPr="00484AE9">
              <w:t>158/40,337</w:t>
            </w:r>
          </w:p>
          <w:p w14:paraId="36735BCB" w14:textId="2FF179FF" w:rsidR="00CD21B4" w:rsidRPr="00484AE9" w:rsidRDefault="00DF025D" w:rsidP="00F76D9A">
            <w:pPr>
              <w:pStyle w:val="TableText0"/>
              <w:keepLines/>
              <w:jc w:val="center"/>
            </w:pPr>
            <w:r w:rsidRPr="00484AE9">
              <w:t>(3.9%)</w:t>
            </w:r>
          </w:p>
        </w:tc>
        <w:tc>
          <w:tcPr>
            <w:tcW w:w="702" w:type="pct"/>
            <w:shd w:val="clear" w:color="auto" w:fill="auto"/>
            <w:vAlign w:val="center"/>
          </w:tcPr>
          <w:p w14:paraId="0295448E" w14:textId="1B56C0E3" w:rsidR="00CD21B4" w:rsidRPr="00484AE9" w:rsidRDefault="00CD21B4" w:rsidP="00F76D9A">
            <w:pPr>
              <w:pStyle w:val="TableText0"/>
              <w:keepLines/>
              <w:jc w:val="center"/>
            </w:pPr>
            <w:r w:rsidRPr="00484AE9">
              <w:t>n/a</w:t>
            </w:r>
          </w:p>
        </w:tc>
        <w:tc>
          <w:tcPr>
            <w:tcW w:w="702" w:type="pct"/>
            <w:shd w:val="clear" w:color="auto" w:fill="auto"/>
            <w:vAlign w:val="center"/>
          </w:tcPr>
          <w:p w14:paraId="38E1F174" w14:textId="74D719CF" w:rsidR="00CD21B4" w:rsidRPr="00484AE9" w:rsidRDefault="00AF3884" w:rsidP="00F76D9A">
            <w:pPr>
              <w:pStyle w:val="TableText0"/>
              <w:keepLines/>
              <w:jc w:val="center"/>
              <w:rPr>
                <w:b/>
              </w:rPr>
            </w:pPr>
            <w:r w:rsidRPr="00484AE9">
              <w:rPr>
                <w:b/>
              </w:rPr>
              <w:t>0.21</w:t>
            </w:r>
            <w:r w:rsidR="00571F1A" w:rsidRPr="00484AE9">
              <w:rPr>
                <w:b/>
              </w:rPr>
              <w:t>^</w:t>
            </w:r>
          </w:p>
          <w:p w14:paraId="3373ABD7" w14:textId="2715E3F1" w:rsidR="00CD21B4" w:rsidRPr="00484AE9" w:rsidRDefault="00AF3884" w:rsidP="00F76D9A">
            <w:pPr>
              <w:pStyle w:val="TableText0"/>
              <w:keepLines/>
              <w:jc w:val="center"/>
            </w:pPr>
            <w:r w:rsidRPr="00484AE9">
              <w:rPr>
                <w:b/>
              </w:rPr>
              <w:t>(</w:t>
            </w:r>
            <w:r w:rsidR="002D04B8" w:rsidRPr="00484AE9">
              <w:rPr>
                <w:b/>
              </w:rPr>
              <w:t>0.05, 0.82)</w:t>
            </w:r>
          </w:p>
        </w:tc>
        <w:tc>
          <w:tcPr>
            <w:tcW w:w="700" w:type="pct"/>
            <w:vAlign w:val="center"/>
          </w:tcPr>
          <w:p w14:paraId="7794300B" w14:textId="32A5A6C6" w:rsidR="00CD21B4" w:rsidRPr="00484AE9" w:rsidRDefault="00CD21B4" w:rsidP="00F76D9A">
            <w:pPr>
              <w:pStyle w:val="TableText0"/>
              <w:keepLines/>
              <w:jc w:val="center"/>
              <w:rPr>
                <w:iCs/>
              </w:rPr>
            </w:pPr>
            <w:r w:rsidRPr="00484AE9">
              <w:t>n/a</w:t>
            </w:r>
          </w:p>
        </w:tc>
      </w:tr>
      <w:tr w:rsidR="008B6130" w:rsidRPr="00484AE9" w14:paraId="0B5AA076" w14:textId="77777777" w:rsidTr="00E3038D">
        <w:trPr>
          <w:cantSplit/>
        </w:trPr>
        <w:tc>
          <w:tcPr>
            <w:tcW w:w="792" w:type="pct"/>
            <w:vMerge w:val="restart"/>
            <w:shd w:val="clear" w:color="auto" w:fill="auto"/>
            <w:vAlign w:val="center"/>
          </w:tcPr>
          <w:p w14:paraId="31CD26D4" w14:textId="77777777" w:rsidR="00A00047" w:rsidRPr="00484AE9" w:rsidRDefault="00A00047" w:rsidP="00F76D9A">
            <w:pPr>
              <w:pStyle w:val="TableText0"/>
              <w:keepLines/>
            </w:pPr>
            <w:r w:rsidRPr="00484AE9">
              <w:t>Arbel 2022</w:t>
            </w:r>
          </w:p>
          <w:p w14:paraId="354D1B16" w14:textId="3FAA8591" w:rsidR="00416CE9" w:rsidRPr="00484AE9" w:rsidRDefault="00A00047" w:rsidP="00F76D9A">
            <w:pPr>
              <w:pStyle w:val="TableText0"/>
              <w:keepLines/>
            </w:pPr>
            <w:r w:rsidRPr="00484AE9">
              <w:t>40-64 years</w:t>
            </w:r>
          </w:p>
        </w:tc>
        <w:tc>
          <w:tcPr>
            <w:tcW w:w="701" w:type="pct"/>
            <w:vAlign w:val="center"/>
          </w:tcPr>
          <w:p w14:paraId="6A14E505" w14:textId="535A593E" w:rsidR="00416CE9" w:rsidRPr="00484AE9" w:rsidRDefault="00F14FE0" w:rsidP="00F76D9A">
            <w:pPr>
              <w:pStyle w:val="TableText0"/>
              <w:keepLines/>
              <w:jc w:val="center"/>
            </w:pPr>
            <w:r w:rsidRPr="00484AE9">
              <w:t>Hospitalisation</w:t>
            </w:r>
            <w:r w:rsidR="00416CE9" w:rsidRPr="00484AE9">
              <w:t xml:space="preserve"> due to COVID-19</w:t>
            </w:r>
          </w:p>
        </w:tc>
        <w:tc>
          <w:tcPr>
            <w:tcW w:w="701" w:type="pct"/>
            <w:shd w:val="clear" w:color="auto" w:fill="auto"/>
            <w:vAlign w:val="center"/>
          </w:tcPr>
          <w:p w14:paraId="27AF12D3" w14:textId="77777777" w:rsidR="00CD21B4" w:rsidRPr="00484AE9" w:rsidRDefault="00D31CE1" w:rsidP="00F76D9A">
            <w:pPr>
              <w:pStyle w:val="TableText0"/>
              <w:keepLines/>
              <w:jc w:val="center"/>
            </w:pPr>
            <w:r w:rsidRPr="00484AE9">
              <w:t>7</w:t>
            </w:r>
            <w:r w:rsidR="00E07EB7" w:rsidRPr="00484AE9">
              <w:t>/</w:t>
            </w:r>
            <w:r w:rsidR="00800B0A" w:rsidRPr="00484AE9">
              <w:t>1,418</w:t>
            </w:r>
          </w:p>
          <w:p w14:paraId="3EA2DC57" w14:textId="3AD981C0" w:rsidR="00416CE9" w:rsidRPr="00484AE9" w:rsidRDefault="00AF3884" w:rsidP="00F76D9A">
            <w:pPr>
              <w:pStyle w:val="TableText0"/>
              <w:keepLines/>
              <w:jc w:val="center"/>
            </w:pPr>
            <w:r w:rsidRPr="00484AE9">
              <w:t>(</w:t>
            </w:r>
            <w:r w:rsidR="00E11D3C" w:rsidRPr="00484AE9">
              <w:t>4.9%</w:t>
            </w:r>
            <w:r w:rsidRPr="00484AE9">
              <w:t>)</w:t>
            </w:r>
          </w:p>
        </w:tc>
        <w:tc>
          <w:tcPr>
            <w:tcW w:w="702" w:type="pct"/>
            <w:vAlign w:val="center"/>
          </w:tcPr>
          <w:p w14:paraId="67A0526E" w14:textId="6FBDECC5" w:rsidR="00CD21B4" w:rsidRPr="00484AE9" w:rsidRDefault="00D31CE1" w:rsidP="00F76D9A">
            <w:pPr>
              <w:pStyle w:val="TableText0"/>
              <w:keepLines/>
              <w:jc w:val="center"/>
            </w:pPr>
            <w:r w:rsidRPr="00484AE9">
              <w:t>327</w:t>
            </w:r>
            <w:r w:rsidR="00800B0A" w:rsidRPr="00484AE9">
              <w:t>/</w:t>
            </w:r>
            <w:r w:rsidR="00F95F7D" w:rsidRPr="00484AE9">
              <w:t>65,015</w:t>
            </w:r>
          </w:p>
          <w:p w14:paraId="08EBC230" w14:textId="6465A577" w:rsidR="00416CE9" w:rsidRPr="00484AE9" w:rsidRDefault="00AF3884" w:rsidP="00F76D9A">
            <w:pPr>
              <w:pStyle w:val="TableText0"/>
              <w:keepLines/>
              <w:jc w:val="center"/>
            </w:pPr>
            <w:r w:rsidRPr="00484AE9">
              <w:t>(</w:t>
            </w:r>
            <w:r w:rsidR="002B6A83" w:rsidRPr="00484AE9">
              <w:t>0.5%</w:t>
            </w:r>
            <w:r w:rsidRPr="00484AE9">
              <w:t>)</w:t>
            </w:r>
          </w:p>
        </w:tc>
        <w:tc>
          <w:tcPr>
            <w:tcW w:w="702" w:type="pct"/>
            <w:shd w:val="clear" w:color="auto" w:fill="auto"/>
            <w:vAlign w:val="center"/>
          </w:tcPr>
          <w:p w14:paraId="578550FA" w14:textId="5F16845C" w:rsidR="00416CE9" w:rsidRPr="00484AE9" w:rsidRDefault="00CD21B4" w:rsidP="00F76D9A">
            <w:pPr>
              <w:pStyle w:val="TableText0"/>
              <w:keepLines/>
              <w:jc w:val="center"/>
            </w:pPr>
            <w:r w:rsidRPr="00484AE9">
              <w:t>n/a</w:t>
            </w:r>
          </w:p>
        </w:tc>
        <w:tc>
          <w:tcPr>
            <w:tcW w:w="702" w:type="pct"/>
            <w:shd w:val="clear" w:color="auto" w:fill="auto"/>
            <w:vAlign w:val="center"/>
          </w:tcPr>
          <w:p w14:paraId="39E690FA" w14:textId="7B060472" w:rsidR="00CD21B4" w:rsidRPr="00484AE9" w:rsidRDefault="00F501A0" w:rsidP="00F76D9A">
            <w:pPr>
              <w:pStyle w:val="TableText0"/>
              <w:keepLines/>
              <w:jc w:val="center"/>
            </w:pPr>
            <w:r w:rsidRPr="00484AE9">
              <w:t>0.74</w:t>
            </w:r>
            <w:r w:rsidR="00571F1A" w:rsidRPr="00484AE9">
              <w:t>^</w:t>
            </w:r>
          </w:p>
          <w:p w14:paraId="308060BC" w14:textId="4A9751BE" w:rsidR="00416CE9" w:rsidRPr="00484AE9" w:rsidRDefault="00F501A0" w:rsidP="00F76D9A">
            <w:pPr>
              <w:pStyle w:val="TableText0"/>
              <w:keepLines/>
              <w:jc w:val="center"/>
            </w:pPr>
            <w:r w:rsidRPr="00484AE9">
              <w:t>(</w:t>
            </w:r>
            <w:r w:rsidR="00C373E5" w:rsidRPr="00484AE9">
              <w:t xml:space="preserve">0.35, </w:t>
            </w:r>
            <w:r w:rsidR="00AF54C1" w:rsidRPr="00484AE9">
              <w:t>1.58)</w:t>
            </w:r>
          </w:p>
        </w:tc>
        <w:tc>
          <w:tcPr>
            <w:tcW w:w="700" w:type="pct"/>
            <w:vAlign w:val="center"/>
          </w:tcPr>
          <w:p w14:paraId="480BE4F0" w14:textId="17FBC34A" w:rsidR="00416CE9" w:rsidRPr="00484AE9" w:rsidRDefault="00CD21B4" w:rsidP="00F76D9A">
            <w:pPr>
              <w:pStyle w:val="TableText0"/>
              <w:keepLines/>
              <w:jc w:val="center"/>
              <w:rPr>
                <w:iCs/>
              </w:rPr>
            </w:pPr>
            <w:r w:rsidRPr="00484AE9">
              <w:t>n/a</w:t>
            </w:r>
          </w:p>
        </w:tc>
      </w:tr>
      <w:tr w:rsidR="008E2CF8" w:rsidRPr="00484AE9" w14:paraId="353C2408" w14:textId="77777777" w:rsidTr="00E3038D">
        <w:trPr>
          <w:cantSplit/>
        </w:trPr>
        <w:tc>
          <w:tcPr>
            <w:tcW w:w="792" w:type="pct"/>
            <w:vMerge/>
            <w:shd w:val="clear" w:color="auto" w:fill="auto"/>
            <w:vAlign w:val="center"/>
          </w:tcPr>
          <w:p w14:paraId="14999612" w14:textId="77777777" w:rsidR="00CD21B4" w:rsidRPr="00484AE9" w:rsidRDefault="00CD21B4" w:rsidP="00F76D9A">
            <w:pPr>
              <w:pStyle w:val="TableText0"/>
              <w:keepLines/>
            </w:pPr>
          </w:p>
        </w:tc>
        <w:tc>
          <w:tcPr>
            <w:tcW w:w="701" w:type="pct"/>
            <w:vAlign w:val="center"/>
          </w:tcPr>
          <w:p w14:paraId="631EE3A3" w14:textId="68D46CF0" w:rsidR="00CD21B4" w:rsidRPr="00484AE9" w:rsidRDefault="00CD21B4" w:rsidP="00F76D9A">
            <w:pPr>
              <w:pStyle w:val="TableText0"/>
              <w:keepLines/>
              <w:jc w:val="center"/>
            </w:pPr>
            <w:r w:rsidRPr="00484AE9">
              <w:t>Death due to COVID-19</w:t>
            </w:r>
          </w:p>
        </w:tc>
        <w:tc>
          <w:tcPr>
            <w:tcW w:w="701" w:type="pct"/>
            <w:shd w:val="clear" w:color="auto" w:fill="auto"/>
            <w:vAlign w:val="center"/>
          </w:tcPr>
          <w:p w14:paraId="1507464B" w14:textId="77777777" w:rsidR="00CD21B4" w:rsidRPr="00484AE9" w:rsidRDefault="002D04B8" w:rsidP="00F76D9A">
            <w:pPr>
              <w:pStyle w:val="TableText0"/>
              <w:keepLines/>
              <w:jc w:val="center"/>
            </w:pPr>
            <w:r w:rsidRPr="00484AE9">
              <w:t>1/1,418</w:t>
            </w:r>
          </w:p>
          <w:p w14:paraId="330FDFC6" w14:textId="01F8120A" w:rsidR="00CD21B4" w:rsidRPr="00484AE9" w:rsidRDefault="002D04B8" w:rsidP="00F76D9A">
            <w:pPr>
              <w:pStyle w:val="TableText0"/>
              <w:keepLines/>
              <w:jc w:val="center"/>
            </w:pPr>
            <w:r w:rsidRPr="00484AE9">
              <w:t>(</w:t>
            </w:r>
            <w:r w:rsidR="0048587E" w:rsidRPr="00484AE9">
              <w:t>0.07%</w:t>
            </w:r>
            <w:r w:rsidRPr="00484AE9">
              <w:t>)</w:t>
            </w:r>
          </w:p>
        </w:tc>
        <w:tc>
          <w:tcPr>
            <w:tcW w:w="702" w:type="pct"/>
            <w:vAlign w:val="center"/>
          </w:tcPr>
          <w:p w14:paraId="12C01C98" w14:textId="77777777" w:rsidR="00CD21B4" w:rsidRPr="00484AE9" w:rsidRDefault="00DE046E" w:rsidP="00F76D9A">
            <w:pPr>
              <w:pStyle w:val="TableText0"/>
              <w:keepLines/>
              <w:jc w:val="center"/>
            </w:pPr>
            <w:r w:rsidRPr="00484AE9">
              <w:t>16/</w:t>
            </w:r>
            <w:r w:rsidR="00DB1D1A" w:rsidRPr="00484AE9">
              <w:t>65,015</w:t>
            </w:r>
          </w:p>
          <w:p w14:paraId="03087691" w14:textId="4252D79A" w:rsidR="00CD21B4" w:rsidRPr="00484AE9" w:rsidRDefault="00DB1D1A" w:rsidP="00F76D9A">
            <w:pPr>
              <w:pStyle w:val="TableText0"/>
              <w:keepLines/>
              <w:jc w:val="center"/>
            </w:pPr>
            <w:r w:rsidRPr="00484AE9">
              <w:t>(</w:t>
            </w:r>
            <w:r w:rsidR="00951EFD" w:rsidRPr="00484AE9">
              <w:t>0.02%</w:t>
            </w:r>
            <w:r w:rsidRPr="00484AE9">
              <w:t>)</w:t>
            </w:r>
          </w:p>
        </w:tc>
        <w:tc>
          <w:tcPr>
            <w:tcW w:w="702" w:type="pct"/>
            <w:shd w:val="clear" w:color="auto" w:fill="auto"/>
            <w:vAlign w:val="center"/>
          </w:tcPr>
          <w:p w14:paraId="76B93EA9" w14:textId="6D63C9C4" w:rsidR="00CD21B4" w:rsidRPr="00484AE9" w:rsidRDefault="00CD21B4" w:rsidP="00F76D9A">
            <w:pPr>
              <w:pStyle w:val="TableText0"/>
              <w:keepLines/>
              <w:jc w:val="center"/>
            </w:pPr>
            <w:r w:rsidRPr="00484AE9">
              <w:t>n/a</w:t>
            </w:r>
          </w:p>
        </w:tc>
        <w:tc>
          <w:tcPr>
            <w:tcW w:w="702" w:type="pct"/>
            <w:shd w:val="clear" w:color="auto" w:fill="auto"/>
            <w:vAlign w:val="center"/>
          </w:tcPr>
          <w:p w14:paraId="6A3DDB20" w14:textId="30E57922" w:rsidR="00CD21B4" w:rsidRPr="00484AE9" w:rsidRDefault="004D6EB5" w:rsidP="00F76D9A">
            <w:pPr>
              <w:pStyle w:val="TableText0"/>
              <w:keepLines/>
              <w:jc w:val="center"/>
            </w:pPr>
            <w:r w:rsidRPr="00484AE9">
              <w:t>1.32</w:t>
            </w:r>
            <w:r w:rsidR="00571F1A" w:rsidRPr="00484AE9">
              <w:t>^</w:t>
            </w:r>
          </w:p>
          <w:p w14:paraId="3BA5DD1F" w14:textId="089777D3" w:rsidR="00CD21B4" w:rsidRPr="00484AE9" w:rsidRDefault="004D6EB5" w:rsidP="00F76D9A">
            <w:pPr>
              <w:pStyle w:val="TableText0"/>
              <w:keepLines/>
              <w:jc w:val="center"/>
            </w:pPr>
            <w:r w:rsidRPr="00484AE9">
              <w:t>(0.16, 10.75)</w:t>
            </w:r>
          </w:p>
        </w:tc>
        <w:tc>
          <w:tcPr>
            <w:tcW w:w="700" w:type="pct"/>
            <w:vAlign w:val="center"/>
          </w:tcPr>
          <w:p w14:paraId="6520C540" w14:textId="307F9AB1" w:rsidR="00CD21B4" w:rsidRPr="00484AE9" w:rsidRDefault="00CD21B4" w:rsidP="00F76D9A">
            <w:pPr>
              <w:pStyle w:val="TableText0"/>
              <w:keepLines/>
              <w:jc w:val="center"/>
              <w:rPr>
                <w:iCs/>
              </w:rPr>
            </w:pPr>
            <w:r w:rsidRPr="00484AE9">
              <w:t>n/a</w:t>
            </w:r>
          </w:p>
        </w:tc>
      </w:tr>
      <w:tr w:rsidR="008B6130" w:rsidRPr="00484AE9" w14:paraId="076477CD" w14:textId="77777777" w:rsidTr="00E3038D">
        <w:trPr>
          <w:cantSplit/>
        </w:trPr>
        <w:tc>
          <w:tcPr>
            <w:tcW w:w="792" w:type="pct"/>
            <w:shd w:val="clear" w:color="auto" w:fill="auto"/>
            <w:vAlign w:val="center"/>
          </w:tcPr>
          <w:p w14:paraId="49EA8A37" w14:textId="1F1E4F8D" w:rsidR="00CD71AC" w:rsidRPr="00484AE9" w:rsidRDefault="00CD71AC" w:rsidP="00F76D9A">
            <w:pPr>
              <w:pStyle w:val="TableText0"/>
              <w:keepLines/>
            </w:pPr>
            <w:r w:rsidRPr="00484AE9">
              <w:t>Najjar-Debbiny 2023a</w:t>
            </w:r>
          </w:p>
        </w:tc>
        <w:tc>
          <w:tcPr>
            <w:tcW w:w="701" w:type="pct"/>
            <w:vAlign w:val="center"/>
          </w:tcPr>
          <w:p w14:paraId="45C5497B" w14:textId="20AF5FBD" w:rsidR="00CD71AC" w:rsidRPr="00484AE9" w:rsidRDefault="0013435D" w:rsidP="00F76D9A">
            <w:pPr>
              <w:pStyle w:val="TableText0"/>
              <w:keepLines/>
              <w:jc w:val="center"/>
            </w:pPr>
            <w:r w:rsidRPr="00484AE9">
              <w:t>Death or severe COVID-19</w:t>
            </w:r>
          </w:p>
        </w:tc>
        <w:tc>
          <w:tcPr>
            <w:tcW w:w="701" w:type="pct"/>
            <w:shd w:val="clear" w:color="auto" w:fill="auto"/>
            <w:vAlign w:val="center"/>
          </w:tcPr>
          <w:p w14:paraId="75F4907E" w14:textId="77777777" w:rsidR="00CD21B4" w:rsidRPr="00484AE9" w:rsidRDefault="00E007F0" w:rsidP="00F76D9A">
            <w:pPr>
              <w:pStyle w:val="TableText0"/>
              <w:keepLines/>
              <w:jc w:val="center"/>
            </w:pPr>
            <w:r w:rsidRPr="00484AE9">
              <w:t>39</w:t>
            </w:r>
            <w:r w:rsidR="006D3200" w:rsidRPr="00484AE9">
              <w:t>/4,737</w:t>
            </w:r>
          </w:p>
          <w:p w14:paraId="3CA0C3EF" w14:textId="37C24071" w:rsidR="00CD71AC" w:rsidRPr="00484AE9" w:rsidRDefault="00EB505B" w:rsidP="00F76D9A">
            <w:pPr>
              <w:pStyle w:val="TableText0"/>
              <w:keepLines/>
              <w:jc w:val="center"/>
            </w:pPr>
            <w:r w:rsidRPr="00484AE9">
              <w:t>(0.8%)</w:t>
            </w:r>
          </w:p>
        </w:tc>
        <w:tc>
          <w:tcPr>
            <w:tcW w:w="702" w:type="pct"/>
            <w:vAlign w:val="center"/>
          </w:tcPr>
          <w:p w14:paraId="7EEAF01C" w14:textId="77777777" w:rsidR="00CD21B4" w:rsidRPr="00484AE9" w:rsidRDefault="00E007F0" w:rsidP="00F76D9A">
            <w:pPr>
              <w:pStyle w:val="TableText0"/>
              <w:keepLines/>
              <w:jc w:val="center"/>
            </w:pPr>
            <w:r w:rsidRPr="00484AE9">
              <w:t>903</w:t>
            </w:r>
            <w:r w:rsidR="00DE37C0" w:rsidRPr="00484AE9">
              <w:t>/</w:t>
            </w:r>
            <w:r w:rsidRPr="00484AE9">
              <w:t>175,614</w:t>
            </w:r>
          </w:p>
          <w:p w14:paraId="7E896FE7" w14:textId="5B6945F2" w:rsidR="00CD71AC" w:rsidRPr="00484AE9" w:rsidRDefault="00E007F0" w:rsidP="00F76D9A">
            <w:pPr>
              <w:pStyle w:val="TableText0"/>
              <w:keepLines/>
              <w:jc w:val="center"/>
            </w:pPr>
            <w:r w:rsidRPr="00484AE9">
              <w:t>(</w:t>
            </w:r>
            <w:r w:rsidR="003F40FF" w:rsidRPr="00484AE9">
              <w:t>0.5%</w:t>
            </w:r>
            <w:r w:rsidRPr="00484AE9">
              <w:t>)</w:t>
            </w:r>
          </w:p>
        </w:tc>
        <w:tc>
          <w:tcPr>
            <w:tcW w:w="702" w:type="pct"/>
            <w:shd w:val="clear" w:color="auto" w:fill="auto"/>
            <w:vAlign w:val="center"/>
          </w:tcPr>
          <w:p w14:paraId="7996E714" w14:textId="61F07F11" w:rsidR="00CD71AC" w:rsidRPr="00484AE9" w:rsidRDefault="003C62F8" w:rsidP="00F76D9A">
            <w:pPr>
              <w:pStyle w:val="TableText0"/>
              <w:keepLines/>
              <w:jc w:val="center"/>
            </w:pPr>
            <w:r w:rsidRPr="00484AE9">
              <w:t>n/a</w:t>
            </w:r>
          </w:p>
        </w:tc>
        <w:tc>
          <w:tcPr>
            <w:tcW w:w="702" w:type="pct"/>
            <w:shd w:val="clear" w:color="auto" w:fill="auto"/>
            <w:vAlign w:val="center"/>
          </w:tcPr>
          <w:p w14:paraId="0577A700" w14:textId="5A4E6358" w:rsidR="00CD21B4" w:rsidRPr="00484AE9" w:rsidRDefault="00B6185B" w:rsidP="00F76D9A">
            <w:pPr>
              <w:pStyle w:val="TableText0"/>
              <w:keepLines/>
              <w:jc w:val="center"/>
              <w:rPr>
                <w:b/>
              </w:rPr>
            </w:pPr>
            <w:r w:rsidRPr="00484AE9">
              <w:rPr>
                <w:b/>
              </w:rPr>
              <w:t>0.54^</w:t>
            </w:r>
          </w:p>
          <w:p w14:paraId="2D2BD557" w14:textId="156C94D8" w:rsidR="00CD71AC" w:rsidRPr="00484AE9" w:rsidRDefault="00B6185B" w:rsidP="00F76D9A">
            <w:pPr>
              <w:pStyle w:val="TableText0"/>
              <w:keepLines/>
              <w:jc w:val="center"/>
            </w:pPr>
            <w:r w:rsidRPr="00484AE9">
              <w:rPr>
                <w:b/>
              </w:rPr>
              <w:t xml:space="preserve">(0.39, </w:t>
            </w:r>
            <w:r w:rsidR="003D75AC" w:rsidRPr="00484AE9">
              <w:rPr>
                <w:b/>
              </w:rPr>
              <w:t>0.75)</w:t>
            </w:r>
          </w:p>
        </w:tc>
        <w:tc>
          <w:tcPr>
            <w:tcW w:w="700" w:type="pct"/>
            <w:vAlign w:val="center"/>
          </w:tcPr>
          <w:p w14:paraId="05A433D0" w14:textId="5B0D7051" w:rsidR="00CD71AC" w:rsidRPr="00484AE9" w:rsidRDefault="003C62F8" w:rsidP="00F76D9A">
            <w:pPr>
              <w:pStyle w:val="TableText0"/>
              <w:keepLines/>
              <w:jc w:val="center"/>
            </w:pPr>
            <w:r w:rsidRPr="00484AE9">
              <w:t>n/a</w:t>
            </w:r>
          </w:p>
        </w:tc>
      </w:tr>
      <w:tr w:rsidR="008B6130" w:rsidRPr="00484AE9" w14:paraId="3A43E9AD" w14:textId="77777777" w:rsidTr="00E3038D">
        <w:trPr>
          <w:cantSplit/>
        </w:trPr>
        <w:tc>
          <w:tcPr>
            <w:tcW w:w="792" w:type="pct"/>
            <w:shd w:val="clear" w:color="auto" w:fill="auto"/>
            <w:vAlign w:val="center"/>
          </w:tcPr>
          <w:p w14:paraId="12BC10DB" w14:textId="68DEA777" w:rsidR="00CD71AC" w:rsidRPr="00484AE9" w:rsidRDefault="00CD71AC" w:rsidP="00F76D9A">
            <w:pPr>
              <w:pStyle w:val="TableText0"/>
              <w:keepLines/>
            </w:pPr>
            <w:r w:rsidRPr="00484AE9">
              <w:t>Najjar-Debbiny 2023b</w:t>
            </w:r>
          </w:p>
        </w:tc>
        <w:tc>
          <w:tcPr>
            <w:tcW w:w="701" w:type="pct"/>
            <w:vAlign w:val="center"/>
          </w:tcPr>
          <w:p w14:paraId="53DF56C2" w14:textId="0D0CF29D" w:rsidR="00CD71AC" w:rsidRPr="00484AE9" w:rsidRDefault="0013435D" w:rsidP="00F76D9A">
            <w:pPr>
              <w:pStyle w:val="TableText0"/>
              <w:keepLines/>
              <w:jc w:val="center"/>
            </w:pPr>
            <w:r w:rsidRPr="00484AE9">
              <w:t>Death or severe COVID-19</w:t>
            </w:r>
          </w:p>
        </w:tc>
        <w:tc>
          <w:tcPr>
            <w:tcW w:w="701" w:type="pct"/>
            <w:shd w:val="clear" w:color="auto" w:fill="auto"/>
            <w:vAlign w:val="center"/>
          </w:tcPr>
          <w:p w14:paraId="3A1028F8" w14:textId="44E2AC38" w:rsidR="00CD71AC" w:rsidRPr="00484AE9" w:rsidRDefault="00D54070" w:rsidP="00F76D9A">
            <w:pPr>
              <w:pStyle w:val="TableText0"/>
              <w:keepLines/>
              <w:jc w:val="center"/>
            </w:pPr>
            <w:r w:rsidRPr="00484AE9">
              <w:t>n/a</w:t>
            </w:r>
          </w:p>
        </w:tc>
        <w:tc>
          <w:tcPr>
            <w:tcW w:w="702" w:type="pct"/>
            <w:vAlign w:val="center"/>
          </w:tcPr>
          <w:p w14:paraId="1900796E" w14:textId="118263C7" w:rsidR="00CD71AC" w:rsidRPr="00484AE9" w:rsidRDefault="00D54070" w:rsidP="00F76D9A">
            <w:pPr>
              <w:pStyle w:val="TableText0"/>
              <w:keepLines/>
              <w:jc w:val="center"/>
            </w:pPr>
            <w:r w:rsidRPr="00484AE9">
              <w:t>60/2661 (2.25%)</w:t>
            </w:r>
          </w:p>
        </w:tc>
        <w:tc>
          <w:tcPr>
            <w:tcW w:w="702" w:type="pct"/>
            <w:shd w:val="clear" w:color="auto" w:fill="auto"/>
            <w:vAlign w:val="center"/>
          </w:tcPr>
          <w:p w14:paraId="423F2171" w14:textId="1F02AA04" w:rsidR="00CD71AC" w:rsidRPr="00484AE9" w:rsidRDefault="00D54070" w:rsidP="00F76D9A">
            <w:pPr>
              <w:pStyle w:val="TableText0"/>
              <w:keepLines/>
              <w:jc w:val="center"/>
            </w:pPr>
            <w:r w:rsidRPr="00484AE9">
              <w:t>50/2661 (1.88%)</w:t>
            </w:r>
          </w:p>
        </w:tc>
        <w:tc>
          <w:tcPr>
            <w:tcW w:w="702" w:type="pct"/>
            <w:shd w:val="clear" w:color="auto" w:fill="auto"/>
            <w:vAlign w:val="center"/>
          </w:tcPr>
          <w:p w14:paraId="0AF2B389" w14:textId="11B62588" w:rsidR="00CD71AC" w:rsidRPr="00484AE9" w:rsidRDefault="00D54070" w:rsidP="00F76D9A">
            <w:pPr>
              <w:pStyle w:val="TableText0"/>
              <w:keepLines/>
              <w:jc w:val="center"/>
            </w:pPr>
            <w:r w:rsidRPr="00484AE9">
              <w:t>n/a</w:t>
            </w:r>
          </w:p>
        </w:tc>
        <w:tc>
          <w:tcPr>
            <w:tcW w:w="700" w:type="pct"/>
            <w:vAlign w:val="center"/>
          </w:tcPr>
          <w:p w14:paraId="5DB7896C" w14:textId="77777777" w:rsidR="00D54070" w:rsidRPr="00484AE9" w:rsidRDefault="009D0D36" w:rsidP="00F76D9A">
            <w:pPr>
              <w:pStyle w:val="TableText0"/>
              <w:keepLines/>
              <w:jc w:val="center"/>
            </w:pPr>
            <w:r w:rsidRPr="00484AE9">
              <w:t>0.83</w:t>
            </w:r>
          </w:p>
          <w:p w14:paraId="1BDE4D30" w14:textId="617CF7DD" w:rsidR="00CD71AC" w:rsidRPr="00484AE9" w:rsidRDefault="009D0D36" w:rsidP="00F76D9A">
            <w:pPr>
              <w:pStyle w:val="TableText0"/>
              <w:keepLines/>
              <w:jc w:val="center"/>
            </w:pPr>
            <w:r w:rsidRPr="00484AE9">
              <w:t>(</w:t>
            </w:r>
            <w:r w:rsidR="003C62F8" w:rsidRPr="00484AE9">
              <w:t>0.57, 1.21)</w:t>
            </w:r>
          </w:p>
        </w:tc>
      </w:tr>
      <w:tr w:rsidR="008B6130" w:rsidRPr="00484AE9" w14:paraId="7FD16A17" w14:textId="77777777" w:rsidTr="00B93D73">
        <w:trPr>
          <w:cantSplit/>
        </w:trPr>
        <w:tc>
          <w:tcPr>
            <w:tcW w:w="792" w:type="pct"/>
            <w:vMerge w:val="restart"/>
            <w:shd w:val="clear" w:color="auto" w:fill="auto"/>
            <w:vAlign w:val="center"/>
          </w:tcPr>
          <w:p w14:paraId="2F0A63C4" w14:textId="362FDA16" w:rsidR="00CD71AC" w:rsidRPr="00484AE9" w:rsidRDefault="00CD71AC" w:rsidP="00F76D9A">
            <w:pPr>
              <w:pStyle w:val="TableText0"/>
              <w:keepNext w:val="0"/>
            </w:pPr>
            <w:r w:rsidRPr="00484AE9">
              <w:t>Wong 2022</w:t>
            </w:r>
          </w:p>
        </w:tc>
        <w:tc>
          <w:tcPr>
            <w:tcW w:w="701" w:type="pct"/>
            <w:vAlign w:val="center"/>
          </w:tcPr>
          <w:p w14:paraId="3CA2306B" w14:textId="42C21308" w:rsidR="00CD71AC" w:rsidRPr="00484AE9" w:rsidRDefault="00CA5AC1" w:rsidP="00F76D9A">
            <w:pPr>
              <w:pStyle w:val="TableText0"/>
              <w:keepNext w:val="0"/>
              <w:jc w:val="center"/>
            </w:pPr>
            <w:r w:rsidRPr="00484AE9">
              <w:t>Hospitalisation</w:t>
            </w:r>
          </w:p>
        </w:tc>
        <w:tc>
          <w:tcPr>
            <w:tcW w:w="701" w:type="pct"/>
            <w:shd w:val="clear" w:color="auto" w:fill="auto"/>
            <w:vAlign w:val="center"/>
          </w:tcPr>
          <w:p w14:paraId="35284706" w14:textId="2057DA14" w:rsidR="00CD71AC" w:rsidRPr="00484AE9" w:rsidRDefault="00B93D73" w:rsidP="00F76D9A">
            <w:pPr>
              <w:pStyle w:val="TableText0"/>
              <w:keepNext w:val="0"/>
              <w:jc w:val="center"/>
            </w:pPr>
            <w:r w:rsidRPr="00484AE9">
              <w:t>239/5,542 (4.31%)</w:t>
            </w:r>
          </w:p>
        </w:tc>
        <w:tc>
          <w:tcPr>
            <w:tcW w:w="702" w:type="pct"/>
            <w:vAlign w:val="center"/>
          </w:tcPr>
          <w:p w14:paraId="059E93A8" w14:textId="32F75664" w:rsidR="00B93D73" w:rsidRPr="00484AE9" w:rsidRDefault="003B00B9" w:rsidP="00F76D9A">
            <w:pPr>
              <w:pStyle w:val="TableText0"/>
              <w:keepNext w:val="0"/>
              <w:jc w:val="center"/>
            </w:pPr>
            <w:r w:rsidRPr="00484AE9">
              <w:t>3</w:t>
            </w:r>
            <w:r w:rsidR="00091437" w:rsidRPr="00484AE9">
              <w:t>,</w:t>
            </w:r>
            <w:r w:rsidRPr="00484AE9">
              <w:t>107</w:t>
            </w:r>
            <w:r w:rsidR="00B93D73" w:rsidRPr="00484AE9">
              <w:t>/54,672</w:t>
            </w:r>
          </w:p>
          <w:p w14:paraId="653975F6" w14:textId="0201441C" w:rsidR="00CD71AC" w:rsidRPr="00484AE9" w:rsidRDefault="00604C2B" w:rsidP="00F76D9A">
            <w:pPr>
              <w:pStyle w:val="TableText0"/>
              <w:keepNext w:val="0"/>
              <w:jc w:val="center"/>
            </w:pPr>
            <w:r w:rsidRPr="00484AE9">
              <w:t>(5.68%)</w:t>
            </w:r>
          </w:p>
        </w:tc>
        <w:tc>
          <w:tcPr>
            <w:tcW w:w="702" w:type="pct"/>
            <w:shd w:val="clear" w:color="auto" w:fill="auto"/>
            <w:vAlign w:val="center"/>
          </w:tcPr>
          <w:p w14:paraId="686F54D4" w14:textId="5A256214" w:rsidR="00CD71AC" w:rsidRPr="00484AE9" w:rsidRDefault="00B93D73" w:rsidP="00F76D9A">
            <w:pPr>
              <w:pStyle w:val="TableText0"/>
              <w:keepNext w:val="0"/>
              <w:jc w:val="center"/>
            </w:pPr>
            <w:r w:rsidRPr="00484AE9">
              <w:t>n/a</w:t>
            </w:r>
          </w:p>
        </w:tc>
        <w:tc>
          <w:tcPr>
            <w:tcW w:w="702" w:type="pct"/>
            <w:shd w:val="clear" w:color="auto" w:fill="auto"/>
            <w:vAlign w:val="center"/>
          </w:tcPr>
          <w:p w14:paraId="03375AD5" w14:textId="77777777" w:rsidR="003B00B9" w:rsidRPr="00484AE9" w:rsidRDefault="00E84CE5" w:rsidP="00F76D9A">
            <w:pPr>
              <w:pStyle w:val="TableText0"/>
              <w:keepNext w:val="0"/>
              <w:jc w:val="center"/>
              <w:rPr>
                <w:b/>
              </w:rPr>
            </w:pPr>
            <w:r w:rsidRPr="00484AE9">
              <w:rPr>
                <w:b/>
              </w:rPr>
              <w:t>0.76</w:t>
            </w:r>
          </w:p>
          <w:p w14:paraId="12162987" w14:textId="395C3F43" w:rsidR="00CD71AC" w:rsidRPr="00484AE9" w:rsidRDefault="00E84CE5" w:rsidP="00F76D9A">
            <w:pPr>
              <w:pStyle w:val="TableText0"/>
              <w:keepNext w:val="0"/>
              <w:jc w:val="center"/>
            </w:pPr>
            <w:r w:rsidRPr="00484AE9">
              <w:rPr>
                <w:b/>
              </w:rPr>
              <w:t>(</w:t>
            </w:r>
            <w:r w:rsidR="004A7E48" w:rsidRPr="00484AE9">
              <w:rPr>
                <w:b/>
              </w:rPr>
              <w:t>0.67, 0.86)</w:t>
            </w:r>
          </w:p>
        </w:tc>
        <w:tc>
          <w:tcPr>
            <w:tcW w:w="700" w:type="pct"/>
            <w:vAlign w:val="center"/>
          </w:tcPr>
          <w:p w14:paraId="7743D1B8" w14:textId="17C8AAE3" w:rsidR="00CD71AC" w:rsidRPr="00484AE9" w:rsidRDefault="003B00B9" w:rsidP="00F76D9A">
            <w:pPr>
              <w:pStyle w:val="TableText0"/>
              <w:keepNext w:val="0"/>
              <w:jc w:val="center"/>
              <w:rPr>
                <w:iCs/>
              </w:rPr>
            </w:pPr>
            <w:r w:rsidRPr="00484AE9">
              <w:t>n/a</w:t>
            </w:r>
          </w:p>
        </w:tc>
      </w:tr>
      <w:tr w:rsidR="008B6130" w:rsidRPr="00484AE9" w14:paraId="59A5B9E4" w14:textId="77777777" w:rsidTr="00B93D73">
        <w:trPr>
          <w:cantSplit/>
        </w:trPr>
        <w:tc>
          <w:tcPr>
            <w:tcW w:w="792" w:type="pct"/>
            <w:vMerge/>
            <w:shd w:val="clear" w:color="auto" w:fill="auto"/>
            <w:vAlign w:val="center"/>
          </w:tcPr>
          <w:p w14:paraId="71E41106" w14:textId="77777777" w:rsidR="00CA5AC1" w:rsidRPr="00484AE9" w:rsidRDefault="00CA5AC1" w:rsidP="00F76D9A">
            <w:pPr>
              <w:pStyle w:val="TableText0"/>
              <w:keepNext w:val="0"/>
            </w:pPr>
          </w:p>
        </w:tc>
        <w:tc>
          <w:tcPr>
            <w:tcW w:w="701" w:type="pct"/>
            <w:vAlign w:val="center"/>
          </w:tcPr>
          <w:p w14:paraId="556E03CC" w14:textId="691AA483" w:rsidR="00CA5AC1" w:rsidRPr="00484AE9" w:rsidRDefault="00CA5AC1" w:rsidP="00F76D9A">
            <w:pPr>
              <w:pStyle w:val="TableText0"/>
              <w:keepNext w:val="0"/>
              <w:jc w:val="center"/>
            </w:pPr>
            <w:r w:rsidRPr="00484AE9">
              <w:t>Death</w:t>
            </w:r>
          </w:p>
        </w:tc>
        <w:tc>
          <w:tcPr>
            <w:tcW w:w="701" w:type="pct"/>
            <w:shd w:val="clear" w:color="auto" w:fill="auto"/>
            <w:vAlign w:val="center"/>
          </w:tcPr>
          <w:p w14:paraId="38357087" w14:textId="6555E50A" w:rsidR="00B93D73" w:rsidRPr="00484AE9" w:rsidRDefault="00B93D73" w:rsidP="00F76D9A">
            <w:pPr>
              <w:pStyle w:val="TableText0"/>
              <w:keepNext w:val="0"/>
              <w:jc w:val="center"/>
            </w:pPr>
            <w:r w:rsidRPr="00484AE9">
              <w:t>9/5,542</w:t>
            </w:r>
          </w:p>
          <w:p w14:paraId="7894833F" w14:textId="715A81E0" w:rsidR="00CA5AC1" w:rsidRPr="00484AE9" w:rsidRDefault="00B93D73" w:rsidP="00F76D9A">
            <w:pPr>
              <w:pStyle w:val="TableText0"/>
              <w:keepNext w:val="0"/>
              <w:jc w:val="center"/>
            </w:pPr>
            <w:r w:rsidRPr="00484AE9">
              <w:t>(0.17%)</w:t>
            </w:r>
          </w:p>
        </w:tc>
        <w:tc>
          <w:tcPr>
            <w:tcW w:w="702" w:type="pct"/>
            <w:vAlign w:val="center"/>
          </w:tcPr>
          <w:p w14:paraId="30C734B2" w14:textId="653D5D8A" w:rsidR="00B93D73" w:rsidRPr="00484AE9" w:rsidRDefault="00604C2B" w:rsidP="00F76D9A">
            <w:pPr>
              <w:pStyle w:val="TableText0"/>
              <w:keepNext w:val="0"/>
              <w:jc w:val="center"/>
            </w:pPr>
            <w:r w:rsidRPr="00484AE9">
              <w:t>383/</w:t>
            </w:r>
            <w:r w:rsidR="00B93D73" w:rsidRPr="00484AE9">
              <w:t>54,672</w:t>
            </w:r>
          </w:p>
          <w:p w14:paraId="747BF56E" w14:textId="3CC6C6D9" w:rsidR="00CA5AC1" w:rsidRPr="00484AE9" w:rsidRDefault="00604C2B" w:rsidP="00F76D9A">
            <w:pPr>
              <w:pStyle w:val="TableText0"/>
              <w:keepNext w:val="0"/>
              <w:jc w:val="center"/>
            </w:pPr>
            <w:r w:rsidRPr="00484AE9">
              <w:t>(0.70%)</w:t>
            </w:r>
          </w:p>
        </w:tc>
        <w:tc>
          <w:tcPr>
            <w:tcW w:w="702" w:type="pct"/>
            <w:shd w:val="clear" w:color="auto" w:fill="auto"/>
            <w:vAlign w:val="center"/>
          </w:tcPr>
          <w:p w14:paraId="52836C61" w14:textId="4469D756" w:rsidR="00CA5AC1" w:rsidRPr="00484AE9" w:rsidRDefault="00B93D73" w:rsidP="00F76D9A">
            <w:pPr>
              <w:pStyle w:val="TableText0"/>
              <w:keepNext w:val="0"/>
              <w:jc w:val="center"/>
            </w:pPr>
            <w:r w:rsidRPr="00484AE9">
              <w:t>n/a</w:t>
            </w:r>
          </w:p>
        </w:tc>
        <w:tc>
          <w:tcPr>
            <w:tcW w:w="702" w:type="pct"/>
            <w:shd w:val="clear" w:color="auto" w:fill="auto"/>
            <w:vAlign w:val="center"/>
          </w:tcPr>
          <w:p w14:paraId="5E710162" w14:textId="77777777" w:rsidR="003B00B9" w:rsidRPr="00484AE9" w:rsidRDefault="007F180F" w:rsidP="00F76D9A">
            <w:pPr>
              <w:pStyle w:val="TableText0"/>
              <w:keepNext w:val="0"/>
              <w:jc w:val="center"/>
              <w:rPr>
                <w:b/>
              </w:rPr>
            </w:pPr>
            <w:r w:rsidRPr="00484AE9">
              <w:rPr>
                <w:b/>
              </w:rPr>
              <w:t>0.23</w:t>
            </w:r>
          </w:p>
          <w:p w14:paraId="16E1A2FA" w14:textId="14574F96" w:rsidR="00CA5AC1" w:rsidRPr="00484AE9" w:rsidRDefault="007F180F" w:rsidP="00F76D9A">
            <w:pPr>
              <w:pStyle w:val="TableText0"/>
              <w:keepNext w:val="0"/>
              <w:jc w:val="center"/>
            </w:pPr>
            <w:r w:rsidRPr="00484AE9">
              <w:rPr>
                <w:b/>
              </w:rPr>
              <w:t xml:space="preserve">(0.12, </w:t>
            </w:r>
            <w:r w:rsidR="00111780" w:rsidRPr="00484AE9">
              <w:rPr>
                <w:b/>
              </w:rPr>
              <w:t>0.45)</w:t>
            </w:r>
          </w:p>
        </w:tc>
        <w:tc>
          <w:tcPr>
            <w:tcW w:w="700" w:type="pct"/>
            <w:vAlign w:val="center"/>
          </w:tcPr>
          <w:p w14:paraId="69360D36" w14:textId="085085B5" w:rsidR="00CA5AC1" w:rsidRPr="00484AE9" w:rsidRDefault="003B00B9" w:rsidP="00F76D9A">
            <w:pPr>
              <w:pStyle w:val="TableText0"/>
              <w:keepNext w:val="0"/>
              <w:jc w:val="center"/>
              <w:rPr>
                <w:iCs/>
              </w:rPr>
            </w:pPr>
            <w:r w:rsidRPr="00484AE9">
              <w:t>n/a</w:t>
            </w:r>
          </w:p>
        </w:tc>
      </w:tr>
      <w:tr w:rsidR="008B6130" w:rsidRPr="00484AE9" w14:paraId="01ADF1C8" w14:textId="77777777" w:rsidTr="00E3038D">
        <w:trPr>
          <w:cantSplit/>
        </w:trPr>
        <w:tc>
          <w:tcPr>
            <w:tcW w:w="792" w:type="pct"/>
            <w:vMerge w:val="restart"/>
            <w:shd w:val="clear" w:color="auto" w:fill="auto"/>
            <w:vAlign w:val="center"/>
          </w:tcPr>
          <w:p w14:paraId="42B79476" w14:textId="476CE8BC" w:rsidR="004D74D6" w:rsidRPr="00484AE9" w:rsidRDefault="00975AEC" w:rsidP="00F76D9A">
            <w:pPr>
              <w:pStyle w:val="TableText0"/>
              <w:keepNext w:val="0"/>
            </w:pPr>
            <w:r w:rsidRPr="00484AE9">
              <w:t>Wong 2022 molnupiravir</w:t>
            </w:r>
          </w:p>
        </w:tc>
        <w:tc>
          <w:tcPr>
            <w:tcW w:w="701" w:type="pct"/>
            <w:vAlign w:val="center"/>
          </w:tcPr>
          <w:p w14:paraId="17C73B2D" w14:textId="1E70B499" w:rsidR="004D74D6" w:rsidRPr="00484AE9" w:rsidRDefault="00975AEC" w:rsidP="00F76D9A">
            <w:pPr>
              <w:pStyle w:val="TableText0"/>
              <w:keepNext w:val="0"/>
              <w:jc w:val="center"/>
            </w:pPr>
            <w:r w:rsidRPr="00484AE9">
              <w:t>Hospitalisation</w:t>
            </w:r>
          </w:p>
        </w:tc>
        <w:tc>
          <w:tcPr>
            <w:tcW w:w="701" w:type="pct"/>
            <w:shd w:val="clear" w:color="auto" w:fill="auto"/>
            <w:vAlign w:val="center"/>
          </w:tcPr>
          <w:p w14:paraId="5135EBB0" w14:textId="2659A7CA" w:rsidR="004D74D6" w:rsidRPr="00484AE9" w:rsidRDefault="00B93D73" w:rsidP="00F76D9A">
            <w:pPr>
              <w:pStyle w:val="TableText0"/>
              <w:keepNext w:val="0"/>
              <w:jc w:val="center"/>
            </w:pPr>
            <w:r w:rsidRPr="00484AE9">
              <w:t>n/a</w:t>
            </w:r>
          </w:p>
        </w:tc>
        <w:tc>
          <w:tcPr>
            <w:tcW w:w="702" w:type="pct"/>
            <w:vAlign w:val="center"/>
          </w:tcPr>
          <w:p w14:paraId="1C9F9D93" w14:textId="695A641F" w:rsidR="004D74D6" w:rsidRPr="00484AE9" w:rsidRDefault="00B93D73" w:rsidP="00F76D9A">
            <w:pPr>
              <w:pStyle w:val="TableText0"/>
              <w:keepNext w:val="0"/>
              <w:jc w:val="center"/>
            </w:pPr>
            <w:r w:rsidRPr="00484AE9">
              <w:t>4,800/49,234</w:t>
            </w:r>
            <w:r w:rsidR="00975AEC" w:rsidRPr="00484AE9">
              <w:t xml:space="preserve"> (9.75%)</w:t>
            </w:r>
          </w:p>
        </w:tc>
        <w:tc>
          <w:tcPr>
            <w:tcW w:w="702" w:type="pct"/>
            <w:shd w:val="clear" w:color="auto" w:fill="auto"/>
            <w:vAlign w:val="center"/>
          </w:tcPr>
          <w:p w14:paraId="326CD3B0" w14:textId="0619BF6C" w:rsidR="004D74D6" w:rsidRPr="00484AE9" w:rsidRDefault="00975AEC" w:rsidP="00F76D9A">
            <w:pPr>
              <w:pStyle w:val="TableText0"/>
              <w:keepNext w:val="0"/>
              <w:jc w:val="center"/>
            </w:pPr>
            <w:r w:rsidRPr="00484AE9">
              <w:t>476/</w:t>
            </w:r>
            <w:r w:rsidR="00B93D73" w:rsidRPr="00484AE9">
              <w:t>4,983</w:t>
            </w:r>
            <w:r w:rsidRPr="00484AE9">
              <w:t xml:space="preserve"> (9.56%)</w:t>
            </w:r>
          </w:p>
        </w:tc>
        <w:tc>
          <w:tcPr>
            <w:tcW w:w="702" w:type="pct"/>
            <w:shd w:val="clear" w:color="auto" w:fill="auto"/>
            <w:vAlign w:val="center"/>
          </w:tcPr>
          <w:p w14:paraId="1401E520" w14:textId="5E8AA918" w:rsidR="004D74D6" w:rsidRPr="00484AE9" w:rsidRDefault="003B00B9" w:rsidP="00F76D9A">
            <w:pPr>
              <w:pStyle w:val="TableText0"/>
              <w:keepNext w:val="0"/>
              <w:jc w:val="center"/>
            </w:pPr>
            <w:r w:rsidRPr="00484AE9">
              <w:t>n/a</w:t>
            </w:r>
          </w:p>
        </w:tc>
        <w:tc>
          <w:tcPr>
            <w:tcW w:w="700" w:type="pct"/>
            <w:vAlign w:val="center"/>
          </w:tcPr>
          <w:p w14:paraId="32FA592C" w14:textId="77777777" w:rsidR="003B00B9" w:rsidRPr="00484AE9" w:rsidRDefault="00524983" w:rsidP="00F76D9A">
            <w:pPr>
              <w:pStyle w:val="TableText0"/>
              <w:keepNext w:val="0"/>
              <w:jc w:val="center"/>
            </w:pPr>
            <w:r w:rsidRPr="00484AE9">
              <w:t>0.98</w:t>
            </w:r>
          </w:p>
          <w:p w14:paraId="27BFBC77" w14:textId="0294FF80" w:rsidR="004D74D6" w:rsidRPr="00484AE9" w:rsidRDefault="00524983" w:rsidP="00F76D9A">
            <w:pPr>
              <w:pStyle w:val="TableText0"/>
              <w:keepNext w:val="0"/>
              <w:jc w:val="center"/>
            </w:pPr>
            <w:r w:rsidRPr="00484AE9">
              <w:t>(0.</w:t>
            </w:r>
            <w:r w:rsidR="00695930" w:rsidRPr="00484AE9">
              <w:t>90, 1.07)</w:t>
            </w:r>
          </w:p>
        </w:tc>
      </w:tr>
      <w:tr w:rsidR="008B6130" w:rsidRPr="00484AE9" w14:paraId="07DB9697" w14:textId="77777777" w:rsidTr="00E3038D">
        <w:trPr>
          <w:cantSplit/>
        </w:trPr>
        <w:tc>
          <w:tcPr>
            <w:tcW w:w="792" w:type="pct"/>
            <w:vMerge/>
            <w:shd w:val="clear" w:color="auto" w:fill="auto"/>
            <w:vAlign w:val="center"/>
          </w:tcPr>
          <w:p w14:paraId="5E32E5A4" w14:textId="77777777" w:rsidR="004D74D6" w:rsidRPr="00484AE9" w:rsidRDefault="004D74D6" w:rsidP="00F76D9A">
            <w:pPr>
              <w:pStyle w:val="TableText0"/>
              <w:keepNext w:val="0"/>
            </w:pPr>
          </w:p>
        </w:tc>
        <w:tc>
          <w:tcPr>
            <w:tcW w:w="701" w:type="pct"/>
            <w:vAlign w:val="center"/>
          </w:tcPr>
          <w:p w14:paraId="61A0B0EC" w14:textId="64CD03DB" w:rsidR="004D74D6" w:rsidRPr="00484AE9" w:rsidRDefault="00975AEC" w:rsidP="00F76D9A">
            <w:pPr>
              <w:pStyle w:val="TableText0"/>
              <w:keepNext w:val="0"/>
              <w:jc w:val="center"/>
            </w:pPr>
            <w:r w:rsidRPr="00484AE9">
              <w:t>Death</w:t>
            </w:r>
          </w:p>
        </w:tc>
        <w:tc>
          <w:tcPr>
            <w:tcW w:w="701" w:type="pct"/>
            <w:shd w:val="clear" w:color="auto" w:fill="auto"/>
            <w:vAlign w:val="center"/>
          </w:tcPr>
          <w:p w14:paraId="6CB04099" w14:textId="5886BDA2" w:rsidR="004D74D6" w:rsidRPr="00484AE9" w:rsidRDefault="00B93D73" w:rsidP="00F76D9A">
            <w:pPr>
              <w:pStyle w:val="TableText0"/>
              <w:keepNext w:val="0"/>
              <w:jc w:val="center"/>
            </w:pPr>
            <w:r w:rsidRPr="00484AE9">
              <w:t>n/a</w:t>
            </w:r>
          </w:p>
        </w:tc>
        <w:tc>
          <w:tcPr>
            <w:tcW w:w="702" w:type="pct"/>
            <w:vAlign w:val="center"/>
          </w:tcPr>
          <w:p w14:paraId="40AB18E1" w14:textId="0B91871C" w:rsidR="004D74D6" w:rsidRPr="00484AE9" w:rsidRDefault="00975AEC" w:rsidP="00F76D9A">
            <w:pPr>
              <w:pStyle w:val="TableText0"/>
              <w:keepNext w:val="0"/>
              <w:jc w:val="center"/>
            </w:pPr>
            <w:r w:rsidRPr="00484AE9">
              <w:t>734/</w:t>
            </w:r>
            <w:r w:rsidR="00B93D73" w:rsidRPr="00484AE9">
              <w:t>49,234</w:t>
            </w:r>
            <w:r w:rsidRPr="00484AE9">
              <w:t xml:space="preserve"> (1.49%)</w:t>
            </w:r>
          </w:p>
        </w:tc>
        <w:tc>
          <w:tcPr>
            <w:tcW w:w="702" w:type="pct"/>
            <w:shd w:val="clear" w:color="auto" w:fill="auto"/>
            <w:vAlign w:val="center"/>
          </w:tcPr>
          <w:p w14:paraId="7EE64DC5" w14:textId="24D146B0" w:rsidR="004D74D6" w:rsidRPr="00484AE9" w:rsidRDefault="00975AEC" w:rsidP="00F76D9A">
            <w:pPr>
              <w:pStyle w:val="TableText0"/>
              <w:keepNext w:val="0"/>
              <w:jc w:val="center"/>
            </w:pPr>
            <w:r w:rsidRPr="00484AE9">
              <w:t>45/</w:t>
            </w:r>
            <w:r w:rsidR="00B93D73" w:rsidRPr="00484AE9">
              <w:t>4,983</w:t>
            </w:r>
            <w:r w:rsidRPr="00484AE9">
              <w:t xml:space="preserve"> (0.91%)</w:t>
            </w:r>
          </w:p>
        </w:tc>
        <w:tc>
          <w:tcPr>
            <w:tcW w:w="702" w:type="pct"/>
            <w:shd w:val="clear" w:color="auto" w:fill="auto"/>
            <w:vAlign w:val="center"/>
          </w:tcPr>
          <w:p w14:paraId="64427D31" w14:textId="0885D47D" w:rsidR="004D74D6" w:rsidRPr="00484AE9" w:rsidRDefault="003B00B9" w:rsidP="00F76D9A">
            <w:pPr>
              <w:pStyle w:val="TableText0"/>
              <w:keepNext w:val="0"/>
              <w:jc w:val="center"/>
            </w:pPr>
            <w:r w:rsidRPr="00484AE9">
              <w:t>n/a</w:t>
            </w:r>
          </w:p>
        </w:tc>
        <w:tc>
          <w:tcPr>
            <w:tcW w:w="700" w:type="pct"/>
            <w:vAlign w:val="center"/>
          </w:tcPr>
          <w:p w14:paraId="2410397E" w14:textId="77777777" w:rsidR="00FF263C" w:rsidRPr="00484AE9" w:rsidRDefault="00FF263C" w:rsidP="00F76D9A">
            <w:pPr>
              <w:pStyle w:val="TableText0"/>
              <w:keepNext w:val="0"/>
              <w:jc w:val="center"/>
              <w:rPr>
                <w:b/>
              </w:rPr>
            </w:pPr>
            <w:r w:rsidRPr="00484AE9">
              <w:rPr>
                <w:b/>
              </w:rPr>
              <w:t>0.61</w:t>
            </w:r>
          </w:p>
          <w:p w14:paraId="65C9C01A" w14:textId="451DB74A" w:rsidR="004D74D6" w:rsidRPr="00484AE9" w:rsidRDefault="00FF263C" w:rsidP="00F76D9A">
            <w:pPr>
              <w:pStyle w:val="TableText0"/>
              <w:keepNext w:val="0"/>
              <w:jc w:val="center"/>
            </w:pPr>
            <w:r w:rsidRPr="00484AE9">
              <w:rPr>
                <w:b/>
              </w:rPr>
              <w:t>(0.45, 0.82)</w:t>
            </w:r>
          </w:p>
        </w:tc>
      </w:tr>
      <w:tr w:rsidR="008B6130" w:rsidRPr="00484AE9" w14:paraId="71B8EE84" w14:textId="77777777" w:rsidTr="00E3038D">
        <w:trPr>
          <w:cantSplit/>
        </w:trPr>
        <w:tc>
          <w:tcPr>
            <w:tcW w:w="792" w:type="pct"/>
            <w:vMerge w:val="restart"/>
            <w:shd w:val="clear" w:color="auto" w:fill="auto"/>
            <w:vAlign w:val="center"/>
          </w:tcPr>
          <w:p w14:paraId="1AFA4431" w14:textId="64CE5D86" w:rsidR="0072173F" w:rsidRPr="00484AE9" w:rsidRDefault="0072173F" w:rsidP="00F76D9A">
            <w:pPr>
              <w:pStyle w:val="TableText0"/>
              <w:keepNext w:val="0"/>
            </w:pPr>
            <w:r w:rsidRPr="00484AE9">
              <w:t>Yip 2023</w:t>
            </w:r>
          </w:p>
        </w:tc>
        <w:tc>
          <w:tcPr>
            <w:tcW w:w="701" w:type="pct"/>
            <w:vAlign w:val="center"/>
          </w:tcPr>
          <w:p w14:paraId="0E16C353" w14:textId="0E6FB3BF" w:rsidR="0072173F" w:rsidRPr="00484AE9" w:rsidRDefault="0072173F" w:rsidP="00F76D9A">
            <w:pPr>
              <w:pStyle w:val="TableText0"/>
              <w:keepNext w:val="0"/>
              <w:jc w:val="center"/>
            </w:pPr>
            <w:r w:rsidRPr="00484AE9">
              <w:t>Hospitalisation</w:t>
            </w:r>
          </w:p>
        </w:tc>
        <w:tc>
          <w:tcPr>
            <w:tcW w:w="701" w:type="pct"/>
            <w:shd w:val="clear" w:color="auto" w:fill="auto"/>
            <w:vAlign w:val="center"/>
          </w:tcPr>
          <w:p w14:paraId="1A50117C" w14:textId="1BE6A147" w:rsidR="0072173F" w:rsidRPr="00484AE9" w:rsidRDefault="00D75395" w:rsidP="00F76D9A">
            <w:pPr>
              <w:pStyle w:val="TableText0"/>
              <w:keepNext w:val="0"/>
              <w:jc w:val="center"/>
            </w:pPr>
            <w:r w:rsidRPr="00484AE9">
              <w:t>177/4,921 (3.6%)</w:t>
            </w:r>
          </w:p>
        </w:tc>
        <w:tc>
          <w:tcPr>
            <w:tcW w:w="702" w:type="pct"/>
            <w:vAlign w:val="center"/>
          </w:tcPr>
          <w:p w14:paraId="0CBB7CB8" w14:textId="59B97F65" w:rsidR="0072173F" w:rsidRPr="00484AE9" w:rsidRDefault="00FB368B" w:rsidP="00F76D9A">
            <w:pPr>
              <w:pStyle w:val="TableText0"/>
              <w:keepNext w:val="0"/>
              <w:jc w:val="center"/>
            </w:pPr>
            <w:r w:rsidRPr="00484AE9">
              <w:t>214/4,758 (4.5%)</w:t>
            </w:r>
          </w:p>
        </w:tc>
        <w:tc>
          <w:tcPr>
            <w:tcW w:w="702" w:type="pct"/>
            <w:shd w:val="clear" w:color="auto" w:fill="auto"/>
            <w:vAlign w:val="center"/>
          </w:tcPr>
          <w:p w14:paraId="0FAC5AF1" w14:textId="412C3A88" w:rsidR="0072173F" w:rsidRPr="00484AE9" w:rsidRDefault="00155600" w:rsidP="00F76D9A">
            <w:pPr>
              <w:pStyle w:val="TableText0"/>
              <w:keepNext w:val="0"/>
              <w:jc w:val="center"/>
            </w:pPr>
            <w:r w:rsidRPr="00484AE9">
              <w:t>249/4,798 (5.2%)</w:t>
            </w:r>
          </w:p>
        </w:tc>
        <w:tc>
          <w:tcPr>
            <w:tcW w:w="702" w:type="pct"/>
            <w:shd w:val="clear" w:color="auto" w:fill="auto"/>
            <w:vAlign w:val="center"/>
          </w:tcPr>
          <w:p w14:paraId="5E163698" w14:textId="1539497A" w:rsidR="003B00B9" w:rsidRPr="00484AE9" w:rsidRDefault="0026227F" w:rsidP="00F76D9A">
            <w:pPr>
              <w:pStyle w:val="TableText0"/>
              <w:keepNext w:val="0"/>
              <w:jc w:val="center"/>
              <w:rPr>
                <w:b/>
              </w:rPr>
            </w:pPr>
            <w:r w:rsidRPr="00484AE9">
              <w:rPr>
                <w:b/>
              </w:rPr>
              <w:t>0.67^</w:t>
            </w:r>
          </w:p>
          <w:p w14:paraId="62297696" w14:textId="1965B6F3" w:rsidR="0072173F" w:rsidRPr="00484AE9" w:rsidRDefault="0026227F" w:rsidP="00F76D9A">
            <w:pPr>
              <w:pStyle w:val="TableText0"/>
              <w:keepNext w:val="0"/>
              <w:jc w:val="center"/>
              <w:rPr>
                <w:b/>
              </w:rPr>
            </w:pPr>
            <w:r w:rsidRPr="00484AE9">
              <w:rPr>
                <w:b/>
              </w:rPr>
              <w:t>(0.55, 0.81)</w:t>
            </w:r>
          </w:p>
        </w:tc>
        <w:tc>
          <w:tcPr>
            <w:tcW w:w="700" w:type="pct"/>
            <w:vAlign w:val="center"/>
          </w:tcPr>
          <w:p w14:paraId="6FCC758B" w14:textId="77777777" w:rsidR="003B00B9" w:rsidRPr="00484AE9" w:rsidRDefault="0026227F" w:rsidP="00F76D9A">
            <w:pPr>
              <w:pStyle w:val="TableText0"/>
              <w:keepNext w:val="0"/>
              <w:jc w:val="center"/>
            </w:pPr>
            <w:r w:rsidRPr="00484AE9">
              <w:t>1.17^</w:t>
            </w:r>
          </w:p>
          <w:p w14:paraId="6BB74AAE" w14:textId="7F86C62D" w:rsidR="0072173F" w:rsidRPr="00484AE9" w:rsidRDefault="0026227F" w:rsidP="00F76D9A">
            <w:pPr>
              <w:pStyle w:val="TableText0"/>
              <w:keepNext w:val="0"/>
              <w:jc w:val="center"/>
            </w:pPr>
            <w:r w:rsidRPr="00484AE9">
              <w:t>(0.99, 1.39)</w:t>
            </w:r>
          </w:p>
        </w:tc>
      </w:tr>
      <w:tr w:rsidR="008B6130" w:rsidRPr="00484AE9" w14:paraId="49912AB8" w14:textId="77777777" w:rsidTr="00E3038D">
        <w:trPr>
          <w:cantSplit/>
        </w:trPr>
        <w:tc>
          <w:tcPr>
            <w:tcW w:w="792" w:type="pct"/>
            <w:vMerge/>
            <w:shd w:val="clear" w:color="auto" w:fill="auto"/>
            <w:vAlign w:val="center"/>
          </w:tcPr>
          <w:p w14:paraId="57406E84" w14:textId="77777777" w:rsidR="0072173F" w:rsidRPr="00484AE9" w:rsidRDefault="0072173F" w:rsidP="00F76D9A">
            <w:pPr>
              <w:pStyle w:val="TableText0"/>
              <w:keepNext w:val="0"/>
            </w:pPr>
          </w:p>
        </w:tc>
        <w:tc>
          <w:tcPr>
            <w:tcW w:w="701" w:type="pct"/>
            <w:vAlign w:val="center"/>
          </w:tcPr>
          <w:p w14:paraId="5DDC9F49" w14:textId="0B7A6982" w:rsidR="0072173F" w:rsidRPr="00484AE9" w:rsidRDefault="00AA465B" w:rsidP="00F76D9A">
            <w:pPr>
              <w:pStyle w:val="TableText0"/>
              <w:keepNext w:val="0"/>
              <w:jc w:val="center"/>
            </w:pPr>
            <w:r w:rsidRPr="00484AE9">
              <w:t>ICU admission, IMV use and/or death</w:t>
            </w:r>
          </w:p>
        </w:tc>
        <w:tc>
          <w:tcPr>
            <w:tcW w:w="701" w:type="pct"/>
            <w:shd w:val="clear" w:color="auto" w:fill="auto"/>
            <w:vAlign w:val="center"/>
          </w:tcPr>
          <w:p w14:paraId="033B391E" w14:textId="77777777" w:rsidR="00830AEC" w:rsidRPr="00484AE9" w:rsidRDefault="00830AEC" w:rsidP="00F76D9A">
            <w:pPr>
              <w:pStyle w:val="TableText0"/>
              <w:keepNext w:val="0"/>
              <w:jc w:val="center"/>
            </w:pPr>
            <w:r w:rsidRPr="00484AE9">
              <w:t>20/4,921</w:t>
            </w:r>
          </w:p>
          <w:p w14:paraId="73D78B7C" w14:textId="67B76F71" w:rsidR="0072173F" w:rsidRPr="00484AE9" w:rsidRDefault="00830AEC" w:rsidP="00F76D9A">
            <w:pPr>
              <w:pStyle w:val="TableText0"/>
              <w:keepNext w:val="0"/>
              <w:jc w:val="center"/>
            </w:pPr>
            <w:r w:rsidRPr="00484AE9">
              <w:t>(0.4%)</w:t>
            </w:r>
          </w:p>
        </w:tc>
        <w:tc>
          <w:tcPr>
            <w:tcW w:w="702" w:type="pct"/>
            <w:vAlign w:val="center"/>
          </w:tcPr>
          <w:p w14:paraId="40EA275C" w14:textId="77777777" w:rsidR="009172ED" w:rsidRPr="00484AE9" w:rsidRDefault="009172ED" w:rsidP="00F76D9A">
            <w:pPr>
              <w:pStyle w:val="TableText0"/>
              <w:keepNext w:val="0"/>
              <w:jc w:val="center"/>
            </w:pPr>
            <w:r w:rsidRPr="00484AE9">
              <w:t>24/4,758</w:t>
            </w:r>
          </w:p>
          <w:p w14:paraId="2F0EF754" w14:textId="45CF6889" w:rsidR="0072173F" w:rsidRPr="00484AE9" w:rsidRDefault="009172ED" w:rsidP="00F76D9A">
            <w:pPr>
              <w:pStyle w:val="TableText0"/>
              <w:keepNext w:val="0"/>
              <w:jc w:val="center"/>
            </w:pPr>
            <w:r w:rsidRPr="00484AE9">
              <w:t>(0.5%)</w:t>
            </w:r>
          </w:p>
        </w:tc>
        <w:tc>
          <w:tcPr>
            <w:tcW w:w="702" w:type="pct"/>
            <w:shd w:val="clear" w:color="auto" w:fill="auto"/>
            <w:vAlign w:val="center"/>
          </w:tcPr>
          <w:p w14:paraId="57892B7D" w14:textId="44563BBE" w:rsidR="002331AD" w:rsidRPr="00484AE9" w:rsidRDefault="002331AD" w:rsidP="00F76D9A">
            <w:pPr>
              <w:pStyle w:val="TableText0"/>
              <w:keepNext w:val="0"/>
              <w:jc w:val="center"/>
            </w:pPr>
            <w:r w:rsidRPr="00484AE9">
              <w:t>29/4,798</w:t>
            </w:r>
          </w:p>
          <w:p w14:paraId="6C331EEA" w14:textId="7F9A24F8" w:rsidR="0072173F" w:rsidRPr="00484AE9" w:rsidRDefault="002331AD" w:rsidP="00F76D9A">
            <w:pPr>
              <w:pStyle w:val="TableText0"/>
              <w:keepNext w:val="0"/>
              <w:jc w:val="center"/>
            </w:pPr>
            <w:r w:rsidRPr="00484AE9">
              <w:t>(0.6%)</w:t>
            </w:r>
          </w:p>
        </w:tc>
        <w:tc>
          <w:tcPr>
            <w:tcW w:w="702" w:type="pct"/>
            <w:shd w:val="clear" w:color="auto" w:fill="auto"/>
            <w:vAlign w:val="center"/>
          </w:tcPr>
          <w:p w14:paraId="2962D672" w14:textId="77777777" w:rsidR="003B00B9" w:rsidRPr="00484AE9" w:rsidRDefault="00413461" w:rsidP="00F76D9A">
            <w:pPr>
              <w:pStyle w:val="TableText0"/>
              <w:keepNext w:val="0"/>
              <w:jc w:val="center"/>
            </w:pPr>
            <w:r w:rsidRPr="00484AE9">
              <w:t>0.73^</w:t>
            </w:r>
          </w:p>
          <w:p w14:paraId="0035E934" w14:textId="70BA7672" w:rsidR="0072173F" w:rsidRPr="00484AE9" w:rsidRDefault="00413461" w:rsidP="00F76D9A">
            <w:pPr>
              <w:pStyle w:val="TableText0"/>
              <w:keepNext w:val="0"/>
              <w:jc w:val="center"/>
            </w:pPr>
            <w:r w:rsidRPr="00484AE9">
              <w:t>(0.45, 1.49)</w:t>
            </w:r>
          </w:p>
        </w:tc>
        <w:tc>
          <w:tcPr>
            <w:tcW w:w="700" w:type="pct"/>
            <w:vAlign w:val="center"/>
          </w:tcPr>
          <w:p w14:paraId="6BD02D42" w14:textId="77777777" w:rsidR="003B00B9" w:rsidRPr="00484AE9" w:rsidRDefault="0026227F" w:rsidP="00F76D9A">
            <w:pPr>
              <w:pStyle w:val="TableText0"/>
              <w:keepNext w:val="0"/>
              <w:jc w:val="center"/>
            </w:pPr>
            <w:r w:rsidRPr="00484AE9">
              <w:t>1.12</w:t>
            </w:r>
          </w:p>
          <w:p w14:paraId="2F401C79" w14:textId="4B92F6FF" w:rsidR="0072173F" w:rsidRPr="00484AE9" w:rsidRDefault="0026227F" w:rsidP="00F76D9A">
            <w:pPr>
              <w:pStyle w:val="TableText0"/>
              <w:keepNext w:val="0"/>
              <w:jc w:val="center"/>
            </w:pPr>
            <w:r w:rsidRPr="00484AE9">
              <w:t>(0.68, 1.</w:t>
            </w:r>
            <w:r w:rsidR="00413461" w:rsidRPr="00484AE9">
              <w:t>82)</w:t>
            </w:r>
          </w:p>
        </w:tc>
      </w:tr>
      <w:tr w:rsidR="008B6130" w:rsidRPr="00484AE9" w14:paraId="136A9078" w14:textId="77777777" w:rsidTr="00F553E5">
        <w:trPr>
          <w:cantSplit/>
        </w:trPr>
        <w:tc>
          <w:tcPr>
            <w:tcW w:w="792" w:type="pct"/>
            <w:vMerge w:val="restart"/>
            <w:shd w:val="clear" w:color="auto" w:fill="auto"/>
            <w:vAlign w:val="center"/>
          </w:tcPr>
          <w:p w14:paraId="6B67A6B7" w14:textId="5A6666EC" w:rsidR="00CD71AC" w:rsidRPr="00484AE9" w:rsidRDefault="00CD71AC" w:rsidP="00F76D9A">
            <w:pPr>
              <w:pStyle w:val="TableText0"/>
              <w:keepNext w:val="0"/>
            </w:pPr>
            <w:r w:rsidRPr="00484AE9">
              <w:t>Aggarwal 2023</w:t>
            </w:r>
          </w:p>
        </w:tc>
        <w:tc>
          <w:tcPr>
            <w:tcW w:w="701" w:type="pct"/>
            <w:vAlign w:val="center"/>
          </w:tcPr>
          <w:p w14:paraId="0273A183" w14:textId="18DEB391" w:rsidR="00CD71AC" w:rsidRPr="00484AE9" w:rsidRDefault="001E4030" w:rsidP="00F76D9A">
            <w:pPr>
              <w:pStyle w:val="TableText0"/>
              <w:keepNext w:val="0"/>
              <w:jc w:val="center"/>
            </w:pPr>
            <w:r w:rsidRPr="00484AE9">
              <w:t>Hospitalisation</w:t>
            </w:r>
          </w:p>
        </w:tc>
        <w:tc>
          <w:tcPr>
            <w:tcW w:w="701" w:type="pct"/>
            <w:shd w:val="clear" w:color="auto" w:fill="auto"/>
            <w:vAlign w:val="center"/>
          </w:tcPr>
          <w:p w14:paraId="4FAEFCB3" w14:textId="77777777" w:rsidR="001E4030" w:rsidRPr="00484AE9" w:rsidRDefault="001E4030" w:rsidP="00F76D9A">
            <w:pPr>
              <w:pStyle w:val="TableText0"/>
              <w:keepNext w:val="0"/>
              <w:jc w:val="center"/>
            </w:pPr>
            <w:r w:rsidRPr="00484AE9">
              <w:t>61/7,168</w:t>
            </w:r>
          </w:p>
          <w:p w14:paraId="2907C8C7" w14:textId="3E95D5FA" w:rsidR="00CD71AC" w:rsidRPr="00484AE9" w:rsidRDefault="006044C6" w:rsidP="00F76D9A">
            <w:pPr>
              <w:pStyle w:val="TableText0"/>
              <w:keepNext w:val="0"/>
              <w:jc w:val="center"/>
            </w:pPr>
            <w:r w:rsidRPr="00484AE9">
              <w:t>(</w:t>
            </w:r>
            <w:r w:rsidR="001E4030" w:rsidRPr="00484AE9">
              <w:t>0.9%)</w:t>
            </w:r>
          </w:p>
        </w:tc>
        <w:tc>
          <w:tcPr>
            <w:tcW w:w="702" w:type="pct"/>
            <w:vAlign w:val="center"/>
          </w:tcPr>
          <w:p w14:paraId="2D90002D" w14:textId="1934BCEC" w:rsidR="001E4030" w:rsidRPr="00484AE9" w:rsidRDefault="006044C6" w:rsidP="00F76D9A">
            <w:pPr>
              <w:pStyle w:val="TableText0"/>
              <w:keepNext w:val="0"/>
              <w:jc w:val="center"/>
            </w:pPr>
            <w:r w:rsidRPr="00484AE9">
              <w:t>135</w:t>
            </w:r>
            <w:r w:rsidR="001E4030" w:rsidRPr="00484AE9">
              <w:t>/11,612</w:t>
            </w:r>
          </w:p>
          <w:p w14:paraId="2AAE37E3" w14:textId="308E490C" w:rsidR="00CD71AC" w:rsidRPr="00484AE9" w:rsidRDefault="001E4030" w:rsidP="00F76D9A">
            <w:pPr>
              <w:pStyle w:val="TableText0"/>
              <w:keepNext w:val="0"/>
              <w:jc w:val="center"/>
            </w:pPr>
            <w:r w:rsidRPr="00484AE9">
              <w:t>(</w:t>
            </w:r>
            <w:r w:rsidR="006044C6" w:rsidRPr="00484AE9">
              <w:t>1.4%</w:t>
            </w:r>
            <w:r w:rsidRPr="00484AE9">
              <w:t>)</w:t>
            </w:r>
          </w:p>
        </w:tc>
        <w:tc>
          <w:tcPr>
            <w:tcW w:w="702" w:type="pct"/>
            <w:shd w:val="clear" w:color="auto" w:fill="auto"/>
            <w:vAlign w:val="center"/>
          </w:tcPr>
          <w:p w14:paraId="78A2D5C7" w14:textId="3E454313" w:rsidR="00CD71AC" w:rsidRPr="00484AE9" w:rsidRDefault="001A146D" w:rsidP="00F76D9A">
            <w:pPr>
              <w:pStyle w:val="TableText0"/>
              <w:keepNext w:val="0"/>
              <w:jc w:val="center"/>
            </w:pPr>
            <w:r w:rsidRPr="00484AE9">
              <w:t>n/a</w:t>
            </w:r>
          </w:p>
        </w:tc>
        <w:tc>
          <w:tcPr>
            <w:tcW w:w="702" w:type="pct"/>
            <w:shd w:val="clear" w:color="auto" w:fill="auto"/>
            <w:vAlign w:val="center"/>
          </w:tcPr>
          <w:p w14:paraId="222A3660" w14:textId="610872C5" w:rsidR="001E4030" w:rsidRPr="00484AE9" w:rsidRDefault="006002F8" w:rsidP="00F76D9A">
            <w:pPr>
              <w:pStyle w:val="TableText0"/>
              <w:keepNext w:val="0"/>
              <w:jc w:val="center"/>
              <w:rPr>
                <w:b/>
              </w:rPr>
            </w:pPr>
            <w:r w:rsidRPr="00484AE9">
              <w:rPr>
                <w:b/>
              </w:rPr>
              <w:t>0.45</w:t>
            </w:r>
            <w:r w:rsidR="00285F10" w:rsidRPr="00484AE9">
              <w:rPr>
                <w:b/>
              </w:rPr>
              <w:t>^</w:t>
            </w:r>
          </w:p>
          <w:p w14:paraId="19F03D17" w14:textId="43C098C1" w:rsidR="00CD71AC" w:rsidRPr="00484AE9" w:rsidRDefault="006002F8" w:rsidP="00F76D9A">
            <w:pPr>
              <w:pStyle w:val="TableText0"/>
              <w:keepNext w:val="0"/>
              <w:jc w:val="center"/>
              <w:rPr>
                <w:b/>
              </w:rPr>
            </w:pPr>
            <w:r w:rsidRPr="00484AE9">
              <w:rPr>
                <w:b/>
              </w:rPr>
              <w:t>(0.33, 0.62)</w:t>
            </w:r>
          </w:p>
        </w:tc>
        <w:tc>
          <w:tcPr>
            <w:tcW w:w="700" w:type="pct"/>
            <w:vAlign w:val="center"/>
          </w:tcPr>
          <w:p w14:paraId="30645055" w14:textId="2D722F05" w:rsidR="00CD71AC" w:rsidRPr="00484AE9" w:rsidRDefault="00E60878" w:rsidP="00F76D9A">
            <w:pPr>
              <w:pStyle w:val="TableText0"/>
              <w:keepNext w:val="0"/>
              <w:jc w:val="center"/>
              <w:rPr>
                <w:iCs/>
              </w:rPr>
            </w:pPr>
            <w:r w:rsidRPr="00484AE9">
              <w:t>n/a</w:t>
            </w:r>
          </w:p>
        </w:tc>
      </w:tr>
      <w:tr w:rsidR="008B6130" w:rsidRPr="00484AE9" w14:paraId="6F76A1A3" w14:textId="77777777" w:rsidTr="00F553E5">
        <w:trPr>
          <w:cantSplit/>
        </w:trPr>
        <w:tc>
          <w:tcPr>
            <w:tcW w:w="792" w:type="pct"/>
            <w:vMerge/>
            <w:shd w:val="clear" w:color="auto" w:fill="auto"/>
            <w:vAlign w:val="center"/>
          </w:tcPr>
          <w:p w14:paraId="05237BDC" w14:textId="77777777" w:rsidR="00403C80" w:rsidRPr="00484AE9" w:rsidRDefault="00403C80" w:rsidP="00F76D9A">
            <w:pPr>
              <w:pStyle w:val="TableText0"/>
              <w:keepNext w:val="0"/>
            </w:pPr>
          </w:p>
        </w:tc>
        <w:tc>
          <w:tcPr>
            <w:tcW w:w="701" w:type="pct"/>
            <w:vAlign w:val="center"/>
          </w:tcPr>
          <w:p w14:paraId="3D534D83" w14:textId="329B6F62" w:rsidR="00403C80" w:rsidRPr="00484AE9" w:rsidRDefault="001E4030" w:rsidP="00F76D9A">
            <w:pPr>
              <w:pStyle w:val="TableText0"/>
              <w:keepNext w:val="0"/>
              <w:jc w:val="center"/>
            </w:pPr>
            <w:r w:rsidRPr="00484AE9">
              <w:t>Death</w:t>
            </w:r>
          </w:p>
        </w:tc>
        <w:tc>
          <w:tcPr>
            <w:tcW w:w="701" w:type="pct"/>
            <w:shd w:val="clear" w:color="auto" w:fill="auto"/>
            <w:vAlign w:val="center"/>
          </w:tcPr>
          <w:p w14:paraId="7332B926" w14:textId="77777777" w:rsidR="001E4030" w:rsidRPr="00484AE9" w:rsidRDefault="001E4030" w:rsidP="00F76D9A">
            <w:pPr>
              <w:pStyle w:val="TableText0"/>
              <w:keepNext w:val="0"/>
              <w:jc w:val="center"/>
            </w:pPr>
            <w:r w:rsidRPr="00484AE9">
              <w:t>2/7,168</w:t>
            </w:r>
          </w:p>
          <w:p w14:paraId="3FD162F9" w14:textId="7F48E7ED" w:rsidR="00403C80" w:rsidRPr="00484AE9" w:rsidRDefault="001E4030" w:rsidP="00F76D9A">
            <w:pPr>
              <w:pStyle w:val="TableText0"/>
              <w:keepNext w:val="0"/>
              <w:jc w:val="center"/>
            </w:pPr>
            <w:r w:rsidRPr="00484AE9">
              <w:t>(</w:t>
            </w:r>
            <w:r w:rsidR="00F553E5" w:rsidRPr="00484AE9">
              <w:t>0.02%</w:t>
            </w:r>
            <w:r w:rsidRPr="00484AE9">
              <w:t>)</w:t>
            </w:r>
          </w:p>
        </w:tc>
        <w:tc>
          <w:tcPr>
            <w:tcW w:w="702" w:type="pct"/>
            <w:vAlign w:val="center"/>
          </w:tcPr>
          <w:p w14:paraId="68390610" w14:textId="77777777" w:rsidR="001E4030" w:rsidRPr="00484AE9" w:rsidRDefault="001E4030" w:rsidP="00F76D9A">
            <w:pPr>
              <w:pStyle w:val="TableText0"/>
              <w:keepNext w:val="0"/>
              <w:jc w:val="center"/>
            </w:pPr>
            <w:r w:rsidRPr="00484AE9">
              <w:t>15/</w:t>
            </w:r>
            <w:r w:rsidR="007A4E78" w:rsidRPr="00484AE9">
              <w:t>11,612</w:t>
            </w:r>
          </w:p>
          <w:p w14:paraId="5ECEAFC4" w14:textId="536381F4" w:rsidR="00403C80" w:rsidRPr="00484AE9" w:rsidRDefault="007A4E78" w:rsidP="00F76D9A">
            <w:pPr>
              <w:pStyle w:val="TableText0"/>
              <w:keepNext w:val="0"/>
              <w:jc w:val="center"/>
            </w:pPr>
            <w:r w:rsidRPr="00484AE9">
              <w:t>(0.2%)</w:t>
            </w:r>
          </w:p>
        </w:tc>
        <w:tc>
          <w:tcPr>
            <w:tcW w:w="702" w:type="pct"/>
            <w:shd w:val="clear" w:color="auto" w:fill="auto"/>
            <w:vAlign w:val="center"/>
          </w:tcPr>
          <w:p w14:paraId="3A39CCB8" w14:textId="693D0D86" w:rsidR="00403C80" w:rsidRPr="00484AE9" w:rsidRDefault="00F553E5" w:rsidP="00F76D9A">
            <w:pPr>
              <w:pStyle w:val="TableText0"/>
              <w:keepNext w:val="0"/>
              <w:jc w:val="center"/>
            </w:pPr>
            <w:r w:rsidRPr="00484AE9">
              <w:t>n/a</w:t>
            </w:r>
          </w:p>
        </w:tc>
        <w:tc>
          <w:tcPr>
            <w:tcW w:w="702" w:type="pct"/>
            <w:shd w:val="clear" w:color="auto" w:fill="auto"/>
            <w:vAlign w:val="center"/>
          </w:tcPr>
          <w:p w14:paraId="65099169" w14:textId="1C27CB95" w:rsidR="001E4030" w:rsidRPr="00484AE9" w:rsidRDefault="006002F8" w:rsidP="00F76D9A">
            <w:pPr>
              <w:pStyle w:val="TableText0"/>
              <w:keepNext w:val="0"/>
              <w:jc w:val="center"/>
              <w:rPr>
                <w:b/>
              </w:rPr>
            </w:pPr>
            <w:r w:rsidRPr="00484AE9">
              <w:rPr>
                <w:b/>
              </w:rPr>
              <w:t>0.15</w:t>
            </w:r>
            <w:r w:rsidR="00285F10" w:rsidRPr="00484AE9">
              <w:rPr>
                <w:b/>
              </w:rPr>
              <w:t>^</w:t>
            </w:r>
          </w:p>
          <w:p w14:paraId="566F7281" w14:textId="1C4CA9AA" w:rsidR="00403C80" w:rsidRPr="00484AE9" w:rsidRDefault="006002F8" w:rsidP="00F76D9A">
            <w:pPr>
              <w:pStyle w:val="TableText0"/>
              <w:keepNext w:val="0"/>
              <w:jc w:val="center"/>
              <w:rPr>
                <w:b/>
              </w:rPr>
            </w:pPr>
            <w:r w:rsidRPr="00484AE9">
              <w:rPr>
                <w:b/>
              </w:rPr>
              <w:t>(0.03, 0.50)</w:t>
            </w:r>
          </w:p>
        </w:tc>
        <w:tc>
          <w:tcPr>
            <w:tcW w:w="700" w:type="pct"/>
            <w:vAlign w:val="center"/>
          </w:tcPr>
          <w:p w14:paraId="0C889988" w14:textId="663CCABC" w:rsidR="00403C80" w:rsidRPr="00484AE9" w:rsidRDefault="00F553E5" w:rsidP="00F76D9A">
            <w:pPr>
              <w:pStyle w:val="TableText0"/>
              <w:keepNext w:val="0"/>
              <w:jc w:val="center"/>
            </w:pPr>
            <w:r w:rsidRPr="00484AE9">
              <w:t>n/a</w:t>
            </w:r>
          </w:p>
        </w:tc>
      </w:tr>
      <w:tr w:rsidR="008B6130" w:rsidRPr="00484AE9" w14:paraId="17F061F6" w14:textId="77777777" w:rsidTr="00E3038D">
        <w:trPr>
          <w:cantSplit/>
        </w:trPr>
        <w:tc>
          <w:tcPr>
            <w:tcW w:w="792" w:type="pct"/>
            <w:shd w:val="clear" w:color="auto" w:fill="auto"/>
            <w:vAlign w:val="center"/>
          </w:tcPr>
          <w:p w14:paraId="20FEE799" w14:textId="25876545" w:rsidR="00CD71AC" w:rsidRPr="00484AE9" w:rsidRDefault="00CD71AC" w:rsidP="00F76D9A">
            <w:pPr>
              <w:pStyle w:val="TableText0"/>
              <w:keepNext w:val="0"/>
            </w:pPr>
            <w:r w:rsidRPr="00484AE9">
              <w:t>Dryden-Peterson 2023</w:t>
            </w:r>
          </w:p>
        </w:tc>
        <w:tc>
          <w:tcPr>
            <w:tcW w:w="701" w:type="pct"/>
            <w:vAlign w:val="center"/>
          </w:tcPr>
          <w:p w14:paraId="6E079FB0" w14:textId="071BCB0D" w:rsidR="00CD71AC" w:rsidRPr="00484AE9" w:rsidRDefault="00615EC8" w:rsidP="00F76D9A">
            <w:pPr>
              <w:pStyle w:val="TableText0"/>
              <w:keepNext w:val="0"/>
              <w:jc w:val="center"/>
            </w:pPr>
            <w:r w:rsidRPr="00484AE9">
              <w:t>Hos</w:t>
            </w:r>
            <w:r w:rsidR="00E17FF6" w:rsidRPr="00484AE9">
              <w:t>p</w:t>
            </w:r>
            <w:r w:rsidRPr="00484AE9">
              <w:t xml:space="preserve">italisation within 14 days or </w:t>
            </w:r>
            <w:r w:rsidR="00EB0CD3" w:rsidRPr="00484AE9">
              <w:t>death within 28 days</w:t>
            </w:r>
          </w:p>
        </w:tc>
        <w:tc>
          <w:tcPr>
            <w:tcW w:w="701" w:type="pct"/>
            <w:shd w:val="clear" w:color="auto" w:fill="auto"/>
            <w:vAlign w:val="center"/>
          </w:tcPr>
          <w:p w14:paraId="0BC52878" w14:textId="77777777" w:rsidR="003B00B9" w:rsidRPr="00484AE9" w:rsidRDefault="00076D32" w:rsidP="00F76D9A">
            <w:pPr>
              <w:pStyle w:val="TableText0"/>
              <w:keepNext w:val="0"/>
              <w:jc w:val="center"/>
            </w:pPr>
            <w:r w:rsidRPr="00484AE9">
              <w:t>69</w:t>
            </w:r>
            <w:r w:rsidR="000A2371" w:rsidRPr="00484AE9">
              <w:t>/</w:t>
            </w:r>
            <w:r w:rsidR="00363EB6" w:rsidRPr="00484AE9">
              <w:t>12,541</w:t>
            </w:r>
          </w:p>
          <w:p w14:paraId="35860B3D" w14:textId="0AAE3E45" w:rsidR="00CD71AC" w:rsidRPr="00484AE9" w:rsidRDefault="00363EB6" w:rsidP="00F76D9A">
            <w:pPr>
              <w:pStyle w:val="TableText0"/>
              <w:keepNext w:val="0"/>
              <w:jc w:val="center"/>
            </w:pPr>
            <w:r w:rsidRPr="00484AE9">
              <w:t>(</w:t>
            </w:r>
            <w:r w:rsidR="009C3613" w:rsidRPr="00484AE9">
              <w:t>0.55%)</w:t>
            </w:r>
          </w:p>
        </w:tc>
        <w:tc>
          <w:tcPr>
            <w:tcW w:w="702" w:type="pct"/>
            <w:vAlign w:val="center"/>
          </w:tcPr>
          <w:p w14:paraId="45424B87" w14:textId="77777777" w:rsidR="003B00B9" w:rsidRPr="00484AE9" w:rsidRDefault="00076D32" w:rsidP="00F76D9A">
            <w:pPr>
              <w:pStyle w:val="TableText0"/>
              <w:keepNext w:val="0"/>
              <w:jc w:val="center"/>
            </w:pPr>
            <w:r w:rsidRPr="00484AE9">
              <w:t>310/</w:t>
            </w:r>
            <w:r w:rsidR="00715151" w:rsidRPr="00484AE9">
              <w:t>32,010</w:t>
            </w:r>
          </w:p>
          <w:p w14:paraId="7269F701" w14:textId="1373FC07" w:rsidR="00CD71AC" w:rsidRPr="00484AE9" w:rsidRDefault="00715151" w:rsidP="00F76D9A">
            <w:pPr>
              <w:pStyle w:val="TableText0"/>
              <w:keepNext w:val="0"/>
              <w:jc w:val="center"/>
            </w:pPr>
            <w:r w:rsidRPr="00484AE9">
              <w:t>(</w:t>
            </w:r>
            <w:r w:rsidR="00993688" w:rsidRPr="00484AE9">
              <w:t>0.97%)</w:t>
            </w:r>
          </w:p>
        </w:tc>
        <w:tc>
          <w:tcPr>
            <w:tcW w:w="702" w:type="pct"/>
            <w:shd w:val="clear" w:color="auto" w:fill="auto"/>
            <w:vAlign w:val="center"/>
          </w:tcPr>
          <w:p w14:paraId="6635C504" w14:textId="022B0254" w:rsidR="00CD71AC" w:rsidRPr="00484AE9" w:rsidRDefault="001A146D" w:rsidP="00F76D9A">
            <w:pPr>
              <w:pStyle w:val="TableText0"/>
              <w:keepNext w:val="0"/>
              <w:jc w:val="center"/>
            </w:pPr>
            <w:r w:rsidRPr="00484AE9">
              <w:t>n/a</w:t>
            </w:r>
          </w:p>
        </w:tc>
        <w:tc>
          <w:tcPr>
            <w:tcW w:w="702" w:type="pct"/>
            <w:shd w:val="clear" w:color="auto" w:fill="auto"/>
            <w:vAlign w:val="center"/>
          </w:tcPr>
          <w:p w14:paraId="19DC5D70" w14:textId="77777777" w:rsidR="003B00B9" w:rsidRPr="00484AE9" w:rsidRDefault="00993688" w:rsidP="00F76D9A">
            <w:pPr>
              <w:pStyle w:val="TableText0"/>
              <w:keepNext w:val="0"/>
              <w:jc w:val="center"/>
              <w:rPr>
                <w:b/>
              </w:rPr>
            </w:pPr>
            <w:r w:rsidRPr="00484AE9">
              <w:rPr>
                <w:b/>
              </w:rPr>
              <w:t>0.56</w:t>
            </w:r>
          </w:p>
          <w:p w14:paraId="37D41AC5" w14:textId="34091BBE" w:rsidR="00CD71AC" w:rsidRPr="00484AE9" w:rsidRDefault="00993688" w:rsidP="00F76D9A">
            <w:pPr>
              <w:pStyle w:val="TableText0"/>
              <w:keepNext w:val="0"/>
              <w:jc w:val="center"/>
              <w:rPr>
                <w:b/>
              </w:rPr>
            </w:pPr>
            <w:r w:rsidRPr="00484AE9">
              <w:rPr>
                <w:b/>
              </w:rPr>
              <w:t>(0.42, 0.75)</w:t>
            </w:r>
          </w:p>
        </w:tc>
        <w:tc>
          <w:tcPr>
            <w:tcW w:w="700" w:type="pct"/>
            <w:vAlign w:val="center"/>
          </w:tcPr>
          <w:p w14:paraId="5F13DC1E" w14:textId="6342811D" w:rsidR="00CD71AC" w:rsidRPr="00484AE9" w:rsidRDefault="00E60878" w:rsidP="00F76D9A">
            <w:pPr>
              <w:pStyle w:val="TableText0"/>
              <w:keepNext w:val="0"/>
              <w:jc w:val="center"/>
              <w:rPr>
                <w:iCs/>
              </w:rPr>
            </w:pPr>
            <w:r w:rsidRPr="00484AE9">
              <w:t>n/a</w:t>
            </w:r>
          </w:p>
        </w:tc>
      </w:tr>
      <w:tr w:rsidR="008B6130" w:rsidRPr="00484AE9" w14:paraId="1AC302CE" w14:textId="77777777" w:rsidTr="00E3038D">
        <w:trPr>
          <w:cantSplit/>
        </w:trPr>
        <w:tc>
          <w:tcPr>
            <w:tcW w:w="792" w:type="pct"/>
            <w:shd w:val="clear" w:color="auto" w:fill="auto"/>
            <w:vAlign w:val="center"/>
          </w:tcPr>
          <w:p w14:paraId="6D1F7F10" w14:textId="5644D35E" w:rsidR="00CD71AC" w:rsidRPr="00484AE9" w:rsidRDefault="00CD71AC" w:rsidP="00F76D9A">
            <w:pPr>
              <w:pStyle w:val="TableText0"/>
              <w:keepNext w:val="0"/>
            </w:pPr>
            <w:r w:rsidRPr="00484AE9">
              <w:lastRenderedPageBreak/>
              <w:t>Ganatra 2023</w:t>
            </w:r>
          </w:p>
        </w:tc>
        <w:tc>
          <w:tcPr>
            <w:tcW w:w="701" w:type="pct"/>
            <w:vAlign w:val="center"/>
          </w:tcPr>
          <w:p w14:paraId="6C5A78FA" w14:textId="62C0AFCC" w:rsidR="00CD71AC" w:rsidRPr="00484AE9" w:rsidRDefault="00875474" w:rsidP="00F76D9A">
            <w:pPr>
              <w:pStyle w:val="TableText0"/>
              <w:keepNext w:val="0"/>
              <w:jc w:val="center"/>
            </w:pPr>
            <w:r w:rsidRPr="00484AE9">
              <w:t>ER visit, hospitalisation or death</w:t>
            </w:r>
          </w:p>
        </w:tc>
        <w:tc>
          <w:tcPr>
            <w:tcW w:w="701" w:type="pct"/>
            <w:shd w:val="clear" w:color="auto" w:fill="auto"/>
            <w:vAlign w:val="center"/>
          </w:tcPr>
          <w:p w14:paraId="4A493F94" w14:textId="16EBF051" w:rsidR="003B00B9" w:rsidRPr="00484AE9" w:rsidRDefault="00875474" w:rsidP="00F76D9A">
            <w:pPr>
              <w:pStyle w:val="TableText0"/>
              <w:keepNext w:val="0"/>
              <w:jc w:val="center"/>
            </w:pPr>
            <w:r w:rsidRPr="00484AE9">
              <w:t>89</w:t>
            </w:r>
            <w:r w:rsidR="00B1009B" w:rsidRPr="00484AE9">
              <w:t>/</w:t>
            </w:r>
            <w:r w:rsidR="00BB2D97" w:rsidRPr="00484AE9">
              <w:t>1,130</w:t>
            </w:r>
          </w:p>
          <w:p w14:paraId="65E00BE0" w14:textId="34DBBAFF" w:rsidR="00CD71AC" w:rsidRPr="00484AE9" w:rsidRDefault="00875474" w:rsidP="00F76D9A">
            <w:pPr>
              <w:pStyle w:val="TableText0"/>
              <w:keepNext w:val="0"/>
              <w:jc w:val="center"/>
            </w:pPr>
            <w:r w:rsidRPr="00484AE9">
              <w:t>(7.87%)</w:t>
            </w:r>
          </w:p>
        </w:tc>
        <w:tc>
          <w:tcPr>
            <w:tcW w:w="702" w:type="pct"/>
            <w:vAlign w:val="center"/>
          </w:tcPr>
          <w:p w14:paraId="6A2DE0C9" w14:textId="77777777" w:rsidR="003B00B9" w:rsidRPr="00484AE9" w:rsidRDefault="00875474" w:rsidP="00F76D9A">
            <w:pPr>
              <w:pStyle w:val="TableText0"/>
              <w:keepNext w:val="0"/>
              <w:jc w:val="center"/>
            </w:pPr>
            <w:r w:rsidRPr="00484AE9">
              <w:t>163</w:t>
            </w:r>
            <w:r w:rsidR="003B35B1" w:rsidRPr="00484AE9">
              <w:t>/1,130</w:t>
            </w:r>
          </w:p>
          <w:p w14:paraId="5F34705B" w14:textId="429AB3EB" w:rsidR="00CD71AC" w:rsidRPr="00484AE9" w:rsidRDefault="00875474" w:rsidP="00F76D9A">
            <w:pPr>
              <w:pStyle w:val="TableText0"/>
              <w:keepNext w:val="0"/>
              <w:jc w:val="center"/>
            </w:pPr>
            <w:r w:rsidRPr="00484AE9">
              <w:t>(14.4%)</w:t>
            </w:r>
          </w:p>
        </w:tc>
        <w:tc>
          <w:tcPr>
            <w:tcW w:w="702" w:type="pct"/>
            <w:shd w:val="clear" w:color="auto" w:fill="auto"/>
            <w:vAlign w:val="center"/>
          </w:tcPr>
          <w:p w14:paraId="79C7470B" w14:textId="4704FC80" w:rsidR="00CD71AC" w:rsidRPr="00484AE9" w:rsidRDefault="001A146D" w:rsidP="00F76D9A">
            <w:pPr>
              <w:pStyle w:val="TableText0"/>
              <w:keepNext w:val="0"/>
              <w:jc w:val="center"/>
            </w:pPr>
            <w:r w:rsidRPr="00484AE9">
              <w:t>n/a</w:t>
            </w:r>
          </w:p>
        </w:tc>
        <w:tc>
          <w:tcPr>
            <w:tcW w:w="702" w:type="pct"/>
            <w:shd w:val="clear" w:color="auto" w:fill="auto"/>
            <w:vAlign w:val="center"/>
          </w:tcPr>
          <w:p w14:paraId="1EDC23F3" w14:textId="6C26432E" w:rsidR="00875474" w:rsidRPr="00484AE9" w:rsidRDefault="004D266E" w:rsidP="00F76D9A">
            <w:pPr>
              <w:pStyle w:val="TableText0"/>
              <w:keepNext w:val="0"/>
              <w:jc w:val="center"/>
              <w:rPr>
                <w:b/>
              </w:rPr>
            </w:pPr>
            <w:r w:rsidRPr="00484AE9">
              <w:rPr>
                <w:b/>
              </w:rPr>
              <w:t>0.55</w:t>
            </w:r>
          </w:p>
          <w:p w14:paraId="6CFD7817" w14:textId="340482A1" w:rsidR="00CD71AC" w:rsidRPr="00484AE9" w:rsidRDefault="00875474" w:rsidP="00F76D9A">
            <w:pPr>
              <w:pStyle w:val="TableText0"/>
              <w:keepNext w:val="0"/>
              <w:jc w:val="center"/>
              <w:rPr>
                <w:b/>
              </w:rPr>
            </w:pPr>
            <w:r w:rsidRPr="00484AE9">
              <w:rPr>
                <w:b/>
              </w:rPr>
              <w:t>(</w:t>
            </w:r>
            <w:r w:rsidR="004D266E" w:rsidRPr="00484AE9">
              <w:rPr>
                <w:b/>
              </w:rPr>
              <w:t>0.43, 0.70</w:t>
            </w:r>
            <w:r w:rsidR="00F66223" w:rsidRPr="00484AE9">
              <w:rPr>
                <w:b/>
              </w:rPr>
              <w:t>)</w:t>
            </w:r>
          </w:p>
        </w:tc>
        <w:tc>
          <w:tcPr>
            <w:tcW w:w="700" w:type="pct"/>
            <w:vAlign w:val="center"/>
          </w:tcPr>
          <w:p w14:paraId="52F4F760" w14:textId="09602A34" w:rsidR="00CD71AC" w:rsidRPr="00484AE9" w:rsidRDefault="00E60878" w:rsidP="00F76D9A">
            <w:pPr>
              <w:pStyle w:val="TableText0"/>
              <w:keepNext w:val="0"/>
              <w:jc w:val="center"/>
              <w:rPr>
                <w:iCs/>
              </w:rPr>
            </w:pPr>
            <w:r w:rsidRPr="00484AE9">
              <w:t>n/a</w:t>
            </w:r>
          </w:p>
        </w:tc>
      </w:tr>
      <w:tr w:rsidR="008B6130" w:rsidRPr="00484AE9" w14:paraId="276F20C4" w14:textId="77777777" w:rsidTr="00E3038D">
        <w:trPr>
          <w:cantSplit/>
        </w:trPr>
        <w:tc>
          <w:tcPr>
            <w:tcW w:w="792" w:type="pct"/>
            <w:shd w:val="clear" w:color="auto" w:fill="auto"/>
            <w:vAlign w:val="center"/>
          </w:tcPr>
          <w:p w14:paraId="750D24C3" w14:textId="296DAC0B" w:rsidR="00CD71AC" w:rsidRPr="00484AE9" w:rsidRDefault="00CD71AC" w:rsidP="00F76D9A">
            <w:pPr>
              <w:pStyle w:val="TableText0"/>
              <w:keepNext w:val="0"/>
            </w:pPr>
            <w:r w:rsidRPr="00484AE9">
              <w:t>Kaboré 2023</w:t>
            </w:r>
          </w:p>
        </w:tc>
        <w:tc>
          <w:tcPr>
            <w:tcW w:w="701" w:type="pct"/>
            <w:vAlign w:val="center"/>
          </w:tcPr>
          <w:p w14:paraId="14483BE3" w14:textId="65F12CC3" w:rsidR="00CD71AC" w:rsidRPr="00484AE9" w:rsidRDefault="00475920" w:rsidP="00F76D9A">
            <w:pPr>
              <w:pStyle w:val="TableText0"/>
              <w:keepNext w:val="0"/>
              <w:jc w:val="center"/>
            </w:pPr>
            <w:r w:rsidRPr="00484AE9">
              <w:t>Hospitalisation</w:t>
            </w:r>
          </w:p>
        </w:tc>
        <w:tc>
          <w:tcPr>
            <w:tcW w:w="701" w:type="pct"/>
            <w:shd w:val="clear" w:color="auto" w:fill="auto"/>
            <w:vAlign w:val="center"/>
          </w:tcPr>
          <w:p w14:paraId="45EAC796" w14:textId="77777777" w:rsidR="003B00B9" w:rsidRPr="00484AE9" w:rsidRDefault="000D6F2D" w:rsidP="00F76D9A">
            <w:pPr>
              <w:pStyle w:val="TableText0"/>
              <w:keepNext w:val="0"/>
              <w:jc w:val="center"/>
            </w:pPr>
            <w:r w:rsidRPr="00484AE9">
              <w:t>299</w:t>
            </w:r>
            <w:r w:rsidR="00B14BAC" w:rsidRPr="00484AE9">
              <w:t>/8,402</w:t>
            </w:r>
          </w:p>
          <w:p w14:paraId="322E2E6F" w14:textId="1C066B78" w:rsidR="00CD71AC" w:rsidRPr="00484AE9" w:rsidRDefault="00F210F1" w:rsidP="00F76D9A">
            <w:pPr>
              <w:pStyle w:val="TableText0"/>
              <w:keepNext w:val="0"/>
              <w:jc w:val="center"/>
            </w:pPr>
            <w:r w:rsidRPr="00484AE9">
              <w:t>(</w:t>
            </w:r>
            <w:r w:rsidR="00051A1B" w:rsidRPr="00484AE9">
              <w:t>3.6%</w:t>
            </w:r>
            <w:r w:rsidRPr="00484AE9">
              <w:t>)</w:t>
            </w:r>
          </w:p>
        </w:tc>
        <w:tc>
          <w:tcPr>
            <w:tcW w:w="702" w:type="pct"/>
            <w:vAlign w:val="center"/>
          </w:tcPr>
          <w:p w14:paraId="1A7C6912" w14:textId="77777777" w:rsidR="003B00B9" w:rsidRPr="00484AE9" w:rsidRDefault="000D6F2D" w:rsidP="00F76D9A">
            <w:pPr>
              <w:pStyle w:val="TableText0"/>
              <w:keepNext w:val="0"/>
              <w:jc w:val="center"/>
            </w:pPr>
            <w:r w:rsidRPr="00484AE9">
              <w:t>966</w:t>
            </w:r>
            <w:r w:rsidR="00B14BAC" w:rsidRPr="00484AE9">
              <w:t>/8,402</w:t>
            </w:r>
          </w:p>
          <w:p w14:paraId="30B8304B" w14:textId="7EDC4E81" w:rsidR="00CD71AC" w:rsidRPr="00484AE9" w:rsidRDefault="00051A1B" w:rsidP="00F76D9A">
            <w:pPr>
              <w:pStyle w:val="TableText0"/>
              <w:keepNext w:val="0"/>
              <w:jc w:val="center"/>
            </w:pPr>
            <w:r w:rsidRPr="00484AE9">
              <w:t>(</w:t>
            </w:r>
            <w:r w:rsidR="001E1EF8" w:rsidRPr="00484AE9">
              <w:t>11.5%</w:t>
            </w:r>
            <w:r w:rsidRPr="00484AE9">
              <w:t>)</w:t>
            </w:r>
          </w:p>
        </w:tc>
        <w:tc>
          <w:tcPr>
            <w:tcW w:w="702" w:type="pct"/>
            <w:shd w:val="clear" w:color="auto" w:fill="auto"/>
            <w:vAlign w:val="center"/>
          </w:tcPr>
          <w:p w14:paraId="25216A2A" w14:textId="255785E2" w:rsidR="00CD71AC" w:rsidRPr="00484AE9" w:rsidRDefault="001A146D" w:rsidP="00F76D9A">
            <w:pPr>
              <w:pStyle w:val="TableText0"/>
              <w:keepNext w:val="0"/>
              <w:jc w:val="center"/>
            </w:pPr>
            <w:r w:rsidRPr="00484AE9">
              <w:t>n/a</w:t>
            </w:r>
          </w:p>
        </w:tc>
        <w:tc>
          <w:tcPr>
            <w:tcW w:w="702" w:type="pct"/>
            <w:shd w:val="clear" w:color="auto" w:fill="auto"/>
            <w:vAlign w:val="center"/>
          </w:tcPr>
          <w:p w14:paraId="73298FE1" w14:textId="77777777" w:rsidR="003B00B9" w:rsidRPr="00484AE9" w:rsidRDefault="00CB060A" w:rsidP="00F76D9A">
            <w:pPr>
              <w:pStyle w:val="TableText0"/>
              <w:keepNext w:val="0"/>
              <w:jc w:val="center"/>
              <w:rPr>
                <w:b/>
              </w:rPr>
            </w:pPr>
            <w:r w:rsidRPr="00484AE9">
              <w:rPr>
                <w:b/>
              </w:rPr>
              <w:t>0.31</w:t>
            </w:r>
          </w:p>
          <w:p w14:paraId="0DF29A96" w14:textId="3B44F267" w:rsidR="00CD71AC" w:rsidRPr="00484AE9" w:rsidRDefault="00CB060A" w:rsidP="00F76D9A">
            <w:pPr>
              <w:pStyle w:val="TableText0"/>
              <w:keepNext w:val="0"/>
              <w:jc w:val="center"/>
              <w:rPr>
                <w:b/>
              </w:rPr>
            </w:pPr>
            <w:r w:rsidRPr="00484AE9">
              <w:rPr>
                <w:b/>
              </w:rPr>
              <w:t>(0.28, 0.36)</w:t>
            </w:r>
          </w:p>
        </w:tc>
        <w:tc>
          <w:tcPr>
            <w:tcW w:w="700" w:type="pct"/>
            <w:vAlign w:val="center"/>
          </w:tcPr>
          <w:p w14:paraId="2F21315A" w14:textId="493FB93F" w:rsidR="00CD71AC" w:rsidRPr="00484AE9" w:rsidRDefault="00E60878" w:rsidP="00F76D9A">
            <w:pPr>
              <w:pStyle w:val="TableText0"/>
              <w:keepNext w:val="0"/>
              <w:jc w:val="center"/>
              <w:rPr>
                <w:iCs/>
              </w:rPr>
            </w:pPr>
            <w:r w:rsidRPr="00484AE9">
              <w:t>n/a</w:t>
            </w:r>
          </w:p>
        </w:tc>
      </w:tr>
      <w:tr w:rsidR="008B6130" w:rsidRPr="00484AE9" w14:paraId="2805DD41" w14:textId="77777777" w:rsidTr="00E3038D">
        <w:trPr>
          <w:cantSplit/>
        </w:trPr>
        <w:tc>
          <w:tcPr>
            <w:tcW w:w="792" w:type="pct"/>
            <w:shd w:val="clear" w:color="auto" w:fill="auto"/>
            <w:vAlign w:val="center"/>
          </w:tcPr>
          <w:p w14:paraId="0272FE4D" w14:textId="6F6DF53D" w:rsidR="00CD71AC" w:rsidRPr="00484AE9" w:rsidRDefault="00CD71AC" w:rsidP="00F76D9A">
            <w:pPr>
              <w:pStyle w:val="TableText0"/>
              <w:keepNext w:val="0"/>
            </w:pPr>
            <w:r w:rsidRPr="00484AE9">
              <w:t>Lewnard 2023</w:t>
            </w:r>
          </w:p>
        </w:tc>
        <w:tc>
          <w:tcPr>
            <w:tcW w:w="701" w:type="pct"/>
            <w:vAlign w:val="center"/>
          </w:tcPr>
          <w:p w14:paraId="10928793" w14:textId="66E794C9" w:rsidR="00CD71AC" w:rsidRPr="00484AE9" w:rsidRDefault="00B97921" w:rsidP="00F76D9A">
            <w:pPr>
              <w:pStyle w:val="TableText0"/>
              <w:keepNext w:val="0"/>
              <w:jc w:val="center"/>
            </w:pPr>
            <w:r w:rsidRPr="00484AE9">
              <w:t>Hospitalisation or death</w:t>
            </w:r>
          </w:p>
        </w:tc>
        <w:tc>
          <w:tcPr>
            <w:tcW w:w="701" w:type="pct"/>
            <w:shd w:val="clear" w:color="auto" w:fill="auto"/>
            <w:vAlign w:val="center"/>
          </w:tcPr>
          <w:p w14:paraId="6DF9EB02" w14:textId="77777777" w:rsidR="003B00B9" w:rsidRPr="00484AE9" w:rsidRDefault="00B97921" w:rsidP="00F76D9A">
            <w:pPr>
              <w:pStyle w:val="TableText0"/>
              <w:keepNext w:val="0"/>
              <w:jc w:val="center"/>
            </w:pPr>
            <w:r w:rsidRPr="00484AE9">
              <w:t>51/</w:t>
            </w:r>
            <w:r w:rsidR="00CD6BA3" w:rsidRPr="00484AE9">
              <w:t>7,274</w:t>
            </w:r>
          </w:p>
          <w:p w14:paraId="6067BD56" w14:textId="6EDAEC68" w:rsidR="00CD71AC" w:rsidRPr="00484AE9" w:rsidRDefault="00CD6BA3" w:rsidP="00F76D9A">
            <w:pPr>
              <w:pStyle w:val="TableText0"/>
              <w:keepNext w:val="0"/>
              <w:jc w:val="center"/>
            </w:pPr>
            <w:r w:rsidRPr="00484AE9">
              <w:t>(0.7%)</w:t>
            </w:r>
          </w:p>
        </w:tc>
        <w:tc>
          <w:tcPr>
            <w:tcW w:w="702" w:type="pct"/>
            <w:vAlign w:val="center"/>
          </w:tcPr>
          <w:p w14:paraId="0EF74791" w14:textId="77777777" w:rsidR="003B00B9" w:rsidRPr="00484AE9" w:rsidRDefault="00537141" w:rsidP="00F76D9A">
            <w:pPr>
              <w:pStyle w:val="TableText0"/>
              <w:keepNext w:val="0"/>
              <w:jc w:val="center"/>
            </w:pPr>
            <w:r w:rsidRPr="00484AE9">
              <w:t>695/</w:t>
            </w:r>
            <w:r w:rsidR="00A825FF" w:rsidRPr="00484AE9">
              <w:t>126,1</w:t>
            </w:r>
            <w:r w:rsidR="00A87FFB" w:rsidRPr="00484AE9">
              <w:t>52</w:t>
            </w:r>
          </w:p>
          <w:p w14:paraId="06D78029" w14:textId="0B146C37" w:rsidR="00CD71AC" w:rsidRPr="00484AE9" w:rsidRDefault="00A87FFB" w:rsidP="00F76D9A">
            <w:pPr>
              <w:pStyle w:val="TableText0"/>
              <w:keepNext w:val="0"/>
              <w:jc w:val="center"/>
            </w:pPr>
            <w:r w:rsidRPr="00484AE9">
              <w:t>(</w:t>
            </w:r>
            <w:r w:rsidR="00C624E7" w:rsidRPr="00484AE9">
              <w:t>0.55%)</w:t>
            </w:r>
          </w:p>
        </w:tc>
        <w:tc>
          <w:tcPr>
            <w:tcW w:w="702" w:type="pct"/>
            <w:shd w:val="clear" w:color="auto" w:fill="auto"/>
            <w:vAlign w:val="center"/>
          </w:tcPr>
          <w:p w14:paraId="145C584C" w14:textId="29B7EF3E" w:rsidR="00CD71AC" w:rsidRPr="00484AE9" w:rsidRDefault="001A146D" w:rsidP="00F76D9A">
            <w:pPr>
              <w:pStyle w:val="TableText0"/>
              <w:keepNext w:val="0"/>
              <w:jc w:val="center"/>
            </w:pPr>
            <w:r w:rsidRPr="00484AE9">
              <w:t>n/a</w:t>
            </w:r>
          </w:p>
        </w:tc>
        <w:tc>
          <w:tcPr>
            <w:tcW w:w="702" w:type="pct"/>
            <w:shd w:val="clear" w:color="auto" w:fill="auto"/>
            <w:vAlign w:val="center"/>
          </w:tcPr>
          <w:p w14:paraId="5805CD73" w14:textId="6494912D" w:rsidR="003B00B9" w:rsidRPr="00484AE9" w:rsidRDefault="004B3612" w:rsidP="00F76D9A">
            <w:pPr>
              <w:pStyle w:val="TableText0"/>
              <w:keepNext w:val="0"/>
              <w:jc w:val="center"/>
              <w:rPr>
                <w:vertAlign w:val="superscript"/>
              </w:rPr>
            </w:pPr>
            <w:r w:rsidRPr="00484AE9">
              <w:t>1.27</w:t>
            </w:r>
            <w:r w:rsidRPr="00484AE9">
              <w:rPr>
                <w:vertAlign w:val="superscript"/>
              </w:rPr>
              <w:t>#</w:t>
            </w:r>
          </w:p>
          <w:p w14:paraId="35B42650" w14:textId="3E49BFD6" w:rsidR="00CD71AC" w:rsidRPr="00484AE9" w:rsidRDefault="004B3612" w:rsidP="00F76D9A">
            <w:pPr>
              <w:pStyle w:val="TableText0"/>
              <w:keepNext w:val="0"/>
              <w:jc w:val="center"/>
            </w:pPr>
            <w:r w:rsidRPr="00484AE9">
              <w:t>(</w:t>
            </w:r>
            <w:r w:rsidR="003118B0" w:rsidRPr="00484AE9">
              <w:t xml:space="preserve">0.96, </w:t>
            </w:r>
            <w:r w:rsidR="00215234" w:rsidRPr="00484AE9">
              <w:t>1.69)</w:t>
            </w:r>
          </w:p>
        </w:tc>
        <w:tc>
          <w:tcPr>
            <w:tcW w:w="700" w:type="pct"/>
            <w:vAlign w:val="center"/>
          </w:tcPr>
          <w:p w14:paraId="5B2EA892" w14:textId="2CB2941C" w:rsidR="00CD71AC" w:rsidRPr="00484AE9" w:rsidRDefault="00E60878" w:rsidP="00F76D9A">
            <w:pPr>
              <w:pStyle w:val="TableText0"/>
              <w:keepNext w:val="0"/>
              <w:jc w:val="center"/>
              <w:rPr>
                <w:iCs/>
              </w:rPr>
            </w:pPr>
            <w:r w:rsidRPr="00484AE9">
              <w:t>n/a</w:t>
            </w:r>
          </w:p>
        </w:tc>
      </w:tr>
      <w:tr w:rsidR="008B6130" w:rsidRPr="00484AE9" w14:paraId="051AD5C4" w14:textId="77777777" w:rsidTr="00E3038D">
        <w:trPr>
          <w:cantSplit/>
        </w:trPr>
        <w:tc>
          <w:tcPr>
            <w:tcW w:w="792" w:type="pct"/>
            <w:vMerge w:val="restart"/>
            <w:shd w:val="clear" w:color="auto" w:fill="auto"/>
            <w:vAlign w:val="center"/>
          </w:tcPr>
          <w:p w14:paraId="52A20BF6" w14:textId="77777777" w:rsidR="0013435D" w:rsidRPr="00484AE9" w:rsidRDefault="0013435D" w:rsidP="00F76D9A">
            <w:pPr>
              <w:pStyle w:val="TableText0"/>
              <w:keepNext w:val="0"/>
            </w:pPr>
            <w:r w:rsidRPr="00484AE9">
              <w:t>Van Heer 2023</w:t>
            </w:r>
          </w:p>
        </w:tc>
        <w:tc>
          <w:tcPr>
            <w:tcW w:w="701" w:type="pct"/>
            <w:vAlign w:val="center"/>
          </w:tcPr>
          <w:p w14:paraId="2DB1C378" w14:textId="235F5738" w:rsidR="0013435D" w:rsidRPr="00484AE9" w:rsidRDefault="008F0EE5" w:rsidP="00F76D9A">
            <w:pPr>
              <w:pStyle w:val="TableText0"/>
              <w:keepNext w:val="0"/>
              <w:jc w:val="center"/>
            </w:pPr>
            <w:r w:rsidRPr="00484AE9">
              <w:t>Hospitalisation</w:t>
            </w:r>
          </w:p>
        </w:tc>
        <w:tc>
          <w:tcPr>
            <w:tcW w:w="701" w:type="pct"/>
            <w:shd w:val="clear" w:color="auto" w:fill="auto"/>
            <w:vAlign w:val="center"/>
          </w:tcPr>
          <w:p w14:paraId="42E2DC1B" w14:textId="1532D543" w:rsidR="003B00B9" w:rsidRPr="00484AE9" w:rsidRDefault="004648D2" w:rsidP="00F76D9A">
            <w:pPr>
              <w:pStyle w:val="TableText0"/>
              <w:keepNext w:val="0"/>
              <w:jc w:val="center"/>
            </w:pPr>
            <w:r w:rsidRPr="00484AE9">
              <w:t>295</w:t>
            </w:r>
            <w:r w:rsidR="00E529D7" w:rsidRPr="00484AE9">
              <w:t>/</w:t>
            </w:r>
            <w:r w:rsidR="0086396D" w:rsidRPr="00484AE9">
              <w:t>5,250</w:t>
            </w:r>
          </w:p>
          <w:p w14:paraId="17A4AA0A" w14:textId="4C2CF407" w:rsidR="0013435D" w:rsidRPr="00484AE9" w:rsidRDefault="007F37EB" w:rsidP="00F76D9A">
            <w:pPr>
              <w:pStyle w:val="TableText0"/>
              <w:keepNext w:val="0"/>
              <w:jc w:val="center"/>
            </w:pPr>
            <w:r w:rsidRPr="00484AE9">
              <w:t>(</w:t>
            </w:r>
            <w:r w:rsidR="00B86150" w:rsidRPr="00484AE9">
              <w:t>5.6%</w:t>
            </w:r>
            <w:r w:rsidRPr="00484AE9">
              <w:t>)</w:t>
            </w:r>
          </w:p>
        </w:tc>
        <w:tc>
          <w:tcPr>
            <w:tcW w:w="702" w:type="pct"/>
            <w:vAlign w:val="center"/>
          </w:tcPr>
          <w:p w14:paraId="2BAC8790" w14:textId="3DA1793E" w:rsidR="003B00B9" w:rsidRPr="00484AE9" w:rsidRDefault="004648D2" w:rsidP="00F76D9A">
            <w:pPr>
              <w:pStyle w:val="TableText0"/>
              <w:keepNext w:val="0"/>
              <w:jc w:val="center"/>
            </w:pPr>
            <w:r w:rsidRPr="00484AE9">
              <w:t>1,635</w:t>
            </w:r>
            <w:r w:rsidR="00E529D7" w:rsidRPr="00484AE9">
              <w:t>/</w:t>
            </w:r>
            <w:r w:rsidR="0086396D" w:rsidRPr="00484AE9">
              <w:t>13,721</w:t>
            </w:r>
          </w:p>
          <w:p w14:paraId="231BF423" w14:textId="2CDEFCD5" w:rsidR="0013435D" w:rsidRPr="00484AE9" w:rsidRDefault="007F37EB" w:rsidP="00F76D9A">
            <w:pPr>
              <w:pStyle w:val="TableText0"/>
              <w:keepNext w:val="0"/>
              <w:jc w:val="center"/>
            </w:pPr>
            <w:r w:rsidRPr="00484AE9">
              <w:t>(</w:t>
            </w:r>
            <w:r w:rsidR="002612E4" w:rsidRPr="00484AE9">
              <w:t>11.9%</w:t>
            </w:r>
            <w:r w:rsidRPr="00484AE9">
              <w:t>)</w:t>
            </w:r>
          </w:p>
        </w:tc>
        <w:tc>
          <w:tcPr>
            <w:tcW w:w="702" w:type="pct"/>
            <w:shd w:val="clear" w:color="auto" w:fill="auto"/>
            <w:vAlign w:val="center"/>
          </w:tcPr>
          <w:p w14:paraId="71CDAD5E" w14:textId="5DC0F743" w:rsidR="003B00B9" w:rsidRPr="00484AE9" w:rsidRDefault="004648D2" w:rsidP="00F76D9A">
            <w:pPr>
              <w:pStyle w:val="TableText0"/>
              <w:keepNext w:val="0"/>
              <w:jc w:val="center"/>
            </w:pPr>
            <w:r w:rsidRPr="00484AE9">
              <w:t>696</w:t>
            </w:r>
            <w:r w:rsidR="00E529D7" w:rsidRPr="00484AE9">
              <w:t>/</w:t>
            </w:r>
            <w:r w:rsidR="00E44D1F" w:rsidRPr="00484AE9">
              <w:t>19,962</w:t>
            </w:r>
          </w:p>
          <w:p w14:paraId="0271A687" w14:textId="46268A5C" w:rsidR="0013435D" w:rsidRPr="00484AE9" w:rsidRDefault="007F37EB" w:rsidP="00F76D9A">
            <w:pPr>
              <w:pStyle w:val="TableText0"/>
              <w:keepNext w:val="0"/>
              <w:jc w:val="center"/>
            </w:pPr>
            <w:r w:rsidRPr="00484AE9">
              <w:t>(</w:t>
            </w:r>
            <w:r w:rsidR="00375610" w:rsidRPr="00484AE9">
              <w:t>3.5%</w:t>
            </w:r>
            <w:r w:rsidRPr="00484AE9">
              <w:t>)</w:t>
            </w:r>
          </w:p>
        </w:tc>
        <w:tc>
          <w:tcPr>
            <w:tcW w:w="702" w:type="pct"/>
            <w:shd w:val="clear" w:color="auto" w:fill="auto"/>
            <w:vAlign w:val="center"/>
          </w:tcPr>
          <w:p w14:paraId="18F99168" w14:textId="72BC2AD7" w:rsidR="007F37EB" w:rsidRPr="00484AE9" w:rsidRDefault="00F870D5" w:rsidP="00F76D9A">
            <w:pPr>
              <w:pStyle w:val="TableText0"/>
              <w:keepNext w:val="0"/>
              <w:jc w:val="center"/>
              <w:rPr>
                <w:b/>
              </w:rPr>
            </w:pPr>
            <w:r w:rsidRPr="00484AE9">
              <w:rPr>
                <w:b/>
              </w:rPr>
              <w:t>0.60</w:t>
            </w:r>
            <w:r w:rsidR="000345A2" w:rsidRPr="00484AE9">
              <w:rPr>
                <w:b/>
              </w:rPr>
              <w:t>^</w:t>
            </w:r>
          </w:p>
          <w:p w14:paraId="5D0E4B47" w14:textId="016F9731" w:rsidR="0013435D" w:rsidRPr="00484AE9" w:rsidRDefault="00F870D5" w:rsidP="00F76D9A">
            <w:pPr>
              <w:pStyle w:val="TableText0"/>
              <w:keepNext w:val="0"/>
              <w:jc w:val="center"/>
              <w:rPr>
                <w:b/>
              </w:rPr>
            </w:pPr>
            <w:r w:rsidRPr="00484AE9">
              <w:rPr>
                <w:b/>
              </w:rPr>
              <w:t>(0.43, 0.83)</w:t>
            </w:r>
          </w:p>
        </w:tc>
        <w:tc>
          <w:tcPr>
            <w:tcW w:w="700" w:type="pct"/>
            <w:vAlign w:val="center"/>
          </w:tcPr>
          <w:p w14:paraId="48EFE176" w14:textId="77777777" w:rsidR="007F37EB" w:rsidRPr="00484AE9" w:rsidRDefault="000345A2" w:rsidP="00F76D9A">
            <w:pPr>
              <w:pStyle w:val="TableText0"/>
              <w:keepNext w:val="0"/>
              <w:jc w:val="center"/>
              <w:rPr>
                <w:b/>
              </w:rPr>
            </w:pPr>
            <w:r w:rsidRPr="00484AE9">
              <w:rPr>
                <w:b/>
              </w:rPr>
              <w:t>0.71^</w:t>
            </w:r>
          </w:p>
          <w:p w14:paraId="086AD284" w14:textId="6DB92715" w:rsidR="0013435D" w:rsidRPr="00484AE9" w:rsidRDefault="00EA2A4D" w:rsidP="00F76D9A">
            <w:pPr>
              <w:pStyle w:val="TableText0"/>
              <w:keepNext w:val="0"/>
              <w:jc w:val="center"/>
              <w:rPr>
                <w:b/>
              </w:rPr>
            </w:pPr>
            <w:r w:rsidRPr="00484AE9">
              <w:rPr>
                <w:b/>
              </w:rPr>
              <w:t>(</w:t>
            </w:r>
            <w:r w:rsidR="005A7639" w:rsidRPr="00484AE9">
              <w:rPr>
                <w:b/>
              </w:rPr>
              <w:t>0.58, 0.87)</w:t>
            </w:r>
          </w:p>
        </w:tc>
      </w:tr>
      <w:tr w:rsidR="008B6130" w:rsidRPr="00484AE9" w14:paraId="66906585" w14:textId="77777777" w:rsidTr="00E3038D">
        <w:trPr>
          <w:cantSplit/>
        </w:trPr>
        <w:tc>
          <w:tcPr>
            <w:tcW w:w="792" w:type="pct"/>
            <w:vMerge/>
            <w:shd w:val="clear" w:color="auto" w:fill="auto"/>
            <w:vAlign w:val="center"/>
          </w:tcPr>
          <w:p w14:paraId="5612D633" w14:textId="77777777" w:rsidR="008F0EE5" w:rsidRPr="00484AE9" w:rsidRDefault="008F0EE5" w:rsidP="00F76D9A">
            <w:pPr>
              <w:pStyle w:val="TableText0"/>
              <w:keepNext w:val="0"/>
              <w:rPr>
                <w:iCs/>
              </w:rPr>
            </w:pPr>
          </w:p>
        </w:tc>
        <w:tc>
          <w:tcPr>
            <w:tcW w:w="701" w:type="pct"/>
            <w:vAlign w:val="center"/>
          </w:tcPr>
          <w:p w14:paraId="2BB0480F" w14:textId="1858CEE0" w:rsidR="008F0EE5" w:rsidRPr="00484AE9" w:rsidRDefault="008F0EE5" w:rsidP="00F76D9A">
            <w:pPr>
              <w:pStyle w:val="TableText0"/>
              <w:keepNext w:val="0"/>
              <w:jc w:val="center"/>
            </w:pPr>
            <w:r w:rsidRPr="00484AE9">
              <w:t>Death</w:t>
            </w:r>
          </w:p>
        </w:tc>
        <w:tc>
          <w:tcPr>
            <w:tcW w:w="701" w:type="pct"/>
            <w:shd w:val="clear" w:color="auto" w:fill="auto"/>
            <w:vAlign w:val="center"/>
          </w:tcPr>
          <w:p w14:paraId="6AC09A83" w14:textId="77777777" w:rsidR="00E529D7" w:rsidRPr="00484AE9" w:rsidRDefault="00E529D7" w:rsidP="00F76D9A">
            <w:pPr>
              <w:pStyle w:val="TableText0"/>
              <w:keepNext w:val="0"/>
              <w:jc w:val="center"/>
            </w:pPr>
            <w:r w:rsidRPr="00484AE9">
              <w:t>29/5,250</w:t>
            </w:r>
          </w:p>
          <w:p w14:paraId="24C91FA6" w14:textId="24D7B617" w:rsidR="008F0EE5" w:rsidRPr="00484AE9" w:rsidRDefault="007F37EB" w:rsidP="00F76D9A">
            <w:pPr>
              <w:pStyle w:val="TableText0"/>
              <w:keepNext w:val="0"/>
              <w:jc w:val="center"/>
            </w:pPr>
            <w:r w:rsidRPr="00484AE9">
              <w:t>(</w:t>
            </w:r>
            <w:r w:rsidR="005F4FD5" w:rsidRPr="00484AE9">
              <w:t>0.6%</w:t>
            </w:r>
            <w:r w:rsidRPr="00484AE9">
              <w:t>)</w:t>
            </w:r>
          </w:p>
        </w:tc>
        <w:tc>
          <w:tcPr>
            <w:tcW w:w="702" w:type="pct"/>
            <w:vAlign w:val="center"/>
          </w:tcPr>
          <w:p w14:paraId="4904F255" w14:textId="77777777" w:rsidR="00E529D7" w:rsidRPr="00484AE9" w:rsidRDefault="00E529D7" w:rsidP="00F76D9A">
            <w:pPr>
              <w:pStyle w:val="TableText0"/>
              <w:keepNext w:val="0"/>
              <w:jc w:val="center"/>
            </w:pPr>
            <w:r w:rsidRPr="00484AE9">
              <w:t>462/13,721</w:t>
            </w:r>
          </w:p>
          <w:p w14:paraId="52CFDF9F" w14:textId="0ABCF228" w:rsidR="008F0EE5" w:rsidRPr="00484AE9" w:rsidRDefault="007F37EB" w:rsidP="00F76D9A">
            <w:pPr>
              <w:pStyle w:val="TableText0"/>
              <w:keepNext w:val="0"/>
              <w:jc w:val="center"/>
            </w:pPr>
            <w:r w:rsidRPr="00484AE9">
              <w:t>(</w:t>
            </w:r>
            <w:r w:rsidR="004B76EA" w:rsidRPr="00484AE9">
              <w:t>3.4%</w:t>
            </w:r>
            <w:r w:rsidRPr="00484AE9">
              <w:t>)</w:t>
            </w:r>
          </w:p>
        </w:tc>
        <w:tc>
          <w:tcPr>
            <w:tcW w:w="702" w:type="pct"/>
            <w:shd w:val="clear" w:color="auto" w:fill="auto"/>
            <w:vAlign w:val="center"/>
          </w:tcPr>
          <w:p w14:paraId="54E10A28" w14:textId="77777777" w:rsidR="00E529D7" w:rsidRPr="00484AE9" w:rsidRDefault="00E529D7" w:rsidP="00F76D9A">
            <w:pPr>
              <w:pStyle w:val="TableText0"/>
              <w:keepNext w:val="0"/>
              <w:jc w:val="center"/>
            </w:pPr>
            <w:r w:rsidRPr="00484AE9">
              <w:t>346/19,962</w:t>
            </w:r>
          </w:p>
          <w:p w14:paraId="0BC2B912" w14:textId="4E073164" w:rsidR="008F0EE5" w:rsidRPr="00484AE9" w:rsidRDefault="007F37EB" w:rsidP="00F76D9A">
            <w:pPr>
              <w:pStyle w:val="TableText0"/>
              <w:keepNext w:val="0"/>
              <w:jc w:val="center"/>
            </w:pPr>
            <w:r w:rsidRPr="00484AE9">
              <w:t>(</w:t>
            </w:r>
            <w:r w:rsidR="007B04EE" w:rsidRPr="00484AE9">
              <w:t>1.7%</w:t>
            </w:r>
            <w:r w:rsidRPr="00484AE9">
              <w:t>)</w:t>
            </w:r>
          </w:p>
        </w:tc>
        <w:tc>
          <w:tcPr>
            <w:tcW w:w="702" w:type="pct"/>
            <w:shd w:val="clear" w:color="auto" w:fill="auto"/>
            <w:vAlign w:val="center"/>
          </w:tcPr>
          <w:p w14:paraId="7DE3A92E" w14:textId="37C471EB" w:rsidR="007F37EB" w:rsidRPr="00484AE9" w:rsidRDefault="004B2B27" w:rsidP="00F76D9A">
            <w:pPr>
              <w:pStyle w:val="TableText0"/>
              <w:keepNext w:val="0"/>
              <w:jc w:val="center"/>
              <w:rPr>
                <w:b/>
              </w:rPr>
            </w:pPr>
            <w:r w:rsidRPr="00484AE9">
              <w:rPr>
                <w:b/>
              </w:rPr>
              <w:t>0.27</w:t>
            </w:r>
            <w:r w:rsidR="000345A2" w:rsidRPr="00484AE9">
              <w:rPr>
                <w:b/>
              </w:rPr>
              <w:t>^</w:t>
            </w:r>
          </w:p>
          <w:p w14:paraId="4842A701" w14:textId="274FFC25" w:rsidR="008F0EE5" w:rsidRPr="00484AE9" w:rsidRDefault="004B2B27" w:rsidP="00F76D9A">
            <w:pPr>
              <w:pStyle w:val="TableText0"/>
              <w:keepNext w:val="0"/>
              <w:jc w:val="center"/>
              <w:rPr>
                <w:b/>
              </w:rPr>
            </w:pPr>
            <w:r w:rsidRPr="00484AE9">
              <w:rPr>
                <w:b/>
              </w:rPr>
              <w:t>(</w:t>
            </w:r>
            <w:r w:rsidR="000E215A" w:rsidRPr="00484AE9">
              <w:rPr>
                <w:b/>
              </w:rPr>
              <w:t>0.18, 0.38)</w:t>
            </w:r>
          </w:p>
        </w:tc>
        <w:tc>
          <w:tcPr>
            <w:tcW w:w="700" w:type="pct"/>
            <w:vAlign w:val="center"/>
          </w:tcPr>
          <w:p w14:paraId="7356FB24" w14:textId="77777777" w:rsidR="007F37EB" w:rsidRPr="00484AE9" w:rsidRDefault="00896B49" w:rsidP="00F76D9A">
            <w:pPr>
              <w:pStyle w:val="TableText0"/>
              <w:keepNext w:val="0"/>
              <w:jc w:val="center"/>
              <w:rPr>
                <w:b/>
              </w:rPr>
            </w:pPr>
            <w:r w:rsidRPr="00484AE9">
              <w:rPr>
                <w:b/>
              </w:rPr>
              <w:t>0.45^</w:t>
            </w:r>
          </w:p>
          <w:p w14:paraId="400DA56F" w14:textId="16F59679" w:rsidR="008F0EE5" w:rsidRPr="00484AE9" w:rsidRDefault="00896B49" w:rsidP="00F76D9A">
            <w:pPr>
              <w:pStyle w:val="TableText0"/>
              <w:keepNext w:val="0"/>
              <w:jc w:val="center"/>
              <w:rPr>
                <w:b/>
              </w:rPr>
            </w:pPr>
            <w:r w:rsidRPr="00484AE9">
              <w:rPr>
                <w:b/>
              </w:rPr>
              <w:t>(0.39,</w:t>
            </w:r>
            <w:r w:rsidR="00EA2A4D" w:rsidRPr="00484AE9">
              <w:rPr>
                <w:b/>
              </w:rPr>
              <w:t xml:space="preserve"> 0.53)</w:t>
            </w:r>
          </w:p>
        </w:tc>
      </w:tr>
    </w:tbl>
    <w:p w14:paraId="1B10A114" w14:textId="394F350E" w:rsidR="00027558" w:rsidRPr="00484AE9" w:rsidRDefault="00027558" w:rsidP="004528EE">
      <w:pPr>
        <w:pStyle w:val="FooterTableFigure"/>
      </w:pPr>
      <w:r w:rsidRPr="00484AE9">
        <w:t xml:space="preserve">Sources: </w:t>
      </w:r>
      <w:r w:rsidR="00BA73E3" w:rsidRPr="00484AE9">
        <w:t>Constructed during the evaluation</w:t>
      </w:r>
      <w:r w:rsidR="00510FA4" w:rsidRPr="00484AE9">
        <w:t xml:space="preserve"> using CSRs and published reports of the studies</w:t>
      </w:r>
      <w:r w:rsidR="00BA73E3" w:rsidRPr="00484AE9">
        <w:t>.</w:t>
      </w:r>
      <w:r w:rsidRPr="00484AE9">
        <w:t xml:space="preserve"> </w:t>
      </w:r>
      <w:r w:rsidR="008051DE" w:rsidRPr="00484AE9">
        <w:t>Table 14.2.1.3 of the EPIC-HR CSR</w:t>
      </w:r>
      <w:r w:rsidR="00490D6C" w:rsidRPr="00484AE9">
        <w:t xml:space="preserve">, </w:t>
      </w:r>
      <w:r w:rsidR="00B13321" w:rsidRPr="00484AE9">
        <w:t xml:space="preserve">Table 15 of the EPIC-SR CSR, </w:t>
      </w:r>
      <w:r w:rsidR="003E2113" w:rsidRPr="00484AE9">
        <w:t>Table 2.6.4</w:t>
      </w:r>
      <w:r w:rsidR="002635D2" w:rsidRPr="00484AE9">
        <w:t xml:space="preserve"> of the submission</w:t>
      </w:r>
      <w:r w:rsidR="0026476C" w:rsidRPr="00484AE9">
        <w:t>, Figure 2 of Attachment 3 to the submission,</w:t>
      </w:r>
      <w:r w:rsidR="00AE4E45" w:rsidRPr="00484AE9">
        <w:t xml:space="preserve"> Table 3 of Attachment 3 to the submission.</w:t>
      </w:r>
      <w:r w:rsidR="00BA73E3" w:rsidRPr="00484AE9">
        <w:t xml:space="preserve"> </w:t>
      </w:r>
    </w:p>
    <w:p w14:paraId="58124D72" w14:textId="3527A20B" w:rsidR="00B651D9" w:rsidRPr="00484AE9" w:rsidRDefault="00027558" w:rsidP="004528EE">
      <w:pPr>
        <w:pStyle w:val="FooterTableFigure"/>
        <w:jc w:val="left"/>
      </w:pPr>
      <w:r w:rsidRPr="00484AE9">
        <w:t>Abbreviations:</w:t>
      </w:r>
      <w:r w:rsidR="007A21D8" w:rsidRPr="00484AE9">
        <w:t xml:space="preserve"> CI = confidence interval; </w:t>
      </w:r>
      <w:r w:rsidR="00344C8A" w:rsidRPr="00484AE9">
        <w:t xml:space="preserve">n= number with the event; N = total number in the analysis set; </w:t>
      </w:r>
      <w:r w:rsidR="007A21D8" w:rsidRPr="00484AE9">
        <w:t>n/a = not applicable; NR = not reported; RR = relative risk</w:t>
      </w:r>
    </w:p>
    <w:p w14:paraId="11A78D94" w14:textId="74B53624" w:rsidR="00BA73E3" w:rsidRPr="00484AE9" w:rsidRDefault="00BA73E3" w:rsidP="004528EE">
      <w:pPr>
        <w:pStyle w:val="FooterTableFigure"/>
        <w:jc w:val="left"/>
      </w:pPr>
      <w:r w:rsidRPr="00484AE9">
        <w:t>Bold font indicates statistical significance</w:t>
      </w:r>
    </w:p>
    <w:p w14:paraId="251DA561" w14:textId="2078AA3B" w:rsidR="005D4921" w:rsidRPr="00484AE9" w:rsidRDefault="005D4921" w:rsidP="004528EE">
      <w:pPr>
        <w:pStyle w:val="FooterTableFigure"/>
        <w:jc w:val="left"/>
      </w:pPr>
      <w:r w:rsidRPr="00484AE9">
        <w:t>*</w:t>
      </w:r>
      <w:r w:rsidR="00890A95" w:rsidRPr="00484AE9">
        <w:t xml:space="preserve"> Subgroup is the subgroup of patients </w:t>
      </w:r>
      <w:r w:rsidR="00406BDF" w:rsidRPr="00484AE9">
        <w:t xml:space="preserve">who were randomised prior to 21 January 2022, were vaccinated and had at least one risk factor. </w:t>
      </w:r>
    </w:p>
    <w:p w14:paraId="35709A3D" w14:textId="550AE234" w:rsidR="00795E2D" w:rsidRPr="00484AE9" w:rsidRDefault="00795E2D" w:rsidP="004528EE">
      <w:pPr>
        <w:pStyle w:val="FooterTableFigure"/>
        <w:jc w:val="left"/>
      </w:pPr>
      <w:r w:rsidRPr="00484AE9">
        <w:t xml:space="preserve">^Adjusted </w:t>
      </w:r>
      <w:r w:rsidR="00807BCD" w:rsidRPr="00484AE9">
        <w:t>h</w:t>
      </w:r>
      <w:r w:rsidRPr="00484AE9">
        <w:t>azard ratio</w:t>
      </w:r>
      <w:r w:rsidR="00285F10" w:rsidRPr="00484AE9">
        <w:t>. Denotes adjusted odds ratio for Aggarwal 2023</w:t>
      </w:r>
      <w:r w:rsidR="0062531F" w:rsidRPr="00484AE9">
        <w:t xml:space="preserve"> and Van Heer 2023</w:t>
      </w:r>
    </w:p>
    <w:p w14:paraId="356B9AF3" w14:textId="3BBBC129" w:rsidR="004B3612" w:rsidRPr="00484AE9" w:rsidRDefault="004B3612" w:rsidP="004528EE">
      <w:pPr>
        <w:pStyle w:val="FooterTableFigure"/>
        <w:jc w:val="left"/>
      </w:pPr>
      <w:r w:rsidRPr="00484AE9">
        <w:rPr>
          <w:vertAlign w:val="superscript"/>
        </w:rPr>
        <w:t>#</w:t>
      </w:r>
      <w:r w:rsidRPr="00484AE9">
        <w:t>Unadjusted</w:t>
      </w:r>
    </w:p>
    <w:p w14:paraId="7AC88F1D" w14:textId="34F41A25" w:rsidR="00F1452A" w:rsidRPr="00484AE9" w:rsidRDefault="00402579" w:rsidP="00F1452A">
      <w:pPr>
        <w:pStyle w:val="3-BodyText"/>
        <w:rPr>
          <w:color w:val="000000" w:themeColor="text1"/>
        </w:rPr>
      </w:pPr>
      <w:r w:rsidRPr="00484AE9">
        <w:t xml:space="preserve">Although the PBAC has </w:t>
      </w:r>
      <w:r w:rsidR="00241DB7" w:rsidRPr="00484AE9">
        <w:t xml:space="preserve">previously </w:t>
      </w:r>
      <w:r w:rsidR="00D47A33" w:rsidRPr="00484AE9">
        <w:t xml:space="preserve">noted issues </w:t>
      </w:r>
      <w:r w:rsidR="00EA1A67" w:rsidRPr="00484AE9">
        <w:t>with respect to</w:t>
      </w:r>
      <w:r w:rsidR="00D47A33" w:rsidRPr="00484AE9">
        <w:t xml:space="preserve"> the</w:t>
      </w:r>
      <w:r w:rsidR="00EA1A67" w:rsidRPr="00484AE9">
        <w:t xml:space="preserve"> applicability of evidence from </w:t>
      </w:r>
      <w:r w:rsidR="00C51C36" w:rsidRPr="00484AE9">
        <w:t>EPIC-HR</w:t>
      </w:r>
      <w:r w:rsidR="00EA1A67" w:rsidRPr="00484AE9">
        <w:t xml:space="preserve"> trial to the PBS population </w:t>
      </w:r>
      <w:r w:rsidR="00C51C36" w:rsidRPr="00484AE9">
        <w:t xml:space="preserve">due to the majority of patients being unvaccinated at the time of the trial </w:t>
      </w:r>
      <w:r w:rsidR="00963930" w:rsidRPr="00484AE9">
        <w:t xml:space="preserve">and due to </w:t>
      </w:r>
      <w:r w:rsidR="00EA1A67" w:rsidRPr="00484AE9">
        <w:t xml:space="preserve">the uncertain impact of </w:t>
      </w:r>
      <w:r w:rsidR="009E4B47" w:rsidRPr="00484AE9">
        <w:t>differences in</w:t>
      </w:r>
      <w:r w:rsidR="00EA1A67" w:rsidRPr="00484AE9">
        <w:t xml:space="preserve"> circulating </w:t>
      </w:r>
      <w:r w:rsidR="009E4B47" w:rsidRPr="00484AE9">
        <w:t>variants</w:t>
      </w:r>
      <w:r w:rsidR="00EA1A67" w:rsidRPr="00484AE9">
        <w:t xml:space="preserve"> of the virus</w:t>
      </w:r>
      <w:r w:rsidR="009E4B47" w:rsidRPr="00484AE9">
        <w:t xml:space="preserve">, </w:t>
      </w:r>
      <w:r w:rsidR="009A7A61" w:rsidRPr="00484AE9">
        <w:t>the randomised trials for nirmatrelvir and ritonavir</w:t>
      </w:r>
      <w:r w:rsidR="00AC2ED9" w:rsidRPr="00484AE9">
        <w:t xml:space="preserve"> </w:t>
      </w:r>
      <w:r w:rsidR="008D1F42" w:rsidRPr="00484AE9">
        <w:t>are</w:t>
      </w:r>
      <w:r w:rsidR="009A7A61" w:rsidRPr="00484AE9">
        <w:t xml:space="preserve"> relevant to the assessment of the potential benefits and harms</w:t>
      </w:r>
      <w:r w:rsidR="00A62B3A" w:rsidRPr="00484AE9">
        <w:t xml:space="preserve">. </w:t>
      </w:r>
      <w:r w:rsidR="00F1452A" w:rsidRPr="00484AE9">
        <w:t>The PBAC noted that</w:t>
      </w:r>
      <w:r w:rsidR="00F1452A" w:rsidRPr="00484AE9">
        <w:rPr>
          <w:color w:val="000000" w:themeColor="text1"/>
        </w:rPr>
        <w:t xml:space="preserve"> the latest ATAGI update reported that only 53% of </w:t>
      </w:r>
      <w:r w:rsidR="00093F02" w:rsidRPr="00484AE9">
        <w:rPr>
          <w:color w:val="000000" w:themeColor="text1"/>
        </w:rPr>
        <w:t>a</w:t>
      </w:r>
      <w:r w:rsidR="00F1452A" w:rsidRPr="00484AE9">
        <w:rPr>
          <w:color w:val="000000" w:themeColor="text1"/>
        </w:rPr>
        <w:t>dults ≥65 years have had a booster dose in the last 6 months and that the vaccine efficacy declines significantly beyond three months</w:t>
      </w:r>
      <w:r w:rsidR="00F1452A" w:rsidRPr="00484AE9">
        <w:rPr>
          <w:rStyle w:val="FootnoteReference"/>
          <w:color w:val="000000" w:themeColor="text1"/>
        </w:rPr>
        <w:footnoteReference w:id="10"/>
      </w:r>
      <w:r w:rsidR="00A62B3A" w:rsidRPr="00484AE9">
        <w:rPr>
          <w:color w:val="000000" w:themeColor="text1"/>
        </w:rPr>
        <w:t xml:space="preserve">. </w:t>
      </w:r>
    </w:p>
    <w:p w14:paraId="291A2A96" w14:textId="632694CB" w:rsidR="009E6CF8" w:rsidRPr="00484AE9" w:rsidRDefault="009E6CF8" w:rsidP="009E6CF8">
      <w:pPr>
        <w:pStyle w:val="3-BodyText"/>
        <w:rPr>
          <w:rStyle w:val="normaltextrun"/>
        </w:rPr>
      </w:pPr>
      <w:r w:rsidRPr="00484AE9">
        <w:t xml:space="preserve">The submission also presented analyses examining time to hospitalisation, time to sustained alleviation of signs and symptoms of </w:t>
      </w:r>
      <w:r w:rsidRPr="00484AE9">
        <w:rPr>
          <w:rStyle w:val="normaltextrun"/>
        </w:rPr>
        <w:t>COVID</w:t>
      </w:r>
      <w:r w:rsidRPr="00484AE9">
        <w:rPr>
          <w:rStyle w:val="normaltextrun"/>
        </w:rPr>
        <w:noBreakHyphen/>
        <w:t>19</w:t>
      </w:r>
      <w:r w:rsidRPr="00484AE9">
        <w:t>,</w:t>
      </w:r>
      <w:r w:rsidR="00576E82" w:rsidRPr="00484AE9">
        <w:t xml:space="preserve"> and</w:t>
      </w:r>
      <w:r w:rsidRPr="00484AE9">
        <w:t xml:space="preserve"> time to sustained resolution of signs and symptoms of </w:t>
      </w:r>
      <w:r w:rsidRPr="00484AE9">
        <w:rPr>
          <w:rStyle w:val="normaltextrun"/>
        </w:rPr>
        <w:t>COVID</w:t>
      </w:r>
      <w:r w:rsidRPr="00484AE9">
        <w:rPr>
          <w:rStyle w:val="normaltextrun"/>
        </w:rPr>
        <w:noBreakHyphen/>
        <w:t>19</w:t>
      </w:r>
      <w:r w:rsidR="004B5E91" w:rsidRPr="00484AE9">
        <w:rPr>
          <w:rStyle w:val="normaltextrun"/>
        </w:rPr>
        <w:t>.</w:t>
      </w:r>
    </w:p>
    <w:p w14:paraId="5A2728FB" w14:textId="0E1B3907" w:rsidR="00125B4D" w:rsidRPr="00484AE9" w:rsidRDefault="00125B4D" w:rsidP="009E6CF8">
      <w:pPr>
        <w:pStyle w:val="3-BodyText"/>
        <w:rPr>
          <w:rStyle w:val="normaltextrun"/>
        </w:rPr>
      </w:pPr>
      <w:r w:rsidRPr="00484AE9">
        <w:rPr>
          <w:rStyle w:val="normaltextrun"/>
        </w:rPr>
        <w:t xml:space="preserve">The pre-PBAC response stated that the available evidence base for the treatment effect of Paxlovid is heterogeneous, and of variable quality and applicability to the next phase of the COVID-19 pandemic. The response maintained that </w:t>
      </w:r>
      <w:r w:rsidR="00490559" w:rsidRPr="00484AE9">
        <w:rPr>
          <w:rStyle w:val="normaltextrun"/>
        </w:rPr>
        <w:t>a</w:t>
      </w:r>
      <w:r w:rsidRPr="00484AE9">
        <w:rPr>
          <w:rStyle w:val="normaltextrun"/>
        </w:rPr>
        <w:t xml:space="preserve"> meta-analysis would provide the best estimate of future effectiveness.</w:t>
      </w:r>
    </w:p>
    <w:p w14:paraId="46B4D13B" w14:textId="2A58AE38" w:rsidR="00696B6C" w:rsidRPr="00484AE9" w:rsidRDefault="008B36B6" w:rsidP="00F40641">
      <w:pPr>
        <w:pStyle w:val="4-SubsectionHeading"/>
      </w:pPr>
      <w:bookmarkStart w:id="78" w:name="_Toc144920970"/>
      <w:bookmarkStart w:id="79" w:name="_Toc145506598"/>
      <w:r w:rsidRPr="00484AE9">
        <w:t>Published meta-analyses</w:t>
      </w:r>
      <w:bookmarkEnd w:id="78"/>
      <w:bookmarkEnd w:id="79"/>
    </w:p>
    <w:p w14:paraId="4C621DE7" w14:textId="1CBE0F06" w:rsidR="00F0181B" w:rsidRPr="006853BD" w:rsidRDefault="001F39F6" w:rsidP="006853BD">
      <w:pPr>
        <w:pStyle w:val="3-BodyText"/>
      </w:pPr>
      <w:bookmarkStart w:id="80" w:name="_Ref144666156"/>
      <w:r w:rsidRPr="00484AE9">
        <w:rPr>
          <w:rStyle w:val="normaltextrun"/>
        </w:rPr>
        <w:t xml:space="preserve">The submission </w:t>
      </w:r>
      <w:r w:rsidR="00C30CE0" w:rsidRPr="00484AE9">
        <w:rPr>
          <w:rStyle w:val="normaltextrun"/>
        </w:rPr>
        <w:t xml:space="preserve">presented </w:t>
      </w:r>
      <w:r w:rsidRPr="00484AE9">
        <w:rPr>
          <w:rStyle w:val="normaltextrun"/>
        </w:rPr>
        <w:t>two meta-analyses comparing nirm</w:t>
      </w:r>
      <w:r w:rsidR="00B93AD3" w:rsidRPr="00484AE9">
        <w:rPr>
          <w:rStyle w:val="normaltextrun"/>
        </w:rPr>
        <w:t xml:space="preserve">atrelvir and ritonavir to placebo </w:t>
      </w:r>
      <w:r w:rsidR="00F127A1" w:rsidRPr="00484AE9">
        <w:rPr>
          <w:rStyle w:val="normaltextrun"/>
        </w:rPr>
        <w:t>(</w:t>
      </w:r>
      <w:r w:rsidR="002A6291" w:rsidRPr="00484AE9">
        <w:rPr>
          <w:rStyle w:val="normaltextrun"/>
        </w:rPr>
        <w:t>Amani</w:t>
      </w:r>
      <w:r w:rsidR="00347E4C" w:rsidRPr="00484AE9">
        <w:rPr>
          <w:rStyle w:val="normaltextrun"/>
        </w:rPr>
        <w:t xml:space="preserve"> </w:t>
      </w:r>
      <w:r w:rsidR="00E337CA" w:rsidRPr="00484AE9">
        <w:rPr>
          <w:rStyle w:val="normaltextrun"/>
        </w:rPr>
        <w:t>2023</w:t>
      </w:r>
      <w:r w:rsidR="00347E4C" w:rsidRPr="00484AE9">
        <w:rPr>
          <w:rStyle w:val="normaltextrun"/>
        </w:rPr>
        <w:t xml:space="preserve"> and Cheema 2023). </w:t>
      </w:r>
      <w:r w:rsidR="00223F0A" w:rsidRPr="00484AE9">
        <w:rPr>
          <w:rStyle w:val="normaltextrun"/>
        </w:rPr>
        <w:t xml:space="preserve">The results from the meta-analyses </w:t>
      </w:r>
      <w:r w:rsidR="00B84B88" w:rsidRPr="00484AE9">
        <w:rPr>
          <w:rStyle w:val="normaltextrun"/>
        </w:rPr>
        <w:t>were</w:t>
      </w:r>
      <w:r w:rsidR="00223F0A" w:rsidRPr="00484AE9">
        <w:rPr>
          <w:rStyle w:val="normaltextrun"/>
        </w:rPr>
        <w:t xml:space="preserve"> used to inform the relative risks reflecting the treatment effect of nirmatrelvir and </w:t>
      </w:r>
      <w:r w:rsidR="00223F0A" w:rsidRPr="00484AE9">
        <w:rPr>
          <w:rStyle w:val="normaltextrun"/>
        </w:rPr>
        <w:lastRenderedPageBreak/>
        <w:t>ritonavir in the economic analyses an</w:t>
      </w:r>
      <w:r w:rsidR="004769DF" w:rsidRPr="00484AE9">
        <w:rPr>
          <w:rStyle w:val="normaltextrun"/>
        </w:rPr>
        <w:t xml:space="preserve">d </w:t>
      </w:r>
      <w:r w:rsidR="00654703" w:rsidRPr="00484AE9">
        <w:rPr>
          <w:rStyle w:val="normaltextrun"/>
        </w:rPr>
        <w:t xml:space="preserve">were </w:t>
      </w:r>
      <w:r w:rsidR="004769DF" w:rsidRPr="00484AE9">
        <w:rPr>
          <w:rStyle w:val="normaltextrun"/>
        </w:rPr>
        <w:t xml:space="preserve">thus critical to the submission. </w:t>
      </w:r>
      <w:r w:rsidR="008E2770" w:rsidRPr="00484AE9">
        <w:rPr>
          <w:rStyle w:val="normaltextrun"/>
        </w:rPr>
        <w:t>The meta-</w:t>
      </w:r>
      <w:r w:rsidR="008E2770" w:rsidRPr="006853BD">
        <w:t>analys</w:t>
      </w:r>
      <w:r w:rsidR="00645676" w:rsidRPr="006853BD">
        <w:t>e</w:t>
      </w:r>
      <w:r w:rsidR="008E2770" w:rsidRPr="006853BD">
        <w:t xml:space="preserve">s reported by </w:t>
      </w:r>
      <w:r w:rsidR="002A6291" w:rsidRPr="006853BD">
        <w:t>Amani</w:t>
      </w:r>
      <w:r w:rsidR="008E2770" w:rsidRPr="006853BD">
        <w:t xml:space="preserve"> </w:t>
      </w:r>
      <w:r w:rsidR="00E337CA" w:rsidRPr="006853BD">
        <w:t xml:space="preserve">2023 </w:t>
      </w:r>
      <w:r w:rsidR="008E2770" w:rsidRPr="006853BD">
        <w:t xml:space="preserve">included a broader range of studies than </w:t>
      </w:r>
      <w:r w:rsidR="00F9217D" w:rsidRPr="006853BD">
        <w:t xml:space="preserve">were included in </w:t>
      </w:r>
      <w:r w:rsidR="00764411" w:rsidRPr="006853BD">
        <w:t>the meta-analysis reported by Cheema</w:t>
      </w:r>
      <w:r w:rsidR="00121C3A" w:rsidRPr="006853BD">
        <w:t xml:space="preserve"> </w:t>
      </w:r>
      <w:r w:rsidR="00D47E0A" w:rsidRPr="006853BD">
        <w:t>2023</w:t>
      </w:r>
      <w:r w:rsidR="00505E9A" w:rsidRPr="006853BD">
        <w:t xml:space="preserve"> but did not </w:t>
      </w:r>
      <w:r w:rsidR="007D062C" w:rsidRPr="006853BD">
        <w:t>differentiate randomised controlled trials from observational studies and results</w:t>
      </w:r>
      <w:r w:rsidR="006E22E3" w:rsidRPr="006853BD">
        <w:t xml:space="preserve"> from EPIC-SR are not included in the analyses. </w:t>
      </w:r>
    </w:p>
    <w:p w14:paraId="03534140" w14:textId="738FEBD1" w:rsidR="00F0181B" w:rsidRPr="006853BD" w:rsidRDefault="00D0517F" w:rsidP="006853BD">
      <w:pPr>
        <w:pStyle w:val="3-BodyText"/>
      </w:pPr>
      <w:r w:rsidRPr="006853BD">
        <w:t>The key results</w:t>
      </w:r>
      <w:r w:rsidR="00481E2D" w:rsidRPr="006853BD">
        <w:t xml:space="preserve"> </w:t>
      </w:r>
      <w:r w:rsidR="00660902" w:rsidRPr="006853BD">
        <w:t>from the meta-analyses are reasonably consistent</w:t>
      </w:r>
      <w:r w:rsidR="008A0BDC" w:rsidRPr="006853BD">
        <w:t xml:space="preserve"> as can be seen from</w:t>
      </w:r>
      <w:r w:rsidR="00D420E5" w:rsidRPr="006853BD">
        <w:t xml:space="preserve"> </w:t>
      </w:r>
      <w:r w:rsidR="00FB5FED" w:rsidRPr="006853BD">
        <w:fldChar w:fldCharType="begin"/>
      </w:r>
      <w:r w:rsidR="00FB5FED" w:rsidRPr="006853BD">
        <w:instrText xml:space="preserve"> REF _Ref150948425 \h </w:instrText>
      </w:r>
      <w:r w:rsidR="006853BD">
        <w:instrText xml:space="preserve"> \* MERGEFORMAT </w:instrText>
      </w:r>
      <w:r w:rsidR="00FB5FED" w:rsidRPr="006853BD">
        <w:fldChar w:fldCharType="separate"/>
      </w:r>
      <w:r w:rsidR="00872657" w:rsidRPr="00484AE9">
        <w:t xml:space="preserve">Figure </w:t>
      </w:r>
      <w:r w:rsidR="00872657">
        <w:t>1</w:t>
      </w:r>
      <w:r w:rsidR="00FB5FED" w:rsidRPr="006853BD">
        <w:fldChar w:fldCharType="end"/>
      </w:r>
      <w:r w:rsidR="00FB5FED" w:rsidRPr="006853BD">
        <w:t xml:space="preserve"> </w:t>
      </w:r>
      <w:r w:rsidR="009167D9" w:rsidRPr="006853BD">
        <w:t xml:space="preserve">to </w:t>
      </w:r>
      <w:r w:rsidR="009167D9" w:rsidRPr="006853BD">
        <w:fldChar w:fldCharType="begin"/>
      </w:r>
      <w:r w:rsidR="009167D9" w:rsidRPr="006853BD">
        <w:instrText xml:space="preserve"> REF _Ref144893719 \h </w:instrText>
      </w:r>
      <w:r w:rsidR="009F5914" w:rsidRPr="006853BD">
        <w:instrText xml:space="preserve"> \* MERGEFORMAT </w:instrText>
      </w:r>
      <w:r w:rsidR="009167D9" w:rsidRPr="006853BD">
        <w:fldChar w:fldCharType="separate"/>
      </w:r>
      <w:r w:rsidR="00872657" w:rsidRPr="00484AE9">
        <w:t xml:space="preserve">Figure </w:t>
      </w:r>
      <w:r w:rsidR="00872657">
        <w:t>3</w:t>
      </w:r>
      <w:r w:rsidR="009167D9" w:rsidRPr="006853BD">
        <w:fldChar w:fldCharType="end"/>
      </w:r>
      <w:r w:rsidR="009167D9" w:rsidRPr="006853BD">
        <w:t xml:space="preserve">. </w:t>
      </w:r>
      <w:r w:rsidR="003819E9" w:rsidRPr="006853BD">
        <w:t>As can be seen from these figures, the</w:t>
      </w:r>
      <w:r w:rsidR="001E351E" w:rsidRPr="006853BD">
        <w:t xml:space="preserve"> treatment effect of nirmatrelvir and ritonavir on rates of hospitalisation</w:t>
      </w:r>
      <w:r w:rsidR="00706CBE" w:rsidRPr="006853BD">
        <w:t xml:space="preserve"> and on mortality</w:t>
      </w:r>
      <w:r w:rsidR="001E351E" w:rsidRPr="006853BD">
        <w:t xml:space="preserve"> </w:t>
      </w:r>
      <w:r w:rsidR="00CC72BD" w:rsidRPr="006853BD">
        <w:t xml:space="preserve">in the </w:t>
      </w:r>
      <w:r w:rsidR="003819E9" w:rsidRPr="006853BD">
        <w:t xml:space="preserve">observational studies </w:t>
      </w:r>
      <w:r w:rsidR="001E351E" w:rsidRPr="006853BD">
        <w:t xml:space="preserve">is, generally, less than was observed in the </w:t>
      </w:r>
      <w:r w:rsidR="00A423FA" w:rsidRPr="006853BD">
        <w:t xml:space="preserve">randomised </w:t>
      </w:r>
      <w:r w:rsidR="001E351E" w:rsidRPr="006853BD">
        <w:t>trials</w:t>
      </w:r>
      <w:r w:rsidR="003819E9" w:rsidRPr="006853BD">
        <w:t xml:space="preserve"> (i.e., the relative risks are generally higher in the observational studies). </w:t>
      </w:r>
      <w:r w:rsidR="00BD001F" w:rsidRPr="006853BD">
        <w:t>Furthermore,</w:t>
      </w:r>
      <w:r w:rsidR="00E840E8" w:rsidRPr="006853BD">
        <w:t xml:space="preserve"> t</w:t>
      </w:r>
      <w:r w:rsidR="00852BA4" w:rsidRPr="006853BD">
        <w:t xml:space="preserve">he results from the meta-analyses implicitly suggest that a different treatment effect </w:t>
      </w:r>
      <w:r w:rsidR="00BE15FB" w:rsidRPr="006853BD">
        <w:t>is applicable for</w:t>
      </w:r>
      <w:r w:rsidR="00852BA4" w:rsidRPr="006853BD">
        <w:t xml:space="preserve"> nirmatrelvir and ritonavir </w:t>
      </w:r>
      <w:r w:rsidR="002D0B6D" w:rsidRPr="006853BD">
        <w:t xml:space="preserve">for the </w:t>
      </w:r>
      <w:r w:rsidR="00852BA4" w:rsidRPr="006853BD">
        <w:t xml:space="preserve">endpoint of hospitalisation </w:t>
      </w:r>
      <w:r w:rsidR="001B1F01" w:rsidRPr="006853BD">
        <w:t>than is applicable for the endpoint of</w:t>
      </w:r>
      <w:r w:rsidR="00852BA4" w:rsidRPr="006853BD">
        <w:t xml:space="preserve"> death</w:t>
      </w:r>
      <w:r w:rsidR="00A62B3A" w:rsidRPr="006853BD">
        <w:t xml:space="preserve">. </w:t>
      </w:r>
    </w:p>
    <w:p w14:paraId="1D8C7F6F" w14:textId="77777777" w:rsidR="00F0181B" w:rsidRPr="006853BD" w:rsidRDefault="00FD6830" w:rsidP="006853BD">
      <w:pPr>
        <w:pStyle w:val="3-BodyText"/>
      </w:pPr>
      <w:r w:rsidRPr="006853BD">
        <w:t xml:space="preserve">The randomised clinical trials of nirmatrelvir and ritonavir were not powered to be able to detect differences in the mortality component of the composite </w:t>
      </w:r>
      <w:r w:rsidR="0035700C" w:rsidRPr="006853BD">
        <w:t xml:space="preserve">endpoint of </w:t>
      </w:r>
      <w:r w:rsidRPr="006853BD">
        <w:t>hospitalisation or death through Day 28</w:t>
      </w:r>
      <w:r w:rsidR="0026586C" w:rsidRPr="006853BD">
        <w:t xml:space="preserve">. </w:t>
      </w:r>
      <w:r w:rsidR="00936225" w:rsidRPr="006853BD">
        <w:t>The evaluation considered it</w:t>
      </w:r>
      <w:r w:rsidR="0026586C" w:rsidRPr="006853BD">
        <w:t xml:space="preserve"> </w:t>
      </w:r>
      <w:r w:rsidR="001F1990" w:rsidRPr="006853BD">
        <w:t>doubtful</w:t>
      </w:r>
      <w:r w:rsidR="0026586C" w:rsidRPr="006853BD">
        <w:t xml:space="preserve"> </w:t>
      </w:r>
      <w:r w:rsidR="00621F52" w:rsidRPr="006853BD">
        <w:t>that</w:t>
      </w:r>
      <w:r w:rsidR="0026586C" w:rsidRPr="006853BD">
        <w:t xml:space="preserve"> evidence from observational studies </w:t>
      </w:r>
      <w:r w:rsidR="00DC7CE1" w:rsidRPr="006853BD">
        <w:t>should be considered</w:t>
      </w:r>
      <w:r w:rsidR="000673F4" w:rsidRPr="006853BD">
        <w:t xml:space="preserve"> </w:t>
      </w:r>
      <w:r w:rsidR="0026586C" w:rsidRPr="006853BD">
        <w:t xml:space="preserve">adequate for the purposes of </w:t>
      </w:r>
      <w:r w:rsidR="00DD3FF3" w:rsidRPr="006853BD">
        <w:t xml:space="preserve">deriving </w:t>
      </w:r>
      <w:r w:rsidR="00DC7CE1" w:rsidRPr="006853BD">
        <w:t xml:space="preserve">differential </w:t>
      </w:r>
      <w:r w:rsidR="007B057D" w:rsidRPr="006853BD">
        <w:t>estimates of treatment effect to be applied</w:t>
      </w:r>
      <w:r w:rsidR="00BC03CB" w:rsidRPr="006853BD">
        <w:t xml:space="preserve"> in </w:t>
      </w:r>
      <w:r w:rsidR="001057D2" w:rsidRPr="006853BD">
        <w:t>the</w:t>
      </w:r>
      <w:r w:rsidR="00BC03CB" w:rsidRPr="006853BD">
        <w:t xml:space="preserve"> economic</w:t>
      </w:r>
      <w:r w:rsidR="00166FB9" w:rsidRPr="006853BD">
        <w:t xml:space="preserve"> analysis</w:t>
      </w:r>
      <w:r w:rsidR="00546A96" w:rsidRPr="006853BD">
        <w:t>.</w:t>
      </w:r>
      <w:r w:rsidR="007507FA" w:rsidRPr="006853BD">
        <w:t xml:space="preserve"> </w:t>
      </w:r>
    </w:p>
    <w:p w14:paraId="53A3B7F3" w14:textId="2BCDE811" w:rsidR="00F0181B" w:rsidRPr="006853BD" w:rsidRDefault="007507FA" w:rsidP="006853BD">
      <w:pPr>
        <w:pStyle w:val="3-BodyText"/>
      </w:pPr>
      <w:r w:rsidRPr="006853BD">
        <w:t>As discussed in paragraphs</w:t>
      </w:r>
      <w:r w:rsidR="00EA2041" w:rsidRPr="006853BD">
        <w:t xml:space="preserve"> </w:t>
      </w:r>
      <w:r w:rsidR="00652509" w:rsidRPr="006853BD">
        <w:fldChar w:fldCharType="begin"/>
      </w:r>
      <w:r w:rsidR="00652509" w:rsidRPr="006853BD">
        <w:instrText xml:space="preserve"> REF _Ref144684222 \r \h </w:instrText>
      </w:r>
      <w:r w:rsidR="00A06C1B" w:rsidRPr="006853BD">
        <w:instrText xml:space="preserve"> \* MERGEFORMAT </w:instrText>
      </w:r>
      <w:r w:rsidR="00652509" w:rsidRPr="006853BD">
        <w:fldChar w:fldCharType="separate"/>
      </w:r>
      <w:r w:rsidR="00872657">
        <w:t>6.64</w:t>
      </w:r>
      <w:r w:rsidR="00652509" w:rsidRPr="006853BD">
        <w:fldChar w:fldCharType="end"/>
      </w:r>
      <w:r w:rsidR="00EA2041" w:rsidRPr="006853BD">
        <w:t>,</w:t>
      </w:r>
      <w:r w:rsidR="00DC5E18" w:rsidRPr="006853BD">
        <w:t xml:space="preserve"> </w:t>
      </w:r>
      <w:r w:rsidR="00DC5E18" w:rsidRPr="006853BD">
        <w:fldChar w:fldCharType="begin"/>
      </w:r>
      <w:r w:rsidR="00DC5E18" w:rsidRPr="006853BD">
        <w:instrText xml:space="preserve"> REF _Ref144899955 \r \h </w:instrText>
      </w:r>
      <w:r w:rsidR="00A06C1B" w:rsidRPr="006853BD">
        <w:instrText xml:space="preserve"> \* MERGEFORMAT </w:instrText>
      </w:r>
      <w:r w:rsidR="00DC5E18" w:rsidRPr="006853BD">
        <w:fldChar w:fldCharType="separate"/>
      </w:r>
      <w:r w:rsidR="00872657">
        <w:t>6.68</w:t>
      </w:r>
      <w:r w:rsidR="00DC5E18" w:rsidRPr="006853BD">
        <w:fldChar w:fldCharType="end"/>
      </w:r>
      <w:r w:rsidR="00EA2041" w:rsidRPr="006853BD">
        <w:t>,</w:t>
      </w:r>
      <w:r w:rsidR="00854C2F" w:rsidRPr="006853BD">
        <w:t xml:space="preserve"> </w:t>
      </w:r>
      <w:r w:rsidR="00854C2F" w:rsidRPr="006853BD">
        <w:fldChar w:fldCharType="begin"/>
      </w:r>
      <w:r w:rsidR="00854C2F" w:rsidRPr="006853BD">
        <w:instrText xml:space="preserve"> REF _Ref144900006 \r \h </w:instrText>
      </w:r>
      <w:r w:rsidR="00A06C1B" w:rsidRPr="006853BD">
        <w:instrText xml:space="preserve"> \* MERGEFORMAT </w:instrText>
      </w:r>
      <w:r w:rsidR="00854C2F" w:rsidRPr="006853BD">
        <w:fldChar w:fldCharType="separate"/>
      </w:r>
      <w:r w:rsidR="00872657">
        <w:t>6.70</w:t>
      </w:r>
      <w:r w:rsidR="00854C2F" w:rsidRPr="006853BD">
        <w:fldChar w:fldCharType="end"/>
      </w:r>
      <w:r w:rsidR="00DC5E18" w:rsidRPr="006853BD">
        <w:t xml:space="preserve">, and </w:t>
      </w:r>
      <w:r w:rsidR="00854C2F" w:rsidRPr="006853BD">
        <w:fldChar w:fldCharType="begin"/>
      </w:r>
      <w:r w:rsidR="00854C2F" w:rsidRPr="006853BD">
        <w:instrText xml:space="preserve"> REF _Ref144899971 \r \h </w:instrText>
      </w:r>
      <w:r w:rsidR="00A06C1B" w:rsidRPr="006853BD">
        <w:instrText xml:space="preserve"> \* MERGEFORMAT </w:instrText>
      </w:r>
      <w:r w:rsidR="00854C2F" w:rsidRPr="006853BD">
        <w:fldChar w:fldCharType="separate"/>
      </w:r>
      <w:r w:rsidR="00872657">
        <w:t>6.73</w:t>
      </w:r>
      <w:r w:rsidR="00854C2F" w:rsidRPr="006853BD">
        <w:fldChar w:fldCharType="end"/>
      </w:r>
      <w:r w:rsidR="00EA2041" w:rsidRPr="006853BD">
        <w:t xml:space="preserve">, the results of the economic analysis </w:t>
      </w:r>
      <w:r w:rsidR="00AA3876" w:rsidRPr="006853BD">
        <w:t>were</w:t>
      </w:r>
      <w:r w:rsidR="00EA2041" w:rsidRPr="006853BD">
        <w:t xml:space="preserve"> </w:t>
      </w:r>
      <w:r w:rsidR="00171404" w:rsidRPr="006853BD">
        <w:t>sensitive to variables</w:t>
      </w:r>
      <w:r w:rsidR="002421E2" w:rsidRPr="006853BD">
        <w:t xml:space="preserve"> impacting </w:t>
      </w:r>
      <w:r w:rsidR="00396813" w:rsidRPr="006853BD">
        <w:t>rates of death in the cohort, including relative risk of death</w:t>
      </w:r>
      <w:r w:rsidR="00325A75" w:rsidRPr="006853BD">
        <w:t xml:space="preserve"> in patients treated with nirm</w:t>
      </w:r>
      <w:r w:rsidR="00B92DF8" w:rsidRPr="006853BD">
        <w:t>atrelvir and ritonavir</w:t>
      </w:r>
      <w:r w:rsidR="00E10CB0" w:rsidRPr="006853BD">
        <w:t xml:space="preserve"> (rather than placebo)</w:t>
      </w:r>
      <w:r w:rsidR="00396813" w:rsidRPr="006853BD">
        <w:t xml:space="preserve">. </w:t>
      </w:r>
    </w:p>
    <w:p w14:paraId="7DC91F0A" w14:textId="32CC47EA" w:rsidR="00F0181B" w:rsidRPr="006853BD" w:rsidRDefault="00AA3876" w:rsidP="006853BD">
      <w:pPr>
        <w:pStyle w:val="3-BodyText"/>
      </w:pPr>
      <w:r w:rsidRPr="006853BD">
        <w:t xml:space="preserve">A respecified base case was conducted </w:t>
      </w:r>
      <w:r w:rsidR="0023708A" w:rsidRPr="006853BD">
        <w:t xml:space="preserve">during the evaluation </w:t>
      </w:r>
      <w:r w:rsidR="00D46FF4" w:rsidRPr="006853BD">
        <w:t xml:space="preserve">that </w:t>
      </w:r>
      <w:r w:rsidR="005547AB" w:rsidRPr="006853BD">
        <w:t>applied</w:t>
      </w:r>
      <w:r w:rsidR="00396813" w:rsidRPr="006853BD">
        <w:t xml:space="preserve"> a relative risk of 0.30</w:t>
      </w:r>
      <w:r w:rsidR="00FD39ED" w:rsidRPr="006853BD">
        <w:t xml:space="preserve"> for</w:t>
      </w:r>
      <w:r w:rsidR="00A54969" w:rsidRPr="006853BD">
        <w:t xml:space="preserve"> death </w:t>
      </w:r>
      <w:r w:rsidR="009B61DA" w:rsidRPr="006853BD">
        <w:t xml:space="preserve">(and for hospitalisation) </w:t>
      </w:r>
      <w:r w:rsidR="00A54969" w:rsidRPr="006853BD">
        <w:t>for patients treated with</w:t>
      </w:r>
      <w:r w:rsidR="00FD39ED" w:rsidRPr="006853BD">
        <w:t xml:space="preserve"> nirmatrelvir and ritonavir</w:t>
      </w:r>
      <w:r w:rsidR="00C14EB6" w:rsidRPr="006853BD">
        <w:t xml:space="preserve"> </w:t>
      </w:r>
      <w:r w:rsidR="002577E5" w:rsidRPr="006853BD">
        <w:t xml:space="preserve">compared with placebo, </w:t>
      </w:r>
      <w:r w:rsidR="00C14EB6" w:rsidRPr="006853BD">
        <w:t xml:space="preserve">in place of the </w:t>
      </w:r>
      <w:r w:rsidR="008924C7" w:rsidRPr="006853BD">
        <w:t>differential estimates of treatment effect proposed by the submission (</w:t>
      </w:r>
      <w:r w:rsidR="008924C7" w:rsidRPr="006853BD">
        <w:fldChar w:fldCharType="begin"/>
      </w:r>
      <w:r w:rsidR="008924C7" w:rsidRPr="006853BD">
        <w:instrText xml:space="preserve"> REF _Ref144664630 \h  \* MERGEFORMAT </w:instrText>
      </w:r>
      <w:r w:rsidR="008924C7" w:rsidRPr="006853BD">
        <w:fldChar w:fldCharType="separate"/>
      </w:r>
      <w:r w:rsidR="00872657" w:rsidRPr="00484AE9">
        <w:t xml:space="preserve">Table </w:t>
      </w:r>
      <w:r w:rsidR="00872657">
        <w:t>15</w:t>
      </w:r>
      <w:r w:rsidR="008924C7" w:rsidRPr="006853BD">
        <w:fldChar w:fldCharType="end"/>
      </w:r>
      <w:r w:rsidR="008924C7" w:rsidRPr="006853BD">
        <w:t>)</w:t>
      </w:r>
      <w:r w:rsidR="00D87F59" w:rsidRPr="006853BD">
        <w:t xml:space="preserve">. </w:t>
      </w:r>
      <w:r w:rsidR="00832B53" w:rsidRPr="006853BD">
        <w:t>Th</w:t>
      </w:r>
      <w:r w:rsidR="0014069C" w:rsidRPr="006853BD">
        <w:t>e</w:t>
      </w:r>
      <w:r w:rsidR="00832B53" w:rsidRPr="006853BD">
        <w:t xml:space="preserve"> </w:t>
      </w:r>
      <w:r w:rsidR="00D87F59" w:rsidRPr="006853BD">
        <w:t>estimate</w:t>
      </w:r>
      <w:r w:rsidR="00476D33" w:rsidRPr="006853BD">
        <w:t>d</w:t>
      </w:r>
      <w:r w:rsidR="00D87F59" w:rsidRPr="006853BD">
        <w:t xml:space="preserve"> </w:t>
      </w:r>
      <w:r w:rsidR="00476D33" w:rsidRPr="006853BD">
        <w:t xml:space="preserve">RR </w:t>
      </w:r>
      <w:r w:rsidR="00832B53" w:rsidRPr="006853BD">
        <w:t xml:space="preserve">of 0.30 </w:t>
      </w:r>
      <w:r w:rsidR="00570FE7" w:rsidRPr="006853BD">
        <w:t>for death (and for hospitalisation</w:t>
      </w:r>
      <w:r w:rsidR="00B634B1" w:rsidRPr="006853BD">
        <w:t>)</w:t>
      </w:r>
      <w:r w:rsidR="00570FE7" w:rsidRPr="006853BD">
        <w:t xml:space="preserve"> </w:t>
      </w:r>
      <w:r w:rsidRPr="006853BD">
        <w:t>seems plausib</w:t>
      </w:r>
      <w:r w:rsidR="00226E0D" w:rsidRPr="006853BD">
        <w:t xml:space="preserve">le given the </w:t>
      </w:r>
      <w:r w:rsidR="00E6710A" w:rsidRPr="006853BD">
        <w:t>range</w:t>
      </w:r>
      <w:r w:rsidR="00281D28" w:rsidRPr="006853BD">
        <w:t xml:space="preserve"> of</w:t>
      </w:r>
      <w:r w:rsidR="00E6710A" w:rsidRPr="006853BD">
        <w:t xml:space="preserve"> </w:t>
      </w:r>
      <w:r w:rsidR="00226E0D" w:rsidRPr="006853BD">
        <w:t xml:space="preserve">results </w:t>
      </w:r>
      <w:r w:rsidR="00E6710A" w:rsidRPr="006853BD">
        <w:t xml:space="preserve">presented in </w:t>
      </w:r>
      <w:r w:rsidR="00E6710A" w:rsidRPr="006853BD">
        <w:fldChar w:fldCharType="begin"/>
      </w:r>
      <w:r w:rsidR="00E6710A" w:rsidRPr="006853BD">
        <w:instrText xml:space="preserve"> REF _Ref144665923 \h </w:instrText>
      </w:r>
      <w:r w:rsidR="00E04568" w:rsidRPr="006853BD">
        <w:instrText xml:space="preserve"> \* MERGEFORMAT </w:instrText>
      </w:r>
      <w:r w:rsidR="00E6710A" w:rsidRPr="006853BD">
        <w:fldChar w:fldCharType="separate"/>
      </w:r>
      <w:r w:rsidR="00872657" w:rsidRPr="00484AE9">
        <w:t xml:space="preserve">Table </w:t>
      </w:r>
      <w:r w:rsidR="00872657">
        <w:t>11</w:t>
      </w:r>
      <w:r w:rsidR="00E6710A" w:rsidRPr="006853BD">
        <w:fldChar w:fldCharType="end"/>
      </w:r>
      <w:r w:rsidR="0086431E" w:rsidRPr="006853BD">
        <w:t xml:space="preserve"> and Figure</w:t>
      </w:r>
      <w:r w:rsidR="00076547" w:rsidRPr="006853BD">
        <w:t>s</w:t>
      </w:r>
      <w:r w:rsidR="0086431E" w:rsidRPr="006853BD">
        <w:t xml:space="preserve"> 1</w:t>
      </w:r>
      <w:r w:rsidR="00076547" w:rsidRPr="006853BD">
        <w:t xml:space="preserve"> to </w:t>
      </w:r>
      <w:r w:rsidR="0086431E" w:rsidRPr="006853BD">
        <w:t>3</w:t>
      </w:r>
      <w:r w:rsidR="00357757" w:rsidRPr="006853BD">
        <w:t xml:space="preserve">, with reference to </w:t>
      </w:r>
      <w:r w:rsidR="00076547" w:rsidRPr="006853BD">
        <w:t>the</w:t>
      </w:r>
      <w:r w:rsidR="000A3DD5" w:rsidRPr="006853BD">
        <w:t xml:space="preserve"> results </w:t>
      </w:r>
      <w:r w:rsidR="00226E0D" w:rsidRPr="006853BD">
        <w:t xml:space="preserve">from the EPIC-HR </w:t>
      </w:r>
      <w:r w:rsidR="00D60D06" w:rsidRPr="006853BD">
        <w:t xml:space="preserve">trial </w:t>
      </w:r>
      <w:r w:rsidR="00226E0D" w:rsidRPr="006853BD">
        <w:t xml:space="preserve">and the subgroup of the EPIC-SR </w:t>
      </w:r>
      <w:r w:rsidR="00D60D06" w:rsidRPr="006853BD">
        <w:t xml:space="preserve">trial, </w:t>
      </w:r>
      <w:r w:rsidR="00226E0D" w:rsidRPr="006853BD">
        <w:t xml:space="preserve">and given the observation from the observational studies of </w:t>
      </w:r>
      <w:r w:rsidR="00C02F8C" w:rsidRPr="006853BD">
        <w:t xml:space="preserve">reduced treatment effect in practice compared to the </w:t>
      </w:r>
      <w:r w:rsidR="00E04568" w:rsidRPr="006853BD">
        <w:t xml:space="preserve">randomised </w:t>
      </w:r>
      <w:r w:rsidR="00C02F8C" w:rsidRPr="006853BD">
        <w:t>trials</w:t>
      </w:r>
      <w:r w:rsidR="00A62B3A" w:rsidRPr="006853BD">
        <w:t xml:space="preserve">. </w:t>
      </w:r>
    </w:p>
    <w:p w14:paraId="5146E7C2" w14:textId="4E543478" w:rsidR="00125B4D" w:rsidRPr="006853BD" w:rsidRDefault="00E1772B" w:rsidP="006853BD">
      <w:pPr>
        <w:pStyle w:val="3-BodyText"/>
      </w:pPr>
      <w:r w:rsidRPr="006853BD">
        <w:t>The PSCR claimed that the model’s approach to estimating deaths independent of hospitalisation is “logically correct and appropriate” because some patients, particularly in rural and remote areas die before being admitted to hospital. The ESC noted that no evidence to support or quantify this claim was presented</w:t>
      </w:r>
      <w:r w:rsidR="00A62B3A" w:rsidRPr="006853BD">
        <w:t xml:space="preserve">. </w:t>
      </w:r>
      <w:r w:rsidR="00876203" w:rsidRPr="006853BD">
        <w:t xml:space="preserve">The ESC agreed with the commentary </w:t>
      </w:r>
      <w:r w:rsidR="006E4E72" w:rsidRPr="006853BD">
        <w:t xml:space="preserve">that </w:t>
      </w:r>
      <w:r w:rsidR="00D55042" w:rsidRPr="006853BD">
        <w:t xml:space="preserve">based on the </w:t>
      </w:r>
      <w:r w:rsidR="00DD7AC7" w:rsidRPr="006853BD">
        <w:t>evidence</w:t>
      </w:r>
      <w:r w:rsidR="00D55042" w:rsidRPr="006853BD">
        <w:t xml:space="preserve"> available, </w:t>
      </w:r>
      <w:r w:rsidR="006E4E72" w:rsidRPr="006853BD">
        <w:t xml:space="preserve">it </w:t>
      </w:r>
      <w:r w:rsidR="00876203" w:rsidRPr="006853BD">
        <w:t xml:space="preserve">was </w:t>
      </w:r>
      <w:r w:rsidR="00D55042" w:rsidRPr="006853BD">
        <w:t>reasonable</w:t>
      </w:r>
      <w:r w:rsidR="00876203" w:rsidRPr="006853BD">
        <w:t xml:space="preserve"> to model death occurring in hospitalised patients, such that </w:t>
      </w:r>
      <w:r w:rsidR="00D55042" w:rsidRPr="006853BD">
        <w:t xml:space="preserve">a single </w:t>
      </w:r>
      <w:r w:rsidR="00E27CF3" w:rsidRPr="006853BD">
        <w:t xml:space="preserve">estimate of </w:t>
      </w:r>
      <w:r w:rsidR="00876203" w:rsidRPr="006853BD">
        <w:t>treatment effect for hospitalisation or death would be applicable.</w:t>
      </w:r>
      <w:r w:rsidR="006F5245" w:rsidRPr="006853BD">
        <w:t xml:space="preserve"> The ESC noted that the submission had not provided evidence to support a different approach, for example to estimate a proportion of deaths in non</w:t>
      </w:r>
      <w:r w:rsidR="006F5245" w:rsidRPr="006853BD">
        <w:noBreakHyphen/>
        <w:t>hospitalised patients</w:t>
      </w:r>
      <w:r w:rsidR="00A62B3A" w:rsidRPr="006853BD">
        <w:t xml:space="preserve">. </w:t>
      </w:r>
      <w:r w:rsidR="00904BCC" w:rsidRPr="006853BD">
        <w:t>T</w:t>
      </w:r>
      <w:r w:rsidR="006F5245" w:rsidRPr="006853BD">
        <w:t>he ESC request</w:t>
      </w:r>
      <w:r w:rsidR="00FB5FED" w:rsidRPr="006853BD">
        <w:t>ed</w:t>
      </w:r>
      <w:r w:rsidR="006F5245" w:rsidRPr="006853BD">
        <w:t xml:space="preserve"> that the sponsor provide evidence for this estimate if available</w:t>
      </w:r>
      <w:r w:rsidR="00FB5FED" w:rsidRPr="006853BD">
        <w:t xml:space="preserve">, however </w:t>
      </w:r>
      <w:r w:rsidR="00FB5FED" w:rsidRPr="006853BD">
        <w:lastRenderedPageBreak/>
        <w:t>none was provided in the pre-PBAC response</w:t>
      </w:r>
      <w:r w:rsidR="00A62B3A" w:rsidRPr="006853BD">
        <w:t xml:space="preserve">. </w:t>
      </w:r>
      <w:r w:rsidR="00125B4D" w:rsidRPr="006853BD">
        <w:t>The pre-PBAC response maintained that the approach taken in the submission was appropriate, as not all COVID-19 deaths occur in hospitalised patients</w:t>
      </w:r>
      <w:r w:rsidR="00093F02" w:rsidRPr="006853BD">
        <w:t xml:space="preserve">, in particular in </w:t>
      </w:r>
      <w:r w:rsidR="00125B4D" w:rsidRPr="006853BD">
        <w:t xml:space="preserve">rural and remote areas, residential care facilities, or where hospital capacity is constrained. </w:t>
      </w:r>
    </w:p>
    <w:p w14:paraId="6015A716" w14:textId="5B7EB2C0" w:rsidR="00AC1D1F" w:rsidRPr="006853BD" w:rsidRDefault="0031083A" w:rsidP="008B03CB">
      <w:pPr>
        <w:pStyle w:val="3-BodyText"/>
      </w:pPr>
      <w:r w:rsidRPr="00484AE9">
        <w:t>The met</w:t>
      </w:r>
      <w:r w:rsidR="00BD5F6B" w:rsidRPr="00484AE9">
        <w:t>a-analys</w:t>
      </w:r>
      <w:r w:rsidR="00B92926" w:rsidRPr="00484AE9">
        <w:t>e</w:t>
      </w:r>
      <w:r w:rsidR="00BD5F6B" w:rsidRPr="00484AE9">
        <w:t xml:space="preserve">s of the subset of randomised trials reported by Cheema 2023 </w:t>
      </w:r>
      <w:r w:rsidR="00BD464A" w:rsidRPr="00484AE9">
        <w:t xml:space="preserve">(see </w:t>
      </w:r>
      <w:r w:rsidR="00BD464A" w:rsidRPr="00484AE9">
        <w:fldChar w:fldCharType="begin"/>
      </w:r>
      <w:r w:rsidR="00BD464A" w:rsidRPr="00484AE9">
        <w:instrText xml:space="preserve"> REF _Ref145019902 \h </w:instrText>
      </w:r>
      <w:r w:rsidR="00B92926" w:rsidRPr="00484AE9">
        <w:instrText xml:space="preserve"> \* MERGEFORMAT </w:instrText>
      </w:r>
      <w:r w:rsidR="00BD464A" w:rsidRPr="00484AE9">
        <w:fldChar w:fldCharType="separate"/>
      </w:r>
      <w:r w:rsidR="00872657" w:rsidRPr="00484AE9">
        <w:t xml:space="preserve">Figure </w:t>
      </w:r>
      <w:r w:rsidR="00872657">
        <w:t>2</w:t>
      </w:r>
      <w:r w:rsidR="00BD464A" w:rsidRPr="00484AE9">
        <w:fldChar w:fldCharType="end"/>
      </w:r>
      <w:r w:rsidR="00BD464A" w:rsidRPr="00484AE9">
        <w:t xml:space="preserve"> and </w:t>
      </w:r>
      <w:r w:rsidR="00BD464A" w:rsidRPr="00484AE9">
        <w:fldChar w:fldCharType="begin"/>
      </w:r>
      <w:r w:rsidR="00BD464A" w:rsidRPr="00484AE9">
        <w:instrText xml:space="preserve"> REF _Ref144893719 \h </w:instrText>
      </w:r>
      <w:r w:rsidR="00B92926" w:rsidRPr="00484AE9">
        <w:instrText xml:space="preserve"> \* MERGEFORMAT </w:instrText>
      </w:r>
      <w:r w:rsidR="00BD464A" w:rsidRPr="00484AE9">
        <w:fldChar w:fldCharType="separate"/>
      </w:r>
      <w:r w:rsidR="00872657" w:rsidRPr="00484AE9">
        <w:t xml:space="preserve">Figure </w:t>
      </w:r>
      <w:r w:rsidR="00872657">
        <w:t>3</w:t>
      </w:r>
      <w:r w:rsidR="00BD464A" w:rsidRPr="00484AE9">
        <w:fldChar w:fldCharType="end"/>
      </w:r>
      <w:r w:rsidR="00BD464A" w:rsidRPr="00484AE9">
        <w:t xml:space="preserve">) </w:t>
      </w:r>
      <w:r w:rsidR="00BD5F6B" w:rsidRPr="00484AE9">
        <w:t>c</w:t>
      </w:r>
      <w:r w:rsidR="00B92926" w:rsidRPr="00484AE9">
        <w:t>ould be considered to appropriately cap</w:t>
      </w:r>
      <w:r w:rsidR="00BD5F6B" w:rsidRPr="00484AE9">
        <w:t>ture the extent of uncertainty around point estimates of relative risk for hospitalisation and death.</w:t>
      </w:r>
      <w:r w:rsidR="006A36BA" w:rsidRPr="00484AE9">
        <w:t xml:space="preserve"> </w:t>
      </w:r>
      <w:r w:rsidR="00D62030" w:rsidRPr="006853BD">
        <w:t xml:space="preserve">The </w:t>
      </w:r>
      <w:r w:rsidR="006A36BA" w:rsidRPr="006853BD">
        <w:t xml:space="preserve">ESC noted that estimates of treatment effect </w:t>
      </w:r>
      <w:r w:rsidR="00370DAD" w:rsidRPr="006853BD">
        <w:t xml:space="preserve">in some of the </w:t>
      </w:r>
      <w:r w:rsidR="006A36BA" w:rsidRPr="006853BD">
        <w:t xml:space="preserve">studies did not reach statistical significance. </w:t>
      </w:r>
      <w:r w:rsidR="00D62030" w:rsidRPr="006853BD">
        <w:t xml:space="preserve">The </w:t>
      </w:r>
      <w:r w:rsidR="006A36BA" w:rsidRPr="006853BD">
        <w:t xml:space="preserve">ESC considered that, overall, the treatment effect of nirmatrelvir and ritonavir in practice appeared to be less than what was expected </w:t>
      </w:r>
      <w:r w:rsidR="00370DAD" w:rsidRPr="006853BD">
        <w:t xml:space="preserve">at the time it was recommended for listing on the PBS </w:t>
      </w:r>
      <w:r w:rsidR="006A36BA" w:rsidRPr="006853BD">
        <w:t>based on the results of EPIC-HR</w:t>
      </w:r>
      <w:r w:rsidR="00A62B3A" w:rsidRPr="006853BD">
        <w:t xml:space="preserve">. </w:t>
      </w:r>
    </w:p>
    <w:p w14:paraId="3F467910" w14:textId="1C366961" w:rsidR="00FB5FED" w:rsidRPr="00484AE9" w:rsidRDefault="004F5C66" w:rsidP="00FB5FED">
      <w:pPr>
        <w:pStyle w:val="3-BodyText"/>
      </w:pPr>
      <w:bookmarkStart w:id="81" w:name="_Ref148170252"/>
      <w:r w:rsidRPr="006853BD">
        <w:t xml:space="preserve">The </w:t>
      </w:r>
      <w:r w:rsidR="00AC1D1F" w:rsidRPr="006853BD">
        <w:t>ESC noted that the estimates of relative risk for hospitalisation and death were derived from met</w:t>
      </w:r>
      <w:r w:rsidR="00AC1D1F" w:rsidRPr="00484AE9">
        <w:rPr>
          <w:iCs/>
        </w:rPr>
        <w:t>a-analyses that combined outcomes from randomised controlled trials with those from retrospective cohort studies and considered this was not appropriate, because observational studies involve further variability which is not accounted for in standard meta-analysis methods</w:t>
      </w:r>
      <w:r w:rsidR="00A62B3A" w:rsidRPr="00484AE9">
        <w:rPr>
          <w:iCs/>
        </w:rPr>
        <w:t xml:space="preserve">. </w:t>
      </w:r>
      <w:r w:rsidR="00AC1D1F" w:rsidRPr="00484AE9">
        <w:rPr>
          <w:iCs/>
        </w:rPr>
        <w:t>While it may be possible to adjust for variability with statistical methods, it remained difficult to determine the role of selection bias or any confounding that the observational studies were suffering from in this instance.</w:t>
      </w:r>
      <w:bookmarkStart w:id="82" w:name="_Ref144893708"/>
      <w:bookmarkEnd w:id="80"/>
      <w:bookmarkEnd w:id="81"/>
    </w:p>
    <w:p w14:paraId="01958D5B" w14:textId="5B154062" w:rsidR="0086620B" w:rsidRPr="00484AE9" w:rsidRDefault="0086620B" w:rsidP="006E4E72">
      <w:pPr>
        <w:pStyle w:val="TableFigureHeading"/>
      </w:pPr>
      <w:bookmarkStart w:id="83" w:name="_Ref150948425"/>
      <w:r w:rsidRPr="00484AE9">
        <w:lastRenderedPageBreak/>
        <w:t xml:space="preserve">Figure </w:t>
      </w:r>
      <w:fldSimple w:instr=" SEQ Figure \* ARABIC ">
        <w:r w:rsidR="00872657">
          <w:rPr>
            <w:noProof/>
          </w:rPr>
          <w:t>1</w:t>
        </w:r>
      </w:fldSimple>
      <w:bookmarkEnd w:id="82"/>
      <w:bookmarkEnd w:id="83"/>
      <w:r w:rsidR="007150BB" w:rsidRPr="00484AE9">
        <w:t>:</w:t>
      </w:r>
      <w:r w:rsidR="008577FD" w:rsidRPr="00484AE9">
        <w:t xml:space="preserve"> Results of </w:t>
      </w:r>
      <w:r w:rsidR="00426251" w:rsidRPr="00484AE9">
        <w:t xml:space="preserve">meta-analysis of key outcomes as reported by </w:t>
      </w:r>
      <w:r w:rsidR="002A6291" w:rsidRPr="00484AE9">
        <w:t>Amani</w:t>
      </w:r>
      <w:r w:rsidR="00426251" w:rsidRPr="00484AE9">
        <w:t xml:space="preserve"> </w:t>
      </w:r>
      <w:r w:rsidR="00E337CA" w:rsidRPr="00484AE9">
        <w:t>2023</w:t>
      </w:r>
    </w:p>
    <w:p w14:paraId="59BE76F0" w14:textId="526BB29A" w:rsidR="007150BB" w:rsidRPr="00484AE9" w:rsidRDefault="008577FD" w:rsidP="007150BB">
      <w:r w:rsidRPr="00484AE9">
        <w:rPr>
          <w:noProof/>
        </w:rPr>
        <w:drawing>
          <wp:inline distT="0" distB="0" distL="0" distR="0" wp14:anchorId="04F3A8FC" wp14:editId="09CC7649">
            <wp:extent cx="4009129" cy="7462837"/>
            <wp:effectExtent l="0" t="0" r="0" b="5080"/>
            <wp:docPr id="1" name="Picture 1" descr="Figure 1: Results of meta-analysis of key outcomes as reported by Amani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 Results of meta-analysis of key outcomes as reported by Amani 2023"/>
                    <pic:cNvPicPr/>
                  </pic:nvPicPr>
                  <pic:blipFill>
                    <a:blip r:embed="rId11"/>
                    <a:stretch>
                      <a:fillRect/>
                    </a:stretch>
                  </pic:blipFill>
                  <pic:spPr>
                    <a:xfrm>
                      <a:off x="0" y="0"/>
                      <a:ext cx="4009129" cy="7462837"/>
                    </a:xfrm>
                    <a:prstGeom prst="rect">
                      <a:avLst/>
                    </a:prstGeom>
                  </pic:spPr>
                </pic:pic>
              </a:graphicData>
            </a:graphic>
          </wp:inline>
        </w:drawing>
      </w:r>
    </w:p>
    <w:p w14:paraId="733F5E97" w14:textId="1DD87A1D" w:rsidR="007150BB" w:rsidRPr="00484AE9" w:rsidRDefault="007150BB" w:rsidP="007150BB">
      <w:pPr>
        <w:pStyle w:val="Caption"/>
      </w:pPr>
      <w:bookmarkStart w:id="84" w:name="_Ref145019902"/>
      <w:r w:rsidRPr="00484AE9">
        <w:lastRenderedPageBreak/>
        <w:t xml:space="preserve">Figure </w:t>
      </w:r>
      <w:fldSimple w:instr=" SEQ Figure \* ARABIC ">
        <w:r w:rsidR="00872657">
          <w:rPr>
            <w:noProof/>
          </w:rPr>
          <w:t>2</w:t>
        </w:r>
      </w:fldSimple>
      <w:bookmarkEnd w:id="84"/>
      <w:r w:rsidR="00EB7C1B" w:rsidRPr="00484AE9">
        <w:t>: Results of meta-analys</w:t>
      </w:r>
      <w:r w:rsidR="001136E1" w:rsidRPr="00484AE9">
        <w:t>is of</w:t>
      </w:r>
      <w:r w:rsidR="00E80892" w:rsidRPr="00484AE9">
        <w:t xml:space="preserve"> treatment effect of nirmatrelvir and ritonavir on risk of mortality as reported by Cheema 202</w:t>
      </w:r>
      <w:r w:rsidR="00F10EEA" w:rsidRPr="00484AE9">
        <w:t>3</w:t>
      </w:r>
      <w:r w:rsidR="00E80892" w:rsidRPr="00484AE9">
        <w:t xml:space="preserve"> </w:t>
      </w:r>
    </w:p>
    <w:p w14:paraId="087EFD44" w14:textId="0AB6670E" w:rsidR="007115AB" w:rsidRPr="00484AE9" w:rsidRDefault="007115AB" w:rsidP="007115AB">
      <w:r w:rsidRPr="00484AE9">
        <w:rPr>
          <w:noProof/>
        </w:rPr>
        <w:drawing>
          <wp:inline distT="0" distB="0" distL="0" distR="0" wp14:anchorId="129C4DBE" wp14:editId="4052F4E2">
            <wp:extent cx="5486399" cy="2986088"/>
            <wp:effectExtent l="0" t="0" r="635" b="5080"/>
            <wp:docPr id="2" name="Picture 2" descr="Figure 2: Results of meta-analysis of treatment effect of nirmatrelvir and ritonavir on risk of mortality as reported by Cheema 20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2: Results of meta-analysis of treatment effect of nirmatrelvir and ritonavir on risk of mortality as reported by Cheema 2023 "/>
                    <pic:cNvPicPr/>
                  </pic:nvPicPr>
                  <pic:blipFill rotWithShape="1">
                    <a:blip r:embed="rId12"/>
                    <a:srcRect b="52572"/>
                    <a:stretch/>
                  </pic:blipFill>
                  <pic:spPr bwMode="auto">
                    <a:xfrm>
                      <a:off x="0" y="0"/>
                      <a:ext cx="5486440" cy="2986110"/>
                    </a:xfrm>
                    <a:prstGeom prst="rect">
                      <a:avLst/>
                    </a:prstGeom>
                    <a:ln>
                      <a:noFill/>
                    </a:ln>
                    <a:extLst>
                      <a:ext uri="{53640926-AAD7-44D8-BBD7-CCE9431645EC}">
                        <a14:shadowObscured xmlns:a14="http://schemas.microsoft.com/office/drawing/2010/main"/>
                      </a:ext>
                    </a:extLst>
                  </pic:spPr>
                </pic:pic>
              </a:graphicData>
            </a:graphic>
          </wp:inline>
        </w:drawing>
      </w:r>
    </w:p>
    <w:p w14:paraId="0509D3B3" w14:textId="77777777" w:rsidR="007150BB" w:rsidRPr="00484AE9" w:rsidRDefault="007150BB" w:rsidP="007150BB"/>
    <w:p w14:paraId="70EE855C" w14:textId="44A6C1E5" w:rsidR="00944CF3" w:rsidRPr="00484AE9" w:rsidRDefault="00944CF3" w:rsidP="00944CF3">
      <w:pPr>
        <w:pStyle w:val="Caption"/>
      </w:pPr>
      <w:bookmarkStart w:id="85" w:name="_Ref144893719"/>
      <w:r w:rsidRPr="00484AE9">
        <w:t xml:space="preserve">Figure </w:t>
      </w:r>
      <w:fldSimple w:instr=" SEQ Figure \* ARABIC ">
        <w:r w:rsidR="00872657">
          <w:rPr>
            <w:noProof/>
          </w:rPr>
          <w:t>3</w:t>
        </w:r>
      </w:fldSimple>
      <w:bookmarkEnd w:id="85"/>
      <w:r w:rsidR="00C809D4" w:rsidRPr="00484AE9">
        <w:t>:</w:t>
      </w:r>
      <w:r w:rsidR="00E02C21" w:rsidRPr="00484AE9">
        <w:t xml:space="preserve"> Results of meta-analysis of treatment effect of nirmatrelvir and ritonavir on risk of hospitalisation as reported by Cheema 2023</w:t>
      </w:r>
    </w:p>
    <w:p w14:paraId="03CC6EE5" w14:textId="26C2BBA3" w:rsidR="00E80892" w:rsidRPr="00484AE9" w:rsidRDefault="00E80892" w:rsidP="00E80892">
      <w:r w:rsidRPr="00484AE9">
        <w:rPr>
          <w:noProof/>
        </w:rPr>
        <w:drawing>
          <wp:inline distT="0" distB="0" distL="0" distR="0" wp14:anchorId="17A53216" wp14:editId="51CBE0B5">
            <wp:extent cx="5486400" cy="3028950"/>
            <wp:effectExtent l="0" t="0" r="0" b="0"/>
            <wp:docPr id="3" name="Picture 3" descr="Figure 3: Results of meta-analysis of treatment effect of nirmatrelvir and ritonavir on risk of hospitalisation as reported by Cheema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3: Results of meta-analysis of treatment effect of nirmatrelvir and ritonavir on risk of hospitalisation as reported by Cheema 2023"/>
                    <pic:cNvPicPr/>
                  </pic:nvPicPr>
                  <pic:blipFill rotWithShape="1">
                    <a:blip r:embed="rId12"/>
                    <a:srcRect t="48110" b="3781"/>
                    <a:stretch/>
                  </pic:blipFill>
                  <pic:spPr bwMode="auto">
                    <a:xfrm>
                      <a:off x="0" y="0"/>
                      <a:ext cx="5486440" cy="3028972"/>
                    </a:xfrm>
                    <a:prstGeom prst="rect">
                      <a:avLst/>
                    </a:prstGeom>
                    <a:ln>
                      <a:noFill/>
                    </a:ln>
                    <a:extLst>
                      <a:ext uri="{53640926-AAD7-44D8-BBD7-CCE9431645EC}">
                        <a14:shadowObscured xmlns:a14="http://schemas.microsoft.com/office/drawing/2010/main"/>
                      </a:ext>
                    </a:extLst>
                  </pic:spPr>
                </pic:pic>
              </a:graphicData>
            </a:graphic>
          </wp:inline>
        </w:drawing>
      </w:r>
    </w:p>
    <w:p w14:paraId="3CC42B71" w14:textId="2DBDA440" w:rsidR="0002308C" w:rsidRPr="00484AE9" w:rsidRDefault="0073586F" w:rsidP="0002308C">
      <w:pPr>
        <w:pStyle w:val="4-SubsectionHeading"/>
      </w:pPr>
      <w:r w:rsidRPr="00484AE9">
        <w:t>Meta-analyses conducted during the evaluation</w:t>
      </w:r>
    </w:p>
    <w:p w14:paraId="5E9CBF67" w14:textId="1CD91381" w:rsidR="0002308C" w:rsidRPr="00484AE9" w:rsidRDefault="0002308C" w:rsidP="0002308C">
      <w:pPr>
        <w:pStyle w:val="3-BodyText"/>
        <w:rPr>
          <w:iCs/>
        </w:rPr>
      </w:pPr>
      <w:bookmarkStart w:id="86" w:name="_Ref152081454"/>
      <w:r w:rsidRPr="00484AE9">
        <w:rPr>
          <w:iCs/>
        </w:rPr>
        <w:t xml:space="preserve">A meta-analysis of results (risk ratios) for the composite endpoint of hospitalisation or death from the </w:t>
      </w:r>
      <w:r w:rsidR="00093F02" w:rsidRPr="00484AE9">
        <w:rPr>
          <w:iCs/>
        </w:rPr>
        <w:t>nirmatrelvir and ritonavir</w:t>
      </w:r>
      <w:r w:rsidRPr="00484AE9">
        <w:rPr>
          <w:iCs/>
        </w:rPr>
        <w:t xml:space="preserve"> trials (EPIC-HR and EPIC-SR) is presented in </w:t>
      </w:r>
      <w:r w:rsidRPr="00484AE9">
        <w:rPr>
          <w:iCs/>
        </w:rPr>
        <w:fldChar w:fldCharType="begin"/>
      </w:r>
      <w:r w:rsidRPr="00484AE9">
        <w:rPr>
          <w:iCs/>
        </w:rPr>
        <w:instrText xml:space="preserve"> REF _Ref148447861 \h </w:instrText>
      </w:r>
      <w:r w:rsidRPr="00484AE9">
        <w:rPr>
          <w:iCs/>
        </w:rPr>
      </w:r>
      <w:r w:rsidRPr="00484AE9">
        <w:rPr>
          <w:iCs/>
        </w:rPr>
        <w:fldChar w:fldCharType="separate"/>
      </w:r>
      <w:r w:rsidR="00872657" w:rsidRPr="00484AE9">
        <w:t xml:space="preserve">Figure </w:t>
      </w:r>
      <w:r w:rsidR="00872657">
        <w:rPr>
          <w:noProof/>
        </w:rPr>
        <w:t>4</w:t>
      </w:r>
      <w:r w:rsidRPr="00484AE9">
        <w:rPr>
          <w:iCs/>
        </w:rPr>
        <w:fldChar w:fldCharType="end"/>
      </w:r>
      <w:r w:rsidRPr="00484AE9">
        <w:rPr>
          <w:iCs/>
        </w:rPr>
        <w:t xml:space="preserve"> (ITT populations)</w:t>
      </w:r>
      <w:r w:rsidR="00A62B3A" w:rsidRPr="00484AE9">
        <w:rPr>
          <w:iCs/>
        </w:rPr>
        <w:t xml:space="preserve">. </w:t>
      </w:r>
      <w:r w:rsidRPr="00484AE9">
        <w:rPr>
          <w:iCs/>
        </w:rPr>
        <w:t xml:space="preserve">A second meta-analysis of results (risk ratios) is presented for EPIC-HR and the high risk patients from EPIC-SR in </w:t>
      </w:r>
      <w:r w:rsidRPr="00484AE9">
        <w:rPr>
          <w:iCs/>
        </w:rPr>
        <w:fldChar w:fldCharType="begin"/>
      </w:r>
      <w:r w:rsidRPr="00484AE9">
        <w:rPr>
          <w:iCs/>
        </w:rPr>
        <w:instrText xml:space="preserve"> REF _Ref150951680 \h </w:instrText>
      </w:r>
      <w:r w:rsidRPr="00484AE9">
        <w:rPr>
          <w:iCs/>
        </w:rPr>
      </w:r>
      <w:r w:rsidRPr="00484AE9">
        <w:rPr>
          <w:iCs/>
        </w:rPr>
        <w:fldChar w:fldCharType="separate"/>
      </w:r>
      <w:r w:rsidR="00872657" w:rsidRPr="00484AE9">
        <w:rPr>
          <w:iCs/>
        </w:rPr>
        <w:t xml:space="preserve">Figure </w:t>
      </w:r>
      <w:r w:rsidR="00872657">
        <w:rPr>
          <w:iCs/>
          <w:noProof/>
        </w:rPr>
        <w:t>5</w:t>
      </w:r>
      <w:r w:rsidRPr="00484AE9">
        <w:rPr>
          <w:iCs/>
        </w:rPr>
        <w:fldChar w:fldCharType="end"/>
      </w:r>
      <w:r w:rsidRPr="00484AE9">
        <w:rPr>
          <w:iCs/>
        </w:rPr>
        <w:t xml:space="preserve"> (reflecting high-risk </w:t>
      </w:r>
      <w:r w:rsidRPr="00484AE9">
        <w:rPr>
          <w:iCs/>
        </w:rPr>
        <w:lastRenderedPageBreak/>
        <w:t xml:space="preserve">patients in the RCTs). The meta-analyses are also presented as odds ratios, in </w:t>
      </w:r>
      <w:r w:rsidRPr="00484AE9">
        <w:rPr>
          <w:iCs/>
        </w:rPr>
        <w:fldChar w:fldCharType="begin"/>
      </w:r>
      <w:r w:rsidRPr="00484AE9">
        <w:rPr>
          <w:iCs/>
        </w:rPr>
        <w:instrText xml:space="preserve"> REF _Ref150951730 \h </w:instrText>
      </w:r>
      <w:r w:rsidRPr="00484AE9">
        <w:rPr>
          <w:iCs/>
        </w:rPr>
      </w:r>
      <w:r w:rsidRPr="00484AE9">
        <w:rPr>
          <w:iCs/>
        </w:rPr>
        <w:fldChar w:fldCharType="separate"/>
      </w:r>
      <w:r w:rsidR="00872657" w:rsidRPr="00484AE9">
        <w:rPr>
          <w:iCs/>
        </w:rPr>
        <w:t xml:space="preserve">Figure </w:t>
      </w:r>
      <w:r w:rsidR="00872657">
        <w:rPr>
          <w:iCs/>
          <w:noProof/>
        </w:rPr>
        <w:t>6</w:t>
      </w:r>
      <w:r w:rsidRPr="00484AE9">
        <w:rPr>
          <w:iCs/>
        </w:rPr>
        <w:fldChar w:fldCharType="end"/>
      </w:r>
      <w:r w:rsidRPr="00484AE9">
        <w:rPr>
          <w:iCs/>
        </w:rPr>
        <w:t xml:space="preserve"> (ITT) and </w:t>
      </w:r>
      <w:r w:rsidRPr="00484AE9">
        <w:rPr>
          <w:iCs/>
        </w:rPr>
        <w:fldChar w:fldCharType="begin"/>
      </w:r>
      <w:r w:rsidRPr="00484AE9">
        <w:rPr>
          <w:iCs/>
        </w:rPr>
        <w:instrText xml:space="preserve"> REF _Ref150951731 \h </w:instrText>
      </w:r>
      <w:r w:rsidRPr="00484AE9">
        <w:rPr>
          <w:iCs/>
        </w:rPr>
      </w:r>
      <w:r w:rsidRPr="00484AE9">
        <w:rPr>
          <w:iCs/>
        </w:rPr>
        <w:fldChar w:fldCharType="separate"/>
      </w:r>
      <w:r w:rsidR="00872657" w:rsidRPr="00484AE9">
        <w:rPr>
          <w:iCs/>
        </w:rPr>
        <w:t xml:space="preserve">Figure </w:t>
      </w:r>
      <w:r w:rsidR="00872657">
        <w:rPr>
          <w:iCs/>
          <w:noProof/>
        </w:rPr>
        <w:t>7</w:t>
      </w:r>
      <w:r w:rsidRPr="00484AE9">
        <w:rPr>
          <w:iCs/>
        </w:rPr>
        <w:fldChar w:fldCharType="end"/>
      </w:r>
      <w:r w:rsidRPr="00484AE9">
        <w:rPr>
          <w:iCs/>
        </w:rPr>
        <w:t xml:space="preserve"> (high risk).</w:t>
      </w:r>
      <w:bookmarkEnd w:id="86"/>
    </w:p>
    <w:p w14:paraId="2E7E2127" w14:textId="2F342F97" w:rsidR="0002308C" w:rsidRPr="00484AE9" w:rsidRDefault="0002308C" w:rsidP="0002308C">
      <w:pPr>
        <w:pStyle w:val="TableFigureHeading"/>
      </w:pPr>
      <w:bookmarkStart w:id="87" w:name="_Ref148447861"/>
      <w:r w:rsidRPr="00484AE9">
        <w:t xml:space="preserve">Figure </w:t>
      </w:r>
      <w:fldSimple w:instr=" SEQ Figure \* ARABIC ">
        <w:r w:rsidR="00872657">
          <w:rPr>
            <w:noProof/>
          </w:rPr>
          <w:t>4</w:t>
        </w:r>
      </w:fldSimple>
      <w:bookmarkEnd w:id="87"/>
      <w:r w:rsidRPr="00484AE9">
        <w:t>: Meta-analysis of results (risk ratios) for the composite endpoint of hospitalisation or death from the nirmatrelvir and ritonavir trials (EPIC-HR and EPIC-SR)</w:t>
      </w:r>
    </w:p>
    <w:p w14:paraId="37CAA3B2" w14:textId="7914F251" w:rsidR="0002308C" w:rsidRPr="00484AE9" w:rsidRDefault="00E46E44" w:rsidP="0002308C">
      <w:pPr>
        <w:jc w:val="left"/>
      </w:pPr>
      <w:r>
        <w:rPr>
          <w:noProof/>
        </w:rPr>
        <mc:AlternateContent>
          <mc:Choice Requires="wpg">
            <w:drawing>
              <wp:anchor distT="0" distB="0" distL="114300" distR="114300" simplePos="0" relativeHeight="251672576" behindDoc="0" locked="0" layoutInCell="1" allowOverlap="1" wp14:anchorId="33A1040A" wp14:editId="1D7DC0B8">
                <wp:simplePos x="0" y="0"/>
                <wp:positionH relativeFrom="column">
                  <wp:posOffset>0</wp:posOffset>
                </wp:positionH>
                <wp:positionV relativeFrom="paragraph">
                  <wp:posOffset>1456690</wp:posOffset>
                </wp:positionV>
                <wp:extent cx="1254633" cy="462686"/>
                <wp:effectExtent l="0" t="0" r="22225" b="1397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254633" cy="462686"/>
                          <a:chOff x="0" y="0"/>
                          <a:chExt cx="1254633" cy="462686"/>
                        </a:xfrm>
                      </wpg:grpSpPr>
                      <wps:wsp>
                        <wps:cNvPr id="2077291723" name="Rectangle 2077291723">
                          <a:extLst>
                            <a:ext uri="{C183D7F6-B498-43B3-948B-1728B52AA6E4}">
                              <adec:decorative xmlns:adec="http://schemas.microsoft.com/office/drawing/2017/decorative" val="1"/>
                            </a:ext>
                          </a:extLst>
                        </wps:cNvPr>
                        <wps:cNvSpPr/>
                        <wps:spPr>
                          <a:xfrm>
                            <a:off x="0" y="0"/>
                            <a:ext cx="1207008" cy="234086"/>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7759480" name="Rectangle 1617759480">
                          <a:extLst>
                            <a:ext uri="{C183D7F6-B498-43B3-948B-1728B52AA6E4}">
                              <adec:decorative xmlns:adec="http://schemas.microsoft.com/office/drawing/2017/decorative" val="1"/>
                            </a:ext>
                          </a:extLst>
                        </wps:cNvPr>
                        <wps:cNvSpPr/>
                        <wps:spPr>
                          <a:xfrm>
                            <a:off x="47625" y="228600"/>
                            <a:ext cx="1207008" cy="234086"/>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568F116" id="Group 4" o:spid="_x0000_s1026" alt="&quot;&quot;" style="position:absolute;margin-left:0;margin-top:114.7pt;width:98.8pt;height:36.45pt;z-index:251672576" coordsize="12546,4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">
                <v:rect id="Rectangle 2077291723" o:spid="_x0000_s1027" alt="&quot;&quot;" style="position:absolute;width:12070;height:2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" fillcolor="white [3212]" strokecolor="white [3212]" strokeweight="2pt"/>
                <v:rect id="Rectangle 1617759480" o:spid="_x0000_s1028" alt="&quot;&quot;" style="position:absolute;left:476;top:2286;width:12070;height:2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" fillcolor="white [3212]" strokecolor="white [3212]" strokeweight="2pt"/>
              </v:group>
            </w:pict>
          </mc:Fallback>
        </mc:AlternateContent>
      </w:r>
      <w:r w:rsidR="0002308C" w:rsidRPr="00484AE9">
        <w:rPr>
          <w:noProof/>
        </w:rPr>
        <w:drawing>
          <wp:inline distT="0" distB="0" distL="0" distR="0" wp14:anchorId="6E11511F" wp14:editId="398EF11B">
            <wp:extent cx="5732145" cy="2553335"/>
            <wp:effectExtent l="0" t="0" r="1905" b="0"/>
            <wp:docPr id="606683974" name="Picture 606683974" descr="Figure 4: Meta-analysis of results (risk ratios) for the composite endpoint of hospitalisation or death from the nirmatrelvir and ritonavir trials (EPIC-HR and EPIC-S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683974" name="Picture 606683974" descr="Figure 4: Meta-analysis of results (risk ratios) for the composite endpoint of hospitalisation or death from the nirmatrelvir and ritonavir trials (EPIC-HR and EPIC-SR)&#10;"/>
                    <pic:cNvPicPr/>
                  </pic:nvPicPr>
                  <pic:blipFill>
                    <a:blip r:embed="rId13"/>
                    <a:stretch>
                      <a:fillRect/>
                    </a:stretch>
                  </pic:blipFill>
                  <pic:spPr>
                    <a:xfrm>
                      <a:off x="0" y="0"/>
                      <a:ext cx="5732145" cy="2553335"/>
                    </a:xfrm>
                    <a:prstGeom prst="rect">
                      <a:avLst/>
                    </a:prstGeom>
                  </pic:spPr>
                </pic:pic>
              </a:graphicData>
            </a:graphic>
          </wp:inline>
        </w:drawing>
      </w:r>
    </w:p>
    <w:p w14:paraId="73F6A4EC" w14:textId="7B6125AE" w:rsidR="0002308C" w:rsidRPr="00583003" w:rsidRDefault="0002308C" w:rsidP="00583003">
      <w:pPr>
        <w:spacing w:after="120"/>
        <w:rPr>
          <w:rFonts w:ascii="Arial Narrow" w:hAnsi="Arial Narrow"/>
          <w:sz w:val="18"/>
          <w:szCs w:val="18"/>
        </w:rPr>
      </w:pPr>
      <w:r w:rsidRPr="00583003">
        <w:rPr>
          <w:rFonts w:ascii="Arial Narrow" w:hAnsi="Arial Narrow"/>
          <w:sz w:val="18"/>
          <w:szCs w:val="18"/>
        </w:rPr>
        <w:t xml:space="preserve">Source: </w:t>
      </w:r>
      <w:r w:rsidR="00F36D59" w:rsidRPr="00583003">
        <w:rPr>
          <w:rFonts w:ascii="Arial Narrow" w:hAnsi="Arial Narrow"/>
          <w:sz w:val="18"/>
          <w:szCs w:val="18"/>
        </w:rPr>
        <w:t>C</w:t>
      </w:r>
      <w:r w:rsidRPr="00583003">
        <w:rPr>
          <w:rFonts w:ascii="Arial Narrow" w:hAnsi="Arial Narrow"/>
          <w:sz w:val="18"/>
          <w:szCs w:val="18"/>
        </w:rPr>
        <w:t>onducted during the evaluation</w:t>
      </w:r>
      <w:r w:rsidR="00A62B3A" w:rsidRPr="00583003">
        <w:rPr>
          <w:rFonts w:ascii="Arial Narrow" w:hAnsi="Arial Narrow"/>
          <w:sz w:val="18"/>
          <w:szCs w:val="18"/>
        </w:rPr>
        <w:t xml:space="preserve">. </w:t>
      </w:r>
      <w:r w:rsidRPr="00583003">
        <w:rPr>
          <w:rFonts w:ascii="Arial Narrow" w:hAnsi="Arial Narrow"/>
          <w:sz w:val="18"/>
          <w:szCs w:val="18"/>
        </w:rPr>
        <w:t xml:space="preserve">Data sources for raw numbers permitting calculation of risk ratios: Table 14.2.1.3 of the EPIC-HR CSR (10/1038 in the nirmatrelvir and ritonavir arm and 66/1053 in the placebo arm), Table 15 of the EPIC-SR CSR (5/654 in the nirmatrelvir and ritonavir arm and 10/634 in the placebo arm), see </w:t>
      </w:r>
      <w:r w:rsidRPr="00583003">
        <w:rPr>
          <w:rFonts w:ascii="Arial Narrow" w:hAnsi="Arial Narrow"/>
          <w:sz w:val="18"/>
          <w:szCs w:val="18"/>
        </w:rPr>
        <w:fldChar w:fldCharType="begin"/>
      </w:r>
      <w:r w:rsidRPr="00583003">
        <w:rPr>
          <w:rFonts w:ascii="Arial Narrow" w:hAnsi="Arial Narrow"/>
          <w:sz w:val="18"/>
          <w:szCs w:val="18"/>
        </w:rPr>
        <w:instrText xml:space="preserve"> REF _Ref144665923 \h  \* MERGEFORMAT </w:instrText>
      </w:r>
      <w:r w:rsidRPr="00583003">
        <w:rPr>
          <w:rFonts w:ascii="Arial Narrow" w:hAnsi="Arial Narrow"/>
          <w:sz w:val="18"/>
          <w:szCs w:val="18"/>
        </w:rPr>
      </w:r>
      <w:r w:rsidRPr="00583003">
        <w:rPr>
          <w:rFonts w:ascii="Arial Narrow" w:hAnsi="Arial Narrow"/>
          <w:sz w:val="18"/>
          <w:szCs w:val="18"/>
        </w:rPr>
        <w:fldChar w:fldCharType="separate"/>
      </w:r>
      <w:r w:rsidR="00872657" w:rsidRPr="00872657">
        <w:rPr>
          <w:rFonts w:ascii="Arial Narrow" w:hAnsi="Arial Narrow"/>
          <w:sz w:val="18"/>
          <w:szCs w:val="18"/>
        </w:rPr>
        <w:t>Table 11</w:t>
      </w:r>
      <w:r w:rsidRPr="00583003">
        <w:rPr>
          <w:rFonts w:ascii="Arial Narrow" w:hAnsi="Arial Narrow"/>
          <w:sz w:val="18"/>
          <w:szCs w:val="18"/>
        </w:rPr>
        <w:fldChar w:fldCharType="end"/>
      </w:r>
      <w:r w:rsidRPr="00583003">
        <w:rPr>
          <w:rFonts w:ascii="Arial Narrow" w:hAnsi="Arial Narrow"/>
          <w:sz w:val="18"/>
          <w:szCs w:val="18"/>
        </w:rPr>
        <w:t>.</w:t>
      </w:r>
    </w:p>
    <w:p w14:paraId="619DB45A" w14:textId="15A3DBC1" w:rsidR="0002308C" w:rsidRPr="00484AE9" w:rsidRDefault="0002308C" w:rsidP="0002308C">
      <w:pPr>
        <w:pStyle w:val="TableFigureHeading"/>
        <w:rPr>
          <w:iCs/>
        </w:rPr>
      </w:pPr>
      <w:bookmarkStart w:id="88" w:name="_Ref150951680"/>
      <w:r w:rsidRPr="00484AE9">
        <w:rPr>
          <w:iCs/>
        </w:rPr>
        <w:t xml:space="preserve">Figure </w:t>
      </w:r>
      <w:r w:rsidRPr="00484AE9">
        <w:rPr>
          <w:iCs/>
        </w:rPr>
        <w:fldChar w:fldCharType="begin"/>
      </w:r>
      <w:r w:rsidRPr="00484AE9">
        <w:rPr>
          <w:iCs/>
        </w:rPr>
        <w:instrText xml:space="preserve"> SEQ Figure \* ARABIC </w:instrText>
      </w:r>
      <w:r w:rsidRPr="00484AE9">
        <w:rPr>
          <w:iCs/>
        </w:rPr>
        <w:fldChar w:fldCharType="separate"/>
      </w:r>
      <w:r w:rsidR="00872657">
        <w:rPr>
          <w:iCs/>
          <w:noProof/>
        </w:rPr>
        <w:t>5</w:t>
      </w:r>
      <w:r w:rsidRPr="00484AE9">
        <w:rPr>
          <w:iCs/>
        </w:rPr>
        <w:fldChar w:fldCharType="end"/>
      </w:r>
      <w:bookmarkEnd w:id="88"/>
      <w:r w:rsidRPr="00484AE9">
        <w:rPr>
          <w:iCs/>
        </w:rPr>
        <w:t>: Meta-analysis of results (risk ratios) for the composite endpoint of hospitalisation or death from the nirmatrelvir and ritonavir trials (EPIC-HR and the high risk subgroup from EPIC-SR)</w:t>
      </w:r>
    </w:p>
    <w:p w14:paraId="7A1CCEC3" w14:textId="511342E5" w:rsidR="0002308C" w:rsidRPr="00484AE9" w:rsidRDefault="0002308C" w:rsidP="0002308C">
      <w:pPr>
        <w:rPr>
          <w:iCs/>
        </w:rPr>
      </w:pPr>
      <w:r w:rsidRPr="00484AE9">
        <w:rPr>
          <w:iCs/>
          <w:noProof/>
        </w:rPr>
        <w:drawing>
          <wp:inline distT="0" distB="0" distL="0" distR="0" wp14:anchorId="3148DE1E" wp14:editId="4CE900FC">
            <wp:extent cx="5732145" cy="2413000"/>
            <wp:effectExtent l="0" t="0" r="1905" b="6350"/>
            <wp:docPr id="1461254201" name="Picture 1461254201" descr="Figure 5: Meta-analysis of results (risk ratios) for the composite endpoint of hospitalisation or death from the nirmatrelvir and ritonavir trials (EPIC-HR and the high risk subgroup from EPIC-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254201" name="Picture 1461254201" descr="Figure 5: Meta-analysis of results (risk ratios) for the composite endpoint of hospitalisation or death from the nirmatrelvir and ritonavir trials (EPIC-HR and the high risk subgroup from EPIC-SR)"/>
                    <pic:cNvPicPr/>
                  </pic:nvPicPr>
                  <pic:blipFill>
                    <a:blip r:embed="rId14"/>
                    <a:stretch>
                      <a:fillRect/>
                    </a:stretch>
                  </pic:blipFill>
                  <pic:spPr>
                    <a:xfrm>
                      <a:off x="0" y="0"/>
                      <a:ext cx="5732145" cy="2413000"/>
                    </a:xfrm>
                    <a:prstGeom prst="rect">
                      <a:avLst/>
                    </a:prstGeom>
                  </pic:spPr>
                </pic:pic>
              </a:graphicData>
            </a:graphic>
          </wp:inline>
        </w:drawing>
      </w:r>
      <w:r w:rsidRPr="00484AE9">
        <w:rPr>
          <w:iCs/>
          <w:noProof/>
        </w:rPr>
        <mc:AlternateContent>
          <mc:Choice Requires="wps">
            <w:drawing>
              <wp:anchor distT="0" distB="0" distL="114300" distR="114300" simplePos="0" relativeHeight="251675648" behindDoc="0" locked="0" layoutInCell="1" allowOverlap="1" wp14:anchorId="1F0ABF3B" wp14:editId="21D7AF5F">
                <wp:simplePos x="0" y="0"/>
                <wp:positionH relativeFrom="column">
                  <wp:posOffset>0</wp:posOffset>
                </wp:positionH>
                <wp:positionV relativeFrom="paragraph">
                  <wp:posOffset>1405560</wp:posOffset>
                </wp:positionV>
                <wp:extent cx="1207008" cy="234086"/>
                <wp:effectExtent l="0" t="0" r="12700" b="13970"/>
                <wp:wrapNone/>
                <wp:docPr id="958054857" name="Rectangle 9580548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07008" cy="234086"/>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2198F1" id="Rectangle 958054857" o:spid="_x0000_s1026" alt="&quot;&quot;" style="position:absolute;margin-left:0;margin-top:110.65pt;width:95.05pt;height:18.4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" fillcolor="white [3212]" strokecolor="white [3212]" strokeweight="2pt"/>
            </w:pict>
          </mc:Fallback>
        </mc:AlternateContent>
      </w:r>
    </w:p>
    <w:p w14:paraId="3E350886" w14:textId="376D0D95" w:rsidR="0002308C" w:rsidRPr="00583003" w:rsidRDefault="00F36D59" w:rsidP="0002308C">
      <w:pPr>
        <w:rPr>
          <w:rFonts w:ascii="Arial Narrow" w:hAnsi="Arial Narrow"/>
          <w:iCs/>
          <w:sz w:val="18"/>
          <w:szCs w:val="18"/>
        </w:rPr>
      </w:pPr>
      <w:r w:rsidRPr="00583003">
        <w:rPr>
          <w:rFonts w:ascii="Arial Narrow" w:hAnsi="Arial Narrow"/>
          <w:sz w:val="18"/>
          <w:szCs w:val="18"/>
        </w:rPr>
        <w:t xml:space="preserve">Source: Conducted during the evaluation. </w:t>
      </w:r>
      <w:r w:rsidR="0002308C" w:rsidRPr="00583003">
        <w:rPr>
          <w:rFonts w:ascii="Arial Narrow" w:hAnsi="Arial Narrow"/>
          <w:iCs/>
          <w:sz w:val="18"/>
          <w:szCs w:val="18"/>
        </w:rPr>
        <w:t>Data sources for raw numbers permitting calculation of risk ratios: Table 14.2.1.3 of the EPIC-HR CSR (10/1038 in the nirmatrelvir and ritonavir arm and 66/1053 in the placebo arm), Table 17 of the EPIC-SR CSR (3/317 in the nirmatrelvir and ritonavir arm and 7/314 in the placebo arm)</w:t>
      </w:r>
    </w:p>
    <w:p w14:paraId="4FDF7F06" w14:textId="58A455CE" w:rsidR="0002308C" w:rsidRPr="00484AE9" w:rsidRDefault="0002308C" w:rsidP="0002308C">
      <w:pPr>
        <w:pStyle w:val="FooterTableFigure"/>
        <w:rPr>
          <w:rFonts w:eastAsia="Calibri"/>
          <w:szCs w:val="20"/>
        </w:rPr>
      </w:pPr>
    </w:p>
    <w:p w14:paraId="4C18DD2D" w14:textId="4524FA79" w:rsidR="0002308C" w:rsidRPr="00484AE9" w:rsidRDefault="0002308C" w:rsidP="0002308C">
      <w:pPr>
        <w:pStyle w:val="TableFigureHeading"/>
        <w:rPr>
          <w:iCs/>
        </w:rPr>
      </w:pPr>
      <w:bookmarkStart w:id="89" w:name="_Ref150951730"/>
      <w:r w:rsidRPr="00484AE9">
        <w:rPr>
          <w:iCs/>
        </w:rPr>
        <w:lastRenderedPageBreak/>
        <w:t xml:space="preserve">Figure </w:t>
      </w:r>
      <w:r w:rsidRPr="00484AE9">
        <w:rPr>
          <w:iCs/>
        </w:rPr>
        <w:fldChar w:fldCharType="begin"/>
      </w:r>
      <w:r w:rsidRPr="00484AE9">
        <w:rPr>
          <w:iCs/>
        </w:rPr>
        <w:instrText xml:space="preserve"> SEQ Figure \* ARABIC </w:instrText>
      </w:r>
      <w:r w:rsidRPr="00484AE9">
        <w:rPr>
          <w:iCs/>
        </w:rPr>
        <w:fldChar w:fldCharType="separate"/>
      </w:r>
      <w:r w:rsidR="00872657">
        <w:rPr>
          <w:iCs/>
          <w:noProof/>
        </w:rPr>
        <w:t>6</w:t>
      </w:r>
      <w:r w:rsidRPr="00484AE9">
        <w:rPr>
          <w:iCs/>
        </w:rPr>
        <w:fldChar w:fldCharType="end"/>
      </w:r>
      <w:bookmarkEnd w:id="89"/>
      <w:r w:rsidRPr="00484AE9">
        <w:rPr>
          <w:iCs/>
        </w:rPr>
        <w:t>: Meta-analysis of results (odds ratios) for the composite endpoint of hospitalisation or death from the nirmatrelvir and ritonavir trials (EPIC-HR and EPIC-SR)</w:t>
      </w:r>
    </w:p>
    <w:p w14:paraId="70E9D293" w14:textId="55317C5D" w:rsidR="0002308C" w:rsidRPr="00484AE9" w:rsidRDefault="0002308C" w:rsidP="0002308C">
      <w:pPr>
        <w:jc w:val="left"/>
        <w:rPr>
          <w:iCs/>
        </w:rPr>
      </w:pPr>
      <w:r w:rsidRPr="00484AE9">
        <w:rPr>
          <w:iCs/>
          <w:noProof/>
        </w:rPr>
        <mc:AlternateContent>
          <mc:Choice Requires="wps">
            <w:drawing>
              <wp:anchor distT="0" distB="0" distL="114300" distR="114300" simplePos="0" relativeHeight="251674624" behindDoc="0" locked="0" layoutInCell="1" allowOverlap="1" wp14:anchorId="7381BA5B" wp14:editId="6A6F9199">
                <wp:simplePos x="0" y="0"/>
                <wp:positionH relativeFrom="column">
                  <wp:posOffset>42641</wp:posOffset>
                </wp:positionH>
                <wp:positionV relativeFrom="paragraph">
                  <wp:posOffset>1628775</wp:posOffset>
                </wp:positionV>
                <wp:extent cx="1207008" cy="234086"/>
                <wp:effectExtent l="0" t="0" r="12700" b="13970"/>
                <wp:wrapNone/>
                <wp:docPr id="465948860" name="Rectangle 4659488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07008" cy="234086"/>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7FA05C" id="Rectangle 465948860" o:spid="_x0000_s1026" alt="&quot;&quot;" style="position:absolute;margin-left:3.35pt;margin-top:128.25pt;width:95.05pt;height:18.4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" fillcolor="white [3212]" strokecolor="white [3212]" strokeweight="2pt"/>
            </w:pict>
          </mc:Fallback>
        </mc:AlternateContent>
      </w:r>
      <w:r w:rsidRPr="00484AE9">
        <w:rPr>
          <w:iCs/>
          <w:noProof/>
        </w:rPr>
        <w:drawing>
          <wp:inline distT="0" distB="0" distL="0" distR="0" wp14:anchorId="262B9131" wp14:editId="05B61735">
            <wp:extent cx="5732145" cy="2489200"/>
            <wp:effectExtent l="0" t="0" r="1905" b="6350"/>
            <wp:docPr id="1432027728" name="Picture 1432027728" descr="Figure 6: Meta-analysis of results (odds ratios) for the composite endpoint of hospitalisation or death from the nirmatrelvir and ritonavir trials (EPIC-HR and EPIC-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027728" name="Picture 1432027728" descr="Figure 6: Meta-analysis of results (odds ratios) for the composite endpoint of hospitalisation or death from the nirmatrelvir and ritonavir trials (EPIC-HR and EPIC-SR)"/>
                    <pic:cNvPicPr/>
                  </pic:nvPicPr>
                  <pic:blipFill>
                    <a:blip r:embed="rId15"/>
                    <a:stretch>
                      <a:fillRect/>
                    </a:stretch>
                  </pic:blipFill>
                  <pic:spPr>
                    <a:xfrm>
                      <a:off x="0" y="0"/>
                      <a:ext cx="5732145" cy="2489200"/>
                    </a:xfrm>
                    <a:prstGeom prst="rect">
                      <a:avLst/>
                    </a:prstGeom>
                  </pic:spPr>
                </pic:pic>
              </a:graphicData>
            </a:graphic>
          </wp:inline>
        </w:drawing>
      </w:r>
    </w:p>
    <w:p w14:paraId="1BE422F6" w14:textId="6E756E13" w:rsidR="0002308C" w:rsidRPr="00583003" w:rsidRDefault="00F36D59" w:rsidP="00583003">
      <w:pPr>
        <w:spacing w:after="120"/>
        <w:rPr>
          <w:rFonts w:ascii="Arial Narrow" w:hAnsi="Arial Narrow"/>
          <w:iCs/>
          <w:sz w:val="18"/>
          <w:szCs w:val="18"/>
        </w:rPr>
      </w:pPr>
      <w:r w:rsidRPr="00583003">
        <w:rPr>
          <w:rFonts w:ascii="Arial Narrow" w:hAnsi="Arial Narrow"/>
          <w:sz w:val="18"/>
          <w:szCs w:val="18"/>
        </w:rPr>
        <w:t xml:space="preserve">Source: Conducted during the evaluation. </w:t>
      </w:r>
      <w:r w:rsidR="0002308C" w:rsidRPr="00583003">
        <w:rPr>
          <w:rFonts w:ascii="Arial Narrow" w:hAnsi="Arial Narrow"/>
          <w:iCs/>
          <w:sz w:val="18"/>
          <w:szCs w:val="18"/>
        </w:rPr>
        <w:t>Data sources for raw numbers permitting calculation of odds ratios: Table 14.2.1.3 of the EPIC-HR CSR (10/1038 in the nirmatrelvir and ritonavir arm and 66/1053 in the placebo arm), Table 15 of the EPIC-SR CSR (5/654 in the nirmatrelvir and ritonavir arm and 10/634 in the placebo arm)</w:t>
      </w:r>
    </w:p>
    <w:p w14:paraId="1A1DE9DF" w14:textId="09DDD95B" w:rsidR="0002308C" w:rsidRPr="00484AE9" w:rsidRDefault="0002308C" w:rsidP="0002308C">
      <w:pPr>
        <w:pStyle w:val="TableFigureHeading"/>
        <w:rPr>
          <w:iCs/>
        </w:rPr>
      </w:pPr>
      <w:bookmarkStart w:id="90" w:name="_Ref150951731"/>
      <w:r w:rsidRPr="00484AE9">
        <w:rPr>
          <w:iCs/>
        </w:rPr>
        <w:t xml:space="preserve">Figure </w:t>
      </w:r>
      <w:r w:rsidRPr="00484AE9">
        <w:rPr>
          <w:iCs/>
        </w:rPr>
        <w:fldChar w:fldCharType="begin"/>
      </w:r>
      <w:r w:rsidRPr="00484AE9">
        <w:rPr>
          <w:iCs/>
        </w:rPr>
        <w:instrText xml:space="preserve"> SEQ Figure \* ARABIC </w:instrText>
      </w:r>
      <w:r w:rsidRPr="00484AE9">
        <w:rPr>
          <w:iCs/>
        </w:rPr>
        <w:fldChar w:fldCharType="separate"/>
      </w:r>
      <w:r w:rsidR="00872657">
        <w:rPr>
          <w:iCs/>
          <w:noProof/>
        </w:rPr>
        <w:t>7</w:t>
      </w:r>
      <w:r w:rsidRPr="00484AE9">
        <w:rPr>
          <w:iCs/>
        </w:rPr>
        <w:fldChar w:fldCharType="end"/>
      </w:r>
      <w:bookmarkEnd w:id="90"/>
      <w:r w:rsidRPr="00484AE9">
        <w:rPr>
          <w:iCs/>
        </w:rPr>
        <w:t>: Meta-analysis of results (odds ratios) for the composite endpoint of hospitalisation or death from the nirmatrelvir and ritonavir trials (EPIC-HR and the high risk subgroup from EPIC-SR)</w:t>
      </w:r>
    </w:p>
    <w:p w14:paraId="08A1D3D3" w14:textId="36641484" w:rsidR="0002308C" w:rsidRPr="00484AE9" w:rsidRDefault="0002308C" w:rsidP="0002308C">
      <w:pPr>
        <w:rPr>
          <w:iCs/>
        </w:rPr>
      </w:pPr>
      <w:r w:rsidRPr="00484AE9">
        <w:rPr>
          <w:iCs/>
          <w:noProof/>
        </w:rPr>
        <mc:AlternateContent>
          <mc:Choice Requires="wps">
            <w:drawing>
              <wp:anchor distT="0" distB="0" distL="114300" distR="114300" simplePos="0" relativeHeight="251673600" behindDoc="0" locked="0" layoutInCell="1" allowOverlap="1" wp14:anchorId="3DE9DA74" wp14:editId="35A4FBFC">
                <wp:simplePos x="0" y="0"/>
                <wp:positionH relativeFrom="column">
                  <wp:posOffset>0</wp:posOffset>
                </wp:positionH>
                <wp:positionV relativeFrom="paragraph">
                  <wp:posOffset>1405560</wp:posOffset>
                </wp:positionV>
                <wp:extent cx="1207008" cy="234086"/>
                <wp:effectExtent l="0" t="0" r="12700" b="13970"/>
                <wp:wrapNone/>
                <wp:docPr id="1650860831" name="Rectangle 16508608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07008" cy="234086"/>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55DA54" id="Rectangle 1650860831" o:spid="_x0000_s1026" alt="&quot;&quot;" style="position:absolute;margin-left:0;margin-top:110.65pt;width:95.05pt;height:18.4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" fillcolor="white [3212]" strokecolor="white [3212]" strokeweight="2pt"/>
            </w:pict>
          </mc:Fallback>
        </mc:AlternateContent>
      </w:r>
      <w:r w:rsidRPr="00484AE9">
        <w:rPr>
          <w:iCs/>
          <w:noProof/>
        </w:rPr>
        <w:drawing>
          <wp:inline distT="0" distB="0" distL="0" distR="0" wp14:anchorId="5BA33AAA" wp14:editId="3069A81E">
            <wp:extent cx="5732145" cy="2412365"/>
            <wp:effectExtent l="0" t="0" r="1905" b="6985"/>
            <wp:docPr id="235893997" name="Picture 235893997" descr="Figure 7: Meta-analysis of results (odds ratios) for the composite endpoint of hospitalisation or death from the nirmatrelvir and ritonavir trials (EPIC-HR and the high risk subgroup from EPIC-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893997" name="Picture 235893997" descr="Figure 7: Meta-analysis of results (odds ratios) for the composite endpoint of hospitalisation or death from the nirmatrelvir and ritonavir trials (EPIC-HR and the high risk subgroup from EPIC-SR)"/>
                    <pic:cNvPicPr/>
                  </pic:nvPicPr>
                  <pic:blipFill>
                    <a:blip r:embed="rId16"/>
                    <a:stretch>
                      <a:fillRect/>
                    </a:stretch>
                  </pic:blipFill>
                  <pic:spPr>
                    <a:xfrm>
                      <a:off x="0" y="0"/>
                      <a:ext cx="5732145" cy="2412365"/>
                    </a:xfrm>
                    <a:prstGeom prst="rect">
                      <a:avLst/>
                    </a:prstGeom>
                  </pic:spPr>
                </pic:pic>
              </a:graphicData>
            </a:graphic>
          </wp:inline>
        </w:drawing>
      </w:r>
    </w:p>
    <w:p w14:paraId="01D8C53A" w14:textId="2A0CC5D1" w:rsidR="00396EBC" w:rsidRPr="00583003" w:rsidRDefault="00F36D59" w:rsidP="00583003">
      <w:pPr>
        <w:spacing w:after="120"/>
        <w:rPr>
          <w:rFonts w:ascii="Arial Narrow" w:hAnsi="Arial Narrow"/>
          <w:iCs/>
          <w:sz w:val="18"/>
          <w:szCs w:val="18"/>
        </w:rPr>
      </w:pPr>
      <w:r w:rsidRPr="00583003">
        <w:rPr>
          <w:rFonts w:ascii="Arial Narrow" w:hAnsi="Arial Narrow"/>
          <w:sz w:val="18"/>
          <w:szCs w:val="18"/>
        </w:rPr>
        <w:t xml:space="preserve">Source: Conducted during the evaluation. </w:t>
      </w:r>
      <w:r w:rsidR="0002308C" w:rsidRPr="00583003">
        <w:rPr>
          <w:rFonts w:ascii="Arial Narrow" w:hAnsi="Arial Narrow"/>
          <w:iCs/>
          <w:sz w:val="18"/>
          <w:szCs w:val="18"/>
        </w:rPr>
        <w:t>Data sources for raw numbers permitting calculation of odds ratios: Table 14.2.1.3 of the EPIC-HR CSR (10/1038 in the nirmatrelvir and ritonavir arm and 66/1053 in the placebo arm), Table 17 of the EPIC-SR CSR (3/317 in the nirmatrelvir and ritonavir arm and 7/314 in the placebo arm)</w:t>
      </w:r>
    </w:p>
    <w:p w14:paraId="275CA1AD" w14:textId="1FF49F37" w:rsidR="00696B6C" w:rsidRPr="00484AE9" w:rsidRDefault="00696B6C" w:rsidP="00F40641">
      <w:pPr>
        <w:pStyle w:val="4-SubsectionHeading"/>
      </w:pPr>
      <w:bookmarkStart w:id="91" w:name="_Toc144920971"/>
      <w:bookmarkStart w:id="92" w:name="_Toc145506599"/>
      <w:r w:rsidRPr="00484AE9">
        <w:t>L</w:t>
      </w:r>
      <w:r w:rsidR="00B13B35" w:rsidRPr="00484AE9">
        <w:t>ong</w:t>
      </w:r>
      <w:r w:rsidRPr="00484AE9">
        <w:t xml:space="preserve"> COVID</w:t>
      </w:r>
      <w:bookmarkEnd w:id="91"/>
      <w:bookmarkEnd w:id="92"/>
    </w:p>
    <w:p w14:paraId="47C45EB9" w14:textId="772ACEAA" w:rsidR="00645DF5" w:rsidRPr="00484AE9" w:rsidRDefault="00696B6C" w:rsidP="00E80892">
      <w:pPr>
        <w:pStyle w:val="3-BodyText"/>
        <w:rPr>
          <w:rStyle w:val="normaltextrun"/>
          <w:rFonts w:ascii="Arial Narrow" w:hAnsi="Arial Narrow"/>
          <w:b/>
          <w:sz w:val="20"/>
          <w:szCs w:val="16"/>
        </w:rPr>
      </w:pPr>
      <w:bookmarkStart w:id="93" w:name="_Ref144662992"/>
      <w:r w:rsidRPr="00484AE9">
        <w:rPr>
          <w:rStyle w:val="normaltextrun"/>
        </w:rPr>
        <w:t>Post-acute COVID</w:t>
      </w:r>
      <w:r w:rsidRPr="00484AE9">
        <w:rPr>
          <w:rStyle w:val="normaltextrun"/>
        </w:rPr>
        <w:noBreakHyphen/>
        <w:t>19 syndrome (PACS), also known as post-COVID syndrome (PCS), post-COVID condition, and long COVID (and referred to as long COVID hereafter) is a sequela of COVID</w:t>
      </w:r>
      <w:r w:rsidRPr="00484AE9">
        <w:rPr>
          <w:rStyle w:val="normaltextrun"/>
        </w:rPr>
        <w:noBreakHyphen/>
        <w:t xml:space="preserve">19 that can be characterised by symptom persistence for </w:t>
      </w:r>
      <w:r w:rsidR="004528EE" w:rsidRPr="00484AE9">
        <w:rPr>
          <w:rStyle w:val="normaltextrun"/>
        </w:rPr>
        <w:t>&gt;</w:t>
      </w:r>
      <w:r w:rsidR="004528EE">
        <w:rPr>
          <w:rStyle w:val="normaltextrun"/>
        </w:rPr>
        <w:t> </w:t>
      </w:r>
      <w:r w:rsidRPr="00484AE9">
        <w:rPr>
          <w:rStyle w:val="normaltextrun"/>
        </w:rPr>
        <w:t>3</w:t>
      </w:r>
      <w:r w:rsidR="00F76D9A">
        <w:rPr>
          <w:rStyle w:val="normaltextrun"/>
        </w:rPr>
        <w:t xml:space="preserve"> </w:t>
      </w:r>
      <w:r w:rsidRPr="00484AE9">
        <w:rPr>
          <w:rStyle w:val="normaltextrun"/>
        </w:rPr>
        <w:t>months, development of symptoms after the acute phase of COVID</w:t>
      </w:r>
      <w:r w:rsidRPr="00484AE9">
        <w:rPr>
          <w:rStyle w:val="normaltextrun"/>
        </w:rPr>
        <w:noBreakHyphen/>
        <w:t>19, and worsening of pre-existing comorbidities. As noted by the submission, following a referral on 1</w:t>
      </w:r>
      <w:r w:rsidR="00871549" w:rsidRPr="00484AE9">
        <w:rPr>
          <w:rStyle w:val="normaltextrun"/>
        </w:rPr>
        <w:t> </w:t>
      </w:r>
      <w:r w:rsidRPr="00484AE9">
        <w:rPr>
          <w:rStyle w:val="normaltextrun"/>
        </w:rPr>
        <w:t xml:space="preserve">September 2022 from the Minister for Health and Aged Care, the Hon Mark Butler MP, the </w:t>
      </w:r>
      <w:bookmarkStart w:id="94" w:name="_Hlk144663287"/>
      <w:r w:rsidRPr="00484AE9">
        <w:rPr>
          <w:rStyle w:val="normaltextrun"/>
        </w:rPr>
        <w:t xml:space="preserve">House Standing Committee on Health, Aged Care and Sport inquired into and </w:t>
      </w:r>
      <w:r w:rsidRPr="00484AE9">
        <w:rPr>
          <w:rStyle w:val="normaltextrun"/>
        </w:rPr>
        <w:lastRenderedPageBreak/>
        <w:t>reported on long COVID and repeated COVID infections</w:t>
      </w:r>
      <w:bookmarkEnd w:id="94"/>
      <w:r w:rsidRPr="00484AE9">
        <w:rPr>
          <w:rStyle w:val="normaltextrun"/>
        </w:rPr>
        <w:t>. The Committee published its report ‘Sick and tired: Casting a long shadow’ on 24</w:t>
      </w:r>
      <w:r w:rsidR="00F76D9A">
        <w:rPr>
          <w:rStyle w:val="normaltextrun"/>
        </w:rPr>
        <w:t xml:space="preserve"> </w:t>
      </w:r>
      <w:r w:rsidRPr="00484AE9">
        <w:rPr>
          <w:rStyle w:val="normaltextrun"/>
        </w:rPr>
        <w:t>April</w:t>
      </w:r>
      <w:r w:rsidR="00F76D9A">
        <w:rPr>
          <w:rStyle w:val="normaltextrun"/>
        </w:rPr>
        <w:t xml:space="preserve"> </w:t>
      </w:r>
      <w:r w:rsidRPr="00484AE9">
        <w:rPr>
          <w:rStyle w:val="normaltextrun"/>
        </w:rPr>
        <w:t>2023</w:t>
      </w:r>
      <w:r w:rsidR="000523A1" w:rsidRPr="00484AE9">
        <w:rPr>
          <w:rStyle w:val="FootnoteReference"/>
        </w:rPr>
        <w:footnoteReference w:id="11"/>
      </w:r>
      <w:r w:rsidRPr="00484AE9">
        <w:rPr>
          <w:rStyle w:val="normaltextrun"/>
        </w:rPr>
        <w:t>. The report highlight</w:t>
      </w:r>
      <w:r w:rsidR="00FB5FED" w:rsidRPr="00484AE9">
        <w:rPr>
          <w:rStyle w:val="normaltextrun"/>
        </w:rPr>
        <w:t>ed</w:t>
      </w:r>
      <w:r w:rsidRPr="00484AE9">
        <w:rPr>
          <w:rStyle w:val="normaltextrun"/>
        </w:rPr>
        <w:t xml:space="preserve"> that there is not, at present, an agreed definition of what constitutes long COVID and there is a poor understanding of the causes and predictors of long COVID. As discussed in paragraph </w:t>
      </w:r>
      <w:r w:rsidRPr="00484AE9">
        <w:rPr>
          <w:rStyle w:val="normaltextrun"/>
        </w:rPr>
        <w:fldChar w:fldCharType="begin"/>
      </w:r>
      <w:r w:rsidRPr="00484AE9">
        <w:rPr>
          <w:rStyle w:val="normaltextrun"/>
        </w:rPr>
        <w:instrText xml:space="preserve"> REF _Ref144684222 \r \h </w:instrText>
      </w:r>
      <w:r w:rsidRPr="00484AE9">
        <w:rPr>
          <w:rStyle w:val="normaltextrun"/>
        </w:rPr>
      </w:r>
      <w:r w:rsidRPr="00484AE9">
        <w:rPr>
          <w:rStyle w:val="normaltextrun"/>
        </w:rPr>
        <w:fldChar w:fldCharType="separate"/>
      </w:r>
      <w:r w:rsidR="00872657">
        <w:rPr>
          <w:rStyle w:val="normaltextrun"/>
        </w:rPr>
        <w:t>6.64</w:t>
      </w:r>
      <w:r w:rsidRPr="00484AE9">
        <w:rPr>
          <w:rStyle w:val="normaltextrun"/>
        </w:rPr>
        <w:fldChar w:fldCharType="end"/>
      </w:r>
      <w:r w:rsidRPr="00484AE9">
        <w:rPr>
          <w:rStyle w:val="normaltextrun"/>
        </w:rPr>
        <w:t xml:space="preserve">, the modelled economic evaluation presented in the submission assumed a reduced incidence of long COVID in patients treated with nirmatrelvir and ritonavir. However, as acknowledged by the submission, the effectiveness of nirmatrelvir and ritonavir in preventing PACS was not reported by any of the published trials, studies or </w:t>
      </w:r>
      <w:r w:rsidR="00C82D49" w:rsidRPr="00484AE9">
        <w:rPr>
          <w:rStyle w:val="normaltextrun"/>
        </w:rPr>
        <w:t>meta-analyses</w:t>
      </w:r>
      <w:r w:rsidRPr="00484AE9">
        <w:rPr>
          <w:rStyle w:val="normaltextrun"/>
        </w:rPr>
        <w:t xml:space="preserve"> presented in the section of the submission that presented the clinical evidence. It </w:t>
      </w:r>
      <w:r w:rsidR="0033590E" w:rsidRPr="00484AE9">
        <w:rPr>
          <w:rStyle w:val="normaltextrun"/>
        </w:rPr>
        <w:t>was</w:t>
      </w:r>
      <w:r w:rsidR="00A3572F" w:rsidRPr="00484AE9">
        <w:rPr>
          <w:rStyle w:val="normaltextrun"/>
        </w:rPr>
        <w:t xml:space="preserve"> </w:t>
      </w:r>
      <w:r w:rsidRPr="00484AE9">
        <w:rPr>
          <w:rStyle w:val="normaltextrun"/>
        </w:rPr>
        <w:t xml:space="preserve">not reported that a systematic search of the literature was conducted to identify studies that examine the impact of treatment with nirmatrelvir and ritonavir on incidence of long COVID. </w:t>
      </w:r>
    </w:p>
    <w:p w14:paraId="26699054" w14:textId="42F63196" w:rsidR="00CF3E80" w:rsidRPr="00484AE9" w:rsidRDefault="00696B6C" w:rsidP="008B03CB">
      <w:pPr>
        <w:pStyle w:val="3-BodyText"/>
        <w:rPr>
          <w:rStyle w:val="normaltextrun"/>
        </w:rPr>
      </w:pPr>
      <w:r w:rsidRPr="00484AE9">
        <w:rPr>
          <w:rStyle w:val="normaltextrun"/>
        </w:rPr>
        <w:t>The assumption in the economic evaluation of a reduced incidence of long COVID following treatment was based on a single retrospective observational cohort study reported by Xie et al, 2023</w:t>
      </w:r>
      <w:r w:rsidR="00881B10" w:rsidRPr="00484AE9">
        <w:rPr>
          <w:rStyle w:val="FootnoteReference"/>
        </w:rPr>
        <w:footnoteReference w:id="12"/>
      </w:r>
      <w:r w:rsidRPr="00484AE9">
        <w:rPr>
          <w:rStyle w:val="normaltextrun"/>
        </w:rPr>
        <w:t>. This cohort study used the databases of the US Department of Veterans Affairs to identify patients with at least one risk factor for progression to severe COVID</w:t>
      </w:r>
      <w:r w:rsidRPr="00484AE9">
        <w:rPr>
          <w:rStyle w:val="normaltextrun"/>
        </w:rPr>
        <w:noBreakHyphen/>
        <w:t xml:space="preserve">19, who tested positive for SARS-CoV-2 in the period from 3 January 2022 to 31 December 2022, were treated with nirmatrelvir </w:t>
      </w:r>
      <w:r w:rsidR="00243DF4" w:rsidRPr="00484AE9">
        <w:rPr>
          <w:rStyle w:val="normaltextrun"/>
        </w:rPr>
        <w:t>(</w:t>
      </w:r>
      <w:r w:rsidRPr="00484AE9">
        <w:rPr>
          <w:rStyle w:val="normaltextrun"/>
        </w:rPr>
        <w:t>(n = 35,717) or received no COVID</w:t>
      </w:r>
      <w:r w:rsidRPr="00484AE9">
        <w:rPr>
          <w:rStyle w:val="normaltextrun"/>
        </w:rPr>
        <w:noBreakHyphen/>
        <w:t>19 antiviral or antibody treatment (n</w:t>
      </w:r>
      <w:r w:rsidR="005C2D41" w:rsidRPr="00484AE9">
        <w:rPr>
          <w:rStyle w:val="normaltextrun"/>
        </w:rPr>
        <w:t> </w:t>
      </w:r>
      <w:r w:rsidRPr="00484AE9">
        <w:rPr>
          <w:rStyle w:val="normaltextrun"/>
        </w:rPr>
        <w:t>=</w:t>
      </w:r>
      <w:r w:rsidR="005C2D41" w:rsidRPr="00484AE9">
        <w:rPr>
          <w:rStyle w:val="normaltextrun"/>
        </w:rPr>
        <w:t> </w:t>
      </w:r>
      <w:r w:rsidRPr="00484AE9">
        <w:rPr>
          <w:rStyle w:val="normaltextrun"/>
        </w:rPr>
        <w:t xml:space="preserve">246, 076) within 5 days of the positive test and survived the first 30 days after diagnosis of SARS-CoV-2 infection. </w:t>
      </w:r>
      <w:r w:rsidR="001E7845" w:rsidRPr="00484AE9">
        <w:rPr>
          <w:rStyle w:val="normaltextrun"/>
        </w:rPr>
        <w:t xml:space="preserve">The authors noted that nirmatrelvir </w:t>
      </w:r>
      <w:r w:rsidR="000C3769" w:rsidRPr="00484AE9">
        <w:rPr>
          <w:rStyle w:val="normaltextrun"/>
        </w:rPr>
        <w:t xml:space="preserve">is </w:t>
      </w:r>
      <w:r w:rsidR="001E7845" w:rsidRPr="00484AE9">
        <w:rPr>
          <w:rStyle w:val="normaltextrun"/>
        </w:rPr>
        <w:t xml:space="preserve">marketed </w:t>
      </w:r>
      <w:r w:rsidR="00E85CD1" w:rsidRPr="00484AE9">
        <w:rPr>
          <w:rStyle w:val="normaltextrun"/>
        </w:rPr>
        <w:t>in combination with ritonavir,</w:t>
      </w:r>
      <w:r w:rsidR="000C3769" w:rsidRPr="00484AE9">
        <w:rPr>
          <w:rStyle w:val="normaltextrun"/>
        </w:rPr>
        <w:t xml:space="preserve"> however the </w:t>
      </w:r>
      <w:r w:rsidR="00437147" w:rsidRPr="00484AE9">
        <w:rPr>
          <w:rStyle w:val="normaltextrun"/>
        </w:rPr>
        <w:t xml:space="preserve">cohorts </w:t>
      </w:r>
      <w:r w:rsidR="009E426C" w:rsidRPr="00484AE9">
        <w:rPr>
          <w:rStyle w:val="normaltextrun"/>
        </w:rPr>
        <w:t xml:space="preserve">were </w:t>
      </w:r>
      <w:r w:rsidR="009F58F9" w:rsidRPr="00484AE9">
        <w:rPr>
          <w:rStyle w:val="normaltextrun"/>
        </w:rPr>
        <w:t>defined</w:t>
      </w:r>
      <w:r w:rsidR="00083DF0" w:rsidRPr="00484AE9">
        <w:rPr>
          <w:rStyle w:val="normaltextrun"/>
        </w:rPr>
        <w:t xml:space="preserve"> as </w:t>
      </w:r>
      <w:r w:rsidR="00437147" w:rsidRPr="00484AE9">
        <w:rPr>
          <w:rStyle w:val="normaltextrun"/>
        </w:rPr>
        <w:t xml:space="preserve">nirmatrelvir group and control group. </w:t>
      </w:r>
      <w:r w:rsidRPr="00484AE9">
        <w:rPr>
          <w:rStyle w:val="normaltextrun"/>
        </w:rPr>
        <w:t xml:space="preserve">13 post-acute sequelae (ischaemic heart disease, dysrhythmia, deep vein thrombosis, pulmonary embolism, fatigue and malaise, liver disease, acute kidney injury, muscle pain, diabetes, neurocognitive impairment, dysautonomia, and shortness of breath and cough) were given weights and the sum of the weights of incident sequelae over the period of follow up was generated. A propensity score for being prescribed nirmatrelvir was derived based on data collected in the period before the study period. Inverse probability weights were applied to the control group to estimate the association within </w:t>
      </w:r>
      <w:r w:rsidR="001B380A" w:rsidRPr="00484AE9">
        <w:rPr>
          <w:rStyle w:val="normaltextrun"/>
        </w:rPr>
        <w:t>a</w:t>
      </w:r>
      <w:r w:rsidRPr="00484AE9">
        <w:rPr>
          <w:rStyle w:val="normaltextrun"/>
        </w:rPr>
        <w:t xml:space="preserve"> population with </w:t>
      </w:r>
      <w:r w:rsidR="001B380A" w:rsidRPr="00484AE9">
        <w:rPr>
          <w:rStyle w:val="normaltextrun"/>
        </w:rPr>
        <w:t>the</w:t>
      </w:r>
      <w:r w:rsidRPr="00484AE9">
        <w:rPr>
          <w:rStyle w:val="normaltextrun"/>
        </w:rPr>
        <w:t xml:space="preserve"> same baseline characteristics as the nirmatrelvir. </w:t>
      </w:r>
      <w:r w:rsidR="000E0BFC" w:rsidRPr="00484AE9">
        <w:rPr>
          <w:rStyle w:val="normaltextrun"/>
        </w:rPr>
        <w:t xml:space="preserve">Xie et al, </w:t>
      </w:r>
      <w:r w:rsidR="0003031A" w:rsidRPr="00484AE9">
        <w:rPr>
          <w:rStyle w:val="normaltextrun"/>
        </w:rPr>
        <w:t>(</w:t>
      </w:r>
      <w:r w:rsidR="000E0BFC" w:rsidRPr="00484AE9">
        <w:rPr>
          <w:rStyle w:val="normaltextrun"/>
        </w:rPr>
        <w:t>2023</w:t>
      </w:r>
      <w:r w:rsidR="0003031A" w:rsidRPr="00484AE9">
        <w:rPr>
          <w:rStyle w:val="normaltextrun"/>
        </w:rPr>
        <w:t xml:space="preserve">) </w:t>
      </w:r>
      <w:r w:rsidR="00CF3E80" w:rsidRPr="00484AE9">
        <w:rPr>
          <w:rStyle w:val="normaltextrun"/>
        </w:rPr>
        <w:t xml:space="preserve">estimated that compared with untreated patients, nirmatrelvir reduced PACS risk by 26% (RR=0.74; 95% CI: 0.72-0.77). </w:t>
      </w:r>
    </w:p>
    <w:p w14:paraId="64C23D42" w14:textId="5CE18D2D" w:rsidR="00333F0A" w:rsidRPr="00484AE9" w:rsidRDefault="00D62030" w:rsidP="00557632">
      <w:pPr>
        <w:pStyle w:val="3-BodyText"/>
        <w:rPr>
          <w:rStyle w:val="normaltextrun"/>
          <w:iCs/>
        </w:rPr>
      </w:pPr>
      <w:r w:rsidRPr="00484AE9">
        <w:rPr>
          <w:rStyle w:val="normaltextrun"/>
          <w:iCs/>
        </w:rPr>
        <w:t>The ESC noted that a</w:t>
      </w:r>
      <w:r w:rsidR="00077A93" w:rsidRPr="00484AE9">
        <w:rPr>
          <w:rStyle w:val="normaltextrun"/>
          <w:iCs/>
        </w:rPr>
        <w:t xml:space="preserve"> </w:t>
      </w:r>
      <w:r w:rsidRPr="00484AE9">
        <w:rPr>
          <w:rStyle w:val="normaltextrun"/>
          <w:iCs/>
        </w:rPr>
        <w:t>quick</w:t>
      </w:r>
      <w:r w:rsidR="00077A93" w:rsidRPr="00484AE9">
        <w:rPr>
          <w:rStyle w:val="normaltextrun"/>
          <w:iCs/>
        </w:rPr>
        <w:t xml:space="preserve"> search of the literature </w:t>
      </w:r>
      <w:r w:rsidR="001014C9" w:rsidRPr="00484AE9">
        <w:rPr>
          <w:iCs/>
        </w:rPr>
        <w:t xml:space="preserve">conducted during the evaluation </w:t>
      </w:r>
      <w:r w:rsidR="00077A93" w:rsidRPr="00484AE9">
        <w:rPr>
          <w:rStyle w:val="normaltextrun"/>
          <w:iCs/>
        </w:rPr>
        <w:t>iden</w:t>
      </w:r>
      <w:r w:rsidR="00D70831" w:rsidRPr="00484AE9">
        <w:rPr>
          <w:rStyle w:val="normaltextrun"/>
          <w:iCs/>
        </w:rPr>
        <w:t>tified</w:t>
      </w:r>
      <w:r w:rsidR="00C00BC4" w:rsidRPr="00484AE9">
        <w:rPr>
          <w:rStyle w:val="normaltextrun"/>
          <w:iCs/>
        </w:rPr>
        <w:t xml:space="preserve"> reports of </w:t>
      </w:r>
      <w:r w:rsidR="00557632" w:rsidRPr="00484AE9">
        <w:rPr>
          <w:rStyle w:val="normaltextrun"/>
          <w:iCs/>
        </w:rPr>
        <w:t>two studies that investigated</w:t>
      </w:r>
      <w:r w:rsidR="00CF2FA2" w:rsidRPr="00484AE9">
        <w:rPr>
          <w:rStyle w:val="normaltextrun"/>
          <w:iCs/>
        </w:rPr>
        <w:t xml:space="preserve"> whether nirmatrelvir and ritonavir reduced the risk of long COVID 19. Neither of the studies found that nirmatrelvir and ritonavir reduce</w:t>
      </w:r>
      <w:r w:rsidR="00333F0A" w:rsidRPr="00484AE9">
        <w:rPr>
          <w:rStyle w:val="normaltextrun"/>
          <w:iCs/>
        </w:rPr>
        <w:t>d</w:t>
      </w:r>
      <w:r w:rsidR="00CF2FA2" w:rsidRPr="00484AE9">
        <w:rPr>
          <w:rStyle w:val="normaltextrun"/>
          <w:iCs/>
        </w:rPr>
        <w:t xml:space="preserve"> the risk of long COVID</w:t>
      </w:r>
      <w:r w:rsidR="00333F0A" w:rsidRPr="00484AE9">
        <w:rPr>
          <w:rStyle w:val="normaltextrun"/>
          <w:iCs/>
        </w:rPr>
        <w:t>:</w:t>
      </w:r>
    </w:p>
    <w:p w14:paraId="165340DB" w14:textId="6BAD1EFB" w:rsidR="00333F0A" w:rsidRPr="00484AE9" w:rsidRDefault="00557632" w:rsidP="00F32A93">
      <w:pPr>
        <w:pStyle w:val="3-BodyText"/>
        <w:numPr>
          <w:ilvl w:val="2"/>
          <w:numId w:val="1"/>
        </w:numPr>
        <w:ind w:left="1080"/>
        <w:rPr>
          <w:rStyle w:val="normaltextrun"/>
          <w:rFonts w:ascii="Calibri" w:hAnsi="Calibri"/>
          <w:iCs/>
          <w:snapToGrid/>
        </w:rPr>
      </w:pPr>
      <w:r w:rsidRPr="00484AE9">
        <w:rPr>
          <w:rStyle w:val="normaltextrun"/>
          <w:iCs/>
        </w:rPr>
        <w:lastRenderedPageBreak/>
        <w:t>A pre-print article by Durstenfeld</w:t>
      </w:r>
      <w:r w:rsidR="000F5706" w:rsidRPr="00484AE9">
        <w:rPr>
          <w:rStyle w:val="normaltextrun"/>
          <w:iCs/>
        </w:rPr>
        <w:t xml:space="preserve"> 2023</w:t>
      </w:r>
      <w:r w:rsidR="004809D8" w:rsidRPr="00484AE9">
        <w:rPr>
          <w:rStyle w:val="FootnoteReference"/>
          <w:iCs/>
        </w:rPr>
        <w:footnoteReference w:id="13"/>
      </w:r>
      <w:r w:rsidRPr="00484AE9">
        <w:rPr>
          <w:rStyle w:val="normaltextrun"/>
          <w:iCs/>
        </w:rPr>
        <w:t xml:space="preserve"> report</w:t>
      </w:r>
      <w:r w:rsidR="00D62030" w:rsidRPr="00484AE9">
        <w:rPr>
          <w:rStyle w:val="normaltextrun"/>
          <w:iCs/>
        </w:rPr>
        <w:t>ed</w:t>
      </w:r>
      <w:r w:rsidRPr="00484AE9">
        <w:rPr>
          <w:rStyle w:val="normaltextrun"/>
          <w:iCs/>
        </w:rPr>
        <w:t xml:space="preserve"> results from an observational study funded by the Bill &amp; Melinda Gates Foundation that examined outcomes in 4,684 individuals experiencing their first known SARS-CoV-2 infection and investigated whether those treated with nirmatrelvir and ritonavir reported lower rates of long COVID compared to untreated patients. The authors report that they “did not find evidence that treatment with oral nirmatrelvir/ritonavir during the acute phase of COVID-19 was associated with a lower prevalence of patient-reported Long COVID symptoms at least 90 days after infection among vaccinated, non-hospitalized individuals experiencing their first known SARS-CoV-2 infection”.</w:t>
      </w:r>
    </w:p>
    <w:p w14:paraId="67B65D50" w14:textId="3E358495" w:rsidR="00557632" w:rsidRPr="00484AE9" w:rsidRDefault="00557632" w:rsidP="00F32A93">
      <w:pPr>
        <w:pStyle w:val="3-BodyText"/>
        <w:numPr>
          <w:ilvl w:val="2"/>
          <w:numId w:val="1"/>
        </w:numPr>
        <w:ind w:left="1080"/>
        <w:rPr>
          <w:rStyle w:val="normaltextrun"/>
          <w:iCs/>
        </w:rPr>
      </w:pPr>
      <w:r w:rsidRPr="00484AE9">
        <w:rPr>
          <w:rStyle w:val="normaltextrun"/>
          <w:iCs/>
        </w:rPr>
        <w:t>Similarly, Chuang 2023</w:t>
      </w:r>
      <w:r w:rsidR="00345ECF" w:rsidRPr="00484AE9">
        <w:rPr>
          <w:rStyle w:val="FootnoteReference"/>
          <w:iCs/>
        </w:rPr>
        <w:footnoteReference w:id="14"/>
      </w:r>
      <w:r w:rsidRPr="00484AE9">
        <w:rPr>
          <w:rStyle w:val="normaltextrun"/>
          <w:iCs/>
        </w:rPr>
        <w:t xml:space="preserve"> report</w:t>
      </w:r>
      <w:r w:rsidR="00D62030" w:rsidRPr="00484AE9">
        <w:rPr>
          <w:rStyle w:val="normaltextrun"/>
          <w:iCs/>
        </w:rPr>
        <w:t>ed</w:t>
      </w:r>
      <w:r w:rsidRPr="00484AE9">
        <w:rPr>
          <w:rStyle w:val="normaltextrun"/>
          <w:iCs/>
        </w:rPr>
        <w:t xml:space="preserve"> the results of a retrospective cohort study that examined the risk of post-acute symptoms in 24,490 patients treated with either nirmatrelvir and ritonavir or were untreated and found that the overall risk of post</w:t>
      </w:r>
      <w:r w:rsidR="00D62030" w:rsidRPr="00484AE9">
        <w:rPr>
          <w:rStyle w:val="normaltextrun"/>
          <w:iCs/>
        </w:rPr>
        <w:noBreakHyphen/>
      </w:r>
      <w:r w:rsidRPr="00484AE9">
        <w:rPr>
          <w:rStyle w:val="normaltextrun"/>
          <w:iCs/>
        </w:rPr>
        <w:t>acute COVID-19 symptoms did not significantly differ between the two groups.</w:t>
      </w:r>
    </w:p>
    <w:p w14:paraId="7CB97539" w14:textId="1E040392" w:rsidR="00B76762" w:rsidRPr="00484AE9" w:rsidRDefault="001014C9" w:rsidP="00B76762">
      <w:pPr>
        <w:pStyle w:val="3-BodyText"/>
        <w:rPr>
          <w:rStyle w:val="normaltextrun"/>
          <w:rFonts w:ascii="Arial Narrow" w:hAnsi="Arial Narrow"/>
          <w:b/>
          <w:sz w:val="20"/>
          <w:szCs w:val="16"/>
        </w:rPr>
      </w:pPr>
      <w:bookmarkStart w:id="95" w:name="_Ref152081456"/>
      <w:r w:rsidRPr="00484AE9">
        <w:rPr>
          <w:rStyle w:val="normaltextrun"/>
          <w:iCs/>
        </w:rPr>
        <w:t xml:space="preserve">The </w:t>
      </w:r>
      <w:r w:rsidR="001F2CE5" w:rsidRPr="00484AE9">
        <w:rPr>
          <w:rStyle w:val="normaltextrun"/>
          <w:iCs/>
        </w:rPr>
        <w:t xml:space="preserve">ESC noted that the </w:t>
      </w:r>
      <w:r w:rsidRPr="00484AE9">
        <w:rPr>
          <w:rStyle w:val="normaltextrun"/>
          <w:iCs/>
        </w:rPr>
        <w:t>submission did not appear to have conducted a systematic search of the literature, instead relying on a single publication (Xie et al, 2023)</w:t>
      </w:r>
      <w:r w:rsidR="00A62B3A" w:rsidRPr="00484AE9">
        <w:rPr>
          <w:rStyle w:val="normaltextrun"/>
          <w:iCs/>
        </w:rPr>
        <w:t xml:space="preserve">. </w:t>
      </w:r>
      <w:r w:rsidRPr="00484AE9">
        <w:rPr>
          <w:rStyle w:val="normaltextrun"/>
          <w:iCs/>
        </w:rPr>
        <w:t>The ESC noted the potential for Xie et al to be a biased representation of the evidence, with high potential for confounded results due to its observational study design</w:t>
      </w:r>
      <w:r w:rsidR="00A62B3A" w:rsidRPr="00484AE9">
        <w:rPr>
          <w:rStyle w:val="normaltextrun"/>
          <w:iCs/>
        </w:rPr>
        <w:t xml:space="preserve">. </w:t>
      </w:r>
      <w:r w:rsidRPr="00484AE9">
        <w:rPr>
          <w:rStyle w:val="normaltextrun"/>
          <w:iCs/>
        </w:rPr>
        <w:t>The ESC did not consider that Xie et al constituted an adequat</w:t>
      </w:r>
      <w:r w:rsidR="001F2CE5" w:rsidRPr="00484AE9">
        <w:rPr>
          <w:rStyle w:val="normaltextrun"/>
          <w:iCs/>
        </w:rPr>
        <w:t>e basis for claiming that nirmatrelvir and ritonavir reduces the incidence of long COVID.</w:t>
      </w:r>
      <w:bookmarkEnd w:id="93"/>
      <w:bookmarkEnd w:id="95"/>
    </w:p>
    <w:p w14:paraId="397FE6BA" w14:textId="6502AB65" w:rsidR="00B76762" w:rsidRPr="00583003" w:rsidRDefault="00B76762" w:rsidP="00583003">
      <w:pPr>
        <w:pStyle w:val="3-BodyText"/>
      </w:pPr>
      <w:r w:rsidRPr="00484AE9">
        <w:t xml:space="preserve">The PBAC noted that an additional study </w:t>
      </w:r>
      <w:r w:rsidR="006059E0" w:rsidRPr="00484AE9">
        <w:t xml:space="preserve">based on U.S. Department of Veterans Affairs (VA) data </w:t>
      </w:r>
      <w:r w:rsidR="008C3A42" w:rsidRPr="00484AE9">
        <w:t xml:space="preserve">was </w:t>
      </w:r>
      <w:r w:rsidRPr="00484AE9">
        <w:t>published by Ioannou et al</w:t>
      </w:r>
      <w:r w:rsidR="008C3A42" w:rsidRPr="00484AE9">
        <w:t xml:space="preserve"> on 31 October 2023</w:t>
      </w:r>
      <w:r w:rsidR="006059E0" w:rsidRPr="00484AE9">
        <w:rPr>
          <w:vertAlign w:val="superscript"/>
        </w:rPr>
        <w:footnoteReference w:id="15"/>
      </w:r>
      <w:r w:rsidR="008C3A42" w:rsidRPr="00484AE9">
        <w:t xml:space="preserve">, which </w:t>
      </w:r>
      <w:r w:rsidR="006059E0" w:rsidRPr="00484AE9">
        <w:t>reported results that differed from those of the study by Xie and colleagues</w:t>
      </w:r>
      <w:r w:rsidR="00A62B3A" w:rsidRPr="00484AE9">
        <w:t xml:space="preserve">. </w:t>
      </w:r>
      <w:r w:rsidR="006059E0" w:rsidRPr="00484AE9">
        <w:t xml:space="preserve">The </w:t>
      </w:r>
      <w:r w:rsidR="008C3A42" w:rsidRPr="00484AE9">
        <w:t>authors</w:t>
      </w:r>
      <w:r w:rsidR="006059E0" w:rsidRPr="00484AE9">
        <w:t xml:space="preserve"> r</w:t>
      </w:r>
      <w:r w:rsidR="008C3A42" w:rsidRPr="00484AE9">
        <w:t>e</w:t>
      </w:r>
      <w:r w:rsidR="006059E0" w:rsidRPr="00484AE9">
        <w:t xml:space="preserve">ported that </w:t>
      </w:r>
      <w:r w:rsidR="00FB5FED" w:rsidRPr="00484AE9">
        <w:rPr>
          <w:rStyle w:val="normaltextrun"/>
          <w:iCs/>
        </w:rPr>
        <w:t xml:space="preserve">nirmatrelvir and ritonavir </w:t>
      </w:r>
      <w:r w:rsidR="008C3A42" w:rsidRPr="00484AE9">
        <w:t>was not effective at reducing the risk for many of the post–COVID-19 conditions (PCCs) after acute infection that were examined compared with no treatment</w:t>
      </w:r>
      <w:r w:rsidR="006059E0" w:rsidRPr="00484AE9">
        <w:t>, including</w:t>
      </w:r>
      <w:r w:rsidR="008C3A42" w:rsidRPr="00484AE9">
        <w:t xml:space="preserve"> </w:t>
      </w:r>
      <w:r w:rsidR="006059E0" w:rsidRPr="00484AE9">
        <w:t>cardiac, pulmonary, renal, gastrointestinal, neurologic, mental</w:t>
      </w:r>
      <w:r w:rsidR="008C3A42" w:rsidRPr="00484AE9">
        <w:t xml:space="preserve"> </w:t>
      </w:r>
      <w:r w:rsidR="006059E0" w:rsidRPr="00484AE9">
        <w:t>health, musculoskeletal, endocrine, and general conditions</w:t>
      </w:r>
      <w:r w:rsidR="008C3A42" w:rsidRPr="00484AE9">
        <w:t xml:space="preserve"> </w:t>
      </w:r>
      <w:r w:rsidR="006059E0" w:rsidRPr="00484AE9">
        <w:t xml:space="preserve">and symptoms. </w:t>
      </w:r>
      <w:r w:rsidR="008C3A42" w:rsidRPr="00484AE9">
        <w:t xml:space="preserve">The study found that out of 31 potential PCCs, that </w:t>
      </w:r>
      <w:r w:rsidR="00FB5FED" w:rsidRPr="00484AE9">
        <w:rPr>
          <w:rStyle w:val="normaltextrun"/>
          <w:iCs/>
        </w:rPr>
        <w:t xml:space="preserve">nirmatrelvir and ritonavir </w:t>
      </w:r>
      <w:r w:rsidR="008C3A42" w:rsidRPr="00484AE9">
        <w:t>was associated only with a reduced risk for combined thromboembolic events</w:t>
      </w:r>
      <w:r w:rsidR="00A62B3A" w:rsidRPr="00484AE9">
        <w:t xml:space="preserve">. </w:t>
      </w:r>
      <w:r w:rsidR="0088363A" w:rsidRPr="00484AE9">
        <w:t xml:space="preserve">The authors reported that </w:t>
      </w:r>
      <w:r w:rsidR="008C3A42" w:rsidRPr="00484AE9">
        <w:t>given the large number of outcomes</w:t>
      </w:r>
      <w:r w:rsidR="0088363A" w:rsidRPr="00484AE9">
        <w:t xml:space="preserve"> assessed</w:t>
      </w:r>
      <w:r w:rsidR="008C3A42" w:rsidRPr="00484AE9">
        <w:t xml:space="preserve">, the </w:t>
      </w:r>
      <w:r w:rsidR="0088363A" w:rsidRPr="00484AE9">
        <w:t xml:space="preserve">observed </w:t>
      </w:r>
      <w:r w:rsidR="008C3A42" w:rsidRPr="00484AE9">
        <w:t xml:space="preserve">association between </w:t>
      </w:r>
      <w:r w:rsidR="00FB5FED" w:rsidRPr="00484AE9">
        <w:rPr>
          <w:rStyle w:val="normaltextrun"/>
          <w:iCs/>
        </w:rPr>
        <w:t xml:space="preserve">nirmatrelvir and ritonavir </w:t>
      </w:r>
      <w:r w:rsidR="008C3A42" w:rsidRPr="00484AE9">
        <w:t>treatment and lower incidence of combined thromboembolic events could have arisen by chance.</w:t>
      </w:r>
    </w:p>
    <w:p w14:paraId="1452C351" w14:textId="0D19F1B0" w:rsidR="00B60939" w:rsidRPr="00484AE9" w:rsidRDefault="00B60939" w:rsidP="00F40641">
      <w:pPr>
        <w:pStyle w:val="4-SubsectionHeading"/>
      </w:pPr>
      <w:bookmarkStart w:id="96" w:name="_Toc22897642"/>
      <w:bookmarkStart w:id="97" w:name="_Toc144920972"/>
      <w:bookmarkStart w:id="98" w:name="_Toc145506600"/>
      <w:r w:rsidRPr="00484AE9">
        <w:lastRenderedPageBreak/>
        <w:t>Comparative harms</w:t>
      </w:r>
      <w:bookmarkEnd w:id="96"/>
      <w:bookmarkEnd w:id="97"/>
      <w:bookmarkEnd w:id="98"/>
    </w:p>
    <w:p w14:paraId="020E2E86" w14:textId="77777777" w:rsidR="00912A8F" w:rsidRPr="00484AE9" w:rsidRDefault="00CF238B" w:rsidP="003E2A1F">
      <w:pPr>
        <w:pStyle w:val="3-BodyText"/>
      </w:pPr>
      <w:r w:rsidRPr="00484AE9">
        <w:t xml:space="preserve">Of the trials and studies presented in the submission, the EPIC-HR and EPIC-SR trials assessed safety of </w:t>
      </w:r>
      <w:r w:rsidR="003F4126" w:rsidRPr="00484AE9">
        <w:t>nirmatrelvir and ritonavir.</w:t>
      </w:r>
      <w:r w:rsidR="00BF2C41" w:rsidRPr="00484AE9">
        <w:t xml:space="preserve"> </w:t>
      </w:r>
      <w:r w:rsidR="00BF2C41" w:rsidRPr="00484AE9">
        <w:rPr>
          <w:iCs/>
        </w:rPr>
        <w:t>However, t</w:t>
      </w:r>
      <w:r w:rsidR="00026BB7" w:rsidRPr="00484AE9">
        <w:rPr>
          <w:iCs/>
        </w:rPr>
        <w:t xml:space="preserve">he submission did not present </w:t>
      </w:r>
      <w:r w:rsidR="00BF2C41" w:rsidRPr="00484AE9">
        <w:rPr>
          <w:iCs/>
        </w:rPr>
        <w:t xml:space="preserve">safety </w:t>
      </w:r>
      <w:r w:rsidR="00A722A7" w:rsidRPr="00484AE9">
        <w:rPr>
          <w:iCs/>
        </w:rPr>
        <w:t>results from the</w:t>
      </w:r>
      <w:r w:rsidR="00BF2C41" w:rsidRPr="00484AE9">
        <w:rPr>
          <w:iCs/>
        </w:rPr>
        <w:t>se trials.</w:t>
      </w:r>
    </w:p>
    <w:p w14:paraId="1C04C4CE" w14:textId="696AEBBA" w:rsidR="00CF238B" w:rsidRPr="00484AE9" w:rsidRDefault="00CF238B" w:rsidP="003E2A1F">
      <w:pPr>
        <w:pStyle w:val="3-BodyText"/>
      </w:pPr>
      <w:r w:rsidRPr="00484AE9">
        <w:t xml:space="preserve">The analysis of adverse events (AEs) in the </w:t>
      </w:r>
      <w:r w:rsidR="00BF2C41" w:rsidRPr="00484AE9">
        <w:t>EPIC-HR</w:t>
      </w:r>
      <w:r w:rsidRPr="00484AE9">
        <w:t xml:space="preserve"> trial indicate</w:t>
      </w:r>
      <w:r w:rsidR="00BF2C41" w:rsidRPr="00484AE9">
        <w:t>d</w:t>
      </w:r>
      <w:r w:rsidRPr="00484AE9">
        <w:t xml:space="preserve"> that </w:t>
      </w:r>
      <w:r w:rsidR="00D742CE" w:rsidRPr="00484AE9">
        <w:t>nirmatrelvir and ritonavir</w:t>
      </w:r>
      <w:r w:rsidRPr="00484AE9">
        <w:t xml:space="preserve"> is generally well tolerated, with </w:t>
      </w:r>
      <w:r w:rsidR="006A5E60" w:rsidRPr="00484AE9">
        <w:t>22.0</w:t>
      </w:r>
      <w:r w:rsidRPr="00484AE9">
        <w:t xml:space="preserve">% of </w:t>
      </w:r>
      <w:r w:rsidR="006A5E60" w:rsidRPr="00484AE9">
        <w:t>nirmatrelvir and ritonavir</w:t>
      </w:r>
      <w:r w:rsidRPr="00484AE9">
        <w:t xml:space="preserve">-treated patients and </w:t>
      </w:r>
      <w:r w:rsidR="006A5E60" w:rsidRPr="00484AE9">
        <w:t>24.3</w:t>
      </w:r>
      <w:r w:rsidRPr="00484AE9">
        <w:t xml:space="preserve">% of placebo-treated patients experiencing adverse events (any grade). Serious adverse events were observed in </w:t>
      </w:r>
      <w:r w:rsidR="00FB54FE" w:rsidRPr="00484AE9">
        <w:t>1.</w:t>
      </w:r>
      <w:r w:rsidR="00E63CB5" w:rsidRPr="00484AE9">
        <w:t>7</w:t>
      </w:r>
      <w:r w:rsidRPr="00484AE9">
        <w:t xml:space="preserve">% of the </w:t>
      </w:r>
      <w:r w:rsidR="00E63CB5" w:rsidRPr="00484AE9">
        <w:t>nirmatrelvir and ritonavir</w:t>
      </w:r>
      <w:r w:rsidRPr="00484AE9">
        <w:t xml:space="preserve">-treated group and in </w:t>
      </w:r>
      <w:r w:rsidR="00E63CB5" w:rsidRPr="00484AE9">
        <w:t>6.7</w:t>
      </w:r>
      <w:r w:rsidRPr="00484AE9">
        <w:t>% of the placebo-treated group. The most frequently reported AEs (occurring in ≥ 1% of participants in either group</w:t>
      </w:r>
      <w:r w:rsidR="00EB5219" w:rsidRPr="00484AE9">
        <w:t>, reported as nirmatrelvir and ritonavir-treated patients vs. placebo-treated patients</w:t>
      </w:r>
      <w:r w:rsidRPr="00484AE9">
        <w:t xml:space="preserve">) </w:t>
      </w:r>
      <w:r w:rsidR="00AF186E" w:rsidRPr="00484AE9">
        <w:t xml:space="preserve">excluding </w:t>
      </w:r>
      <w:r w:rsidR="007C6A74" w:rsidRPr="00484AE9">
        <w:t>AEs related to investigations and due to infection</w:t>
      </w:r>
      <w:r w:rsidRPr="00484AE9">
        <w:t xml:space="preserve"> were </w:t>
      </w:r>
      <w:r w:rsidR="005B5666" w:rsidRPr="00484AE9">
        <w:t>dysgeusia (</w:t>
      </w:r>
      <w:r w:rsidR="00395980" w:rsidRPr="00484AE9">
        <w:t xml:space="preserve">4.6% vs 0.1%), </w:t>
      </w:r>
      <w:r w:rsidR="00C1486B" w:rsidRPr="00484AE9">
        <w:t xml:space="preserve">headache (1.2% in both arms), </w:t>
      </w:r>
      <w:r w:rsidRPr="00484AE9">
        <w:t>diarrhoea (</w:t>
      </w:r>
      <w:r w:rsidR="00395980" w:rsidRPr="00484AE9">
        <w:t>3.0</w:t>
      </w:r>
      <w:r w:rsidRPr="00484AE9">
        <w:t xml:space="preserve">% vs. </w:t>
      </w:r>
      <w:r w:rsidR="006E60D6" w:rsidRPr="00484AE9">
        <w:t>1.5</w:t>
      </w:r>
      <w:r w:rsidRPr="00484AE9">
        <w:t xml:space="preserve">%), nausea (1.4% vs. </w:t>
      </w:r>
      <w:r w:rsidR="006E60D6" w:rsidRPr="00484AE9">
        <w:t>1.8%</w:t>
      </w:r>
      <w:r w:rsidRPr="00484AE9">
        <w:t xml:space="preserve">), </w:t>
      </w:r>
      <w:r w:rsidR="00912A8F" w:rsidRPr="00484AE9">
        <w:t xml:space="preserve">and </w:t>
      </w:r>
      <w:r w:rsidR="006E60D6" w:rsidRPr="00484AE9">
        <w:t>vomiting</w:t>
      </w:r>
      <w:r w:rsidR="00912A8F" w:rsidRPr="00484AE9">
        <w:t xml:space="preserve"> (1.2% vs 0.9%)</w:t>
      </w:r>
      <w:r w:rsidRPr="00484AE9">
        <w:t>.</w:t>
      </w:r>
    </w:p>
    <w:p w14:paraId="637DFC07" w14:textId="5935E182" w:rsidR="00AE6390" w:rsidRPr="00484AE9" w:rsidRDefault="00E95CA0" w:rsidP="00AE6390">
      <w:pPr>
        <w:pStyle w:val="3-BodyText"/>
      </w:pPr>
      <w:r w:rsidRPr="00484AE9">
        <w:t>Safety r</w:t>
      </w:r>
      <w:r w:rsidR="00587690" w:rsidRPr="00484AE9">
        <w:t>esults from the EPIC-SR trial were consistent</w:t>
      </w:r>
      <w:r w:rsidRPr="00484AE9">
        <w:t xml:space="preserve"> with those reported for the EPIC-HR trial</w:t>
      </w:r>
      <w:r w:rsidR="00AE6390" w:rsidRPr="00484AE9">
        <w:t>. 2</w:t>
      </w:r>
      <w:r w:rsidR="004B5AA7" w:rsidRPr="00484AE9">
        <w:t>5.8</w:t>
      </w:r>
      <w:r w:rsidR="00AE6390" w:rsidRPr="00484AE9">
        <w:t>% of nirmatrelvir and ritonavir-treated patients and 24.</w:t>
      </w:r>
      <w:r w:rsidR="004B5AA7" w:rsidRPr="00484AE9">
        <w:t>1</w:t>
      </w:r>
      <w:r w:rsidR="00AE6390" w:rsidRPr="00484AE9">
        <w:t>% of placebo-treated patients experienc</w:t>
      </w:r>
      <w:r w:rsidR="00227144" w:rsidRPr="00484AE9">
        <w:t>ed</w:t>
      </w:r>
      <w:r w:rsidR="00AE6390" w:rsidRPr="00484AE9">
        <w:t xml:space="preserve"> adverse events (any grade). Serious adverse events were observed in 1.</w:t>
      </w:r>
      <w:r w:rsidR="004B5AA7" w:rsidRPr="00484AE9">
        <w:t>2</w:t>
      </w:r>
      <w:r w:rsidR="00AE6390" w:rsidRPr="00484AE9">
        <w:t xml:space="preserve">% of the nirmatrelvir and ritonavir-treated group and in </w:t>
      </w:r>
      <w:r w:rsidR="004B5AA7" w:rsidRPr="00484AE9">
        <w:t>1.9</w:t>
      </w:r>
      <w:r w:rsidR="00AE6390" w:rsidRPr="00484AE9">
        <w:t>% of the placebo-treated group. The most frequently reported AEs (occurring in ≥</w:t>
      </w:r>
      <w:r w:rsidR="000516F2" w:rsidRPr="00484AE9">
        <w:t> </w:t>
      </w:r>
      <w:r w:rsidR="00AE6390" w:rsidRPr="00484AE9">
        <w:t>1% of participants in either group</w:t>
      </w:r>
      <w:r w:rsidR="004B76A9" w:rsidRPr="00484AE9">
        <w:t>, reported as nirmatrelvir and ritonavir-treated patients vs. placebo-treated patients</w:t>
      </w:r>
      <w:r w:rsidR="00AE6390" w:rsidRPr="00484AE9">
        <w:t>) excluding AEs related to investigations and due to infection were dysgeusia (</w:t>
      </w:r>
      <w:r w:rsidR="002F6722" w:rsidRPr="00484AE9">
        <w:t>6.7</w:t>
      </w:r>
      <w:r w:rsidR="00AE6390" w:rsidRPr="00484AE9">
        <w:t>% vs 0.</w:t>
      </w:r>
      <w:r w:rsidR="002F6722" w:rsidRPr="00484AE9">
        <w:t>5</w:t>
      </w:r>
      <w:r w:rsidR="00AE6390" w:rsidRPr="00484AE9">
        <w:t xml:space="preserve">%), </w:t>
      </w:r>
      <w:r w:rsidR="002F6722" w:rsidRPr="00484AE9">
        <w:t xml:space="preserve">headache (0.9% vs 1.3%), </w:t>
      </w:r>
      <w:r w:rsidR="00AE6390" w:rsidRPr="00484AE9">
        <w:t>diarrhoea (</w:t>
      </w:r>
      <w:r w:rsidR="002F6722" w:rsidRPr="00484AE9">
        <w:t>4</w:t>
      </w:r>
      <w:r w:rsidR="00AE6390" w:rsidRPr="00484AE9">
        <w:t xml:space="preserve">.0% vs. </w:t>
      </w:r>
      <w:r w:rsidR="002F6722" w:rsidRPr="00484AE9">
        <w:t>3.0</w:t>
      </w:r>
      <w:r w:rsidR="00AE6390" w:rsidRPr="00484AE9">
        <w:t xml:space="preserve">%), </w:t>
      </w:r>
      <w:r w:rsidR="002F6722" w:rsidRPr="00484AE9">
        <w:t xml:space="preserve">dyspepsia (1.2% vs </w:t>
      </w:r>
      <w:r w:rsidR="00493D37" w:rsidRPr="00484AE9">
        <w:t xml:space="preserve">0.3%), </w:t>
      </w:r>
      <w:r w:rsidR="00AE6390" w:rsidRPr="00484AE9">
        <w:t>nausea (</w:t>
      </w:r>
      <w:r w:rsidR="00493D37" w:rsidRPr="00484AE9">
        <w:t>3.1</w:t>
      </w:r>
      <w:r w:rsidR="00AE6390" w:rsidRPr="00484AE9">
        <w:t xml:space="preserve">% vs. </w:t>
      </w:r>
      <w:r w:rsidR="00493D37" w:rsidRPr="00484AE9">
        <w:t>2.7</w:t>
      </w:r>
      <w:r w:rsidR="00AE6390" w:rsidRPr="00484AE9">
        <w:t>%), and vomiting (1.</w:t>
      </w:r>
      <w:r w:rsidR="00493D37" w:rsidRPr="00484AE9">
        <w:t>7</w:t>
      </w:r>
      <w:r w:rsidR="00AE6390" w:rsidRPr="00484AE9">
        <w:t>%</w:t>
      </w:r>
      <w:r w:rsidR="00493D37" w:rsidRPr="00484AE9">
        <w:t xml:space="preserve"> in both arms</w:t>
      </w:r>
      <w:r w:rsidR="00AE6390" w:rsidRPr="00484AE9">
        <w:t>).</w:t>
      </w:r>
    </w:p>
    <w:p w14:paraId="35383823" w14:textId="1D4ACFF7" w:rsidR="00CF238B" w:rsidRPr="00484AE9" w:rsidRDefault="00CF238B" w:rsidP="00CF238B">
      <w:pPr>
        <w:pStyle w:val="3-BodyText"/>
      </w:pPr>
      <w:r w:rsidRPr="00484AE9">
        <w:t xml:space="preserve">The submission provided a Periodic Safety Update Report (PSUR) with reporting period from </w:t>
      </w:r>
      <w:r w:rsidR="004001A1" w:rsidRPr="00484AE9">
        <w:t>31 December</w:t>
      </w:r>
      <w:r w:rsidRPr="00484AE9">
        <w:t xml:space="preserve"> </w:t>
      </w:r>
      <w:r w:rsidR="00644463" w:rsidRPr="00484AE9">
        <w:t xml:space="preserve">2021 </w:t>
      </w:r>
      <w:r w:rsidRPr="00484AE9">
        <w:t xml:space="preserve">to </w:t>
      </w:r>
      <w:r w:rsidR="004001A1" w:rsidRPr="00484AE9">
        <w:t xml:space="preserve">30 Jun </w:t>
      </w:r>
      <w:r w:rsidR="00644463" w:rsidRPr="00484AE9">
        <w:t>2022</w:t>
      </w:r>
      <w:r w:rsidRPr="00484AE9">
        <w:t>. Evaluation of information during the reporting period did not identify any additional clinically relevant new safety information.</w:t>
      </w:r>
    </w:p>
    <w:p w14:paraId="48CE60D2" w14:textId="7374397E" w:rsidR="00CF238B" w:rsidRPr="00484AE9" w:rsidRDefault="00380869" w:rsidP="003E2A1F">
      <w:pPr>
        <w:pStyle w:val="3-BodyText"/>
      </w:pPr>
      <w:r w:rsidRPr="00484AE9">
        <w:t xml:space="preserve">The submission provided a summary of </w:t>
      </w:r>
      <w:r w:rsidR="00E25B55" w:rsidRPr="00484AE9">
        <w:t>the post-marketing safety study reported by Zhuang et al,</w:t>
      </w:r>
      <w:r w:rsidR="00EC499D" w:rsidRPr="00484AE9">
        <w:t xml:space="preserve"> 2023</w:t>
      </w:r>
      <w:r w:rsidR="00172421" w:rsidRPr="00484AE9">
        <w:t xml:space="preserve">. </w:t>
      </w:r>
      <w:r w:rsidR="00E6558E" w:rsidRPr="00484AE9">
        <w:t xml:space="preserve">However, the published report was not provided with the submission. </w:t>
      </w:r>
      <w:r w:rsidR="00034101" w:rsidRPr="00484AE9">
        <w:t xml:space="preserve">The study identified disease recurrence, </w:t>
      </w:r>
      <w:bookmarkStart w:id="99" w:name="_Hlk144595849"/>
      <w:r w:rsidR="00034101" w:rsidRPr="00484AE9">
        <w:t>dysgeusia</w:t>
      </w:r>
      <w:bookmarkEnd w:id="99"/>
      <w:r w:rsidR="00034101" w:rsidRPr="00484AE9">
        <w:t xml:space="preserve">, diarrhoea, nausea, headache and vomiting as the main safety signals </w:t>
      </w:r>
      <w:r w:rsidR="006611B5" w:rsidRPr="00484AE9">
        <w:t>associated wit</w:t>
      </w:r>
      <w:r w:rsidR="00034101" w:rsidRPr="00484AE9">
        <w:t>h</w:t>
      </w:r>
      <w:r w:rsidR="0098241E" w:rsidRPr="00484AE9">
        <w:t xml:space="preserve"> nirmatrelvir</w:t>
      </w:r>
      <w:r w:rsidR="006611B5" w:rsidRPr="00484AE9">
        <w:t xml:space="preserve"> and ritonavir</w:t>
      </w:r>
      <w:r w:rsidR="00034101" w:rsidRPr="00484AE9">
        <w:t xml:space="preserve">. </w:t>
      </w:r>
      <w:r w:rsidR="00655F3D" w:rsidRPr="00484AE9">
        <w:t>Notabl</w:t>
      </w:r>
      <w:r w:rsidR="00CB4374" w:rsidRPr="00484AE9">
        <w:t xml:space="preserve">y, the highest safety signal </w:t>
      </w:r>
      <w:r w:rsidR="00254B3C" w:rsidRPr="00484AE9">
        <w:t xml:space="preserve">reported by Zhuang et al, 2023 </w:t>
      </w:r>
      <w:r w:rsidR="00CB4374" w:rsidRPr="00484AE9">
        <w:t>was d</w:t>
      </w:r>
      <w:r w:rsidR="00034101" w:rsidRPr="00484AE9">
        <w:t>isease recurrence</w:t>
      </w:r>
      <w:r w:rsidR="00FF4EAE" w:rsidRPr="00484AE9">
        <w:t xml:space="preserve"> (rebound effect)</w:t>
      </w:r>
      <w:r w:rsidR="00CB4374" w:rsidRPr="00484AE9">
        <w:t>, which</w:t>
      </w:r>
      <w:r w:rsidR="00034101" w:rsidRPr="00484AE9">
        <w:t xml:space="preserve"> was reported at a rate of </w:t>
      </w:r>
      <w:r w:rsidR="00B567E4" w:rsidRPr="00484AE9">
        <w:t>18.78%.</w:t>
      </w:r>
    </w:p>
    <w:p w14:paraId="4DC23F05" w14:textId="7637DE16" w:rsidR="00D55042" w:rsidRPr="00484AE9" w:rsidRDefault="00BC765D" w:rsidP="008B03CB">
      <w:pPr>
        <w:pStyle w:val="3-BodyText"/>
        <w:rPr>
          <w:rStyle w:val="normaltextrun"/>
          <w:iCs/>
        </w:rPr>
      </w:pPr>
      <w:r w:rsidRPr="00484AE9">
        <w:rPr>
          <w:rStyle w:val="normaltextrun"/>
        </w:rPr>
        <w:t xml:space="preserve">In some patients treated with antivirals, rebound of viral load and recurrence of symptoms after completion of a 5-day antiviral treatment has been observed in practice. This phenomenon is referred to as </w:t>
      </w:r>
      <w:r w:rsidR="002D6003" w:rsidRPr="00484AE9">
        <w:rPr>
          <w:rStyle w:val="normaltextrun"/>
        </w:rPr>
        <w:t xml:space="preserve">the </w:t>
      </w:r>
      <w:r w:rsidRPr="00484AE9">
        <w:rPr>
          <w:rStyle w:val="normaltextrun"/>
        </w:rPr>
        <w:t xml:space="preserve">rebound </w:t>
      </w:r>
      <w:r w:rsidR="002D6003" w:rsidRPr="00484AE9">
        <w:rPr>
          <w:rStyle w:val="normaltextrun"/>
        </w:rPr>
        <w:t>effect</w:t>
      </w:r>
      <w:r w:rsidRPr="00484AE9">
        <w:rPr>
          <w:rStyle w:val="normaltextrun"/>
        </w:rPr>
        <w:t xml:space="preserve">. The mechanism driving rebound is not </w:t>
      </w:r>
      <w:r w:rsidR="00485A61" w:rsidRPr="00484AE9">
        <w:rPr>
          <w:rStyle w:val="normaltextrun"/>
        </w:rPr>
        <w:t xml:space="preserve">yet </w:t>
      </w:r>
      <w:r w:rsidRPr="00484AE9">
        <w:rPr>
          <w:rStyle w:val="normaltextrun"/>
        </w:rPr>
        <w:t>understood though hypotheses are appearing in the literature (e.g., a preprint by Perelson et al, 2023 suggests that initiation of treatment close to the time of symptom onset may</w:t>
      </w:r>
      <w:r w:rsidR="001B77C3" w:rsidRPr="00484AE9">
        <w:rPr>
          <w:rStyle w:val="normaltextrun"/>
        </w:rPr>
        <w:t xml:space="preserve"> </w:t>
      </w:r>
      <w:r w:rsidRPr="00484AE9">
        <w:rPr>
          <w:rStyle w:val="normaltextrun"/>
        </w:rPr>
        <w:t xml:space="preserve">interfere with the strength and timing of innate adaptive immune response). </w:t>
      </w:r>
    </w:p>
    <w:p w14:paraId="1A67CECF" w14:textId="2F11E1BC" w:rsidR="00D55042" w:rsidRPr="00484AE9" w:rsidRDefault="00C735E8" w:rsidP="008B03CB">
      <w:pPr>
        <w:pStyle w:val="3-BodyText"/>
        <w:rPr>
          <w:rStyle w:val="normaltextrun"/>
          <w:iCs/>
        </w:rPr>
      </w:pPr>
      <w:r w:rsidRPr="00484AE9">
        <w:rPr>
          <w:rStyle w:val="normaltextrun"/>
        </w:rPr>
        <w:lastRenderedPageBreak/>
        <w:t xml:space="preserve">The DUSC Secretariat </w:t>
      </w:r>
      <w:r w:rsidR="00142681" w:rsidRPr="00484AE9">
        <w:rPr>
          <w:rStyle w:val="normaltextrun"/>
        </w:rPr>
        <w:t>conducted a</w:t>
      </w:r>
      <w:r w:rsidR="00BC765D" w:rsidRPr="00484AE9">
        <w:rPr>
          <w:rStyle w:val="normaltextrun"/>
        </w:rPr>
        <w:t xml:space="preserve">n analysis of PBS utilisation of antiviral treatments for COVID-19 </w:t>
      </w:r>
      <w:r w:rsidR="00142681" w:rsidRPr="00484AE9">
        <w:rPr>
          <w:rStyle w:val="normaltextrun"/>
        </w:rPr>
        <w:t xml:space="preserve">that </w:t>
      </w:r>
      <w:r w:rsidR="00BC765D" w:rsidRPr="00484AE9">
        <w:rPr>
          <w:rStyle w:val="normaltextrun"/>
        </w:rPr>
        <w:t>investigat</w:t>
      </w:r>
      <w:r w:rsidR="00142681" w:rsidRPr="00484AE9">
        <w:rPr>
          <w:rStyle w:val="normaltextrun"/>
        </w:rPr>
        <w:t>ed</w:t>
      </w:r>
      <w:r w:rsidR="00BC765D" w:rsidRPr="00484AE9">
        <w:rPr>
          <w:rStyle w:val="normaltextrun"/>
        </w:rPr>
        <w:t xml:space="preserve"> the proportion of patients having a second prescription for an antiviral dispensed within 30 days of dispensing of the original prescription</w:t>
      </w:r>
      <w:r w:rsidR="00142681" w:rsidRPr="00484AE9">
        <w:rPr>
          <w:rStyle w:val="normaltextrun"/>
        </w:rPr>
        <w:t xml:space="preserve"> for an oral antiviral</w:t>
      </w:r>
      <w:r w:rsidR="00BC765D" w:rsidRPr="00484AE9">
        <w:rPr>
          <w:rStyle w:val="normaltextrun"/>
        </w:rPr>
        <w:t xml:space="preserve">. The key results of this analysis are summarised in </w:t>
      </w:r>
      <w:r w:rsidR="00BC765D" w:rsidRPr="00484AE9">
        <w:rPr>
          <w:rStyle w:val="normaltextrun"/>
        </w:rPr>
        <w:fldChar w:fldCharType="begin"/>
      </w:r>
      <w:r w:rsidR="00BC765D" w:rsidRPr="00484AE9">
        <w:rPr>
          <w:rStyle w:val="normaltextrun"/>
        </w:rPr>
        <w:instrText xml:space="preserve"> REF _Ref144586555 \h  \* MERGEFORMAT </w:instrText>
      </w:r>
      <w:r w:rsidR="00BC765D" w:rsidRPr="00484AE9">
        <w:rPr>
          <w:rStyle w:val="normaltextrun"/>
        </w:rPr>
      </w:r>
      <w:r w:rsidR="00BC765D" w:rsidRPr="00484AE9">
        <w:rPr>
          <w:rStyle w:val="normaltextrun"/>
        </w:rPr>
        <w:fldChar w:fldCharType="separate"/>
      </w:r>
      <w:r w:rsidR="00872657" w:rsidRPr="00484AE9">
        <w:t xml:space="preserve">Table </w:t>
      </w:r>
      <w:r w:rsidR="00872657">
        <w:t>12</w:t>
      </w:r>
      <w:r w:rsidR="00BC765D" w:rsidRPr="00484AE9">
        <w:rPr>
          <w:rStyle w:val="normaltextrun"/>
        </w:rPr>
        <w:fldChar w:fldCharType="end"/>
      </w:r>
      <w:r w:rsidR="00BC765D" w:rsidRPr="00484AE9">
        <w:rPr>
          <w:rStyle w:val="normaltextrun"/>
        </w:rPr>
        <w:t>.</w:t>
      </w:r>
      <w:r w:rsidR="00D715C2" w:rsidRPr="00484AE9">
        <w:rPr>
          <w:rStyle w:val="normaltextrun"/>
        </w:rPr>
        <w:t xml:space="preserve"> </w:t>
      </w:r>
      <w:r w:rsidR="00CE7125" w:rsidRPr="00484AE9">
        <w:rPr>
          <w:rStyle w:val="normaltextrun"/>
        </w:rPr>
        <w:t>Although the proportion of patients having a second prescription for an oral antiviral dispensed within 30 days of dispensing of an initial antiviral is</w:t>
      </w:r>
      <w:r w:rsidR="00991D78" w:rsidRPr="00484AE9">
        <w:rPr>
          <w:rStyle w:val="normaltextrun"/>
        </w:rPr>
        <w:t xml:space="preserve"> low, it is likely that t</w:t>
      </w:r>
      <w:r w:rsidR="00D715C2" w:rsidRPr="00484AE9">
        <w:rPr>
          <w:rStyle w:val="normaltextrun"/>
        </w:rPr>
        <w:t xml:space="preserve">he proportion of patients having a second prescription dispensed within 30 days </w:t>
      </w:r>
      <w:r w:rsidR="00991D78" w:rsidRPr="00484AE9">
        <w:rPr>
          <w:rStyle w:val="normaltextrun"/>
        </w:rPr>
        <w:t xml:space="preserve">will be an </w:t>
      </w:r>
      <w:r w:rsidR="00D715C2" w:rsidRPr="00484AE9">
        <w:rPr>
          <w:rStyle w:val="normaltextrun"/>
        </w:rPr>
        <w:t xml:space="preserve">underestimate of </w:t>
      </w:r>
      <w:r w:rsidR="006F413E" w:rsidRPr="00484AE9">
        <w:rPr>
          <w:rStyle w:val="normaltextrun"/>
        </w:rPr>
        <w:t xml:space="preserve">the proportion of patients experiencing rebound COVID as it is probable that </w:t>
      </w:r>
      <w:r w:rsidR="00D80EFB" w:rsidRPr="00484AE9">
        <w:rPr>
          <w:rStyle w:val="normaltextrun"/>
        </w:rPr>
        <w:t>a substantial</w:t>
      </w:r>
      <w:r w:rsidR="006F413E" w:rsidRPr="00484AE9">
        <w:rPr>
          <w:rStyle w:val="normaltextrun"/>
        </w:rPr>
        <w:t xml:space="preserve"> </w:t>
      </w:r>
      <w:r w:rsidR="00991D78" w:rsidRPr="00484AE9">
        <w:rPr>
          <w:rStyle w:val="normaltextrun"/>
        </w:rPr>
        <w:t xml:space="preserve">proportion of </w:t>
      </w:r>
      <w:r w:rsidR="006F413E" w:rsidRPr="00484AE9">
        <w:rPr>
          <w:rStyle w:val="normaltextrun"/>
        </w:rPr>
        <w:t xml:space="preserve">patients would not </w:t>
      </w:r>
      <w:r w:rsidR="00D80EFB" w:rsidRPr="00484AE9">
        <w:rPr>
          <w:rStyle w:val="normaltextrun"/>
        </w:rPr>
        <w:t>have a second prescription for an antiviral dispensed despite experiencing rebound s</w:t>
      </w:r>
      <w:r w:rsidR="00741283" w:rsidRPr="00484AE9">
        <w:rPr>
          <w:rStyle w:val="normaltextrun"/>
        </w:rPr>
        <w:t>ymptoms</w:t>
      </w:r>
      <w:r w:rsidR="00D80EFB" w:rsidRPr="00484AE9">
        <w:rPr>
          <w:rStyle w:val="normaltextrun"/>
        </w:rPr>
        <w:t>.</w:t>
      </w:r>
      <w:r w:rsidR="00980383" w:rsidRPr="00484AE9">
        <w:rPr>
          <w:rStyle w:val="normaltextrun"/>
        </w:rPr>
        <w:t xml:space="preserve"> The </w:t>
      </w:r>
      <w:r w:rsidR="00294C2C" w:rsidRPr="00484AE9">
        <w:rPr>
          <w:rStyle w:val="normaltextrun"/>
        </w:rPr>
        <w:t>relative risk</w:t>
      </w:r>
      <w:r w:rsidR="00977A1E" w:rsidRPr="00484AE9">
        <w:rPr>
          <w:rStyle w:val="normaltextrun"/>
        </w:rPr>
        <w:t xml:space="preserve"> (RR) of</w:t>
      </w:r>
      <w:r w:rsidR="00980383" w:rsidRPr="00484AE9">
        <w:rPr>
          <w:rStyle w:val="normaltextrun"/>
        </w:rPr>
        <w:t xml:space="preserve"> prescribing of</w:t>
      </w:r>
      <w:r w:rsidR="00C64979" w:rsidRPr="00484AE9">
        <w:rPr>
          <w:rStyle w:val="normaltextrun"/>
        </w:rPr>
        <w:t xml:space="preserve"> a second antiviral within 30 days of an initial prescription was significantly higher in patients</w:t>
      </w:r>
      <w:r w:rsidR="005F33B3" w:rsidRPr="00484AE9">
        <w:rPr>
          <w:rStyle w:val="normaltextrun"/>
        </w:rPr>
        <w:t xml:space="preserve"> initially</w:t>
      </w:r>
      <w:r w:rsidR="00C64979" w:rsidRPr="00484AE9">
        <w:rPr>
          <w:rStyle w:val="normaltextrun"/>
        </w:rPr>
        <w:t xml:space="preserve"> treated with </w:t>
      </w:r>
      <w:r w:rsidR="00C7488F" w:rsidRPr="00484AE9">
        <w:rPr>
          <w:rStyle w:val="normaltextrun"/>
        </w:rPr>
        <w:t>nirmatrelvir and ritonavir than in patients initially treated with molnupiravir (</w:t>
      </w:r>
      <w:r w:rsidR="00977A1E" w:rsidRPr="00484AE9">
        <w:rPr>
          <w:rStyle w:val="normaltextrun"/>
        </w:rPr>
        <w:t>R</w:t>
      </w:r>
      <w:r w:rsidR="00C7488F" w:rsidRPr="00484AE9">
        <w:rPr>
          <w:rStyle w:val="normaltextrun"/>
        </w:rPr>
        <w:t xml:space="preserve">R: </w:t>
      </w:r>
      <w:r w:rsidR="00774CC0" w:rsidRPr="00484AE9">
        <w:rPr>
          <w:rStyle w:val="normaltextrun"/>
        </w:rPr>
        <w:t>1.64; 95% CI: 1.57</w:t>
      </w:r>
      <w:r w:rsidR="001066F3" w:rsidRPr="00484AE9">
        <w:rPr>
          <w:rStyle w:val="normaltextrun"/>
        </w:rPr>
        <w:t xml:space="preserve"> – 1.7</w:t>
      </w:r>
      <w:r w:rsidR="00977A1E" w:rsidRPr="00484AE9">
        <w:rPr>
          <w:rStyle w:val="normaltextrun"/>
        </w:rPr>
        <w:t>1</w:t>
      </w:r>
      <w:r w:rsidR="001066F3" w:rsidRPr="00484AE9">
        <w:rPr>
          <w:rStyle w:val="normaltextrun"/>
        </w:rPr>
        <w:t>)</w:t>
      </w:r>
      <w:r w:rsidR="00A62B3A" w:rsidRPr="00484AE9">
        <w:rPr>
          <w:rStyle w:val="normaltextrun"/>
        </w:rPr>
        <w:t xml:space="preserve">. </w:t>
      </w:r>
      <w:r w:rsidR="00DA295B" w:rsidRPr="00484AE9">
        <w:rPr>
          <w:rStyle w:val="normaltextrun"/>
          <w:iCs/>
        </w:rPr>
        <w:t>The ESC noted that in some instances a second prescription may be issued for a patient experiencing side effects to the first antiviral.</w:t>
      </w:r>
    </w:p>
    <w:p w14:paraId="54C81A0D" w14:textId="109F173F" w:rsidR="00D55042" w:rsidRPr="00484AE9" w:rsidRDefault="00D55042" w:rsidP="00D55042">
      <w:pPr>
        <w:pStyle w:val="Caption"/>
        <w:rPr>
          <w:rStyle w:val="CommentReference"/>
          <w:b/>
          <w:szCs w:val="24"/>
        </w:rPr>
      </w:pPr>
      <w:bookmarkStart w:id="100" w:name="_Ref144586555"/>
      <w:r w:rsidRPr="00484AE9">
        <w:t xml:space="preserve">Table </w:t>
      </w:r>
      <w:fldSimple w:instr=" SEQ Table \* ARABIC ">
        <w:r w:rsidR="00872657">
          <w:rPr>
            <w:noProof/>
          </w:rPr>
          <w:t>12</w:t>
        </w:r>
      </w:fldSimple>
      <w:bookmarkEnd w:id="100"/>
      <w:r w:rsidRPr="00484AE9">
        <w:t xml:space="preserve">: </w:t>
      </w:r>
      <w:r w:rsidRPr="00484AE9">
        <w:rPr>
          <w:rStyle w:val="CommentReference"/>
          <w:b/>
          <w:szCs w:val="24"/>
        </w:rPr>
        <w:t>Patients commencing on an oral antiviral treatment and receiving a second prescription for an oral antiviral treatment within 30 days in the period through to 30 June 2023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4"/>
        <w:gridCol w:w="2208"/>
        <w:gridCol w:w="3048"/>
        <w:gridCol w:w="1367"/>
      </w:tblGrid>
      <w:tr w:rsidR="00D55042" w:rsidRPr="00484AE9" w14:paraId="6E5AF983" w14:textId="77777777" w:rsidTr="008B03CB">
        <w:trPr>
          <w:cantSplit/>
          <w:tblHeader/>
        </w:trPr>
        <w:tc>
          <w:tcPr>
            <w:tcW w:w="1327" w:type="pct"/>
            <w:vAlign w:val="center"/>
          </w:tcPr>
          <w:p w14:paraId="1B9C4B01" w14:textId="77777777" w:rsidR="00D55042" w:rsidRPr="00484AE9" w:rsidRDefault="00D55042" w:rsidP="008B03CB">
            <w:pPr>
              <w:pStyle w:val="In-tableHeading"/>
              <w:rPr>
                <w:lang w:val="en-AU"/>
              </w:rPr>
            </w:pPr>
            <w:r w:rsidRPr="00484AE9">
              <w:rPr>
                <w:lang w:val="en-AU"/>
              </w:rPr>
              <w:t>Initial treatment dispensed</w:t>
            </w:r>
          </w:p>
        </w:tc>
        <w:tc>
          <w:tcPr>
            <w:tcW w:w="1224" w:type="pct"/>
            <w:vAlign w:val="center"/>
          </w:tcPr>
          <w:p w14:paraId="55F61684" w14:textId="77777777" w:rsidR="00D55042" w:rsidRPr="00484AE9" w:rsidRDefault="00D55042" w:rsidP="008B03CB">
            <w:pPr>
              <w:pStyle w:val="In-tableHeading"/>
              <w:jc w:val="center"/>
              <w:rPr>
                <w:lang w:val="en-AU"/>
              </w:rPr>
            </w:pPr>
            <w:r w:rsidRPr="00484AE9">
              <w:rPr>
                <w:lang w:val="en-AU"/>
              </w:rPr>
              <w:t>Initiating patients</w:t>
            </w:r>
          </w:p>
        </w:tc>
        <w:tc>
          <w:tcPr>
            <w:tcW w:w="1690" w:type="pct"/>
            <w:vAlign w:val="center"/>
          </w:tcPr>
          <w:p w14:paraId="5CCAA5C9" w14:textId="77777777" w:rsidR="00D55042" w:rsidRPr="00484AE9" w:rsidRDefault="00D55042" w:rsidP="008B03CB">
            <w:pPr>
              <w:pStyle w:val="In-tableHeading"/>
              <w:jc w:val="center"/>
              <w:rPr>
                <w:lang w:val="en-AU"/>
              </w:rPr>
            </w:pPr>
            <w:r w:rsidRPr="00484AE9">
              <w:rPr>
                <w:lang w:val="en-AU"/>
              </w:rPr>
              <w:t>Patients receiving a second prescription for an antiviral treatment &lt;30 days</w:t>
            </w:r>
          </w:p>
        </w:tc>
        <w:tc>
          <w:tcPr>
            <w:tcW w:w="758" w:type="pct"/>
            <w:vAlign w:val="center"/>
          </w:tcPr>
          <w:p w14:paraId="6546F612" w14:textId="77777777" w:rsidR="00D55042" w:rsidRPr="00484AE9" w:rsidRDefault="00D55042" w:rsidP="008B03CB">
            <w:pPr>
              <w:pStyle w:val="In-tableHeading"/>
              <w:jc w:val="center"/>
              <w:rPr>
                <w:lang w:val="en-AU"/>
              </w:rPr>
            </w:pPr>
            <w:r w:rsidRPr="00484AE9">
              <w:rPr>
                <w:lang w:val="en-AU"/>
              </w:rPr>
              <w:t>Proportion</w:t>
            </w:r>
          </w:p>
        </w:tc>
      </w:tr>
      <w:tr w:rsidR="00D55042" w:rsidRPr="00484AE9" w14:paraId="5B44F7E8" w14:textId="77777777" w:rsidTr="008B03CB">
        <w:trPr>
          <w:cantSplit/>
        </w:trPr>
        <w:tc>
          <w:tcPr>
            <w:tcW w:w="1327" w:type="pct"/>
            <w:vAlign w:val="center"/>
          </w:tcPr>
          <w:p w14:paraId="332302CA" w14:textId="77777777" w:rsidR="00D55042" w:rsidRPr="00484AE9" w:rsidRDefault="00D55042" w:rsidP="008B03CB">
            <w:pPr>
              <w:pStyle w:val="TableText0"/>
            </w:pPr>
            <w:r w:rsidRPr="00484AE9">
              <w:t>Molnupiravir</w:t>
            </w:r>
          </w:p>
        </w:tc>
        <w:tc>
          <w:tcPr>
            <w:tcW w:w="1224" w:type="pct"/>
          </w:tcPr>
          <w:p w14:paraId="612EBDF2" w14:textId="77777777" w:rsidR="00D55042" w:rsidRPr="00484AE9" w:rsidRDefault="00D55042" w:rsidP="008B03CB">
            <w:pPr>
              <w:pStyle w:val="TableText0"/>
              <w:jc w:val="center"/>
            </w:pPr>
            <w:r w:rsidRPr="00484AE9">
              <w:t>608,972</w:t>
            </w:r>
          </w:p>
        </w:tc>
        <w:tc>
          <w:tcPr>
            <w:tcW w:w="1690" w:type="pct"/>
          </w:tcPr>
          <w:p w14:paraId="5939E074" w14:textId="77777777" w:rsidR="00D55042" w:rsidRPr="00484AE9" w:rsidRDefault="00D55042" w:rsidP="008B03CB">
            <w:pPr>
              <w:pStyle w:val="TableText0"/>
              <w:jc w:val="center"/>
            </w:pPr>
            <w:r w:rsidRPr="00484AE9">
              <w:t>4,845</w:t>
            </w:r>
          </w:p>
        </w:tc>
        <w:tc>
          <w:tcPr>
            <w:tcW w:w="758" w:type="pct"/>
          </w:tcPr>
          <w:p w14:paraId="1C649F6E" w14:textId="77777777" w:rsidR="00D55042" w:rsidRPr="00484AE9" w:rsidRDefault="00D55042" w:rsidP="008B03CB">
            <w:pPr>
              <w:pStyle w:val="TableText0"/>
              <w:jc w:val="center"/>
            </w:pPr>
            <w:r w:rsidRPr="00484AE9">
              <w:t>0.80%</w:t>
            </w:r>
          </w:p>
        </w:tc>
      </w:tr>
      <w:tr w:rsidR="00D55042" w:rsidRPr="00484AE9" w14:paraId="38108ECB" w14:textId="77777777" w:rsidTr="008B03CB">
        <w:trPr>
          <w:cantSplit/>
        </w:trPr>
        <w:tc>
          <w:tcPr>
            <w:tcW w:w="1327" w:type="pct"/>
            <w:vAlign w:val="center"/>
          </w:tcPr>
          <w:p w14:paraId="7FE75AEA" w14:textId="77777777" w:rsidR="00D55042" w:rsidRPr="00484AE9" w:rsidRDefault="00D55042" w:rsidP="008B03CB">
            <w:pPr>
              <w:pStyle w:val="TableText0"/>
            </w:pPr>
            <w:r w:rsidRPr="00484AE9">
              <w:t>Nirmatrelvir and ritonavir</w:t>
            </w:r>
          </w:p>
        </w:tc>
        <w:tc>
          <w:tcPr>
            <w:tcW w:w="1224" w:type="pct"/>
          </w:tcPr>
          <w:p w14:paraId="6997C8D4" w14:textId="77777777" w:rsidR="00D55042" w:rsidRPr="00484AE9" w:rsidRDefault="00D55042" w:rsidP="008B03CB">
            <w:pPr>
              <w:pStyle w:val="TableText0"/>
              <w:jc w:val="center"/>
            </w:pPr>
            <w:r w:rsidRPr="00484AE9">
              <w:t>271,712</w:t>
            </w:r>
          </w:p>
        </w:tc>
        <w:tc>
          <w:tcPr>
            <w:tcW w:w="1690" w:type="pct"/>
          </w:tcPr>
          <w:p w14:paraId="7F0056BC" w14:textId="77777777" w:rsidR="00D55042" w:rsidRPr="00484AE9" w:rsidRDefault="00D55042" w:rsidP="008B03CB">
            <w:pPr>
              <w:pStyle w:val="TableText0"/>
              <w:jc w:val="center"/>
            </w:pPr>
            <w:r w:rsidRPr="00484AE9">
              <w:t>3,535</w:t>
            </w:r>
          </w:p>
        </w:tc>
        <w:tc>
          <w:tcPr>
            <w:tcW w:w="758" w:type="pct"/>
          </w:tcPr>
          <w:p w14:paraId="4B0C75D0" w14:textId="77777777" w:rsidR="00D55042" w:rsidRPr="00484AE9" w:rsidRDefault="00D55042" w:rsidP="008B03CB">
            <w:pPr>
              <w:pStyle w:val="TableText0"/>
              <w:jc w:val="center"/>
            </w:pPr>
            <w:r w:rsidRPr="00484AE9">
              <w:t>1.30%</w:t>
            </w:r>
          </w:p>
        </w:tc>
      </w:tr>
      <w:tr w:rsidR="00D55042" w:rsidRPr="00484AE9" w14:paraId="0361B5C7" w14:textId="77777777" w:rsidTr="008B03CB">
        <w:trPr>
          <w:cantSplit/>
        </w:trPr>
        <w:tc>
          <w:tcPr>
            <w:tcW w:w="1327" w:type="pct"/>
            <w:vAlign w:val="center"/>
          </w:tcPr>
          <w:p w14:paraId="6E42E09A" w14:textId="77777777" w:rsidR="00D55042" w:rsidRPr="00484AE9" w:rsidRDefault="00D55042" w:rsidP="008B03CB">
            <w:pPr>
              <w:pStyle w:val="TableText0"/>
              <w:jc w:val="right"/>
              <w:rPr>
                <w:b/>
                <w:bCs w:val="0"/>
              </w:rPr>
            </w:pPr>
            <w:r w:rsidRPr="00484AE9">
              <w:rPr>
                <w:b/>
                <w:bCs w:val="0"/>
              </w:rPr>
              <w:t>Totals:</w:t>
            </w:r>
          </w:p>
        </w:tc>
        <w:tc>
          <w:tcPr>
            <w:tcW w:w="1224" w:type="pct"/>
          </w:tcPr>
          <w:p w14:paraId="16AF7281" w14:textId="77777777" w:rsidR="00D55042" w:rsidRPr="00484AE9" w:rsidRDefault="00D55042" w:rsidP="008B03CB">
            <w:pPr>
              <w:pStyle w:val="TableText0"/>
              <w:jc w:val="center"/>
              <w:rPr>
                <w:b/>
                <w:bCs w:val="0"/>
              </w:rPr>
            </w:pPr>
            <w:r w:rsidRPr="00484AE9">
              <w:rPr>
                <w:b/>
                <w:bCs w:val="0"/>
              </w:rPr>
              <w:t>880,684</w:t>
            </w:r>
          </w:p>
        </w:tc>
        <w:tc>
          <w:tcPr>
            <w:tcW w:w="1690" w:type="pct"/>
          </w:tcPr>
          <w:p w14:paraId="63C86A65" w14:textId="77777777" w:rsidR="00D55042" w:rsidRPr="00484AE9" w:rsidRDefault="00D55042" w:rsidP="008B03CB">
            <w:pPr>
              <w:pStyle w:val="TableText0"/>
              <w:jc w:val="center"/>
              <w:rPr>
                <w:b/>
                <w:bCs w:val="0"/>
              </w:rPr>
            </w:pPr>
            <w:r w:rsidRPr="00484AE9">
              <w:rPr>
                <w:b/>
                <w:bCs w:val="0"/>
              </w:rPr>
              <w:t>8,380</w:t>
            </w:r>
          </w:p>
        </w:tc>
        <w:tc>
          <w:tcPr>
            <w:tcW w:w="758" w:type="pct"/>
          </w:tcPr>
          <w:p w14:paraId="1AA692FD" w14:textId="77777777" w:rsidR="00D55042" w:rsidRPr="00484AE9" w:rsidRDefault="00D55042" w:rsidP="008B03CB">
            <w:pPr>
              <w:pStyle w:val="TableText0"/>
              <w:jc w:val="center"/>
              <w:rPr>
                <w:b/>
                <w:bCs w:val="0"/>
              </w:rPr>
            </w:pPr>
            <w:r w:rsidRPr="00484AE9">
              <w:rPr>
                <w:b/>
                <w:bCs w:val="0"/>
              </w:rPr>
              <w:t>0.95%</w:t>
            </w:r>
          </w:p>
        </w:tc>
      </w:tr>
    </w:tbl>
    <w:p w14:paraId="568739CE" w14:textId="77777777" w:rsidR="00D55042" w:rsidRPr="00484AE9" w:rsidRDefault="00D55042" w:rsidP="00D55042">
      <w:pPr>
        <w:pStyle w:val="FooterTableFigure"/>
      </w:pPr>
      <w:r w:rsidRPr="00484AE9">
        <w:t>Source: Analysis provided by DUSC Secretariat, 31 July 2023.</w:t>
      </w:r>
    </w:p>
    <w:p w14:paraId="6D1834A4" w14:textId="2B71BC59" w:rsidR="00D55042" w:rsidRPr="00484AE9" w:rsidRDefault="00A70182" w:rsidP="008B03CB">
      <w:pPr>
        <w:pStyle w:val="3-BodyText"/>
        <w:rPr>
          <w:iCs/>
        </w:rPr>
      </w:pPr>
      <w:r w:rsidRPr="00484AE9">
        <w:rPr>
          <w:iCs/>
        </w:rPr>
        <w:t>The PSCR cited a letter to the editor published at NEJM.org, reporting on viral load rebound in EPIC-HR (Anderson 2022</w:t>
      </w:r>
      <w:r w:rsidRPr="00484AE9">
        <w:rPr>
          <w:rStyle w:val="FootnoteReference"/>
          <w:iCs/>
        </w:rPr>
        <w:footnoteReference w:id="16"/>
      </w:r>
      <w:r w:rsidRPr="00484AE9">
        <w:rPr>
          <w:iCs/>
        </w:rPr>
        <w:t>)</w:t>
      </w:r>
      <w:r w:rsidR="00A62B3A" w:rsidRPr="00484AE9">
        <w:rPr>
          <w:iCs/>
        </w:rPr>
        <w:t xml:space="preserve">. </w:t>
      </w:r>
      <w:r w:rsidRPr="00484AE9">
        <w:rPr>
          <w:iCs/>
        </w:rPr>
        <w:t>The PSCR stated that in the EPIC-HR trial, COVID-19 recurrence as defined by prespecified criteria for viral load rebound (i.e., a half-log increase in viral load on Day 10 and/or Day 14) was used to identify patients resistant to nirmatrelvir. From baseline through Day 14, viral load rebound occurred in 2.3% of patients treated with Paxlovid (n=23/990) and 1.7% of patients in the placebo group (n=17/980). The PSCR stated that incidence of viral load rebound was similar among the two cohorts, irrespective of presence of coexisting illnesses, nirmatrelvir exposure, the recurrence of moderate-to-severe COVID-19 symptoms, SARS-CoV-2 serologic status at baseline, nirmatrelvir resistance and importantly, the occurrence of hospitalisation or death (Anderson 2022)</w:t>
      </w:r>
      <w:r w:rsidR="00A62B3A" w:rsidRPr="00484AE9">
        <w:rPr>
          <w:iCs/>
        </w:rPr>
        <w:t xml:space="preserve">. </w:t>
      </w:r>
      <w:r w:rsidRPr="00484AE9">
        <w:rPr>
          <w:iCs/>
        </w:rPr>
        <w:t>The PSCR also reported outcomes from two cohort studies conducted in Hong Kong suggesting viral rebound was uncommon in patients treated with nirmatrelvir and ritonavir or molnupiravir (</w:t>
      </w:r>
      <w:r w:rsidR="0047201A" w:rsidRPr="00484AE9">
        <w:rPr>
          <w:iCs/>
        </w:rPr>
        <w:t>Wong 2022, Wong 2023</w:t>
      </w:r>
      <w:r w:rsidRPr="00484AE9">
        <w:rPr>
          <w:iCs/>
        </w:rPr>
        <w:t>). These studies were limited to patients hospitalised for COVID-19 and are thus of limited relevance to the PBS population. The PSCR also reference</w:t>
      </w:r>
      <w:r w:rsidR="00D55042" w:rsidRPr="00484AE9">
        <w:rPr>
          <w:iCs/>
        </w:rPr>
        <w:t>d</w:t>
      </w:r>
      <w:r w:rsidRPr="00484AE9">
        <w:rPr>
          <w:iCs/>
        </w:rPr>
        <w:t xml:space="preserve"> a meta-analysis reported by Zheng 2023 of 3 observational studies reporting incidence of rebound, 2 of which were conducted in hospitalised patients</w:t>
      </w:r>
      <w:r w:rsidR="00A62B3A" w:rsidRPr="00484AE9">
        <w:rPr>
          <w:iCs/>
        </w:rPr>
        <w:t xml:space="preserve">. </w:t>
      </w:r>
      <w:r w:rsidR="00D55042" w:rsidRPr="00484AE9">
        <w:rPr>
          <w:rStyle w:val="normaltextrun"/>
          <w:iCs/>
        </w:rPr>
        <w:lastRenderedPageBreak/>
        <w:t>The ESC considered that neither the submission nor the PSCR adequately discussed the potential for rebound COVID after treatment with nirmatrelvir and ritonavir.</w:t>
      </w:r>
    </w:p>
    <w:p w14:paraId="04908C7F" w14:textId="415B9B7D" w:rsidR="007F1017" w:rsidRPr="00484AE9" w:rsidRDefault="007F1017" w:rsidP="00F40641">
      <w:pPr>
        <w:pStyle w:val="4-SubsectionHeading"/>
      </w:pPr>
      <w:bookmarkStart w:id="101" w:name="_Toc22897643"/>
      <w:bookmarkStart w:id="102" w:name="_Toc144920973"/>
      <w:bookmarkStart w:id="103" w:name="_Toc145506601"/>
      <w:r w:rsidRPr="00484AE9">
        <w:t>Benefits/harms</w:t>
      </w:r>
      <w:bookmarkEnd w:id="101"/>
      <w:bookmarkEnd w:id="102"/>
      <w:bookmarkEnd w:id="103"/>
    </w:p>
    <w:p w14:paraId="4D5572F2" w14:textId="3214FBF7" w:rsidR="004D4598" w:rsidRPr="00484AE9" w:rsidRDefault="004D4598" w:rsidP="00F76D9A">
      <w:pPr>
        <w:pStyle w:val="3-BodyText"/>
        <w:rPr>
          <w:rFonts w:eastAsia="Calibri"/>
          <w:iCs/>
        </w:rPr>
      </w:pPr>
      <w:r w:rsidRPr="00484AE9">
        <w:rPr>
          <w:rFonts w:eastAsia="Calibri"/>
          <w:iCs/>
        </w:rPr>
        <w:t xml:space="preserve">On the basis of evidence from the </w:t>
      </w:r>
      <w:r w:rsidR="00912837" w:rsidRPr="00484AE9">
        <w:rPr>
          <w:rFonts w:eastAsia="Calibri"/>
          <w:iCs/>
        </w:rPr>
        <w:t>EPIC-HR</w:t>
      </w:r>
      <w:r w:rsidRPr="00484AE9">
        <w:rPr>
          <w:rFonts w:eastAsia="Calibri"/>
          <w:iCs/>
        </w:rPr>
        <w:t xml:space="preserve"> trial, for every 100 patients treated with </w:t>
      </w:r>
      <w:r w:rsidR="00912837" w:rsidRPr="00484AE9">
        <w:rPr>
          <w:rFonts w:eastAsia="Calibri"/>
          <w:iCs/>
        </w:rPr>
        <w:t>nirmatrelvir and ritonavir</w:t>
      </w:r>
      <w:r w:rsidRPr="00484AE9">
        <w:rPr>
          <w:rFonts w:eastAsia="Calibri"/>
          <w:iCs/>
        </w:rPr>
        <w:t xml:space="preserve"> in comparison with placebo:</w:t>
      </w:r>
    </w:p>
    <w:p w14:paraId="6227880D" w14:textId="676BB596" w:rsidR="004D4598" w:rsidRPr="00484AE9" w:rsidRDefault="004D4598" w:rsidP="00445429">
      <w:pPr>
        <w:pStyle w:val="3-BodyText"/>
        <w:numPr>
          <w:ilvl w:val="2"/>
          <w:numId w:val="1"/>
        </w:numPr>
        <w:ind w:left="1080"/>
        <w:rPr>
          <w:rFonts w:eastAsia="Calibri"/>
          <w:iCs/>
        </w:rPr>
      </w:pPr>
      <w:r w:rsidRPr="00445429">
        <w:rPr>
          <w:snapToGrid/>
        </w:rPr>
        <w:t>approximately</w:t>
      </w:r>
      <w:r w:rsidRPr="00484AE9">
        <w:rPr>
          <w:rFonts w:eastAsia="Calibri"/>
          <w:iCs/>
        </w:rPr>
        <w:t xml:space="preserve"> </w:t>
      </w:r>
      <w:r w:rsidR="00D6755D" w:rsidRPr="00484AE9">
        <w:rPr>
          <w:rFonts w:eastAsia="Calibri"/>
          <w:iCs/>
        </w:rPr>
        <w:t>5</w:t>
      </w:r>
      <w:r w:rsidRPr="00484AE9">
        <w:rPr>
          <w:rFonts w:eastAsia="Calibri"/>
          <w:iCs/>
        </w:rPr>
        <w:t xml:space="preserve"> </w:t>
      </w:r>
      <w:r w:rsidR="007D5957" w:rsidRPr="00484AE9">
        <w:rPr>
          <w:rFonts w:eastAsia="Calibri"/>
          <w:iCs/>
        </w:rPr>
        <w:t xml:space="preserve">fewer patients would experience </w:t>
      </w:r>
      <w:r w:rsidRPr="00484AE9">
        <w:rPr>
          <w:rFonts w:eastAsia="Calibri"/>
          <w:iCs/>
        </w:rPr>
        <w:t>hospitalisation or death within 4 weeks.</w:t>
      </w:r>
    </w:p>
    <w:p w14:paraId="219B4845" w14:textId="1555C292" w:rsidR="004D4598" w:rsidRPr="00484AE9" w:rsidRDefault="004D4598" w:rsidP="00F76D9A">
      <w:pPr>
        <w:pStyle w:val="3-BodyText"/>
        <w:rPr>
          <w:rFonts w:eastAsia="Calibri"/>
          <w:iCs/>
        </w:rPr>
      </w:pPr>
      <w:r w:rsidRPr="00484AE9">
        <w:rPr>
          <w:rFonts w:eastAsia="Calibri"/>
          <w:iCs/>
        </w:rPr>
        <w:t xml:space="preserve">On the basis of evidence from the </w:t>
      </w:r>
      <w:r w:rsidR="00A028C4" w:rsidRPr="00484AE9">
        <w:rPr>
          <w:rFonts w:eastAsia="Calibri"/>
          <w:iCs/>
        </w:rPr>
        <w:t xml:space="preserve">EPIC-SR </w:t>
      </w:r>
      <w:r w:rsidRPr="00484AE9">
        <w:rPr>
          <w:rFonts w:eastAsia="Calibri"/>
          <w:iCs/>
        </w:rPr>
        <w:t xml:space="preserve">trial, for every 100 patients treated with </w:t>
      </w:r>
      <w:r w:rsidR="00A028C4" w:rsidRPr="00484AE9">
        <w:rPr>
          <w:rFonts w:eastAsia="Calibri"/>
          <w:iCs/>
        </w:rPr>
        <w:t>nirmatrelvir and ritonavir</w:t>
      </w:r>
      <w:r w:rsidRPr="00484AE9">
        <w:rPr>
          <w:rFonts w:eastAsia="Calibri"/>
          <w:iCs/>
        </w:rPr>
        <w:t xml:space="preserve"> in comparison with placebo:</w:t>
      </w:r>
    </w:p>
    <w:p w14:paraId="5D3047F8" w14:textId="7BC3CB14" w:rsidR="004D4598" w:rsidRPr="00484AE9" w:rsidRDefault="004D4598" w:rsidP="00445429">
      <w:pPr>
        <w:pStyle w:val="3-BodyText"/>
        <w:numPr>
          <w:ilvl w:val="2"/>
          <w:numId w:val="1"/>
        </w:numPr>
        <w:ind w:left="1080"/>
        <w:rPr>
          <w:rFonts w:eastAsia="Calibri"/>
          <w:iCs/>
        </w:rPr>
      </w:pPr>
      <w:r w:rsidRPr="00484AE9">
        <w:rPr>
          <w:rFonts w:eastAsia="Calibri"/>
          <w:iCs/>
        </w:rPr>
        <w:t xml:space="preserve">no </w:t>
      </w:r>
      <w:r w:rsidR="009C3857" w:rsidRPr="00484AE9">
        <w:rPr>
          <w:rFonts w:eastAsia="Calibri"/>
          <w:iCs/>
        </w:rPr>
        <w:t xml:space="preserve">difference in </w:t>
      </w:r>
      <w:r w:rsidRPr="00484AE9">
        <w:rPr>
          <w:rFonts w:eastAsia="Calibri"/>
          <w:iCs/>
        </w:rPr>
        <w:t>hospitalisations or deaths within 4 weeks.</w:t>
      </w:r>
    </w:p>
    <w:p w14:paraId="7A1772B6" w14:textId="23BB3145" w:rsidR="00B60939" w:rsidRPr="00484AE9" w:rsidRDefault="00B60939" w:rsidP="00F40641">
      <w:pPr>
        <w:pStyle w:val="4-SubsectionHeading"/>
      </w:pPr>
      <w:bookmarkStart w:id="104" w:name="_Toc22897644"/>
      <w:bookmarkStart w:id="105" w:name="_Toc144920974"/>
      <w:bookmarkStart w:id="106" w:name="_Toc145506602"/>
      <w:bookmarkStart w:id="107" w:name="_Hlk150432553"/>
      <w:r w:rsidRPr="00484AE9">
        <w:t>Clinical claim</w:t>
      </w:r>
      <w:bookmarkEnd w:id="104"/>
      <w:bookmarkEnd w:id="105"/>
      <w:bookmarkEnd w:id="106"/>
    </w:p>
    <w:p w14:paraId="54D3A82D" w14:textId="5F3468EA" w:rsidR="005F7588" w:rsidRPr="00484AE9" w:rsidRDefault="005F7588" w:rsidP="00E9094A">
      <w:pPr>
        <w:pStyle w:val="3-BodyText"/>
        <w:rPr>
          <w:rFonts w:eastAsia="Calibri"/>
          <w:iCs/>
        </w:rPr>
      </w:pPr>
      <w:r w:rsidRPr="00484AE9">
        <w:rPr>
          <w:rFonts w:eastAsia="Calibri"/>
        </w:rPr>
        <w:t>The submission described</w:t>
      </w:r>
      <w:r w:rsidR="00C875B3" w:rsidRPr="00484AE9">
        <w:rPr>
          <w:rFonts w:eastAsia="Calibri"/>
        </w:rPr>
        <w:t xml:space="preserve"> nirmatrelvir and ritonavir</w:t>
      </w:r>
      <w:r w:rsidRPr="00484AE9">
        <w:rPr>
          <w:rFonts w:eastAsia="Calibri"/>
        </w:rPr>
        <w:t xml:space="preserve"> as superior in terms of effectiveness compared to </w:t>
      </w:r>
      <w:r w:rsidR="0049136E" w:rsidRPr="00484AE9">
        <w:rPr>
          <w:rFonts w:eastAsia="Calibri"/>
        </w:rPr>
        <w:t>placebo (representing no antiviral treatment)</w:t>
      </w:r>
      <w:r w:rsidRPr="00484AE9">
        <w:rPr>
          <w:rFonts w:eastAsia="Calibri"/>
        </w:rPr>
        <w:t xml:space="preserve">. </w:t>
      </w:r>
      <w:r w:rsidR="00D62030" w:rsidRPr="00484AE9">
        <w:rPr>
          <w:rFonts w:eastAsia="Calibri"/>
          <w:iCs/>
        </w:rPr>
        <w:t xml:space="preserve">The </w:t>
      </w:r>
      <w:r w:rsidR="0047757C" w:rsidRPr="00484AE9">
        <w:rPr>
          <w:rFonts w:eastAsia="Calibri"/>
          <w:iCs/>
        </w:rPr>
        <w:t>ESC considered that a claim of superiority was supported for high risk patients, including vaccinated patients</w:t>
      </w:r>
      <w:r w:rsidR="001F5E43" w:rsidRPr="00484AE9">
        <w:rPr>
          <w:rFonts w:eastAsia="Calibri"/>
          <w:iCs/>
        </w:rPr>
        <w:t>,</w:t>
      </w:r>
      <w:r w:rsidR="0047757C" w:rsidRPr="00484AE9">
        <w:rPr>
          <w:rFonts w:eastAsia="Calibri"/>
          <w:iCs/>
        </w:rPr>
        <w:t xml:space="preserve"> however, the data were less convincing for patients at lower risk of developing severe COVID 19.</w:t>
      </w:r>
    </w:p>
    <w:p w14:paraId="7F613CD1" w14:textId="43E0C23B" w:rsidR="005F7588" w:rsidRPr="00484AE9" w:rsidRDefault="005F7588" w:rsidP="00E9094A">
      <w:pPr>
        <w:pStyle w:val="3-BodyText"/>
        <w:rPr>
          <w:rFonts w:eastAsia="Calibri"/>
        </w:rPr>
      </w:pPr>
      <w:r w:rsidRPr="00484AE9">
        <w:rPr>
          <w:rFonts w:eastAsia="Calibri"/>
        </w:rPr>
        <w:t>The submission described</w:t>
      </w:r>
      <w:r w:rsidR="00E164CF" w:rsidRPr="00484AE9">
        <w:rPr>
          <w:rFonts w:eastAsia="Calibri"/>
        </w:rPr>
        <w:t xml:space="preserve"> nirmatrelvir and ritonavir</w:t>
      </w:r>
      <w:r w:rsidRPr="00484AE9">
        <w:rPr>
          <w:rFonts w:eastAsia="Calibri"/>
        </w:rPr>
        <w:t xml:space="preserve"> as </w:t>
      </w:r>
      <w:r w:rsidR="00E164CF" w:rsidRPr="00484AE9">
        <w:rPr>
          <w:rFonts w:eastAsia="Calibri"/>
        </w:rPr>
        <w:t>similar</w:t>
      </w:r>
      <w:r w:rsidRPr="00484AE9">
        <w:rPr>
          <w:rFonts w:eastAsia="Calibri"/>
        </w:rPr>
        <w:t xml:space="preserve"> in term</w:t>
      </w:r>
      <w:r w:rsidR="00156F8F" w:rsidRPr="00484AE9">
        <w:rPr>
          <w:rFonts w:eastAsia="Calibri"/>
        </w:rPr>
        <w:t>s</w:t>
      </w:r>
      <w:r w:rsidRPr="00484AE9">
        <w:rPr>
          <w:rFonts w:eastAsia="Calibri"/>
        </w:rPr>
        <w:t xml:space="preserve"> of safety compared to </w:t>
      </w:r>
      <w:r w:rsidR="00E164CF" w:rsidRPr="00484AE9">
        <w:rPr>
          <w:rFonts w:eastAsia="Calibri"/>
        </w:rPr>
        <w:t>placebo (representing no antiviral treatment</w:t>
      </w:r>
      <w:r w:rsidR="002279FC" w:rsidRPr="00484AE9">
        <w:rPr>
          <w:rFonts w:eastAsia="Calibri"/>
        </w:rPr>
        <w:t xml:space="preserve">). </w:t>
      </w:r>
      <w:r w:rsidRPr="00484AE9">
        <w:rPr>
          <w:rFonts w:eastAsia="Calibri"/>
        </w:rPr>
        <w:t xml:space="preserve">This claim was </w:t>
      </w:r>
      <w:r w:rsidR="002279FC" w:rsidRPr="00484AE9">
        <w:rPr>
          <w:rFonts w:eastAsia="Calibri"/>
        </w:rPr>
        <w:t>poorly supported.</w:t>
      </w:r>
      <w:r w:rsidR="00266530" w:rsidRPr="00484AE9">
        <w:rPr>
          <w:rFonts w:eastAsia="Calibri"/>
        </w:rPr>
        <w:t xml:space="preserve"> </w:t>
      </w:r>
      <w:r w:rsidR="00D62030" w:rsidRPr="00484AE9">
        <w:rPr>
          <w:rFonts w:eastAsia="Calibri"/>
        </w:rPr>
        <w:t xml:space="preserve">The </w:t>
      </w:r>
      <w:r w:rsidR="008B7BB0" w:rsidRPr="00484AE9">
        <w:rPr>
          <w:rFonts w:eastAsia="Calibri"/>
        </w:rPr>
        <w:t>ESC considered that, a</w:t>
      </w:r>
      <w:r w:rsidR="001255E5" w:rsidRPr="00484AE9">
        <w:rPr>
          <w:rFonts w:eastAsia="Calibri"/>
        </w:rPr>
        <w:t>lthough nirmatrelvir and ritonavir was generally well tolerated, t</w:t>
      </w:r>
      <w:r w:rsidR="00266530" w:rsidRPr="00484AE9">
        <w:rPr>
          <w:rFonts w:eastAsia="Calibri"/>
        </w:rPr>
        <w:t>he incidence of dysgeusia was</w:t>
      </w:r>
      <w:r w:rsidR="001255E5" w:rsidRPr="00484AE9">
        <w:rPr>
          <w:rFonts w:eastAsia="Calibri"/>
        </w:rPr>
        <w:t xml:space="preserve"> </w:t>
      </w:r>
      <w:r w:rsidR="00D15EDE" w:rsidRPr="00484AE9">
        <w:rPr>
          <w:rFonts w:eastAsia="Calibri"/>
        </w:rPr>
        <w:t>statistically significantly higher in patients treated with nirmatrelvir and ritonavir</w:t>
      </w:r>
      <w:r w:rsidR="00456FA7" w:rsidRPr="00484AE9">
        <w:rPr>
          <w:rFonts w:eastAsia="Calibri"/>
        </w:rPr>
        <w:t xml:space="preserve"> than in placebo-treated patients in both the EPIC-HR and EPIC-SR trials. </w:t>
      </w:r>
    </w:p>
    <w:p w14:paraId="78C3776E" w14:textId="6BDDB82C" w:rsidR="00326867" w:rsidRPr="00484AE9" w:rsidRDefault="00326867" w:rsidP="00E9094A">
      <w:pPr>
        <w:pStyle w:val="3-BodyText"/>
        <w:rPr>
          <w:rFonts w:eastAsia="Calibri"/>
        </w:rPr>
      </w:pPr>
      <w:r w:rsidRPr="00484AE9">
        <w:rPr>
          <w:rFonts w:eastAsia="Calibri"/>
        </w:rPr>
        <w:t xml:space="preserve">The submission </w:t>
      </w:r>
      <w:r w:rsidR="00490B36" w:rsidRPr="00484AE9">
        <w:rPr>
          <w:rFonts w:eastAsia="Calibri"/>
        </w:rPr>
        <w:t xml:space="preserve">did </w:t>
      </w:r>
      <w:r w:rsidRPr="00484AE9">
        <w:rPr>
          <w:rFonts w:eastAsia="Calibri"/>
        </w:rPr>
        <w:t xml:space="preserve">not make any claims regarding the comparative effectiveness of </w:t>
      </w:r>
      <w:r w:rsidRPr="00484AE9">
        <w:rPr>
          <w:rFonts w:eastAsia="Calibri"/>
          <w:color w:val="000000" w:themeColor="text1"/>
        </w:rPr>
        <w:t>nirmatrelvir and ritonavir versus moln</w:t>
      </w:r>
      <w:r w:rsidR="00056E63" w:rsidRPr="00484AE9">
        <w:rPr>
          <w:rFonts w:eastAsia="Calibri"/>
          <w:color w:val="000000" w:themeColor="text1"/>
        </w:rPr>
        <w:t>upiravir.</w:t>
      </w:r>
    </w:p>
    <w:p w14:paraId="0E0D2AE5" w14:textId="790616D2" w:rsidR="00050809" w:rsidRPr="00484AE9" w:rsidRDefault="00050809" w:rsidP="00050809">
      <w:pPr>
        <w:widowControl w:val="0"/>
        <w:numPr>
          <w:ilvl w:val="1"/>
          <w:numId w:val="1"/>
        </w:numPr>
        <w:spacing w:after="120"/>
        <w:rPr>
          <w:rFonts w:asciiTheme="minorHAnsi" w:hAnsiTheme="minorHAnsi"/>
          <w:snapToGrid w:val="0"/>
          <w:szCs w:val="20"/>
        </w:rPr>
      </w:pPr>
      <w:bookmarkStart w:id="108" w:name="_Hlk76376200"/>
      <w:r w:rsidRPr="00484AE9">
        <w:rPr>
          <w:rFonts w:asciiTheme="minorHAnsi" w:hAnsiTheme="minorHAnsi"/>
          <w:iCs/>
          <w:snapToGrid w:val="0"/>
        </w:rPr>
        <w:t>The</w:t>
      </w:r>
      <w:r w:rsidRPr="00484AE9">
        <w:rPr>
          <w:rFonts w:asciiTheme="minorHAnsi" w:hAnsiTheme="minorHAnsi"/>
          <w:snapToGrid w:val="0"/>
          <w:szCs w:val="20"/>
        </w:rPr>
        <w:t xml:space="preserve"> PBAC considered that the </w:t>
      </w:r>
      <w:r w:rsidR="00490B36" w:rsidRPr="00484AE9">
        <w:rPr>
          <w:rFonts w:asciiTheme="minorHAnsi" w:hAnsiTheme="minorHAnsi"/>
          <w:snapToGrid w:val="0"/>
          <w:szCs w:val="20"/>
        </w:rPr>
        <w:t xml:space="preserve">submission’s </w:t>
      </w:r>
      <w:r w:rsidRPr="00484AE9">
        <w:rPr>
          <w:rFonts w:asciiTheme="minorHAnsi" w:hAnsiTheme="minorHAnsi"/>
          <w:snapToGrid w:val="0"/>
          <w:szCs w:val="20"/>
        </w:rPr>
        <w:t xml:space="preserve">claim of </w:t>
      </w:r>
      <w:r w:rsidR="00490B36" w:rsidRPr="00484AE9">
        <w:rPr>
          <w:rFonts w:asciiTheme="minorHAnsi" w:hAnsiTheme="minorHAnsi"/>
          <w:snapToGrid w:val="0"/>
          <w:szCs w:val="20"/>
        </w:rPr>
        <w:t xml:space="preserve">superior effectiveness compared with placebo was supported </w:t>
      </w:r>
      <w:r w:rsidRPr="00484AE9">
        <w:rPr>
          <w:rFonts w:asciiTheme="minorHAnsi" w:hAnsiTheme="minorHAnsi"/>
          <w:snapToGrid w:val="0"/>
          <w:szCs w:val="20"/>
        </w:rPr>
        <w:t>by the data.</w:t>
      </w:r>
    </w:p>
    <w:p w14:paraId="51037E32" w14:textId="323AF500" w:rsidR="00050809" w:rsidRPr="00583003" w:rsidRDefault="00050809" w:rsidP="00583003">
      <w:pPr>
        <w:widowControl w:val="0"/>
        <w:numPr>
          <w:ilvl w:val="1"/>
          <w:numId w:val="1"/>
        </w:numPr>
        <w:spacing w:after="120"/>
        <w:rPr>
          <w:rFonts w:asciiTheme="minorHAnsi" w:hAnsiTheme="minorHAnsi"/>
          <w:snapToGrid w:val="0"/>
          <w:szCs w:val="20"/>
        </w:rPr>
      </w:pPr>
      <w:r w:rsidRPr="00484AE9">
        <w:rPr>
          <w:rFonts w:asciiTheme="minorHAnsi" w:hAnsiTheme="minorHAnsi"/>
          <w:snapToGrid w:val="0"/>
          <w:szCs w:val="20"/>
        </w:rPr>
        <w:t xml:space="preserve">The PBAC considered that the </w:t>
      </w:r>
      <w:r w:rsidR="00490B36" w:rsidRPr="00484AE9">
        <w:rPr>
          <w:rFonts w:asciiTheme="minorHAnsi" w:hAnsiTheme="minorHAnsi"/>
          <w:snapToGrid w:val="0"/>
          <w:szCs w:val="20"/>
        </w:rPr>
        <w:t xml:space="preserve">submission’s </w:t>
      </w:r>
      <w:r w:rsidRPr="00484AE9">
        <w:rPr>
          <w:rFonts w:asciiTheme="minorHAnsi" w:hAnsiTheme="minorHAnsi"/>
          <w:snapToGrid w:val="0"/>
          <w:szCs w:val="20"/>
        </w:rPr>
        <w:t xml:space="preserve">claim of </w:t>
      </w:r>
      <w:r w:rsidR="00490B36" w:rsidRPr="00484AE9">
        <w:rPr>
          <w:rFonts w:asciiTheme="minorHAnsi" w:hAnsiTheme="minorHAnsi"/>
          <w:snapToGrid w:val="0"/>
          <w:szCs w:val="20"/>
        </w:rPr>
        <w:t>similar safety compared with placebo was reasonable.</w:t>
      </w:r>
      <w:bookmarkEnd w:id="107"/>
      <w:bookmarkEnd w:id="108"/>
    </w:p>
    <w:p w14:paraId="74A1172E" w14:textId="128C170E" w:rsidR="00B60939" w:rsidRPr="00484AE9" w:rsidRDefault="00B60939" w:rsidP="00F40641">
      <w:pPr>
        <w:pStyle w:val="4-SubsectionHeading"/>
      </w:pPr>
      <w:bookmarkStart w:id="109" w:name="_Toc22897645"/>
      <w:bookmarkStart w:id="110" w:name="_Toc144920975"/>
      <w:bookmarkStart w:id="111" w:name="_Toc145506603"/>
      <w:r w:rsidRPr="00484AE9">
        <w:t>Economic analysis</w:t>
      </w:r>
      <w:bookmarkEnd w:id="109"/>
      <w:bookmarkEnd w:id="110"/>
      <w:bookmarkEnd w:id="111"/>
      <w:r w:rsidR="00491B3A" w:rsidRPr="00484AE9">
        <w:t xml:space="preserve"> </w:t>
      </w:r>
    </w:p>
    <w:p w14:paraId="4B8A49B2" w14:textId="1F13A120" w:rsidR="001914B5" w:rsidRPr="00484AE9" w:rsidRDefault="001914B5" w:rsidP="00445429">
      <w:pPr>
        <w:pStyle w:val="3-BodyText"/>
        <w:rPr>
          <w:b/>
          <w:bCs/>
        </w:rPr>
      </w:pPr>
      <w:r w:rsidRPr="00484AE9">
        <w:t xml:space="preserve">The submission presented </w:t>
      </w:r>
      <w:r w:rsidR="00230948" w:rsidRPr="00484AE9">
        <w:t>five</w:t>
      </w:r>
      <w:r w:rsidRPr="00484AE9">
        <w:t xml:space="preserve"> cost-</w:t>
      </w:r>
      <w:r w:rsidR="004F04D7" w:rsidRPr="00484AE9">
        <w:t>utility</w:t>
      </w:r>
      <w:r w:rsidRPr="00484AE9">
        <w:t xml:space="preserve"> analys</w:t>
      </w:r>
      <w:r w:rsidR="00D951DD" w:rsidRPr="00484AE9">
        <w:t>e</w:t>
      </w:r>
      <w:r w:rsidRPr="00484AE9">
        <w:t>s</w:t>
      </w:r>
      <w:r w:rsidR="00F550C7" w:rsidRPr="00484AE9">
        <w:t xml:space="preserve"> that compared costs and</w:t>
      </w:r>
      <w:r w:rsidR="0068703A" w:rsidRPr="00484AE9">
        <w:t xml:space="preserve"> quality-adjusted survival</w:t>
      </w:r>
      <w:r w:rsidR="00D951DD" w:rsidRPr="00484AE9">
        <w:t xml:space="preserve"> over a </w:t>
      </w:r>
      <w:r w:rsidR="00AE19C2" w:rsidRPr="00484AE9">
        <w:t>lifetime</w:t>
      </w:r>
      <w:r w:rsidR="0068703A" w:rsidRPr="00484AE9">
        <w:t xml:space="preserve"> in patients treated with</w:t>
      </w:r>
      <w:r w:rsidR="00F550C7" w:rsidRPr="00484AE9">
        <w:t>:</w:t>
      </w:r>
    </w:p>
    <w:p w14:paraId="51C00544" w14:textId="286F4EB4" w:rsidR="00F550C7" w:rsidRPr="00484AE9" w:rsidRDefault="00F550C7" w:rsidP="00445429">
      <w:pPr>
        <w:pStyle w:val="3-BodyText"/>
        <w:numPr>
          <w:ilvl w:val="2"/>
          <w:numId w:val="1"/>
        </w:numPr>
        <w:ind w:left="1080"/>
        <w:rPr>
          <w:rFonts w:eastAsia="Calibri"/>
          <w:iCs/>
        </w:rPr>
      </w:pPr>
      <w:r w:rsidRPr="00484AE9">
        <w:rPr>
          <w:rFonts w:eastAsia="Calibri"/>
          <w:iCs/>
        </w:rPr>
        <w:t>nirmatrelvir and ritonavir</w:t>
      </w:r>
    </w:p>
    <w:p w14:paraId="202BEA10" w14:textId="711D27F0" w:rsidR="009E0CD3" w:rsidRPr="00484AE9" w:rsidRDefault="00F550C7" w:rsidP="00445429">
      <w:pPr>
        <w:pStyle w:val="3-BodyText"/>
        <w:numPr>
          <w:ilvl w:val="2"/>
          <w:numId w:val="1"/>
        </w:numPr>
        <w:ind w:left="1080"/>
        <w:rPr>
          <w:rFonts w:eastAsia="Calibri"/>
          <w:iCs/>
        </w:rPr>
      </w:pPr>
      <w:r w:rsidRPr="00484AE9">
        <w:rPr>
          <w:rFonts w:eastAsia="Calibri"/>
          <w:iCs/>
        </w:rPr>
        <w:t>molnupiravir</w:t>
      </w:r>
    </w:p>
    <w:p w14:paraId="2B7E1345" w14:textId="63C6FD63" w:rsidR="009E0CD3" w:rsidRPr="00484AE9" w:rsidRDefault="007F7528" w:rsidP="00445429">
      <w:pPr>
        <w:pStyle w:val="3-BodyText"/>
        <w:numPr>
          <w:ilvl w:val="2"/>
          <w:numId w:val="1"/>
        </w:numPr>
        <w:ind w:left="1080"/>
        <w:rPr>
          <w:rFonts w:eastAsia="Calibri"/>
          <w:iCs/>
        </w:rPr>
      </w:pPr>
      <w:r w:rsidRPr="00484AE9">
        <w:rPr>
          <w:rFonts w:eastAsia="Calibri"/>
          <w:iCs/>
        </w:rPr>
        <w:t>placebo (representing no antiviral treatment)</w:t>
      </w:r>
    </w:p>
    <w:p w14:paraId="392D253E" w14:textId="23115E6B" w:rsidR="00F550C7" w:rsidRPr="00484AE9" w:rsidRDefault="00D53D4B" w:rsidP="00445429">
      <w:pPr>
        <w:pStyle w:val="3-BodyText"/>
      </w:pPr>
      <w:r w:rsidRPr="00484AE9">
        <w:lastRenderedPageBreak/>
        <w:t xml:space="preserve">Base </w:t>
      </w:r>
      <w:r w:rsidR="00364481" w:rsidRPr="00484AE9">
        <w:t>case</w:t>
      </w:r>
      <w:r w:rsidRPr="00484AE9">
        <w:t xml:space="preserve"> c</w:t>
      </w:r>
      <w:r w:rsidR="005628E0" w:rsidRPr="00484AE9">
        <w:t>ost-</w:t>
      </w:r>
      <w:r w:rsidR="004F04D7" w:rsidRPr="00484AE9">
        <w:t>utility</w:t>
      </w:r>
      <w:r w:rsidR="005628E0" w:rsidRPr="00484AE9">
        <w:t xml:space="preserve"> analyses</w:t>
      </w:r>
      <w:r w:rsidR="003F6CCE" w:rsidRPr="00484AE9">
        <w:t xml:space="preserve"> </w:t>
      </w:r>
      <w:r w:rsidR="00F92FB9" w:rsidRPr="00484AE9">
        <w:t>reported in the submission</w:t>
      </w:r>
      <w:r w:rsidR="005628E0" w:rsidRPr="00484AE9">
        <w:t xml:space="preserve"> </w:t>
      </w:r>
      <w:r w:rsidR="00F92FB9" w:rsidRPr="00484AE9">
        <w:t>were reported as being</w:t>
      </w:r>
      <w:r w:rsidR="005628E0" w:rsidRPr="00484AE9">
        <w:t xml:space="preserve"> for </w:t>
      </w:r>
      <w:r w:rsidR="00BC5DEC" w:rsidRPr="00484AE9">
        <w:t>f</w:t>
      </w:r>
      <w:r w:rsidR="00326D65" w:rsidRPr="00484AE9">
        <w:t xml:space="preserve">our mutually exclusive populations that </w:t>
      </w:r>
      <w:r w:rsidR="00191683" w:rsidRPr="00484AE9">
        <w:t>were</w:t>
      </w:r>
      <w:r w:rsidR="00326D65" w:rsidRPr="00484AE9">
        <w:t xml:space="preserve"> intended to represent the populations covered by each of the restrictions</w:t>
      </w:r>
      <w:r w:rsidR="000D3A05" w:rsidRPr="00484AE9">
        <w:t xml:space="preserve"> listed in </w:t>
      </w:r>
      <w:r w:rsidR="000D3A05" w:rsidRPr="00484AE9">
        <w:fldChar w:fldCharType="begin"/>
      </w:r>
      <w:r w:rsidR="000D3A05" w:rsidRPr="00484AE9">
        <w:instrText xml:space="preserve"> REF _Ref144502388 \h </w:instrText>
      </w:r>
      <w:r w:rsidR="003A66F8" w:rsidRPr="00484AE9">
        <w:instrText xml:space="preserve"> \* MERGEFORMAT </w:instrText>
      </w:r>
      <w:r w:rsidR="000D3A05" w:rsidRPr="00484AE9">
        <w:fldChar w:fldCharType="separate"/>
      </w:r>
      <w:r w:rsidR="00872657" w:rsidRPr="00484AE9">
        <w:t xml:space="preserve">Table </w:t>
      </w:r>
      <w:r w:rsidR="00872657">
        <w:t>4</w:t>
      </w:r>
      <w:r w:rsidR="000D3A05" w:rsidRPr="00484AE9">
        <w:fldChar w:fldCharType="end"/>
      </w:r>
      <w:r w:rsidR="000D3A05" w:rsidRPr="00484AE9">
        <w:t xml:space="preserve"> to </w:t>
      </w:r>
      <w:r w:rsidR="000D3A05" w:rsidRPr="00484AE9">
        <w:fldChar w:fldCharType="begin"/>
      </w:r>
      <w:r w:rsidR="000D3A05" w:rsidRPr="00484AE9">
        <w:instrText xml:space="preserve"> REF _Ref144502395 \h </w:instrText>
      </w:r>
      <w:r w:rsidR="003A66F8" w:rsidRPr="00484AE9">
        <w:instrText xml:space="preserve"> \* MERGEFORMAT </w:instrText>
      </w:r>
      <w:r w:rsidR="000D3A05" w:rsidRPr="00484AE9">
        <w:fldChar w:fldCharType="separate"/>
      </w:r>
      <w:r w:rsidR="00872657" w:rsidRPr="00484AE9">
        <w:t xml:space="preserve">Table </w:t>
      </w:r>
      <w:r w:rsidR="00872657">
        <w:t>7</w:t>
      </w:r>
      <w:r w:rsidR="000D3A05" w:rsidRPr="00484AE9">
        <w:fldChar w:fldCharType="end"/>
      </w:r>
      <w:r w:rsidR="00935933" w:rsidRPr="00484AE9">
        <w:t>:</w:t>
      </w:r>
    </w:p>
    <w:p w14:paraId="37212B84" w14:textId="17708F8B" w:rsidR="0001319D" w:rsidRPr="00484AE9" w:rsidRDefault="0001319D" w:rsidP="00445429">
      <w:pPr>
        <w:pStyle w:val="3-BodyText"/>
        <w:numPr>
          <w:ilvl w:val="2"/>
          <w:numId w:val="1"/>
        </w:numPr>
        <w:ind w:left="1080"/>
        <w:rPr>
          <w:rFonts w:eastAsia="Calibri"/>
          <w:iCs/>
        </w:rPr>
      </w:pPr>
      <w:r w:rsidRPr="00484AE9">
        <w:rPr>
          <w:rFonts w:eastAsia="Calibri"/>
          <w:iCs/>
        </w:rPr>
        <w:t xml:space="preserve">Persons aged </w:t>
      </w:r>
      <w:r w:rsidR="00805219" w:rsidRPr="00445429">
        <w:rPr>
          <w:rFonts w:eastAsia="Calibri"/>
          <w:iCs/>
        </w:rPr>
        <w:t>≥</w:t>
      </w:r>
      <w:r w:rsidRPr="00484AE9">
        <w:rPr>
          <w:rFonts w:eastAsia="Calibri"/>
          <w:iCs/>
        </w:rPr>
        <w:t xml:space="preserve"> 70 years; </w:t>
      </w:r>
    </w:p>
    <w:p w14:paraId="32BCFE32" w14:textId="543F96FE" w:rsidR="002513CC" w:rsidRPr="00484AE9" w:rsidRDefault="0001319D" w:rsidP="00445429">
      <w:pPr>
        <w:pStyle w:val="3-BodyText"/>
        <w:numPr>
          <w:ilvl w:val="2"/>
          <w:numId w:val="1"/>
        </w:numPr>
        <w:ind w:left="1080"/>
        <w:rPr>
          <w:rFonts w:eastAsia="Calibri"/>
          <w:iCs/>
        </w:rPr>
      </w:pPr>
      <w:r w:rsidRPr="00484AE9">
        <w:rPr>
          <w:rFonts w:eastAsia="Calibri"/>
          <w:iCs/>
        </w:rPr>
        <w:t xml:space="preserve">Persons aged </w:t>
      </w:r>
      <w:r w:rsidR="00805219" w:rsidRPr="00445429">
        <w:rPr>
          <w:rFonts w:eastAsia="Calibri"/>
          <w:iCs/>
        </w:rPr>
        <w:t>≥</w:t>
      </w:r>
      <w:r w:rsidRPr="00484AE9">
        <w:rPr>
          <w:rFonts w:eastAsia="Calibri"/>
          <w:iCs/>
        </w:rPr>
        <w:t xml:space="preserve"> 18 years who are moderately to severely immunocompromised</w:t>
      </w:r>
      <w:r w:rsidR="00805219" w:rsidRPr="00484AE9">
        <w:rPr>
          <w:rFonts w:eastAsia="Calibri"/>
          <w:iCs/>
        </w:rPr>
        <w:t xml:space="preserve"> </w:t>
      </w:r>
      <w:r w:rsidR="00805219" w:rsidRPr="00445429">
        <w:rPr>
          <w:rFonts w:eastAsia="Calibri"/>
          <w:iCs/>
        </w:rPr>
        <w:t>or</w:t>
      </w:r>
      <w:r w:rsidR="00177881" w:rsidRPr="00445429">
        <w:rPr>
          <w:rFonts w:eastAsia="Calibri"/>
          <w:iCs/>
        </w:rPr>
        <w:t xml:space="preserve"> had</w:t>
      </w:r>
      <w:r w:rsidR="00AE19C2" w:rsidRPr="00445429">
        <w:rPr>
          <w:rFonts w:eastAsia="Calibri"/>
          <w:iCs/>
        </w:rPr>
        <w:t xml:space="preserve"> previously required hospitalisation for COVID</w:t>
      </w:r>
      <w:r w:rsidR="00AE19C2" w:rsidRPr="00445429">
        <w:rPr>
          <w:rFonts w:eastAsia="Calibri"/>
          <w:iCs/>
        </w:rPr>
        <w:noBreakHyphen/>
        <w:t>19</w:t>
      </w:r>
      <w:r w:rsidRPr="00484AE9">
        <w:rPr>
          <w:rFonts w:eastAsia="Calibri"/>
          <w:iCs/>
        </w:rPr>
        <w:t xml:space="preserve">; </w:t>
      </w:r>
    </w:p>
    <w:p w14:paraId="050B01B4" w14:textId="77777777" w:rsidR="00366B90" w:rsidRPr="00484AE9" w:rsidRDefault="002513CC" w:rsidP="00445429">
      <w:pPr>
        <w:pStyle w:val="3-BodyText"/>
        <w:numPr>
          <w:ilvl w:val="2"/>
          <w:numId w:val="1"/>
        </w:numPr>
        <w:ind w:left="1080"/>
        <w:rPr>
          <w:rFonts w:eastAsia="Calibri"/>
          <w:iCs/>
        </w:rPr>
      </w:pPr>
      <w:r w:rsidRPr="00445429">
        <w:rPr>
          <w:rFonts w:eastAsia="Calibri"/>
          <w:iCs/>
        </w:rPr>
        <w:t xml:space="preserve">Aboriginal or Torres Strait Islander people aged ≥ 30 years with one or more risk factors (with prior hospitalisation for COVID-19 included as risk factor); </w:t>
      </w:r>
    </w:p>
    <w:p w14:paraId="265DF261" w14:textId="7F9CFFE0" w:rsidR="00BB7A49" w:rsidRPr="00484AE9" w:rsidRDefault="00BB7A49" w:rsidP="00445429">
      <w:pPr>
        <w:pStyle w:val="3-BodyText"/>
        <w:numPr>
          <w:ilvl w:val="2"/>
          <w:numId w:val="1"/>
        </w:numPr>
        <w:ind w:left="1080"/>
      </w:pPr>
      <w:r w:rsidRPr="00445429">
        <w:rPr>
          <w:rFonts w:eastAsia="Calibri"/>
          <w:iCs/>
        </w:rPr>
        <w:t>people</w:t>
      </w:r>
      <w:r w:rsidRPr="00484AE9">
        <w:t xml:space="preserve"> aged </w:t>
      </w:r>
      <w:r w:rsidR="00366B90" w:rsidRPr="00484AE9">
        <w:t>50 - 69</w:t>
      </w:r>
      <w:r w:rsidRPr="00484AE9">
        <w:t xml:space="preserve"> years with </w:t>
      </w:r>
      <w:r w:rsidR="00366B90" w:rsidRPr="00484AE9">
        <w:t>one</w:t>
      </w:r>
      <w:r w:rsidRPr="00484AE9">
        <w:t xml:space="preserve"> or more risk factors</w:t>
      </w:r>
      <w:r w:rsidR="001E2DFE" w:rsidRPr="00484AE9">
        <w:t>.</w:t>
      </w:r>
    </w:p>
    <w:p w14:paraId="7FA36451" w14:textId="580C80DA" w:rsidR="00302288" w:rsidRPr="00484AE9" w:rsidRDefault="00302288" w:rsidP="003E7B21">
      <w:pPr>
        <w:pStyle w:val="3-BodyText"/>
        <w:numPr>
          <w:ilvl w:val="0"/>
          <w:numId w:val="0"/>
        </w:numPr>
        <w:ind w:left="720"/>
      </w:pPr>
      <w:r w:rsidRPr="00484AE9">
        <w:t>A weighted incremental cost-effectiveness ratio (ICER) for the total population was calculated as</w:t>
      </w:r>
      <w:r w:rsidR="001D64F0" w:rsidRPr="00484AE9">
        <w:t xml:space="preserve"> scenario analysis</w:t>
      </w:r>
      <w:r w:rsidRPr="00484AE9">
        <w:t>.</w:t>
      </w:r>
    </w:p>
    <w:p w14:paraId="6AC02AFE" w14:textId="6E678ADF" w:rsidR="007B3FC8" w:rsidRPr="00484AE9" w:rsidRDefault="00E10FE0" w:rsidP="00045AE2">
      <w:pPr>
        <w:pStyle w:val="3-BodyText"/>
        <w:numPr>
          <w:ilvl w:val="0"/>
          <w:numId w:val="0"/>
        </w:numPr>
        <w:ind w:left="720"/>
      </w:pPr>
      <w:r w:rsidRPr="00484AE9">
        <w:t>T</w:t>
      </w:r>
      <w:r w:rsidR="00D53D4B" w:rsidRPr="00484AE9">
        <w:t xml:space="preserve">here </w:t>
      </w:r>
      <w:r w:rsidR="00464B64" w:rsidRPr="00484AE9">
        <w:t>wa</w:t>
      </w:r>
      <w:r w:rsidR="00D53D4B" w:rsidRPr="00484AE9">
        <w:t>s a discrepancy</w:t>
      </w:r>
      <w:r w:rsidR="00BF24B1" w:rsidRPr="00484AE9">
        <w:t xml:space="preserve"> </w:t>
      </w:r>
      <w:r w:rsidR="00365887" w:rsidRPr="00484AE9">
        <w:t xml:space="preserve">between the description of the population </w:t>
      </w:r>
      <w:r w:rsidR="00986B58" w:rsidRPr="00484AE9">
        <w:t xml:space="preserve">in this base case and the </w:t>
      </w:r>
      <w:r w:rsidR="001C36D8" w:rsidRPr="00484AE9">
        <w:t xml:space="preserve">Excel workbook </w:t>
      </w:r>
      <w:r w:rsidR="00986B58" w:rsidRPr="00484AE9">
        <w:t>provided</w:t>
      </w:r>
      <w:r w:rsidR="00464B64" w:rsidRPr="00484AE9">
        <w:t xml:space="preserve"> with the submission</w:t>
      </w:r>
      <w:r w:rsidR="00986B58" w:rsidRPr="00484AE9">
        <w:t xml:space="preserve">. Specifically, the </w:t>
      </w:r>
      <w:r w:rsidR="00971AA0" w:rsidRPr="00484AE9">
        <w:t xml:space="preserve">model in the Excel workbook </w:t>
      </w:r>
      <w:r w:rsidR="009F0385" w:rsidRPr="00484AE9">
        <w:t xml:space="preserve">provided </w:t>
      </w:r>
      <w:r w:rsidR="00971AA0" w:rsidRPr="00484AE9">
        <w:t xml:space="preserve">with the submission </w:t>
      </w:r>
      <w:r w:rsidR="00464B64" w:rsidRPr="00484AE9">
        <w:t>did</w:t>
      </w:r>
      <w:r w:rsidR="009F0385" w:rsidRPr="00484AE9">
        <w:t xml:space="preserve"> not </w:t>
      </w:r>
      <w:r w:rsidR="00D55373" w:rsidRPr="00484AE9">
        <w:t xml:space="preserve">include patients aged 50 – 59 with only one </w:t>
      </w:r>
      <w:r w:rsidR="00192C10" w:rsidRPr="00484AE9">
        <w:t xml:space="preserve">additional </w:t>
      </w:r>
      <w:r w:rsidR="00D55373" w:rsidRPr="00484AE9">
        <w:t>risk factor.</w:t>
      </w:r>
      <w:r w:rsidR="007B3FC8" w:rsidRPr="00484AE9">
        <w:t xml:space="preserve"> </w:t>
      </w:r>
      <w:r w:rsidR="00464B64" w:rsidRPr="00484AE9">
        <w:t xml:space="preserve">A second model </w:t>
      </w:r>
      <w:r w:rsidR="00971AA0" w:rsidRPr="00484AE9">
        <w:t>was</w:t>
      </w:r>
      <w:r w:rsidR="00464B64" w:rsidRPr="00484AE9">
        <w:t xml:space="preserve"> constructed during the evaluation </w:t>
      </w:r>
      <w:r w:rsidR="00F31969" w:rsidRPr="00484AE9">
        <w:t xml:space="preserve">to derive results that were consistent with those reported in the submission. </w:t>
      </w:r>
      <w:r w:rsidR="003B59EF" w:rsidRPr="00484AE9">
        <w:t>Details presented</w:t>
      </w:r>
      <w:r w:rsidR="00BE2979" w:rsidRPr="00484AE9">
        <w:t xml:space="preserve"> in this document</w:t>
      </w:r>
      <w:r w:rsidR="003B59EF" w:rsidRPr="00484AE9">
        <w:t xml:space="preserve"> </w:t>
      </w:r>
      <w:r w:rsidR="00677F92" w:rsidRPr="00484AE9">
        <w:t>that aligned with the</w:t>
      </w:r>
      <w:r w:rsidR="006B11B8" w:rsidRPr="00484AE9">
        <w:t xml:space="preserve"> results presented in the submission</w:t>
      </w:r>
      <w:r w:rsidR="003E7B21" w:rsidRPr="00484AE9">
        <w:t xml:space="preserve"> rather than the workbook provided with the submission</w:t>
      </w:r>
      <w:r w:rsidR="006B11B8" w:rsidRPr="00484AE9">
        <w:t>.</w:t>
      </w:r>
    </w:p>
    <w:p w14:paraId="115813DA" w14:textId="7CB32966" w:rsidR="002713AE" w:rsidRPr="00484AE9" w:rsidRDefault="001E2DFE" w:rsidP="003E2A1F">
      <w:pPr>
        <w:pStyle w:val="3-BodyText"/>
        <w:rPr>
          <w:iCs/>
        </w:rPr>
      </w:pPr>
      <w:r w:rsidRPr="00484AE9">
        <w:t>The fifth cost-</w:t>
      </w:r>
      <w:r w:rsidR="004F04D7" w:rsidRPr="00484AE9">
        <w:t>utility</w:t>
      </w:r>
      <w:r w:rsidRPr="00484AE9">
        <w:t xml:space="preserve"> analysis </w:t>
      </w:r>
      <w:r w:rsidR="00F92FB9" w:rsidRPr="00484AE9">
        <w:t>was</w:t>
      </w:r>
      <w:r w:rsidR="00781B3F" w:rsidRPr="00484AE9">
        <w:t xml:space="preserve"> </w:t>
      </w:r>
      <w:r w:rsidR="00990B65" w:rsidRPr="00484AE9">
        <w:t xml:space="preserve">for </w:t>
      </w:r>
      <w:r w:rsidR="00191683" w:rsidRPr="00484AE9">
        <w:t xml:space="preserve">a </w:t>
      </w:r>
      <w:r w:rsidR="00990B65" w:rsidRPr="00484AE9">
        <w:t>scenario analysis that</w:t>
      </w:r>
      <w:r w:rsidR="00031DFD" w:rsidRPr="00484AE9">
        <w:t xml:space="preserve"> revert</w:t>
      </w:r>
      <w:r w:rsidR="00191683" w:rsidRPr="00484AE9">
        <w:t>ed</w:t>
      </w:r>
      <w:r w:rsidR="00031DFD" w:rsidRPr="00484AE9">
        <w:t xml:space="preserve"> the fourth population listed above to </w:t>
      </w:r>
      <w:r w:rsidR="00205FD8" w:rsidRPr="00484AE9">
        <w:t xml:space="preserve">the </w:t>
      </w:r>
      <w:r w:rsidR="004A4615" w:rsidRPr="00484AE9">
        <w:t>population</w:t>
      </w:r>
      <w:r w:rsidR="00AF7016" w:rsidRPr="00484AE9">
        <w:t xml:space="preserve"> that was eligible prior to the extension </w:t>
      </w:r>
      <w:r w:rsidR="002B0730" w:rsidRPr="00484AE9">
        <w:t xml:space="preserve">recommended in June 2023 </w:t>
      </w:r>
      <w:r w:rsidR="00AF7016" w:rsidRPr="00484AE9">
        <w:t xml:space="preserve">of the listing to include </w:t>
      </w:r>
      <w:r w:rsidR="006C0B01" w:rsidRPr="00484AE9">
        <w:t xml:space="preserve">patients aged 50-59 with only one </w:t>
      </w:r>
      <w:r w:rsidR="00192C10" w:rsidRPr="00484AE9">
        <w:t xml:space="preserve">additional </w:t>
      </w:r>
      <w:r w:rsidR="006C0B01" w:rsidRPr="00484AE9">
        <w:t>risk factor</w:t>
      </w:r>
      <w:r w:rsidR="006A2215" w:rsidRPr="00484AE9">
        <w:t xml:space="preserve"> (i.e. </w:t>
      </w:r>
      <w:r w:rsidR="00343820" w:rsidRPr="00484AE9">
        <w:t xml:space="preserve">the scenario </w:t>
      </w:r>
      <w:r w:rsidR="001812B4" w:rsidRPr="00484AE9">
        <w:t>includes patients aged 50-59 with</w:t>
      </w:r>
      <w:r w:rsidR="00343820" w:rsidRPr="00484AE9">
        <w:t xml:space="preserve"> </w:t>
      </w:r>
      <w:r w:rsidR="00B943B5" w:rsidRPr="00484AE9">
        <w:t xml:space="preserve">at least </w:t>
      </w:r>
      <w:r w:rsidR="00343820" w:rsidRPr="00484AE9">
        <w:t xml:space="preserve">two </w:t>
      </w:r>
      <w:r w:rsidR="002B22B5" w:rsidRPr="00484AE9">
        <w:t xml:space="preserve">additional </w:t>
      </w:r>
      <w:r w:rsidR="00343820" w:rsidRPr="00484AE9">
        <w:t>risk factors)</w:t>
      </w:r>
      <w:r w:rsidR="00A62B3A" w:rsidRPr="00484AE9">
        <w:t xml:space="preserve">. </w:t>
      </w:r>
      <w:r w:rsidR="0074200D" w:rsidRPr="00484AE9">
        <w:t xml:space="preserve">Similarly, the submission reported </w:t>
      </w:r>
      <w:r w:rsidR="00AF1E42" w:rsidRPr="00484AE9">
        <w:t xml:space="preserve">a scenario </w:t>
      </w:r>
      <w:r w:rsidR="006413AA" w:rsidRPr="00484AE9">
        <w:t>that revert</w:t>
      </w:r>
      <w:r w:rsidR="00191683" w:rsidRPr="00484AE9">
        <w:t>ed</w:t>
      </w:r>
      <w:r w:rsidR="006413AA" w:rsidRPr="00484AE9">
        <w:t xml:space="preserve"> the fourth population above to </w:t>
      </w:r>
      <w:r w:rsidR="004866D3" w:rsidRPr="00484AE9">
        <w:t>the criteria prior to 1 April 2023 (i.e. includes patients aged 50-</w:t>
      </w:r>
      <w:r w:rsidR="00FB657D" w:rsidRPr="00484AE9">
        <w:t xml:space="preserve">69 with at least two </w:t>
      </w:r>
      <w:r w:rsidR="002B22B5" w:rsidRPr="00484AE9">
        <w:t xml:space="preserve">additional </w:t>
      </w:r>
      <w:r w:rsidR="00FB657D" w:rsidRPr="00484AE9">
        <w:t>risk factors).</w:t>
      </w:r>
      <w:r w:rsidR="00BE2979" w:rsidRPr="00484AE9">
        <w:t xml:space="preserve"> </w:t>
      </w:r>
      <w:r w:rsidR="000D6DD0" w:rsidRPr="00484AE9">
        <w:t>An</w:t>
      </w:r>
      <w:r w:rsidR="002713AE" w:rsidRPr="00484AE9">
        <w:t xml:space="preserve"> analysis for the population of patients that was eligible for treatment with nirmatrelvir and ritonavir </w:t>
      </w:r>
      <w:r w:rsidR="00F31B8C" w:rsidRPr="00484AE9">
        <w:t>a</w:t>
      </w:r>
      <w:r w:rsidR="002713AE" w:rsidRPr="00484AE9">
        <w:t xml:space="preserve">s at </w:t>
      </w:r>
      <w:r w:rsidR="00B54558" w:rsidRPr="00484AE9">
        <w:t>1</w:t>
      </w:r>
      <w:r w:rsidR="00B54558">
        <w:t> </w:t>
      </w:r>
      <w:r w:rsidR="002713AE" w:rsidRPr="00484AE9">
        <w:t>February</w:t>
      </w:r>
      <w:r w:rsidR="00F76D9A">
        <w:t xml:space="preserve"> </w:t>
      </w:r>
      <w:r w:rsidR="002713AE" w:rsidRPr="00484AE9">
        <w:t>2023</w:t>
      </w:r>
      <w:r w:rsidR="00F31B8C" w:rsidRPr="00484AE9">
        <w:t xml:space="preserve"> (i.e., </w:t>
      </w:r>
      <w:r w:rsidR="00CE23F1" w:rsidRPr="00484AE9">
        <w:t>limiting availability for people aged 50 – 69 years</w:t>
      </w:r>
      <w:r w:rsidR="000300D3" w:rsidRPr="00484AE9">
        <w:t xml:space="preserve"> to </w:t>
      </w:r>
      <w:r w:rsidR="00BC23E1" w:rsidRPr="00484AE9">
        <w:t>those</w:t>
      </w:r>
      <w:r w:rsidR="000300D3" w:rsidRPr="00484AE9">
        <w:t xml:space="preserve"> with two or more </w:t>
      </w:r>
      <w:r w:rsidR="00050A98" w:rsidRPr="00484AE9">
        <w:t xml:space="preserve">additional </w:t>
      </w:r>
      <w:r w:rsidR="000300D3" w:rsidRPr="00484AE9">
        <w:t xml:space="preserve">risk factors </w:t>
      </w:r>
      <w:r w:rsidR="007F1C0D" w:rsidRPr="00484AE9">
        <w:t>[</w:t>
      </w:r>
      <w:r w:rsidR="006D2615" w:rsidRPr="00484AE9">
        <w:t xml:space="preserve">patients who had &lt; 2 </w:t>
      </w:r>
      <w:r w:rsidR="00050A98" w:rsidRPr="00484AE9">
        <w:t xml:space="preserve">additional </w:t>
      </w:r>
      <w:r w:rsidR="006D2615" w:rsidRPr="00484AE9">
        <w:t xml:space="preserve">risk factors but who </w:t>
      </w:r>
      <w:r w:rsidR="00B35F79" w:rsidRPr="00484AE9">
        <w:t>required</w:t>
      </w:r>
      <w:r w:rsidR="006D2615" w:rsidRPr="00484AE9">
        <w:t xml:space="preserve"> hospitalis</w:t>
      </w:r>
      <w:r w:rsidR="00B35F79" w:rsidRPr="00484AE9">
        <w:t xml:space="preserve">ation for </w:t>
      </w:r>
      <w:r w:rsidR="00B35F79" w:rsidRPr="00484AE9">
        <w:rPr>
          <w:rStyle w:val="normaltextrun"/>
        </w:rPr>
        <w:t>COVID</w:t>
      </w:r>
      <w:r w:rsidR="00B35F79" w:rsidRPr="00484AE9">
        <w:rPr>
          <w:rStyle w:val="normaltextrun"/>
        </w:rPr>
        <w:noBreakHyphen/>
        <w:t xml:space="preserve">19 would be eligible under the restriction for </w:t>
      </w:r>
      <w:r w:rsidR="002713AE" w:rsidRPr="00484AE9">
        <w:t>people aged ≥</w:t>
      </w:r>
      <w:r w:rsidR="00F76D9A">
        <w:t xml:space="preserve"> </w:t>
      </w:r>
      <w:r w:rsidR="002713AE" w:rsidRPr="00484AE9">
        <w:t>18 years who are either moderately to severely immunocompromised with risk of progression to severe COVID-19 disease or have experienced past COVID-19 infection resulting in hospitalisation</w:t>
      </w:r>
      <w:r w:rsidR="007F1C0D" w:rsidRPr="00484AE9">
        <w:t>])</w:t>
      </w:r>
      <w:r w:rsidR="000D6DD0" w:rsidRPr="00484AE9">
        <w:t xml:space="preserve"> </w:t>
      </w:r>
      <w:r w:rsidR="00097B03" w:rsidRPr="00484AE9">
        <w:t xml:space="preserve">was conducted </w:t>
      </w:r>
      <w:r w:rsidR="009567ED" w:rsidRPr="00484AE9">
        <w:t xml:space="preserve">during the evaluation </w:t>
      </w:r>
      <w:r w:rsidR="007650B4" w:rsidRPr="00484AE9">
        <w:t xml:space="preserve">applying baseline risks </w:t>
      </w:r>
      <w:r w:rsidR="008B155B" w:rsidRPr="00484AE9">
        <w:t xml:space="preserve">for patients aged 60 – 69 years with two or more </w:t>
      </w:r>
      <w:r w:rsidR="00050A98" w:rsidRPr="00484AE9">
        <w:t xml:space="preserve">additional </w:t>
      </w:r>
      <w:r w:rsidR="008B155B" w:rsidRPr="00484AE9">
        <w:t xml:space="preserve">risk factors </w:t>
      </w:r>
      <w:r w:rsidR="007650B4" w:rsidRPr="00484AE9">
        <w:t>as reported for this population in the sensitivity analyses</w:t>
      </w:r>
      <w:r w:rsidR="00CB789E" w:rsidRPr="00484AE9">
        <w:t>.</w:t>
      </w:r>
    </w:p>
    <w:p w14:paraId="1CFBF80C" w14:textId="12A6F7F8" w:rsidR="00045AE2" w:rsidRPr="00484AE9" w:rsidRDefault="00BD0BF4" w:rsidP="00550C33">
      <w:pPr>
        <w:pStyle w:val="3-BodyText"/>
      </w:pPr>
      <w:r w:rsidRPr="00484AE9">
        <w:t>The submission</w:t>
      </w:r>
      <w:r w:rsidR="0025256D" w:rsidRPr="00484AE9">
        <w:rPr>
          <w:iCs/>
        </w:rPr>
        <w:t xml:space="preserve"> </w:t>
      </w:r>
      <w:r w:rsidR="00194596" w:rsidRPr="00484AE9">
        <w:t>recognised that</w:t>
      </w:r>
      <w:r w:rsidR="00DD7880" w:rsidRPr="00484AE9">
        <w:t xml:space="preserve"> a</w:t>
      </w:r>
      <w:r w:rsidR="00194596" w:rsidRPr="00484AE9">
        <w:t xml:space="preserve">lthough the approach of splitting the population into different cohorts is technically appropriate, </w:t>
      </w:r>
      <w:r w:rsidR="008D34DA" w:rsidRPr="00484AE9">
        <w:t>there are multiple problematic</w:t>
      </w:r>
      <w:r w:rsidR="004B0F80" w:rsidRPr="00484AE9">
        <w:t xml:space="preserve"> </w:t>
      </w:r>
      <w:r w:rsidR="008D34DA" w:rsidRPr="00484AE9">
        <w:t>issues associated with the application of currently available epidemiological and clinical trial evidence</w:t>
      </w:r>
      <w:r w:rsidR="00194596" w:rsidRPr="00484AE9">
        <w:t>.</w:t>
      </w:r>
      <w:r w:rsidR="00D97A84" w:rsidRPr="00484AE9">
        <w:t xml:space="preserve"> Examples of issues</w:t>
      </w:r>
      <w:r w:rsidR="007B6FCC" w:rsidRPr="00484AE9">
        <w:t xml:space="preserve"> that are problematic</w:t>
      </w:r>
      <w:r w:rsidR="00483027" w:rsidRPr="00484AE9">
        <w:t xml:space="preserve"> </w:t>
      </w:r>
      <w:r w:rsidR="007B6FCC" w:rsidRPr="00484AE9">
        <w:t>include: all published evidence relates to historical strains of the virus</w:t>
      </w:r>
      <w:r w:rsidR="00BB0010" w:rsidRPr="00484AE9">
        <w:t xml:space="preserve"> and</w:t>
      </w:r>
      <w:r w:rsidR="0056558C" w:rsidRPr="00484AE9">
        <w:t xml:space="preserve"> levels of</w:t>
      </w:r>
      <w:r w:rsidR="00BF43CB" w:rsidRPr="00484AE9">
        <w:t xml:space="preserve"> vaccine- or</w:t>
      </w:r>
      <w:r w:rsidR="00D97722" w:rsidRPr="00484AE9">
        <w:t xml:space="preserve"> natural immunity</w:t>
      </w:r>
      <w:r w:rsidR="00BB0010" w:rsidRPr="00484AE9">
        <w:t>; heterogeneity in the literature regarding baseline risks of event</w:t>
      </w:r>
      <w:r w:rsidR="00DB2E15" w:rsidRPr="00484AE9">
        <w:t>s and</w:t>
      </w:r>
      <w:r w:rsidR="00600407" w:rsidRPr="00484AE9">
        <w:t xml:space="preserve"> impact of </w:t>
      </w:r>
      <w:r w:rsidR="00600407" w:rsidRPr="00484AE9">
        <w:lastRenderedPageBreak/>
        <w:t>antiviral treatment on those risks</w:t>
      </w:r>
      <w:r w:rsidR="0025209A" w:rsidRPr="00484AE9">
        <w:t xml:space="preserve">; </w:t>
      </w:r>
      <w:r w:rsidR="00483027" w:rsidRPr="00484AE9">
        <w:t xml:space="preserve">and </w:t>
      </w:r>
      <w:r w:rsidR="0025209A" w:rsidRPr="00484AE9">
        <w:t xml:space="preserve">populations examined by studies are frequently not specific </w:t>
      </w:r>
      <w:r w:rsidR="00334C50" w:rsidRPr="00484AE9">
        <w:t>to populations for whom continued listing of nirmatrelvir and ritonavir is sought.</w:t>
      </w:r>
      <w:r w:rsidR="00483027" w:rsidRPr="00484AE9">
        <w:t xml:space="preserve"> </w:t>
      </w:r>
      <w:r w:rsidR="001831FB" w:rsidRPr="00484AE9">
        <w:t xml:space="preserve">These issues contribute to uncertainty in the estimates of cost-effectiveness generated by any economic analysis conducted of treatments for </w:t>
      </w:r>
      <w:r w:rsidR="001831FB" w:rsidRPr="00484AE9">
        <w:rPr>
          <w:rStyle w:val="normaltextrun"/>
        </w:rPr>
        <w:t>COVID</w:t>
      </w:r>
      <w:r w:rsidR="001831FB" w:rsidRPr="00484AE9">
        <w:rPr>
          <w:rStyle w:val="normaltextrun"/>
        </w:rPr>
        <w:noBreakHyphen/>
        <w:t>19.</w:t>
      </w:r>
    </w:p>
    <w:p w14:paraId="51C50CDC" w14:textId="3FB5124F" w:rsidR="004B0F80" w:rsidRPr="00484AE9" w:rsidRDefault="00925C4B" w:rsidP="00550C33">
      <w:pPr>
        <w:pStyle w:val="3-BodyText"/>
      </w:pPr>
      <w:r w:rsidRPr="00484AE9">
        <w:fldChar w:fldCharType="begin"/>
      </w:r>
      <w:r w:rsidRPr="00484AE9">
        <w:instrText xml:space="preserve"> REF _Ref144638450 \h </w:instrText>
      </w:r>
      <w:r w:rsidRPr="00484AE9">
        <w:fldChar w:fldCharType="separate"/>
      </w:r>
      <w:r w:rsidR="00872657" w:rsidRPr="00484AE9">
        <w:t xml:space="preserve">Figure </w:t>
      </w:r>
      <w:r w:rsidR="00872657">
        <w:rPr>
          <w:noProof/>
        </w:rPr>
        <w:t>8</w:t>
      </w:r>
      <w:r w:rsidRPr="00484AE9">
        <w:fldChar w:fldCharType="end"/>
      </w:r>
      <w:r w:rsidRPr="00484AE9">
        <w:t xml:space="preserve"> </w:t>
      </w:r>
      <w:r w:rsidR="00141AA9" w:rsidRPr="00484AE9">
        <w:t xml:space="preserve">presents the </w:t>
      </w:r>
      <w:r w:rsidR="006B0ED1" w:rsidRPr="00484AE9">
        <w:t xml:space="preserve">fundamental </w:t>
      </w:r>
      <w:r w:rsidR="00141AA9" w:rsidRPr="00484AE9">
        <w:t>structure of the model used to conduct the cost-</w:t>
      </w:r>
      <w:r w:rsidR="004D42F9" w:rsidRPr="00484AE9">
        <w:t>utility</w:t>
      </w:r>
      <w:r w:rsidR="00141AA9" w:rsidRPr="00484AE9">
        <w:t xml:space="preserve"> analyses presented in the submission. </w:t>
      </w:r>
      <w:r w:rsidR="00365455" w:rsidRPr="00484AE9">
        <w:t xml:space="preserve">The </w:t>
      </w:r>
      <w:r w:rsidR="006F2D5A" w:rsidRPr="00484AE9">
        <w:t xml:space="preserve">model </w:t>
      </w:r>
      <w:r w:rsidR="008F2C24" w:rsidRPr="00484AE9">
        <w:t>was</w:t>
      </w:r>
      <w:r w:rsidR="006F2D5A" w:rsidRPr="00484AE9">
        <w:t xml:space="preserve"> implemented in a straightforward </w:t>
      </w:r>
      <w:r w:rsidR="008F2C24" w:rsidRPr="00484AE9">
        <w:t xml:space="preserve">Microsoft Excel workbook. </w:t>
      </w:r>
      <w:r w:rsidRPr="00484AE9">
        <w:fldChar w:fldCharType="begin"/>
      </w:r>
      <w:r w:rsidRPr="00484AE9">
        <w:instrText xml:space="preserve"> REF _Ref144638466 \h </w:instrText>
      </w:r>
      <w:r w:rsidRPr="00484AE9">
        <w:fldChar w:fldCharType="separate"/>
      </w:r>
      <w:r w:rsidR="00872657" w:rsidRPr="00484AE9">
        <w:t xml:space="preserve">Table </w:t>
      </w:r>
      <w:r w:rsidR="00872657">
        <w:rPr>
          <w:noProof/>
        </w:rPr>
        <w:t>13</w:t>
      </w:r>
      <w:r w:rsidRPr="00484AE9">
        <w:fldChar w:fldCharType="end"/>
      </w:r>
      <w:r w:rsidR="00141AA9" w:rsidRPr="00484AE9">
        <w:t xml:space="preserve"> summarises the </w:t>
      </w:r>
      <w:r w:rsidR="00A9301E" w:rsidRPr="00484AE9">
        <w:t xml:space="preserve">key features and inputs to the modelled </w:t>
      </w:r>
      <w:r w:rsidR="003C7C09" w:rsidRPr="00484AE9">
        <w:t>cost-</w:t>
      </w:r>
      <w:r w:rsidR="004D42F9" w:rsidRPr="00484AE9">
        <w:t>utility</w:t>
      </w:r>
      <w:r w:rsidR="003C7C09" w:rsidRPr="00484AE9">
        <w:t xml:space="preserve"> analyses presented in the submission.</w:t>
      </w:r>
    </w:p>
    <w:p w14:paraId="1655F62A" w14:textId="509E091B" w:rsidR="002A3E6F" w:rsidRPr="00484AE9" w:rsidRDefault="004102F6" w:rsidP="004102F6">
      <w:pPr>
        <w:pStyle w:val="Caption"/>
      </w:pPr>
      <w:bookmarkStart w:id="112" w:name="_Ref144638450"/>
      <w:r w:rsidRPr="00484AE9">
        <w:t xml:space="preserve">Figure </w:t>
      </w:r>
      <w:fldSimple w:instr=" SEQ Figure \* ARABIC ">
        <w:r w:rsidR="00872657">
          <w:rPr>
            <w:noProof/>
          </w:rPr>
          <w:t>8</w:t>
        </w:r>
      </w:fldSimple>
      <w:bookmarkEnd w:id="112"/>
      <w:r w:rsidRPr="00484AE9">
        <w:t>: Structure of the model presented in the submission</w:t>
      </w:r>
    </w:p>
    <w:p w14:paraId="1EE9153A" w14:textId="16A27AA0" w:rsidR="004102F6" w:rsidRPr="00484AE9" w:rsidRDefault="004C0455" w:rsidP="004C0455">
      <w:pPr>
        <w:pStyle w:val="3-BodyText"/>
        <w:numPr>
          <w:ilvl w:val="0"/>
          <w:numId w:val="0"/>
        </w:numPr>
        <w:spacing w:after="0"/>
        <w:ind w:left="720" w:hanging="720"/>
      </w:pPr>
      <w:r w:rsidRPr="00484AE9">
        <w:rPr>
          <w:noProof/>
        </w:rPr>
        <w:drawing>
          <wp:inline distT="0" distB="0" distL="0" distR="0" wp14:anchorId="68993348" wp14:editId="4ED169C9">
            <wp:extent cx="5895833" cy="3109572"/>
            <wp:effectExtent l="0" t="0" r="0" b="0"/>
            <wp:docPr id="41011716" name="Picture 41011716" descr="Figure 8: Structure of the model presented in the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11716" name="Picture 41011716" descr="Figure 8: Structure of the model presented in the submissio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05349" cy="3114591"/>
                    </a:xfrm>
                    <a:prstGeom prst="rect">
                      <a:avLst/>
                    </a:prstGeom>
                    <a:noFill/>
                  </pic:spPr>
                </pic:pic>
              </a:graphicData>
            </a:graphic>
          </wp:inline>
        </w:drawing>
      </w:r>
    </w:p>
    <w:p w14:paraId="5CC8BF24" w14:textId="025E58B0" w:rsidR="005F0F17" w:rsidRPr="00484AE9" w:rsidRDefault="005F0F17" w:rsidP="005F0F17">
      <w:pPr>
        <w:pStyle w:val="FooterTableFigure"/>
      </w:pPr>
      <w:r w:rsidRPr="00484AE9">
        <w:t xml:space="preserve">Source: </w:t>
      </w:r>
      <w:r w:rsidR="002E0266" w:rsidRPr="00484AE9">
        <w:t>Figure</w:t>
      </w:r>
      <w:r w:rsidRPr="00484AE9">
        <w:t xml:space="preserve"> 3.</w:t>
      </w:r>
      <w:r w:rsidR="002E0266" w:rsidRPr="00484AE9">
        <w:t>2</w:t>
      </w:r>
      <w:r w:rsidRPr="00484AE9">
        <w:t>.1 on p</w:t>
      </w:r>
      <w:r w:rsidR="0024649D" w:rsidRPr="00484AE9">
        <w:t>180</w:t>
      </w:r>
      <w:r w:rsidRPr="00484AE9">
        <w:t xml:space="preserve"> of the submission</w:t>
      </w:r>
    </w:p>
    <w:p w14:paraId="15A9AFA4" w14:textId="366FDEAB" w:rsidR="00275C5A" w:rsidRPr="00484AE9" w:rsidRDefault="00E16AD8" w:rsidP="00E16AD8">
      <w:pPr>
        <w:pStyle w:val="Caption"/>
        <w:jc w:val="left"/>
        <w:rPr>
          <w:rStyle w:val="CommentReference"/>
          <w:b/>
          <w:szCs w:val="24"/>
        </w:rPr>
      </w:pPr>
      <w:bookmarkStart w:id="113" w:name="_Ref144638466"/>
      <w:r w:rsidRPr="00484AE9">
        <w:lastRenderedPageBreak/>
        <w:t xml:space="preserve">Table </w:t>
      </w:r>
      <w:fldSimple w:instr=" SEQ Table \* ARABIC ">
        <w:r w:rsidR="00872657">
          <w:rPr>
            <w:noProof/>
          </w:rPr>
          <w:t>13</w:t>
        </w:r>
      </w:fldSimple>
      <w:bookmarkEnd w:id="113"/>
      <w:r w:rsidRPr="00484AE9">
        <w:t>:</w:t>
      </w:r>
      <w:r w:rsidR="00275C5A" w:rsidRPr="00484AE9">
        <w:rPr>
          <w:rStyle w:val="CommentReference"/>
          <w:b/>
          <w:szCs w:val="24"/>
        </w:rPr>
        <w:t xml:space="preserve"> Summary of model structure</w:t>
      </w:r>
      <w:r w:rsidR="00184B0E" w:rsidRPr="00484AE9">
        <w:rPr>
          <w:rStyle w:val="CommentReference"/>
          <w:b/>
          <w:szCs w:val="24"/>
        </w:rPr>
        <w:t>, key inputs</w:t>
      </w:r>
      <w:r w:rsidR="00275C5A" w:rsidRPr="00484AE9">
        <w:rPr>
          <w:rStyle w:val="CommentReference"/>
          <w:b/>
          <w:szCs w:val="24"/>
        </w:rPr>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18"/>
        <w:gridCol w:w="6499"/>
      </w:tblGrid>
      <w:tr w:rsidR="008B6130" w:rsidRPr="00484AE9" w14:paraId="48BB958D" w14:textId="77777777" w:rsidTr="006B35E6">
        <w:trPr>
          <w:tblHeader/>
        </w:trPr>
        <w:tc>
          <w:tcPr>
            <w:tcW w:w="1396" w:type="pct"/>
            <w:shd w:val="clear" w:color="auto" w:fill="auto"/>
            <w:vAlign w:val="center"/>
          </w:tcPr>
          <w:p w14:paraId="29C3D629" w14:textId="77777777" w:rsidR="00275C5A" w:rsidRPr="00484AE9" w:rsidRDefault="00275C5A" w:rsidP="00641FB3">
            <w:pPr>
              <w:pStyle w:val="In-tableHeading"/>
              <w:rPr>
                <w:lang w:val="en-AU"/>
              </w:rPr>
            </w:pPr>
            <w:r w:rsidRPr="00484AE9">
              <w:rPr>
                <w:lang w:val="en-AU"/>
              </w:rPr>
              <w:t>Component</w:t>
            </w:r>
          </w:p>
        </w:tc>
        <w:tc>
          <w:tcPr>
            <w:tcW w:w="3604" w:type="pct"/>
            <w:shd w:val="clear" w:color="auto" w:fill="auto"/>
            <w:vAlign w:val="center"/>
          </w:tcPr>
          <w:p w14:paraId="58FBA37B" w14:textId="77777777" w:rsidR="00275C5A" w:rsidRPr="00484AE9" w:rsidRDefault="00275C5A" w:rsidP="00641FB3">
            <w:pPr>
              <w:pStyle w:val="In-tableHeading"/>
              <w:rPr>
                <w:lang w:val="en-AU"/>
              </w:rPr>
            </w:pPr>
            <w:r w:rsidRPr="00484AE9">
              <w:rPr>
                <w:lang w:val="en-AU"/>
              </w:rPr>
              <w:t>Summary</w:t>
            </w:r>
          </w:p>
        </w:tc>
      </w:tr>
      <w:tr w:rsidR="008B6130" w:rsidRPr="00484AE9" w14:paraId="7476B2FD" w14:textId="77777777" w:rsidTr="006B35E6">
        <w:tc>
          <w:tcPr>
            <w:tcW w:w="1396" w:type="pct"/>
            <w:shd w:val="clear" w:color="auto" w:fill="auto"/>
            <w:vAlign w:val="center"/>
          </w:tcPr>
          <w:p w14:paraId="5FA8442E" w14:textId="27CD0EEA" w:rsidR="000A6039" w:rsidRPr="00484AE9" w:rsidRDefault="000A6039" w:rsidP="00BB00B3">
            <w:pPr>
              <w:pStyle w:val="TableText0"/>
            </w:pPr>
            <w:r w:rsidRPr="00484AE9">
              <w:t>Treatments</w:t>
            </w:r>
          </w:p>
        </w:tc>
        <w:tc>
          <w:tcPr>
            <w:tcW w:w="3604" w:type="pct"/>
            <w:shd w:val="clear" w:color="auto" w:fill="auto"/>
            <w:vAlign w:val="center"/>
          </w:tcPr>
          <w:p w14:paraId="3ECBF205" w14:textId="77777777" w:rsidR="000A6039" w:rsidRPr="00484AE9" w:rsidRDefault="008F04A8" w:rsidP="00BB00B3">
            <w:pPr>
              <w:pStyle w:val="TableText0"/>
            </w:pPr>
            <w:r w:rsidRPr="00484AE9">
              <w:t>Nirmatrelvir and ritonavir versus molnupiravir vs placebo (for no use of antivirals)</w:t>
            </w:r>
          </w:p>
          <w:p w14:paraId="554C8AD3" w14:textId="3B1352B5" w:rsidR="0097445F" w:rsidRPr="00484AE9" w:rsidRDefault="0097445F" w:rsidP="00BB00B3">
            <w:pPr>
              <w:pStyle w:val="TableText0"/>
            </w:pPr>
            <w:r w:rsidRPr="00484AE9">
              <w:t>All treatments are assumed to be administered at recommended doses in accordance with the PBS restrictions</w:t>
            </w:r>
          </w:p>
        </w:tc>
      </w:tr>
      <w:tr w:rsidR="008B6130" w:rsidRPr="00484AE9" w14:paraId="6A8D84D4" w14:textId="77777777" w:rsidTr="006B35E6">
        <w:tc>
          <w:tcPr>
            <w:tcW w:w="1396" w:type="pct"/>
            <w:shd w:val="clear" w:color="auto" w:fill="auto"/>
            <w:vAlign w:val="center"/>
          </w:tcPr>
          <w:p w14:paraId="5F652354" w14:textId="77777777" w:rsidR="00275C5A" w:rsidRPr="00484AE9" w:rsidRDefault="00275C5A" w:rsidP="00BB00B3">
            <w:pPr>
              <w:pStyle w:val="TableText0"/>
            </w:pPr>
            <w:r w:rsidRPr="00484AE9">
              <w:t>Time horizon</w:t>
            </w:r>
          </w:p>
        </w:tc>
        <w:tc>
          <w:tcPr>
            <w:tcW w:w="3604" w:type="pct"/>
            <w:shd w:val="clear" w:color="auto" w:fill="auto"/>
            <w:vAlign w:val="center"/>
          </w:tcPr>
          <w:p w14:paraId="460936F1" w14:textId="6B336418" w:rsidR="00275C5A" w:rsidRPr="00484AE9" w:rsidRDefault="008F04A8" w:rsidP="00BB00B3">
            <w:pPr>
              <w:pStyle w:val="TableText0"/>
            </w:pPr>
            <w:r w:rsidRPr="00484AE9">
              <w:t>Lifetime</w:t>
            </w:r>
          </w:p>
        </w:tc>
      </w:tr>
      <w:tr w:rsidR="008B6130" w:rsidRPr="00484AE9" w14:paraId="003209BF" w14:textId="77777777" w:rsidTr="006B35E6">
        <w:tc>
          <w:tcPr>
            <w:tcW w:w="1396" w:type="pct"/>
            <w:shd w:val="clear" w:color="auto" w:fill="auto"/>
            <w:vAlign w:val="center"/>
          </w:tcPr>
          <w:p w14:paraId="522DAB95" w14:textId="77777777" w:rsidR="00275C5A" w:rsidRPr="00484AE9" w:rsidRDefault="00275C5A" w:rsidP="00BB00B3">
            <w:pPr>
              <w:pStyle w:val="TableText0"/>
            </w:pPr>
            <w:r w:rsidRPr="00484AE9">
              <w:t>Outcomes</w:t>
            </w:r>
          </w:p>
        </w:tc>
        <w:tc>
          <w:tcPr>
            <w:tcW w:w="3604" w:type="pct"/>
            <w:shd w:val="clear" w:color="auto" w:fill="auto"/>
            <w:vAlign w:val="center"/>
          </w:tcPr>
          <w:p w14:paraId="3D1C428E" w14:textId="03B527EE" w:rsidR="00275C5A" w:rsidRPr="00484AE9" w:rsidRDefault="00DA2644" w:rsidP="00BB00B3">
            <w:pPr>
              <w:pStyle w:val="TableText0"/>
            </w:pPr>
            <w:r w:rsidRPr="00484AE9">
              <w:t>Quality-adjusted survival</w:t>
            </w:r>
          </w:p>
        </w:tc>
      </w:tr>
      <w:tr w:rsidR="008B6130" w:rsidRPr="00484AE9" w14:paraId="29120B3F" w14:textId="77777777" w:rsidTr="006B35E6">
        <w:tc>
          <w:tcPr>
            <w:tcW w:w="1396" w:type="pct"/>
            <w:shd w:val="clear" w:color="auto" w:fill="auto"/>
            <w:vAlign w:val="center"/>
          </w:tcPr>
          <w:p w14:paraId="1AAC94CB" w14:textId="77777777" w:rsidR="00275C5A" w:rsidRPr="00484AE9" w:rsidRDefault="00275C5A" w:rsidP="00BB00B3">
            <w:pPr>
              <w:pStyle w:val="TableText0"/>
            </w:pPr>
            <w:r w:rsidRPr="00484AE9">
              <w:t>Methods used to generate results</w:t>
            </w:r>
          </w:p>
        </w:tc>
        <w:tc>
          <w:tcPr>
            <w:tcW w:w="3604" w:type="pct"/>
            <w:shd w:val="clear" w:color="auto" w:fill="auto"/>
            <w:vAlign w:val="center"/>
          </w:tcPr>
          <w:p w14:paraId="69D4F042" w14:textId="78A6E3C6" w:rsidR="00275C5A" w:rsidRPr="00484AE9" w:rsidRDefault="00DA2644" w:rsidP="00BB00B3">
            <w:pPr>
              <w:pStyle w:val="TableText0"/>
            </w:pPr>
            <w:r w:rsidRPr="00484AE9">
              <w:t xml:space="preserve">Cohort expected value </w:t>
            </w:r>
            <w:r w:rsidR="00E846EB" w:rsidRPr="00484AE9">
              <w:t xml:space="preserve">decision </w:t>
            </w:r>
            <w:r w:rsidRPr="00484AE9">
              <w:t>analysis</w:t>
            </w:r>
          </w:p>
        </w:tc>
      </w:tr>
      <w:tr w:rsidR="008B6130" w:rsidRPr="00484AE9" w14:paraId="7F7ACECA" w14:textId="77777777" w:rsidTr="006B35E6">
        <w:tc>
          <w:tcPr>
            <w:tcW w:w="1396" w:type="pct"/>
            <w:shd w:val="clear" w:color="auto" w:fill="auto"/>
            <w:vAlign w:val="center"/>
          </w:tcPr>
          <w:p w14:paraId="344631D3" w14:textId="001ACD63" w:rsidR="00E90B17" w:rsidRPr="00484AE9" w:rsidRDefault="005B3EE9" w:rsidP="00E90B17">
            <w:pPr>
              <w:pStyle w:val="TableText0"/>
            </w:pPr>
            <w:r w:rsidRPr="00484AE9">
              <w:t>Payoff</w:t>
            </w:r>
            <w:r w:rsidR="00763DFA" w:rsidRPr="00484AE9">
              <w:t xml:space="preserve"> states</w:t>
            </w:r>
            <w:r w:rsidR="00E90B17" w:rsidRPr="00484AE9">
              <w:t xml:space="preserve"> captured by the decision analysis</w:t>
            </w:r>
          </w:p>
        </w:tc>
        <w:tc>
          <w:tcPr>
            <w:tcW w:w="3604" w:type="pct"/>
            <w:shd w:val="clear" w:color="auto" w:fill="auto"/>
            <w:vAlign w:val="center"/>
          </w:tcPr>
          <w:p w14:paraId="3DA2503B" w14:textId="77777777" w:rsidR="00F153C2" w:rsidRPr="00484AE9" w:rsidRDefault="00F153C2" w:rsidP="00E876DE">
            <w:pPr>
              <w:pStyle w:val="TableText0"/>
            </w:pPr>
            <w:r w:rsidRPr="00484AE9">
              <w:t>Three settings for management of patients are considered</w:t>
            </w:r>
          </w:p>
          <w:p w14:paraId="1FB0E2D7" w14:textId="1D2FC9B8" w:rsidR="00A06B47" w:rsidRPr="00484AE9" w:rsidRDefault="001410E8" w:rsidP="00E876DE">
            <w:pPr>
              <w:pStyle w:val="TableText0"/>
            </w:pPr>
            <w:r w:rsidRPr="00484AE9">
              <w:rPr>
                <w:rFonts w:ascii="Calibri" w:hAnsi="Calibri" w:cs="Calibri"/>
              </w:rPr>
              <w:t>•</w:t>
            </w:r>
            <w:r w:rsidRPr="00484AE9">
              <w:t xml:space="preserve"> </w:t>
            </w:r>
            <w:r w:rsidR="00F153C2" w:rsidRPr="00484AE9">
              <w:t>M</w:t>
            </w:r>
            <w:r w:rsidR="00A06B47" w:rsidRPr="00484AE9">
              <w:t>anage</w:t>
            </w:r>
            <w:r w:rsidR="0068257D" w:rsidRPr="00484AE9">
              <w:t>ment</w:t>
            </w:r>
            <w:r w:rsidR="00A06B47" w:rsidRPr="00484AE9">
              <w:t xml:space="preserve"> in the outpatient setting</w:t>
            </w:r>
          </w:p>
          <w:p w14:paraId="160C892C" w14:textId="3A8ADE4F" w:rsidR="00E876DE" w:rsidRPr="00484AE9" w:rsidRDefault="001410E8" w:rsidP="00E876DE">
            <w:pPr>
              <w:pStyle w:val="TableText0"/>
            </w:pPr>
            <w:r w:rsidRPr="00484AE9">
              <w:rPr>
                <w:rFonts w:ascii="Calibri" w:hAnsi="Calibri" w:cs="Calibri"/>
              </w:rPr>
              <w:t>•</w:t>
            </w:r>
            <w:r w:rsidRPr="00484AE9">
              <w:t xml:space="preserve"> </w:t>
            </w:r>
            <w:r w:rsidR="00E876DE" w:rsidRPr="00484AE9">
              <w:t>Hospitalisation</w:t>
            </w:r>
            <w:r w:rsidR="00763DFA" w:rsidRPr="00484AE9">
              <w:t xml:space="preserve"> without </w:t>
            </w:r>
            <w:r w:rsidR="005270D8" w:rsidRPr="00484AE9">
              <w:t xml:space="preserve">need for </w:t>
            </w:r>
            <w:r w:rsidR="001C44D7" w:rsidRPr="00484AE9">
              <w:t xml:space="preserve">critical care admission </w:t>
            </w:r>
            <w:r w:rsidR="00E876DE" w:rsidRPr="00484AE9">
              <w:t>(≤28 days)</w:t>
            </w:r>
          </w:p>
          <w:p w14:paraId="2D4A8BA8" w14:textId="263BFCAC" w:rsidR="00E876DE" w:rsidRPr="00484AE9" w:rsidRDefault="001410E8" w:rsidP="00E876DE">
            <w:pPr>
              <w:pStyle w:val="TableText0"/>
            </w:pPr>
            <w:r w:rsidRPr="00484AE9">
              <w:rPr>
                <w:rFonts w:ascii="Calibri" w:hAnsi="Calibri" w:cs="Calibri"/>
              </w:rPr>
              <w:t>•</w:t>
            </w:r>
            <w:r w:rsidRPr="00484AE9">
              <w:t xml:space="preserve"> </w:t>
            </w:r>
            <w:r w:rsidR="001C44D7" w:rsidRPr="00484AE9">
              <w:t>Hospitalisation with critical care</w:t>
            </w:r>
            <w:r w:rsidR="00E876DE" w:rsidRPr="00484AE9">
              <w:t xml:space="preserve"> admission</w:t>
            </w:r>
          </w:p>
          <w:p w14:paraId="6F7F8762" w14:textId="1885D7B5" w:rsidR="001410E8" w:rsidRPr="00484AE9" w:rsidRDefault="00E7130F" w:rsidP="00E876DE">
            <w:pPr>
              <w:pStyle w:val="TableText0"/>
            </w:pPr>
            <w:r w:rsidRPr="00484AE9">
              <w:t xml:space="preserve">Three possible long term outcomes are considered following management of </w:t>
            </w:r>
            <w:r w:rsidRPr="00484AE9">
              <w:rPr>
                <w:rStyle w:val="normaltextrun"/>
              </w:rPr>
              <w:t>COVID</w:t>
            </w:r>
            <w:r w:rsidRPr="00484AE9">
              <w:rPr>
                <w:rStyle w:val="normaltextrun"/>
              </w:rPr>
              <w:noBreakHyphen/>
              <w:t>19</w:t>
            </w:r>
          </w:p>
          <w:p w14:paraId="720237F7" w14:textId="1B99181C" w:rsidR="00E7130F" w:rsidRPr="00484AE9" w:rsidRDefault="00E7130F" w:rsidP="00E876DE">
            <w:pPr>
              <w:pStyle w:val="TableText0"/>
            </w:pPr>
            <w:r w:rsidRPr="00484AE9">
              <w:rPr>
                <w:rFonts w:ascii="Calibri" w:hAnsi="Calibri" w:cs="Calibri"/>
              </w:rPr>
              <w:t>•</w:t>
            </w:r>
            <w:r w:rsidRPr="00484AE9">
              <w:t xml:space="preserve"> Cured</w:t>
            </w:r>
            <w:r w:rsidR="00A13B11" w:rsidRPr="00484AE9">
              <w:t xml:space="preserve"> (full recovery)</w:t>
            </w:r>
            <w:r w:rsidRPr="00484AE9">
              <w:t xml:space="preserve"> </w:t>
            </w:r>
          </w:p>
          <w:p w14:paraId="4A6B3372" w14:textId="77777777" w:rsidR="00A13B11" w:rsidRPr="00484AE9" w:rsidRDefault="00E7130F" w:rsidP="00E876DE">
            <w:pPr>
              <w:pStyle w:val="TableText0"/>
            </w:pPr>
            <w:r w:rsidRPr="00484AE9">
              <w:rPr>
                <w:rFonts w:ascii="Calibri" w:hAnsi="Calibri" w:cs="Calibri"/>
              </w:rPr>
              <w:t>•</w:t>
            </w:r>
            <w:r w:rsidRPr="00484AE9">
              <w:t xml:space="preserve"> </w:t>
            </w:r>
            <w:r w:rsidR="00A13B11" w:rsidRPr="00484AE9">
              <w:t xml:space="preserve">Long COVID (average duration 90 days) </w:t>
            </w:r>
          </w:p>
          <w:p w14:paraId="622C8D01" w14:textId="77777777" w:rsidR="00A13B11" w:rsidRPr="00484AE9" w:rsidRDefault="00E7130F" w:rsidP="00A13B11">
            <w:pPr>
              <w:pStyle w:val="TableText0"/>
            </w:pPr>
            <w:r w:rsidRPr="00484AE9">
              <w:rPr>
                <w:rFonts w:ascii="Calibri" w:hAnsi="Calibri" w:cs="Calibri"/>
              </w:rPr>
              <w:t>•</w:t>
            </w:r>
            <w:r w:rsidRPr="00484AE9">
              <w:t xml:space="preserve"> </w:t>
            </w:r>
            <w:r w:rsidR="00A13B11" w:rsidRPr="00484AE9">
              <w:t>COVID-19 related death (≤180 days)</w:t>
            </w:r>
          </w:p>
          <w:p w14:paraId="03F23F80" w14:textId="5BC621F8" w:rsidR="00E90B17" w:rsidRPr="00484AE9" w:rsidRDefault="005B3EE9" w:rsidP="00E876DE">
            <w:pPr>
              <w:pStyle w:val="TableText0"/>
            </w:pPr>
            <w:r w:rsidRPr="00484AE9">
              <w:t xml:space="preserve">The </w:t>
            </w:r>
            <w:r w:rsidR="00FC0A88" w:rsidRPr="00484AE9">
              <w:t xml:space="preserve">above events and outcomes are used to derive </w:t>
            </w:r>
            <w:r w:rsidR="00E876DE" w:rsidRPr="00484AE9">
              <w:t>QALYs lost to COVID-19</w:t>
            </w:r>
          </w:p>
        </w:tc>
      </w:tr>
      <w:tr w:rsidR="008B6130" w:rsidRPr="00484AE9" w14:paraId="7F944EEA" w14:textId="77777777" w:rsidTr="006B35E6">
        <w:tc>
          <w:tcPr>
            <w:tcW w:w="1396" w:type="pct"/>
            <w:shd w:val="clear" w:color="auto" w:fill="auto"/>
            <w:vAlign w:val="center"/>
          </w:tcPr>
          <w:p w14:paraId="255C0B8D" w14:textId="77777777" w:rsidR="00275C5A" w:rsidRPr="00484AE9" w:rsidRDefault="00275C5A" w:rsidP="00BB00B3">
            <w:pPr>
              <w:pStyle w:val="TableText0"/>
            </w:pPr>
            <w:r w:rsidRPr="00484AE9">
              <w:t>Cycle length</w:t>
            </w:r>
          </w:p>
        </w:tc>
        <w:tc>
          <w:tcPr>
            <w:tcW w:w="3604" w:type="pct"/>
            <w:shd w:val="clear" w:color="auto" w:fill="auto"/>
            <w:vAlign w:val="center"/>
          </w:tcPr>
          <w:p w14:paraId="5733F6EA" w14:textId="48EF2302" w:rsidR="00275C5A" w:rsidRPr="00484AE9" w:rsidRDefault="00270239" w:rsidP="00BB00B3">
            <w:pPr>
              <w:pStyle w:val="TableText0"/>
            </w:pPr>
            <w:r w:rsidRPr="00484AE9">
              <w:t>Not applicable in a decision analysis</w:t>
            </w:r>
          </w:p>
        </w:tc>
      </w:tr>
      <w:tr w:rsidR="008B6130" w:rsidRPr="00484AE9" w14:paraId="6EFF7035" w14:textId="77777777" w:rsidTr="006B35E6">
        <w:tc>
          <w:tcPr>
            <w:tcW w:w="1396" w:type="pct"/>
            <w:shd w:val="clear" w:color="auto" w:fill="auto"/>
            <w:vAlign w:val="center"/>
          </w:tcPr>
          <w:p w14:paraId="77A45407" w14:textId="798F0353" w:rsidR="00081E63" w:rsidRPr="00484AE9" w:rsidRDefault="004D42F9" w:rsidP="00BB00B3">
            <w:pPr>
              <w:pStyle w:val="TableText0"/>
            </w:pPr>
            <w:r w:rsidRPr="00484AE9">
              <w:t>Probabilities</w:t>
            </w:r>
          </w:p>
        </w:tc>
        <w:tc>
          <w:tcPr>
            <w:tcW w:w="3604" w:type="pct"/>
            <w:shd w:val="clear" w:color="auto" w:fill="auto"/>
            <w:vAlign w:val="center"/>
          </w:tcPr>
          <w:p w14:paraId="5722A1D0" w14:textId="3C24EF08" w:rsidR="005F3806" w:rsidRPr="00484AE9" w:rsidRDefault="005F3806" w:rsidP="005F3806">
            <w:pPr>
              <w:pStyle w:val="TableText0"/>
            </w:pPr>
            <w:r w:rsidRPr="00484AE9">
              <w:t xml:space="preserve">Baseline mortality and morbidity event risks </w:t>
            </w:r>
            <w:r w:rsidR="006E71BF" w:rsidRPr="00484AE9">
              <w:t>applied in</w:t>
            </w:r>
            <w:r w:rsidRPr="00484AE9">
              <w:t xml:space="preserve"> the placebo </w:t>
            </w:r>
            <w:r w:rsidR="006E71BF" w:rsidRPr="00484AE9">
              <w:t xml:space="preserve">arm of the model were </w:t>
            </w:r>
            <w:r w:rsidRPr="00484AE9">
              <w:t>estimated from published epidemiological studies and supporting information</w:t>
            </w:r>
            <w:r w:rsidR="006E71BF" w:rsidRPr="00484AE9">
              <w:t xml:space="preserve"> (see paragraph </w:t>
            </w:r>
            <w:r w:rsidR="00D00F62" w:rsidRPr="00484AE9">
              <w:fldChar w:fldCharType="begin"/>
            </w:r>
            <w:r w:rsidR="00D00F62" w:rsidRPr="00484AE9">
              <w:instrText xml:space="preserve"> REF _Ref144642798 \r \h </w:instrText>
            </w:r>
            <w:r w:rsidR="00D00F62" w:rsidRPr="00484AE9">
              <w:fldChar w:fldCharType="separate"/>
            </w:r>
            <w:r w:rsidR="00872657">
              <w:t>6.63</w:t>
            </w:r>
            <w:r w:rsidR="00D00F62" w:rsidRPr="00484AE9">
              <w:fldChar w:fldCharType="end"/>
            </w:r>
            <w:r w:rsidR="009564D7" w:rsidRPr="00484AE9">
              <w:t>)</w:t>
            </w:r>
            <w:r w:rsidR="009A3CC1" w:rsidRPr="00484AE9">
              <w:t>.</w:t>
            </w:r>
          </w:p>
          <w:p w14:paraId="76387578" w14:textId="0925535A" w:rsidR="00275C5A" w:rsidRPr="00484AE9" w:rsidRDefault="005F3806" w:rsidP="005F3806">
            <w:pPr>
              <w:pStyle w:val="TableText0"/>
            </w:pPr>
            <w:r w:rsidRPr="00484AE9">
              <w:t xml:space="preserve">Relative risks </w:t>
            </w:r>
            <w:r w:rsidR="009A3CC1" w:rsidRPr="00484AE9">
              <w:t>of</w:t>
            </w:r>
            <w:r w:rsidRPr="00484AE9">
              <w:t xml:space="preserve"> these events </w:t>
            </w:r>
            <w:r w:rsidR="009A3CC1" w:rsidRPr="00484AE9">
              <w:t xml:space="preserve">in patients treated with nirmatrelvir and ritonavir or molnupiravir were </w:t>
            </w:r>
            <w:r w:rsidRPr="00484AE9">
              <w:t xml:space="preserve">estimated from meta-analyses </w:t>
            </w:r>
            <w:r w:rsidR="009A3CC1" w:rsidRPr="00484AE9">
              <w:t xml:space="preserve">of outcomes observed in </w:t>
            </w:r>
            <w:r w:rsidRPr="00484AE9">
              <w:t xml:space="preserve">clinical trials and </w:t>
            </w:r>
            <w:r w:rsidR="009564D7" w:rsidRPr="00484AE9">
              <w:t xml:space="preserve">observational </w:t>
            </w:r>
            <w:r w:rsidRPr="00484AE9">
              <w:t>studies</w:t>
            </w:r>
            <w:r w:rsidR="009564D7" w:rsidRPr="00484AE9">
              <w:t xml:space="preserve"> (see paragraph </w:t>
            </w:r>
            <w:r w:rsidR="00D43B8B" w:rsidRPr="00484AE9">
              <w:fldChar w:fldCharType="begin"/>
            </w:r>
            <w:r w:rsidR="00D43B8B" w:rsidRPr="00484AE9">
              <w:instrText xml:space="preserve"> REF _Ref144642812 \r \h </w:instrText>
            </w:r>
            <w:r w:rsidR="00D43B8B" w:rsidRPr="00484AE9">
              <w:fldChar w:fldCharType="separate"/>
            </w:r>
            <w:r w:rsidR="00872657">
              <w:t>6.64</w:t>
            </w:r>
            <w:r w:rsidR="00D43B8B" w:rsidRPr="00484AE9">
              <w:fldChar w:fldCharType="end"/>
            </w:r>
            <w:r w:rsidR="009564D7" w:rsidRPr="00484AE9">
              <w:t>).</w:t>
            </w:r>
          </w:p>
        </w:tc>
      </w:tr>
      <w:tr w:rsidR="008B6130" w:rsidRPr="00484AE9" w14:paraId="0BC5FD61" w14:textId="77777777" w:rsidTr="006B35E6">
        <w:tc>
          <w:tcPr>
            <w:tcW w:w="1396" w:type="pct"/>
            <w:shd w:val="clear" w:color="auto" w:fill="auto"/>
            <w:vAlign w:val="center"/>
          </w:tcPr>
          <w:p w14:paraId="3EE19BE5" w14:textId="7EE5FF57" w:rsidR="00501854" w:rsidRPr="00484AE9" w:rsidRDefault="00501854" w:rsidP="00BB00B3">
            <w:pPr>
              <w:pStyle w:val="TableText0"/>
            </w:pPr>
            <w:r w:rsidRPr="00484AE9">
              <w:t>Extrapolation method</w:t>
            </w:r>
          </w:p>
        </w:tc>
        <w:tc>
          <w:tcPr>
            <w:tcW w:w="3604" w:type="pct"/>
            <w:shd w:val="clear" w:color="auto" w:fill="auto"/>
            <w:vAlign w:val="center"/>
          </w:tcPr>
          <w:p w14:paraId="7026638D" w14:textId="2FDBC99D" w:rsidR="00D533EC" w:rsidRPr="00484AE9" w:rsidRDefault="00291E2D" w:rsidP="00291E2D">
            <w:pPr>
              <w:pStyle w:val="TableText0"/>
            </w:pPr>
            <w:r w:rsidRPr="00484AE9">
              <w:t>QALY</w:t>
            </w:r>
            <w:r w:rsidR="00811A33" w:rsidRPr="00484AE9">
              <w:t>s</w:t>
            </w:r>
            <w:r w:rsidRPr="00484AE9">
              <w:t xml:space="preserve"> los</w:t>
            </w:r>
            <w:r w:rsidR="00811A33" w:rsidRPr="00484AE9">
              <w:t>t</w:t>
            </w:r>
            <w:r w:rsidRPr="00484AE9">
              <w:t xml:space="preserve"> per fatal case of COVID-19 are estimated by</w:t>
            </w:r>
            <w:r w:rsidR="00811A33" w:rsidRPr="00484AE9">
              <w:t xml:space="preserve"> application of a</w:t>
            </w:r>
            <w:r w:rsidRPr="00484AE9">
              <w:t xml:space="preserve"> </w:t>
            </w:r>
            <w:r w:rsidR="00811A33" w:rsidRPr="00484AE9">
              <w:t xml:space="preserve">discounted quality adjusted life expectancy (dQALE) based on </w:t>
            </w:r>
            <w:r w:rsidR="004F220D" w:rsidRPr="00484AE9">
              <w:t xml:space="preserve">the characteristics of the cohort being modelled (see paragraph </w:t>
            </w:r>
            <w:r w:rsidR="00D43B8B" w:rsidRPr="00484AE9">
              <w:fldChar w:fldCharType="begin"/>
            </w:r>
            <w:r w:rsidR="00D43B8B" w:rsidRPr="00484AE9">
              <w:instrText xml:space="preserve"> REF _Ref144642828 \r \h </w:instrText>
            </w:r>
            <w:r w:rsidR="00D43B8B" w:rsidRPr="00484AE9">
              <w:fldChar w:fldCharType="separate"/>
            </w:r>
            <w:r w:rsidR="00872657">
              <w:t>6.65</w:t>
            </w:r>
            <w:r w:rsidR="00D43B8B" w:rsidRPr="00484AE9">
              <w:fldChar w:fldCharType="end"/>
            </w:r>
            <w:r w:rsidR="004F220D" w:rsidRPr="00484AE9">
              <w:t>).</w:t>
            </w:r>
            <w:r w:rsidRPr="00484AE9">
              <w:t xml:space="preserve"> </w:t>
            </w:r>
          </w:p>
        </w:tc>
      </w:tr>
      <w:tr w:rsidR="008B6130" w:rsidRPr="00484AE9" w14:paraId="07C0A709" w14:textId="77777777" w:rsidTr="006B35E6">
        <w:tc>
          <w:tcPr>
            <w:tcW w:w="1396" w:type="pct"/>
            <w:shd w:val="clear" w:color="auto" w:fill="auto"/>
            <w:vAlign w:val="center"/>
          </w:tcPr>
          <w:p w14:paraId="33B632EB" w14:textId="4B6D1EE3" w:rsidR="00501854" w:rsidRPr="00484AE9" w:rsidRDefault="00DD0F78" w:rsidP="00BB00B3">
            <w:pPr>
              <w:pStyle w:val="TableText0"/>
            </w:pPr>
            <w:r w:rsidRPr="00484AE9">
              <w:t>Health related quality of life</w:t>
            </w:r>
          </w:p>
        </w:tc>
        <w:tc>
          <w:tcPr>
            <w:tcW w:w="3604" w:type="pct"/>
            <w:shd w:val="clear" w:color="auto" w:fill="auto"/>
            <w:vAlign w:val="center"/>
          </w:tcPr>
          <w:p w14:paraId="6FCC32AA" w14:textId="2892F6F7" w:rsidR="001F4081" w:rsidRPr="00484AE9" w:rsidRDefault="00F74BB4" w:rsidP="00BB00B3">
            <w:pPr>
              <w:pStyle w:val="TableText0"/>
            </w:pPr>
            <w:r w:rsidRPr="00484AE9">
              <w:t xml:space="preserve">The literature on the impact of acute </w:t>
            </w:r>
            <w:r w:rsidRPr="00484AE9">
              <w:rPr>
                <w:rStyle w:val="normaltextrun"/>
              </w:rPr>
              <w:t>COVID</w:t>
            </w:r>
            <w:r w:rsidRPr="00484AE9">
              <w:rPr>
                <w:rStyle w:val="normaltextrun"/>
              </w:rPr>
              <w:noBreakHyphen/>
              <w:t xml:space="preserve">19 and long COVID </w:t>
            </w:r>
            <w:r w:rsidR="009249C7" w:rsidRPr="00484AE9">
              <w:rPr>
                <w:rStyle w:val="normaltextrun"/>
              </w:rPr>
              <w:t xml:space="preserve">was considered to be immature. </w:t>
            </w:r>
            <w:r w:rsidR="00146164" w:rsidRPr="00484AE9">
              <w:t xml:space="preserve">Estimates of </w:t>
            </w:r>
            <w:r w:rsidR="00355B69" w:rsidRPr="00484AE9">
              <w:t>utility decrements by health state</w:t>
            </w:r>
            <w:r w:rsidR="00657D45" w:rsidRPr="00484AE9">
              <w:t xml:space="preserve"> were estimated </w:t>
            </w:r>
            <w:r w:rsidR="00044FBA" w:rsidRPr="00484AE9">
              <w:t xml:space="preserve">based on a broad review of the literature and analyst judgement (see paragraph </w:t>
            </w:r>
            <w:r w:rsidR="002276C6" w:rsidRPr="00484AE9">
              <w:fldChar w:fldCharType="begin"/>
            </w:r>
            <w:r w:rsidR="002276C6" w:rsidRPr="00484AE9">
              <w:instrText xml:space="preserve"> REF _Ref144920652 \r \h </w:instrText>
            </w:r>
            <w:r w:rsidR="002276C6" w:rsidRPr="00484AE9">
              <w:fldChar w:fldCharType="separate"/>
            </w:r>
            <w:r w:rsidR="00872657">
              <w:t>6.66</w:t>
            </w:r>
            <w:r w:rsidR="002276C6" w:rsidRPr="00484AE9">
              <w:fldChar w:fldCharType="end"/>
            </w:r>
            <w:r w:rsidR="00044FBA" w:rsidRPr="00484AE9">
              <w:t>)</w:t>
            </w:r>
          </w:p>
        </w:tc>
      </w:tr>
    </w:tbl>
    <w:p w14:paraId="48AF1BBD" w14:textId="4C129208" w:rsidR="002C5838" w:rsidRPr="00484AE9" w:rsidRDefault="003270E4" w:rsidP="00BB00B3">
      <w:pPr>
        <w:pStyle w:val="FooterTableFigure"/>
      </w:pPr>
      <w:r w:rsidRPr="00484AE9">
        <w:t>Source</w:t>
      </w:r>
      <w:r w:rsidR="007D584E" w:rsidRPr="00484AE9">
        <w:t>s</w:t>
      </w:r>
      <w:r w:rsidRPr="00484AE9">
        <w:t>: Table</w:t>
      </w:r>
      <w:r w:rsidR="003E7797" w:rsidRPr="00484AE9">
        <w:t xml:space="preserve"> 3.1.1 on p</w:t>
      </w:r>
      <w:r w:rsidR="005F0F17" w:rsidRPr="00484AE9">
        <w:t xml:space="preserve">175 </w:t>
      </w:r>
      <w:r w:rsidRPr="00484AE9">
        <w:t>of the submission</w:t>
      </w:r>
      <w:r w:rsidR="007D584E" w:rsidRPr="00484AE9">
        <w:t>, Sections 3.5.1 and 3.5.2 of the submission</w:t>
      </w:r>
    </w:p>
    <w:p w14:paraId="0918F7AC" w14:textId="6A25E910" w:rsidR="00B46D38" w:rsidRPr="00484AE9" w:rsidRDefault="00494246" w:rsidP="00445429">
      <w:pPr>
        <w:pStyle w:val="3-BodyText"/>
      </w:pPr>
      <w:bookmarkStart w:id="114" w:name="_Ref144642798"/>
      <w:r w:rsidRPr="00484AE9">
        <w:t>The baseline risk of events</w:t>
      </w:r>
      <w:r w:rsidR="006606E7" w:rsidRPr="00484AE9">
        <w:t xml:space="preserve"> applied in the </w:t>
      </w:r>
      <w:r w:rsidR="006B2F86" w:rsidRPr="00484AE9">
        <w:t>economic analyses</w:t>
      </w:r>
      <w:r w:rsidR="006606E7" w:rsidRPr="00484AE9">
        <w:t xml:space="preserve"> are summarised in</w:t>
      </w:r>
      <w:bookmarkEnd w:id="114"/>
      <w:r w:rsidR="006606E7" w:rsidRPr="00484AE9">
        <w:t xml:space="preserve"> </w:t>
      </w:r>
      <w:r w:rsidR="00C75540" w:rsidRPr="00484AE9">
        <w:fldChar w:fldCharType="begin"/>
      </w:r>
      <w:r w:rsidR="00C75540" w:rsidRPr="00484AE9">
        <w:instrText xml:space="preserve"> REF _Ref144643056 \h </w:instrText>
      </w:r>
      <w:r w:rsidR="00C75540" w:rsidRPr="00484AE9">
        <w:fldChar w:fldCharType="separate"/>
      </w:r>
      <w:r w:rsidR="00872657" w:rsidRPr="00484AE9">
        <w:t xml:space="preserve">Table </w:t>
      </w:r>
      <w:r w:rsidR="00872657">
        <w:rPr>
          <w:noProof/>
        </w:rPr>
        <w:t>14</w:t>
      </w:r>
      <w:r w:rsidR="00C75540" w:rsidRPr="00484AE9">
        <w:fldChar w:fldCharType="end"/>
      </w:r>
      <w:r w:rsidR="002A47F5" w:rsidRPr="00484AE9">
        <w:t>.</w:t>
      </w:r>
    </w:p>
    <w:p w14:paraId="235AC46C" w14:textId="718C316E" w:rsidR="006A6AB1" w:rsidRPr="00484AE9" w:rsidRDefault="00B85032" w:rsidP="00445429">
      <w:pPr>
        <w:pStyle w:val="3-BodyText"/>
        <w:numPr>
          <w:ilvl w:val="2"/>
          <w:numId w:val="1"/>
        </w:numPr>
        <w:ind w:left="1080"/>
        <w:rPr>
          <w:rFonts w:eastAsia="Calibri"/>
          <w:iCs/>
        </w:rPr>
      </w:pPr>
      <w:r w:rsidRPr="00484AE9">
        <w:rPr>
          <w:rFonts w:eastAsia="Calibri"/>
          <w:iCs/>
        </w:rPr>
        <w:t>T</w:t>
      </w:r>
      <w:r w:rsidR="00E44560" w:rsidRPr="00484AE9">
        <w:rPr>
          <w:rFonts w:eastAsia="Calibri"/>
          <w:iCs/>
        </w:rPr>
        <w:t>otal</w:t>
      </w:r>
      <w:r w:rsidR="00403B7F" w:rsidRPr="00484AE9">
        <w:rPr>
          <w:rFonts w:eastAsia="Calibri"/>
          <w:iCs/>
        </w:rPr>
        <w:t xml:space="preserve"> proportions of patients hospitalised </w:t>
      </w:r>
      <w:r w:rsidR="008603F7" w:rsidRPr="00484AE9">
        <w:rPr>
          <w:rFonts w:eastAsia="Calibri"/>
          <w:iCs/>
        </w:rPr>
        <w:t xml:space="preserve">for </w:t>
      </w:r>
      <w:r w:rsidR="008603F7" w:rsidRPr="00445429">
        <w:rPr>
          <w:rFonts w:eastAsia="Calibri"/>
        </w:rPr>
        <w:t>COVID</w:t>
      </w:r>
      <w:r w:rsidR="008603F7" w:rsidRPr="00445429">
        <w:rPr>
          <w:rFonts w:eastAsia="Calibri"/>
        </w:rPr>
        <w:noBreakHyphen/>
        <w:t xml:space="preserve">19 </w:t>
      </w:r>
      <w:r w:rsidR="00AC4409" w:rsidRPr="00445429">
        <w:rPr>
          <w:rFonts w:eastAsia="Calibri"/>
        </w:rPr>
        <w:t xml:space="preserve">in each arm of the model </w:t>
      </w:r>
      <w:r w:rsidR="00E44560" w:rsidRPr="00484AE9">
        <w:rPr>
          <w:rFonts w:eastAsia="Calibri"/>
          <w:iCs/>
        </w:rPr>
        <w:t>(including</w:t>
      </w:r>
      <w:r w:rsidR="007579FB" w:rsidRPr="00484AE9">
        <w:rPr>
          <w:rFonts w:eastAsia="Calibri"/>
          <w:iCs/>
        </w:rPr>
        <w:t xml:space="preserve"> those requiring critical care</w:t>
      </w:r>
      <w:r w:rsidR="00E44560" w:rsidRPr="00484AE9">
        <w:rPr>
          <w:rFonts w:eastAsia="Calibri"/>
          <w:iCs/>
        </w:rPr>
        <w:t>)</w:t>
      </w:r>
      <w:r w:rsidR="00976A21" w:rsidRPr="00484AE9">
        <w:rPr>
          <w:rFonts w:eastAsia="Calibri"/>
          <w:iCs/>
        </w:rPr>
        <w:t xml:space="preserve"> </w:t>
      </w:r>
      <w:r w:rsidR="00F671DA" w:rsidRPr="00484AE9">
        <w:rPr>
          <w:rFonts w:eastAsia="Calibri"/>
          <w:iCs/>
        </w:rPr>
        <w:t>were</w:t>
      </w:r>
      <w:r w:rsidR="00976A21" w:rsidRPr="00484AE9">
        <w:rPr>
          <w:rFonts w:eastAsia="Calibri"/>
          <w:iCs/>
        </w:rPr>
        <w:t xml:space="preserve"> estimated</w:t>
      </w:r>
      <w:r w:rsidR="00E44560" w:rsidRPr="00484AE9">
        <w:rPr>
          <w:rFonts w:eastAsia="Calibri"/>
          <w:iCs/>
        </w:rPr>
        <w:t xml:space="preserve"> </w:t>
      </w:r>
      <w:r w:rsidR="00D82639" w:rsidRPr="00484AE9">
        <w:rPr>
          <w:rFonts w:eastAsia="Calibri"/>
          <w:iCs/>
        </w:rPr>
        <w:t xml:space="preserve">by the submission </w:t>
      </w:r>
      <w:r w:rsidR="00E44560" w:rsidRPr="00484AE9">
        <w:rPr>
          <w:rFonts w:eastAsia="Calibri"/>
          <w:iCs/>
        </w:rPr>
        <w:t xml:space="preserve">to be between 1.5% and </w:t>
      </w:r>
      <w:r w:rsidR="00ED2732" w:rsidRPr="00484AE9">
        <w:rPr>
          <w:rFonts w:eastAsia="Calibri"/>
          <w:iCs/>
        </w:rPr>
        <w:t>5%</w:t>
      </w:r>
      <w:r w:rsidR="00D82639" w:rsidRPr="00484AE9">
        <w:rPr>
          <w:rFonts w:eastAsia="Calibri"/>
          <w:iCs/>
        </w:rPr>
        <w:t xml:space="preserve">. </w:t>
      </w:r>
      <w:bookmarkStart w:id="115" w:name="_Hlk144655471"/>
      <w:r w:rsidR="00D82639" w:rsidRPr="00484AE9">
        <w:rPr>
          <w:rFonts w:eastAsia="Calibri"/>
          <w:iCs/>
        </w:rPr>
        <w:t>The estimates were not based on any particular data source</w:t>
      </w:r>
      <w:r w:rsidR="00E97937" w:rsidRPr="00484AE9">
        <w:rPr>
          <w:rFonts w:eastAsia="Calibri"/>
          <w:iCs/>
        </w:rPr>
        <w:t xml:space="preserve"> but were based on a consideration of a range of data sources </w:t>
      </w:r>
      <w:bookmarkEnd w:id="115"/>
      <w:r w:rsidR="0099744E" w:rsidRPr="00484AE9">
        <w:rPr>
          <w:rFonts w:eastAsia="Calibri"/>
          <w:iCs/>
        </w:rPr>
        <w:t>including clinical opinion</w:t>
      </w:r>
      <w:r w:rsidR="000C4A8E" w:rsidRPr="00484AE9">
        <w:rPr>
          <w:rFonts w:eastAsia="Calibri"/>
          <w:iCs/>
        </w:rPr>
        <w:t>. The submission acknowledge</w:t>
      </w:r>
      <w:r w:rsidR="00BD2D31" w:rsidRPr="00484AE9">
        <w:rPr>
          <w:rFonts w:eastAsia="Calibri"/>
          <w:iCs/>
        </w:rPr>
        <w:t>d</w:t>
      </w:r>
      <w:r w:rsidR="000C4A8E" w:rsidRPr="00484AE9">
        <w:rPr>
          <w:rFonts w:eastAsia="Calibri"/>
          <w:iCs/>
        </w:rPr>
        <w:t xml:space="preserve"> that there is considerable uncertainty</w:t>
      </w:r>
      <w:r w:rsidR="00BD2D31" w:rsidRPr="00484AE9">
        <w:rPr>
          <w:rFonts w:eastAsia="Calibri"/>
          <w:iCs/>
        </w:rPr>
        <w:t xml:space="preserve"> in the estimates applied in the economic analysis and expressed the sponsor’s willingness to consider alternative estimates. </w:t>
      </w:r>
      <w:r w:rsidR="006116DF" w:rsidRPr="00484AE9">
        <w:rPr>
          <w:rFonts w:eastAsia="Calibri"/>
          <w:iCs/>
        </w:rPr>
        <w:t>T</w:t>
      </w:r>
      <w:r w:rsidR="00E964A5" w:rsidRPr="00484AE9">
        <w:rPr>
          <w:rFonts w:eastAsia="Calibri"/>
          <w:iCs/>
        </w:rPr>
        <w:t xml:space="preserve">he estimates of proportion of patients requiring hospitalisation may be </w:t>
      </w:r>
      <w:r w:rsidR="00AC4409" w:rsidRPr="00484AE9">
        <w:rPr>
          <w:rFonts w:eastAsia="Calibri"/>
          <w:iCs/>
        </w:rPr>
        <w:t>appropriate</w:t>
      </w:r>
      <w:r w:rsidR="006F2C79" w:rsidRPr="00484AE9">
        <w:rPr>
          <w:rFonts w:eastAsia="Calibri"/>
          <w:iCs/>
        </w:rPr>
        <w:t xml:space="preserve"> however</w:t>
      </w:r>
      <w:r w:rsidR="00AC4409" w:rsidRPr="00484AE9">
        <w:rPr>
          <w:rFonts w:eastAsia="Calibri"/>
          <w:iCs/>
        </w:rPr>
        <w:t xml:space="preserve"> t</w:t>
      </w:r>
      <w:r w:rsidR="00BD2D31" w:rsidRPr="00484AE9">
        <w:rPr>
          <w:rFonts w:eastAsia="Calibri"/>
          <w:iCs/>
        </w:rPr>
        <w:t xml:space="preserve">he </w:t>
      </w:r>
      <w:r w:rsidR="006F2C79" w:rsidRPr="00484AE9">
        <w:rPr>
          <w:rFonts w:eastAsia="Calibri"/>
          <w:iCs/>
        </w:rPr>
        <w:t>structure of the model mean</w:t>
      </w:r>
      <w:r w:rsidR="00BB2E56" w:rsidRPr="00484AE9">
        <w:rPr>
          <w:rFonts w:eastAsia="Calibri"/>
          <w:iCs/>
        </w:rPr>
        <w:t>t</w:t>
      </w:r>
      <w:r w:rsidR="006F2C79" w:rsidRPr="00484AE9">
        <w:rPr>
          <w:rFonts w:eastAsia="Calibri"/>
          <w:iCs/>
        </w:rPr>
        <w:t xml:space="preserve"> </w:t>
      </w:r>
      <w:r w:rsidR="00A8301C" w:rsidRPr="00484AE9">
        <w:rPr>
          <w:rFonts w:eastAsia="Calibri"/>
          <w:iCs/>
        </w:rPr>
        <w:t>that</w:t>
      </w:r>
      <w:r w:rsidR="00463D78" w:rsidRPr="00484AE9">
        <w:rPr>
          <w:rFonts w:eastAsia="Calibri"/>
          <w:iCs/>
        </w:rPr>
        <w:t xml:space="preserve"> death </w:t>
      </w:r>
      <w:r w:rsidR="00BB2E56" w:rsidRPr="00484AE9">
        <w:rPr>
          <w:rFonts w:eastAsia="Calibri"/>
          <w:iCs/>
        </w:rPr>
        <w:t>wa</w:t>
      </w:r>
      <w:r w:rsidR="00463D78" w:rsidRPr="00484AE9">
        <w:rPr>
          <w:rFonts w:eastAsia="Calibri"/>
          <w:iCs/>
        </w:rPr>
        <w:t>s applied as a separate</w:t>
      </w:r>
      <w:r w:rsidR="007329CE" w:rsidRPr="00484AE9">
        <w:rPr>
          <w:rFonts w:eastAsia="Calibri"/>
          <w:iCs/>
        </w:rPr>
        <w:t xml:space="preserve">, independent </w:t>
      </w:r>
      <w:r w:rsidR="00463D78" w:rsidRPr="00484AE9">
        <w:rPr>
          <w:rFonts w:eastAsia="Calibri"/>
          <w:iCs/>
        </w:rPr>
        <w:t>parameter in the economic analysis.</w:t>
      </w:r>
    </w:p>
    <w:p w14:paraId="007627F6" w14:textId="63F98CEC" w:rsidR="006A6AB1" w:rsidRPr="00445429" w:rsidRDefault="0031019D" w:rsidP="00445429">
      <w:pPr>
        <w:pStyle w:val="3-BodyText"/>
        <w:numPr>
          <w:ilvl w:val="2"/>
          <w:numId w:val="1"/>
        </w:numPr>
        <w:ind w:left="1080"/>
        <w:rPr>
          <w:rFonts w:eastAsia="Calibri"/>
          <w:iCs/>
        </w:rPr>
      </w:pPr>
      <w:r w:rsidRPr="00484AE9">
        <w:rPr>
          <w:rFonts w:eastAsia="Calibri"/>
          <w:iCs/>
        </w:rPr>
        <w:t>The</w:t>
      </w:r>
      <w:r w:rsidR="006A6AB1" w:rsidRPr="00484AE9">
        <w:rPr>
          <w:rFonts w:eastAsia="Calibri"/>
          <w:iCs/>
        </w:rPr>
        <w:t xml:space="preserve"> </w:t>
      </w:r>
      <w:r w:rsidR="004E5097" w:rsidRPr="00484AE9">
        <w:rPr>
          <w:rFonts w:eastAsia="Calibri"/>
          <w:iCs/>
        </w:rPr>
        <w:t xml:space="preserve">proportion of </w:t>
      </w:r>
      <w:r w:rsidR="00147446" w:rsidRPr="00484AE9">
        <w:rPr>
          <w:rFonts w:eastAsia="Calibri"/>
          <w:iCs/>
        </w:rPr>
        <w:t>patients</w:t>
      </w:r>
      <w:r w:rsidR="004E5097" w:rsidRPr="00484AE9">
        <w:rPr>
          <w:rFonts w:eastAsia="Calibri"/>
          <w:iCs/>
        </w:rPr>
        <w:t xml:space="preserve"> dying</w:t>
      </w:r>
      <w:r w:rsidR="00AC4409" w:rsidRPr="00484AE9">
        <w:rPr>
          <w:rFonts w:eastAsia="Calibri"/>
          <w:iCs/>
        </w:rPr>
        <w:t xml:space="preserve"> in each arm</w:t>
      </w:r>
      <w:r w:rsidR="00235238" w:rsidRPr="00484AE9">
        <w:rPr>
          <w:rFonts w:eastAsia="Calibri"/>
          <w:iCs/>
        </w:rPr>
        <w:t xml:space="preserve"> </w:t>
      </w:r>
      <w:r w:rsidRPr="00484AE9">
        <w:rPr>
          <w:rFonts w:eastAsia="Calibri"/>
          <w:iCs/>
        </w:rPr>
        <w:t>was</w:t>
      </w:r>
      <w:r w:rsidR="00FC0DC5" w:rsidRPr="00484AE9">
        <w:rPr>
          <w:rFonts w:eastAsia="Calibri"/>
          <w:iCs/>
        </w:rPr>
        <w:t xml:space="preserve"> estimated by the submission to be between 1% and 3% of cases</w:t>
      </w:r>
      <w:r w:rsidR="00381742" w:rsidRPr="00484AE9">
        <w:rPr>
          <w:rFonts w:eastAsia="Calibri"/>
          <w:iCs/>
        </w:rPr>
        <w:t>. The estimates were not based on any particular data source but were estimated based on a consideration of a range of data sources.</w:t>
      </w:r>
      <w:r w:rsidR="00CF34B1" w:rsidRPr="00484AE9">
        <w:rPr>
          <w:rFonts w:eastAsia="Calibri"/>
          <w:iCs/>
        </w:rPr>
        <w:t xml:space="preserve"> The submission acknowledged that there </w:t>
      </w:r>
      <w:r w:rsidR="00BB2E56" w:rsidRPr="00484AE9">
        <w:rPr>
          <w:rFonts w:eastAsia="Calibri"/>
          <w:iCs/>
        </w:rPr>
        <w:t>was</w:t>
      </w:r>
      <w:r w:rsidR="00CF34B1" w:rsidRPr="00484AE9">
        <w:rPr>
          <w:rFonts w:eastAsia="Calibri"/>
          <w:iCs/>
        </w:rPr>
        <w:t xml:space="preserve"> considerable uncertainty in the estimates applied in the economic analysis and expressed the sponsor’s </w:t>
      </w:r>
      <w:r w:rsidR="00CF34B1" w:rsidRPr="00484AE9">
        <w:rPr>
          <w:rFonts w:eastAsia="Calibri"/>
          <w:iCs/>
        </w:rPr>
        <w:lastRenderedPageBreak/>
        <w:t xml:space="preserve">willingness to consider alternative estimates. </w:t>
      </w:r>
      <w:r w:rsidR="004267CE" w:rsidRPr="00445429">
        <w:rPr>
          <w:rFonts w:eastAsia="Calibri"/>
          <w:iCs/>
        </w:rPr>
        <w:t xml:space="preserve">The </w:t>
      </w:r>
      <w:r w:rsidR="0057110F" w:rsidRPr="00445429">
        <w:rPr>
          <w:rFonts w:eastAsia="Calibri"/>
          <w:iCs/>
        </w:rPr>
        <w:t>ESC considered that some of the background rates of mortality applied in the model seemed high, particular</w:t>
      </w:r>
      <w:r w:rsidR="008A3492" w:rsidRPr="00445429">
        <w:rPr>
          <w:rFonts w:eastAsia="Calibri"/>
          <w:iCs/>
        </w:rPr>
        <w:t>ly</w:t>
      </w:r>
      <w:r w:rsidR="0057110F" w:rsidRPr="00445429">
        <w:rPr>
          <w:rFonts w:eastAsia="Calibri"/>
          <w:iCs/>
        </w:rPr>
        <w:t xml:space="preserve"> for a vaccinated population</w:t>
      </w:r>
      <w:r w:rsidR="008A3492" w:rsidRPr="00445429">
        <w:rPr>
          <w:rFonts w:eastAsia="Calibri"/>
          <w:iCs/>
        </w:rPr>
        <w:t>,</w:t>
      </w:r>
      <w:r w:rsidR="0057110F" w:rsidRPr="00445429">
        <w:rPr>
          <w:rFonts w:eastAsia="Calibri"/>
          <w:iCs/>
        </w:rPr>
        <w:t xml:space="preserve"> and </w:t>
      </w:r>
      <w:r w:rsidR="004267CE" w:rsidRPr="00445429">
        <w:rPr>
          <w:rFonts w:eastAsia="Calibri"/>
          <w:iCs/>
        </w:rPr>
        <w:t xml:space="preserve">agreed with the commentary that </w:t>
      </w:r>
      <w:r w:rsidR="0057110F" w:rsidRPr="00445429">
        <w:rPr>
          <w:rFonts w:eastAsia="Calibri"/>
          <w:iCs/>
        </w:rPr>
        <w:t xml:space="preserve">these </w:t>
      </w:r>
      <w:r w:rsidR="0060125A" w:rsidRPr="00445429">
        <w:rPr>
          <w:rFonts w:eastAsia="Calibri"/>
          <w:iCs/>
        </w:rPr>
        <w:t>sh</w:t>
      </w:r>
      <w:r w:rsidR="0057110F" w:rsidRPr="00445429">
        <w:rPr>
          <w:rFonts w:eastAsia="Calibri"/>
          <w:iCs/>
        </w:rPr>
        <w:t>ould be reviewed</w:t>
      </w:r>
      <w:r w:rsidR="00451461" w:rsidRPr="00445429">
        <w:rPr>
          <w:rFonts w:eastAsia="Calibri"/>
          <w:iCs/>
        </w:rPr>
        <w:t xml:space="preserve">. </w:t>
      </w:r>
      <w:r w:rsidR="00231E1F" w:rsidRPr="00484AE9">
        <w:rPr>
          <w:rFonts w:eastAsia="Calibri"/>
          <w:iCs/>
        </w:rPr>
        <w:t xml:space="preserve">The rates of death are higher than observed in any of the clinical trials conducted in </w:t>
      </w:r>
      <w:r w:rsidR="00095618" w:rsidRPr="00484AE9">
        <w:rPr>
          <w:rFonts w:eastAsia="Calibri"/>
          <w:iCs/>
        </w:rPr>
        <w:t xml:space="preserve">high risk </w:t>
      </w:r>
      <w:r w:rsidR="00231E1F" w:rsidRPr="00484AE9">
        <w:rPr>
          <w:rFonts w:eastAsia="Calibri"/>
          <w:iCs/>
        </w:rPr>
        <w:t xml:space="preserve">patients </w:t>
      </w:r>
      <w:r w:rsidR="00722958" w:rsidRPr="00484AE9">
        <w:rPr>
          <w:rFonts w:eastAsia="Calibri"/>
          <w:iCs/>
        </w:rPr>
        <w:t xml:space="preserve">who </w:t>
      </w:r>
      <w:r w:rsidR="000E193C" w:rsidRPr="00484AE9">
        <w:rPr>
          <w:rFonts w:eastAsia="Calibri"/>
          <w:iCs/>
        </w:rPr>
        <w:t>were un</w:t>
      </w:r>
      <w:r w:rsidR="00722958" w:rsidRPr="00484AE9">
        <w:rPr>
          <w:rFonts w:eastAsia="Calibri"/>
          <w:iCs/>
        </w:rPr>
        <w:t xml:space="preserve">vaccinated </w:t>
      </w:r>
      <w:r w:rsidR="00C529A0" w:rsidRPr="00484AE9">
        <w:rPr>
          <w:rFonts w:eastAsia="Calibri"/>
          <w:iCs/>
        </w:rPr>
        <w:t xml:space="preserve">and were conducted </w:t>
      </w:r>
      <w:r w:rsidR="000E193C" w:rsidRPr="00484AE9">
        <w:rPr>
          <w:rFonts w:eastAsia="Calibri"/>
          <w:iCs/>
        </w:rPr>
        <w:t>at a time whe</w:t>
      </w:r>
      <w:r w:rsidR="004D5E2D" w:rsidRPr="00484AE9">
        <w:rPr>
          <w:rFonts w:eastAsia="Calibri"/>
          <w:iCs/>
        </w:rPr>
        <w:t>n</w:t>
      </w:r>
      <w:r w:rsidR="000E193C" w:rsidRPr="00484AE9">
        <w:rPr>
          <w:rFonts w:eastAsia="Calibri"/>
          <w:iCs/>
        </w:rPr>
        <w:t xml:space="preserve"> more </w:t>
      </w:r>
      <w:r w:rsidR="00BB28EC" w:rsidRPr="00484AE9">
        <w:rPr>
          <w:rFonts w:eastAsia="Calibri"/>
          <w:iCs/>
        </w:rPr>
        <w:t xml:space="preserve">pathogenic variants were circulating. The mortality rates in the placebo-treated </w:t>
      </w:r>
      <w:r w:rsidR="00C340A2" w:rsidRPr="00484AE9">
        <w:rPr>
          <w:rFonts w:eastAsia="Calibri"/>
          <w:iCs/>
        </w:rPr>
        <w:t xml:space="preserve">high-risk </w:t>
      </w:r>
      <w:r w:rsidR="00BB28EC" w:rsidRPr="00484AE9">
        <w:rPr>
          <w:rFonts w:eastAsia="Calibri"/>
          <w:iCs/>
        </w:rPr>
        <w:t>groups of the EPIC-HR and MOVe</w:t>
      </w:r>
      <w:r w:rsidR="00A40DAC" w:rsidRPr="00484AE9">
        <w:rPr>
          <w:rFonts w:eastAsia="Calibri"/>
          <w:iCs/>
        </w:rPr>
        <w:noBreakHyphen/>
      </w:r>
      <w:r w:rsidR="00BB28EC" w:rsidRPr="00484AE9">
        <w:rPr>
          <w:rFonts w:eastAsia="Calibri"/>
          <w:iCs/>
        </w:rPr>
        <w:t>OUT trials were 1.1% (12/1051) and 1.3% (9/699)</w:t>
      </w:r>
      <w:r w:rsidR="00456B76" w:rsidRPr="00484AE9">
        <w:rPr>
          <w:rFonts w:eastAsia="Calibri"/>
          <w:iCs/>
        </w:rPr>
        <w:t>, respectively.</w:t>
      </w:r>
      <w:r w:rsidR="006341C7" w:rsidRPr="00484AE9">
        <w:rPr>
          <w:rFonts w:eastAsia="Calibri"/>
          <w:iCs/>
        </w:rPr>
        <w:t xml:space="preserve"> </w:t>
      </w:r>
      <w:r w:rsidR="00D02748" w:rsidRPr="00484AE9">
        <w:rPr>
          <w:rFonts w:eastAsia="Calibri"/>
          <w:iCs/>
        </w:rPr>
        <w:t xml:space="preserve">If it is assumed that the vast majority of deaths occur in hospitalised patients, the case fatality rates for hospitalised patients </w:t>
      </w:r>
      <w:r w:rsidR="005D51BF" w:rsidRPr="00484AE9">
        <w:rPr>
          <w:rFonts w:eastAsia="Calibri"/>
          <w:iCs/>
        </w:rPr>
        <w:t xml:space="preserve">implicitly applied in the economic analysis are </w:t>
      </w:r>
      <w:r w:rsidR="001B1389" w:rsidRPr="00484AE9">
        <w:rPr>
          <w:rFonts w:eastAsia="Calibri"/>
          <w:iCs/>
        </w:rPr>
        <w:t>extremely high</w:t>
      </w:r>
      <w:r w:rsidR="00D02748" w:rsidRPr="00484AE9">
        <w:rPr>
          <w:rFonts w:eastAsia="Calibri"/>
          <w:iCs/>
        </w:rPr>
        <w:t xml:space="preserve">. </w:t>
      </w:r>
      <w:r w:rsidR="006341C7" w:rsidRPr="00484AE9">
        <w:rPr>
          <w:rFonts w:eastAsia="Calibri"/>
          <w:iCs/>
        </w:rPr>
        <w:t>Macedo et al, 2021</w:t>
      </w:r>
      <w:r w:rsidR="00625CC3" w:rsidRPr="00445429">
        <w:rPr>
          <w:rFonts w:eastAsia="Calibri"/>
        </w:rPr>
        <w:footnoteReference w:id="17"/>
      </w:r>
      <w:r w:rsidR="000A35FD" w:rsidRPr="00484AE9">
        <w:rPr>
          <w:rFonts w:eastAsia="Calibri"/>
          <w:iCs/>
        </w:rPr>
        <w:t xml:space="preserve"> report</w:t>
      </w:r>
      <w:r w:rsidR="00B109EA" w:rsidRPr="00484AE9">
        <w:rPr>
          <w:rFonts w:eastAsia="Calibri"/>
          <w:iCs/>
        </w:rPr>
        <w:t>ed</w:t>
      </w:r>
      <w:r w:rsidR="000A35FD" w:rsidRPr="00484AE9">
        <w:rPr>
          <w:rFonts w:eastAsia="Calibri"/>
          <w:iCs/>
        </w:rPr>
        <w:t xml:space="preserve"> the results of a systematic review of case fatality rates in hospitalised patients</w:t>
      </w:r>
      <w:r w:rsidR="00B109EA" w:rsidRPr="00484AE9">
        <w:rPr>
          <w:rFonts w:eastAsia="Calibri"/>
          <w:iCs/>
        </w:rPr>
        <w:t xml:space="preserve"> between December </w:t>
      </w:r>
      <w:r w:rsidR="00C01519" w:rsidRPr="00484AE9">
        <w:rPr>
          <w:rFonts w:eastAsia="Calibri"/>
          <w:iCs/>
        </w:rPr>
        <w:t>2019</w:t>
      </w:r>
      <w:r w:rsidR="00B109EA" w:rsidRPr="00484AE9">
        <w:rPr>
          <w:rFonts w:eastAsia="Calibri"/>
          <w:iCs/>
        </w:rPr>
        <w:t xml:space="preserve"> and April 2021</w:t>
      </w:r>
      <w:r w:rsidR="00CE5DED" w:rsidRPr="00484AE9">
        <w:rPr>
          <w:rFonts w:eastAsia="Calibri"/>
          <w:iCs/>
        </w:rPr>
        <w:t xml:space="preserve"> and estimate</w:t>
      </w:r>
      <w:r w:rsidR="00533AAB" w:rsidRPr="00484AE9">
        <w:rPr>
          <w:rFonts w:eastAsia="Calibri"/>
          <w:iCs/>
        </w:rPr>
        <w:t>d</w:t>
      </w:r>
      <w:r w:rsidR="00CE5DED" w:rsidRPr="00484AE9">
        <w:rPr>
          <w:rFonts w:eastAsia="Calibri"/>
          <w:iCs/>
        </w:rPr>
        <w:t xml:space="preserve"> mortality rates of approximately 11% for general patients</w:t>
      </w:r>
      <w:r w:rsidR="004B5CBF" w:rsidRPr="00484AE9">
        <w:rPr>
          <w:rFonts w:eastAsia="Calibri"/>
          <w:iCs/>
        </w:rPr>
        <w:t xml:space="preserve"> in hospital and 41% for patients requiring critical care. Th</w:t>
      </w:r>
      <w:r w:rsidR="00353C80" w:rsidRPr="00484AE9">
        <w:rPr>
          <w:rFonts w:eastAsia="Calibri"/>
          <w:iCs/>
        </w:rPr>
        <w:t>ese rates</w:t>
      </w:r>
      <w:r w:rsidR="004B5CBF" w:rsidRPr="00484AE9">
        <w:rPr>
          <w:rFonts w:eastAsia="Calibri"/>
          <w:iCs/>
        </w:rPr>
        <w:t xml:space="preserve"> </w:t>
      </w:r>
      <w:r w:rsidR="00353C80" w:rsidRPr="00484AE9">
        <w:rPr>
          <w:rFonts w:eastAsia="Calibri"/>
          <w:iCs/>
        </w:rPr>
        <w:t>reflect mortality rates</w:t>
      </w:r>
      <w:r w:rsidR="004B5CBF" w:rsidRPr="00484AE9">
        <w:rPr>
          <w:rFonts w:eastAsia="Calibri"/>
          <w:iCs/>
        </w:rPr>
        <w:t xml:space="preserve"> </w:t>
      </w:r>
      <w:r w:rsidR="00353C80" w:rsidRPr="00484AE9">
        <w:rPr>
          <w:rFonts w:eastAsia="Calibri"/>
          <w:iCs/>
        </w:rPr>
        <w:t>in the initial phas</w:t>
      </w:r>
      <w:r w:rsidR="00533AAB" w:rsidRPr="00484AE9">
        <w:rPr>
          <w:rFonts w:eastAsia="Calibri"/>
          <w:iCs/>
        </w:rPr>
        <w:t>e</w:t>
      </w:r>
      <w:r w:rsidR="00353C80" w:rsidRPr="00484AE9">
        <w:rPr>
          <w:rFonts w:eastAsia="Calibri"/>
          <w:iCs/>
        </w:rPr>
        <w:t xml:space="preserve"> of the pandemic prior to availability of vaccines and treatments</w:t>
      </w:r>
      <w:r w:rsidR="00533AAB" w:rsidRPr="00484AE9">
        <w:rPr>
          <w:rFonts w:eastAsia="Calibri"/>
          <w:iCs/>
        </w:rPr>
        <w:t xml:space="preserve"> for </w:t>
      </w:r>
      <w:r w:rsidR="00533AAB" w:rsidRPr="00445429">
        <w:rPr>
          <w:rFonts w:eastAsia="Calibri"/>
        </w:rPr>
        <w:t>COVID</w:t>
      </w:r>
      <w:r w:rsidR="00533AAB" w:rsidRPr="00445429">
        <w:rPr>
          <w:rFonts w:eastAsia="Calibri"/>
        </w:rPr>
        <w:noBreakHyphen/>
        <w:t>19</w:t>
      </w:r>
      <w:r w:rsidR="00353C80" w:rsidRPr="00484AE9">
        <w:rPr>
          <w:rFonts w:eastAsia="Calibri"/>
          <w:iCs/>
        </w:rPr>
        <w:t>.</w:t>
      </w:r>
      <w:r w:rsidR="00456B76" w:rsidRPr="00484AE9">
        <w:rPr>
          <w:rFonts w:eastAsia="Calibri"/>
          <w:iCs/>
        </w:rPr>
        <w:t xml:space="preserve"> </w:t>
      </w:r>
      <w:r w:rsidR="000F3A4A" w:rsidRPr="00484AE9">
        <w:rPr>
          <w:rFonts w:eastAsia="Calibri"/>
          <w:iCs/>
        </w:rPr>
        <w:t>In summary, estimates applied in the model were at least three times higher than reported in the EPIC</w:t>
      </w:r>
      <w:r w:rsidR="00152DC5" w:rsidRPr="00484AE9">
        <w:rPr>
          <w:rFonts w:eastAsia="Calibri"/>
          <w:iCs/>
        </w:rPr>
        <w:t xml:space="preserve">-HR trials and </w:t>
      </w:r>
      <w:r w:rsidR="00526FEE" w:rsidRPr="00484AE9">
        <w:rPr>
          <w:rFonts w:eastAsia="Calibri"/>
          <w:iCs/>
        </w:rPr>
        <w:t xml:space="preserve">in Macedo et al, 2021. </w:t>
      </w:r>
      <w:r w:rsidR="00533AAB" w:rsidRPr="00484AE9">
        <w:rPr>
          <w:rFonts w:eastAsia="Calibri"/>
          <w:iCs/>
        </w:rPr>
        <w:t>On this basis,</w:t>
      </w:r>
      <w:r w:rsidR="00C93A37" w:rsidRPr="00484AE9">
        <w:rPr>
          <w:rFonts w:eastAsia="Calibri"/>
          <w:iCs/>
        </w:rPr>
        <w:t xml:space="preserve"> </w:t>
      </w:r>
      <w:r w:rsidR="004267CE" w:rsidRPr="00484AE9">
        <w:rPr>
          <w:rFonts w:eastAsia="Calibri"/>
          <w:iCs/>
        </w:rPr>
        <w:t xml:space="preserve">the commentary presented </w:t>
      </w:r>
      <w:r w:rsidR="00C93A37" w:rsidRPr="00484AE9">
        <w:rPr>
          <w:rFonts w:eastAsia="Calibri"/>
          <w:iCs/>
        </w:rPr>
        <w:t xml:space="preserve">respecified base case </w:t>
      </w:r>
      <w:r w:rsidR="00522EBB" w:rsidRPr="00484AE9">
        <w:rPr>
          <w:rFonts w:eastAsia="Calibri"/>
          <w:iCs/>
        </w:rPr>
        <w:t xml:space="preserve">analyses </w:t>
      </w:r>
      <w:r w:rsidR="00626CE1" w:rsidRPr="00484AE9">
        <w:rPr>
          <w:rFonts w:eastAsia="Calibri"/>
          <w:iCs/>
        </w:rPr>
        <w:t>assuming mortality rates were 33% of those assumed in the submission’s base case</w:t>
      </w:r>
      <w:r w:rsidR="005E2E06" w:rsidRPr="00484AE9">
        <w:rPr>
          <w:rFonts w:eastAsia="Calibri"/>
          <w:iCs/>
        </w:rPr>
        <w:t xml:space="preserve"> </w:t>
      </w:r>
      <w:r w:rsidR="004267CE" w:rsidRPr="00484AE9">
        <w:rPr>
          <w:rFonts w:eastAsia="Calibri"/>
          <w:iCs/>
        </w:rPr>
        <w:t xml:space="preserve">as shown </w:t>
      </w:r>
      <w:r w:rsidR="000C498D" w:rsidRPr="00484AE9">
        <w:rPr>
          <w:rFonts w:eastAsia="Calibri"/>
          <w:iCs/>
        </w:rPr>
        <w:t xml:space="preserve">in </w:t>
      </w:r>
      <w:r w:rsidR="000C498D" w:rsidRPr="00484AE9">
        <w:rPr>
          <w:rFonts w:eastAsia="Calibri"/>
          <w:iCs/>
        </w:rPr>
        <w:fldChar w:fldCharType="begin"/>
      </w:r>
      <w:r w:rsidR="000C498D" w:rsidRPr="00484AE9">
        <w:rPr>
          <w:rFonts w:eastAsia="Calibri"/>
          <w:iCs/>
        </w:rPr>
        <w:instrText xml:space="preserve"> REF _Ref104805181 \h  \* MERGEFORMAT </w:instrText>
      </w:r>
      <w:r w:rsidR="000C498D" w:rsidRPr="00484AE9">
        <w:rPr>
          <w:rFonts w:eastAsia="Calibri"/>
          <w:iCs/>
        </w:rPr>
      </w:r>
      <w:r w:rsidR="000C498D" w:rsidRPr="00484AE9">
        <w:rPr>
          <w:rFonts w:eastAsia="Calibri"/>
          <w:iCs/>
        </w:rPr>
        <w:fldChar w:fldCharType="separate"/>
      </w:r>
      <w:r w:rsidR="00872657" w:rsidRPr="00872657">
        <w:rPr>
          <w:rFonts w:eastAsia="Calibri"/>
          <w:iCs/>
        </w:rPr>
        <w:t>Table 20</w:t>
      </w:r>
      <w:r w:rsidR="000C498D" w:rsidRPr="00484AE9">
        <w:rPr>
          <w:rFonts w:eastAsia="Calibri"/>
          <w:iCs/>
        </w:rPr>
        <w:fldChar w:fldCharType="end"/>
      </w:r>
      <w:r w:rsidR="00A62B3A" w:rsidRPr="00484AE9">
        <w:rPr>
          <w:rFonts w:eastAsia="Calibri"/>
          <w:iCs/>
        </w:rPr>
        <w:t xml:space="preserve">. </w:t>
      </w:r>
      <w:r w:rsidR="00E1772B" w:rsidRPr="00445429">
        <w:rPr>
          <w:rFonts w:eastAsia="Calibri"/>
          <w:iCs/>
        </w:rPr>
        <w:t xml:space="preserve">The PSCR disagreed with the reduction in baseline mortality applied in the respecified base case economic analysis. </w:t>
      </w:r>
      <w:r w:rsidR="00C61E6E" w:rsidRPr="00445429">
        <w:rPr>
          <w:rFonts w:eastAsia="Calibri"/>
          <w:iCs/>
        </w:rPr>
        <w:t>The ESC noted, a</w:t>
      </w:r>
      <w:r w:rsidR="00E1772B" w:rsidRPr="00445429">
        <w:rPr>
          <w:rFonts w:eastAsia="Calibri"/>
          <w:iCs/>
        </w:rPr>
        <w:t xml:space="preserve">s discussed in the Commentary, the submission’s model assumed a death rate of </w:t>
      </w:r>
      <w:r w:rsidR="00C61E6E" w:rsidRPr="00445429">
        <w:rPr>
          <w:rFonts w:eastAsia="Calibri"/>
          <w:iCs/>
        </w:rPr>
        <w:t xml:space="preserve">between 0.75% </w:t>
      </w:r>
      <w:r w:rsidR="003C5074" w:rsidRPr="00445429">
        <w:rPr>
          <w:rFonts w:eastAsia="Calibri"/>
          <w:iCs/>
        </w:rPr>
        <w:t>and</w:t>
      </w:r>
      <w:r w:rsidR="00C61E6E" w:rsidRPr="00445429">
        <w:rPr>
          <w:rFonts w:eastAsia="Calibri"/>
          <w:iCs/>
        </w:rPr>
        <w:t xml:space="preserve"> </w:t>
      </w:r>
      <w:r w:rsidR="00E1772B" w:rsidRPr="00445429">
        <w:rPr>
          <w:rFonts w:eastAsia="Calibri"/>
          <w:iCs/>
        </w:rPr>
        <w:t>3%</w:t>
      </w:r>
      <w:r w:rsidR="00BC5D63" w:rsidRPr="00445429">
        <w:rPr>
          <w:rFonts w:eastAsia="Calibri"/>
          <w:iCs/>
        </w:rPr>
        <w:t>,</w:t>
      </w:r>
      <w:r w:rsidR="00E1772B" w:rsidRPr="00445429">
        <w:rPr>
          <w:rFonts w:eastAsia="Calibri"/>
          <w:iCs/>
        </w:rPr>
        <w:t xml:space="preserve"> </w:t>
      </w:r>
      <w:r w:rsidR="00C61E6E" w:rsidRPr="00445429">
        <w:rPr>
          <w:rFonts w:eastAsia="Calibri"/>
          <w:iCs/>
        </w:rPr>
        <w:t>which resulted in implausibly high implied case fatality rates for hospitalised patients, when it assumed that all deaths occur in hospitalised patients (</w:t>
      </w:r>
      <w:r w:rsidR="00C61E6E" w:rsidRPr="00445429">
        <w:rPr>
          <w:rFonts w:eastAsia="Calibri"/>
          <w:iCs/>
        </w:rPr>
        <w:fldChar w:fldCharType="begin"/>
      </w:r>
      <w:r w:rsidR="00C61E6E" w:rsidRPr="00445429">
        <w:rPr>
          <w:rFonts w:eastAsia="Calibri"/>
          <w:iCs/>
        </w:rPr>
        <w:instrText xml:space="preserve"> REF _Ref144643056 \h  \* MERGEFORMAT </w:instrText>
      </w:r>
      <w:r w:rsidR="00C61E6E" w:rsidRPr="00445429">
        <w:rPr>
          <w:rFonts w:eastAsia="Calibri"/>
          <w:iCs/>
        </w:rPr>
      </w:r>
      <w:r w:rsidR="00C61E6E" w:rsidRPr="00445429">
        <w:rPr>
          <w:rFonts w:eastAsia="Calibri"/>
          <w:iCs/>
        </w:rPr>
        <w:fldChar w:fldCharType="separate"/>
      </w:r>
      <w:r w:rsidR="00872657" w:rsidRPr="00872657">
        <w:rPr>
          <w:rFonts w:eastAsia="Calibri"/>
          <w:iCs/>
        </w:rPr>
        <w:t>Table 14</w:t>
      </w:r>
      <w:r w:rsidR="00C61E6E" w:rsidRPr="00445429">
        <w:rPr>
          <w:rFonts w:eastAsia="Calibri"/>
          <w:iCs/>
        </w:rPr>
        <w:fldChar w:fldCharType="end"/>
      </w:r>
      <w:r w:rsidR="00C61E6E" w:rsidRPr="00445429">
        <w:rPr>
          <w:rFonts w:eastAsia="Calibri"/>
          <w:iCs/>
        </w:rPr>
        <w:t>)</w:t>
      </w:r>
      <w:r w:rsidR="00A62B3A" w:rsidRPr="00445429">
        <w:rPr>
          <w:rFonts w:eastAsia="Calibri"/>
          <w:iCs/>
        </w:rPr>
        <w:t xml:space="preserve">. </w:t>
      </w:r>
    </w:p>
    <w:p w14:paraId="0C0B5797" w14:textId="64F12802" w:rsidR="009F0C81" w:rsidRPr="00484AE9" w:rsidRDefault="009F0C81" w:rsidP="00445429">
      <w:pPr>
        <w:pStyle w:val="3-BodyText"/>
        <w:numPr>
          <w:ilvl w:val="2"/>
          <w:numId w:val="1"/>
        </w:numPr>
        <w:ind w:left="1080"/>
        <w:rPr>
          <w:rFonts w:eastAsia="Calibri"/>
          <w:iCs/>
        </w:rPr>
      </w:pPr>
      <w:r w:rsidRPr="00484AE9">
        <w:rPr>
          <w:rFonts w:eastAsia="Calibri"/>
          <w:iCs/>
        </w:rPr>
        <w:t xml:space="preserve">As </w:t>
      </w:r>
      <w:r w:rsidR="00BC3BC4" w:rsidRPr="00484AE9">
        <w:rPr>
          <w:rFonts w:eastAsia="Calibri"/>
          <w:iCs/>
        </w:rPr>
        <w:t xml:space="preserve">discussed in paragraph </w:t>
      </w:r>
      <w:r w:rsidR="00443A07" w:rsidRPr="00484AE9">
        <w:rPr>
          <w:rFonts w:eastAsia="Calibri"/>
          <w:iCs/>
        </w:rPr>
        <w:fldChar w:fldCharType="begin"/>
      </w:r>
      <w:r w:rsidR="00443A07" w:rsidRPr="00484AE9">
        <w:rPr>
          <w:rFonts w:eastAsia="Calibri"/>
          <w:iCs/>
        </w:rPr>
        <w:instrText xml:space="preserve"> REF _Ref144662992 \r \h </w:instrText>
      </w:r>
      <w:r w:rsidR="00445429">
        <w:rPr>
          <w:rFonts w:eastAsia="Calibri"/>
          <w:iCs/>
        </w:rPr>
        <w:instrText xml:space="preserve"> \* MERGEFORMAT </w:instrText>
      </w:r>
      <w:r w:rsidR="00443A07" w:rsidRPr="00484AE9">
        <w:rPr>
          <w:rFonts w:eastAsia="Calibri"/>
          <w:iCs/>
        </w:rPr>
      </w:r>
      <w:r w:rsidR="00443A07" w:rsidRPr="00484AE9">
        <w:rPr>
          <w:rFonts w:eastAsia="Calibri"/>
          <w:iCs/>
        </w:rPr>
        <w:fldChar w:fldCharType="separate"/>
      </w:r>
      <w:r w:rsidR="00872657">
        <w:rPr>
          <w:rFonts w:eastAsia="Calibri"/>
          <w:iCs/>
        </w:rPr>
        <w:t>6.38</w:t>
      </w:r>
      <w:r w:rsidR="00443A07" w:rsidRPr="00484AE9">
        <w:rPr>
          <w:rFonts w:eastAsia="Calibri"/>
          <w:iCs/>
        </w:rPr>
        <w:fldChar w:fldCharType="end"/>
      </w:r>
      <w:r w:rsidR="00443A07" w:rsidRPr="00484AE9">
        <w:rPr>
          <w:rFonts w:eastAsia="Calibri"/>
          <w:iCs/>
        </w:rPr>
        <w:t xml:space="preserve">, </w:t>
      </w:r>
      <w:r w:rsidR="00460F1A" w:rsidRPr="00484AE9">
        <w:rPr>
          <w:rFonts w:eastAsia="Calibri"/>
          <w:iCs/>
        </w:rPr>
        <w:t xml:space="preserve">and as shown in </w:t>
      </w:r>
      <w:r w:rsidR="00460F1A" w:rsidRPr="00484AE9">
        <w:rPr>
          <w:rFonts w:eastAsia="Calibri"/>
          <w:iCs/>
        </w:rPr>
        <w:fldChar w:fldCharType="begin"/>
      </w:r>
      <w:r w:rsidR="00460F1A" w:rsidRPr="00484AE9">
        <w:rPr>
          <w:rFonts w:eastAsia="Calibri"/>
          <w:iCs/>
        </w:rPr>
        <w:instrText xml:space="preserve"> REF _Ref144638450 \h </w:instrText>
      </w:r>
      <w:r w:rsidR="00445429">
        <w:rPr>
          <w:rFonts w:eastAsia="Calibri"/>
          <w:iCs/>
        </w:rPr>
        <w:instrText xml:space="preserve"> \* MERGEFORMAT </w:instrText>
      </w:r>
      <w:r w:rsidR="00460F1A" w:rsidRPr="00484AE9">
        <w:rPr>
          <w:rFonts w:eastAsia="Calibri"/>
          <w:iCs/>
        </w:rPr>
      </w:r>
      <w:r w:rsidR="00460F1A" w:rsidRPr="00484AE9">
        <w:rPr>
          <w:rFonts w:eastAsia="Calibri"/>
          <w:iCs/>
        </w:rPr>
        <w:fldChar w:fldCharType="separate"/>
      </w:r>
      <w:r w:rsidR="00872657" w:rsidRPr="00872657">
        <w:rPr>
          <w:rFonts w:eastAsia="Calibri"/>
          <w:iCs/>
        </w:rPr>
        <w:t>Figure 8</w:t>
      </w:r>
      <w:r w:rsidR="00460F1A" w:rsidRPr="00484AE9">
        <w:rPr>
          <w:rFonts w:eastAsia="Calibri"/>
          <w:iCs/>
        </w:rPr>
        <w:fldChar w:fldCharType="end"/>
      </w:r>
      <w:r w:rsidR="00EB4051" w:rsidRPr="00484AE9">
        <w:rPr>
          <w:rFonts w:eastAsia="Calibri"/>
          <w:iCs/>
        </w:rPr>
        <w:t xml:space="preserve"> and </w:t>
      </w:r>
      <w:r w:rsidR="00EB4051" w:rsidRPr="00484AE9">
        <w:rPr>
          <w:rFonts w:eastAsia="Calibri"/>
          <w:iCs/>
        </w:rPr>
        <w:fldChar w:fldCharType="begin"/>
      </w:r>
      <w:r w:rsidR="00EB4051" w:rsidRPr="00484AE9">
        <w:rPr>
          <w:rFonts w:eastAsia="Calibri"/>
          <w:iCs/>
        </w:rPr>
        <w:instrText xml:space="preserve"> REF _Ref144638466 \h </w:instrText>
      </w:r>
      <w:r w:rsidR="00445429">
        <w:rPr>
          <w:rFonts w:eastAsia="Calibri"/>
          <w:iCs/>
        </w:rPr>
        <w:instrText xml:space="preserve"> \* MERGEFORMAT </w:instrText>
      </w:r>
      <w:r w:rsidR="00EB4051" w:rsidRPr="00484AE9">
        <w:rPr>
          <w:rFonts w:eastAsia="Calibri"/>
          <w:iCs/>
        </w:rPr>
      </w:r>
      <w:r w:rsidR="00EB4051" w:rsidRPr="00484AE9">
        <w:rPr>
          <w:rFonts w:eastAsia="Calibri"/>
          <w:iCs/>
        </w:rPr>
        <w:fldChar w:fldCharType="separate"/>
      </w:r>
      <w:r w:rsidR="00872657" w:rsidRPr="00872657">
        <w:rPr>
          <w:rFonts w:eastAsia="Calibri"/>
          <w:iCs/>
        </w:rPr>
        <w:t>Table 13</w:t>
      </w:r>
      <w:r w:rsidR="00EB4051" w:rsidRPr="00484AE9">
        <w:rPr>
          <w:rFonts w:eastAsia="Calibri"/>
          <w:iCs/>
        </w:rPr>
        <w:fldChar w:fldCharType="end"/>
      </w:r>
      <w:r w:rsidR="00EB4051" w:rsidRPr="00484AE9">
        <w:rPr>
          <w:rFonts w:eastAsia="Calibri"/>
          <w:iCs/>
        </w:rPr>
        <w:t xml:space="preserve">, the submission </w:t>
      </w:r>
      <w:r w:rsidR="003B37E0" w:rsidRPr="00484AE9">
        <w:rPr>
          <w:rFonts w:eastAsia="Calibri"/>
          <w:iCs/>
        </w:rPr>
        <w:t xml:space="preserve">assumed an </w:t>
      </w:r>
      <w:r w:rsidR="00EB4051" w:rsidRPr="00484AE9">
        <w:rPr>
          <w:rFonts w:eastAsia="Calibri"/>
          <w:iCs/>
        </w:rPr>
        <w:t xml:space="preserve">impact of treatment on the incidence of long </w:t>
      </w:r>
      <w:r w:rsidR="00EB4051" w:rsidRPr="00445429">
        <w:rPr>
          <w:rFonts w:eastAsia="Calibri"/>
        </w:rPr>
        <w:t>COVID</w:t>
      </w:r>
      <w:r w:rsidR="00665FE8" w:rsidRPr="00445429">
        <w:rPr>
          <w:rFonts w:eastAsia="Calibri"/>
        </w:rPr>
        <w:t xml:space="preserve">. </w:t>
      </w:r>
      <w:r w:rsidR="00F50502" w:rsidRPr="00445429">
        <w:rPr>
          <w:rFonts w:eastAsia="Calibri"/>
        </w:rPr>
        <w:t>Based on</w:t>
      </w:r>
      <w:r w:rsidR="00A87034" w:rsidRPr="00484AE9">
        <w:rPr>
          <w:rStyle w:val="normaltextrun"/>
          <w:rFonts w:eastAsia="Calibri"/>
          <w:iCs/>
        </w:rPr>
        <w:t xml:space="preserve"> the </w:t>
      </w:r>
      <w:r w:rsidR="009102E2" w:rsidRPr="00484AE9">
        <w:rPr>
          <w:rStyle w:val="normaltextrun"/>
          <w:rFonts w:eastAsia="Calibri"/>
          <w:iCs/>
        </w:rPr>
        <w:t xml:space="preserve">report of the House Standing Committee on Health, Aged Care and Sport’s inquiry into long COVID and repeated COVID infections and </w:t>
      </w:r>
      <w:r w:rsidR="004E4089" w:rsidRPr="00484AE9">
        <w:rPr>
          <w:rStyle w:val="normaltextrun"/>
          <w:rFonts w:eastAsia="Calibri"/>
          <w:iCs/>
        </w:rPr>
        <w:t>a published</w:t>
      </w:r>
      <w:r w:rsidR="009102E2" w:rsidRPr="00484AE9">
        <w:rPr>
          <w:rStyle w:val="normaltextrun"/>
          <w:rFonts w:eastAsia="Calibri"/>
          <w:iCs/>
        </w:rPr>
        <w:t xml:space="preserve"> </w:t>
      </w:r>
      <w:r w:rsidR="00EC30F6" w:rsidRPr="00484AE9">
        <w:rPr>
          <w:rStyle w:val="normaltextrun"/>
          <w:rFonts w:eastAsia="Calibri"/>
          <w:iCs/>
        </w:rPr>
        <w:t>review of the literature for long COVID, t</w:t>
      </w:r>
      <w:r w:rsidR="00A42DF5" w:rsidRPr="00484AE9">
        <w:rPr>
          <w:rStyle w:val="normaltextrun"/>
          <w:rFonts w:eastAsia="Calibri"/>
          <w:iCs/>
        </w:rPr>
        <w:t xml:space="preserve">he submission </w:t>
      </w:r>
      <w:r w:rsidR="00F50502" w:rsidRPr="00484AE9">
        <w:rPr>
          <w:rStyle w:val="normaltextrun"/>
          <w:rFonts w:eastAsia="Calibri"/>
          <w:iCs/>
        </w:rPr>
        <w:t>estimated</w:t>
      </w:r>
      <w:r w:rsidR="00FF7137" w:rsidRPr="00484AE9">
        <w:rPr>
          <w:rStyle w:val="normaltextrun"/>
          <w:rFonts w:eastAsia="Calibri"/>
          <w:iCs/>
        </w:rPr>
        <w:t xml:space="preserve"> a baseline incidence </w:t>
      </w:r>
      <w:r w:rsidR="00B85EDB" w:rsidRPr="00484AE9">
        <w:rPr>
          <w:rStyle w:val="normaltextrun"/>
          <w:rFonts w:eastAsia="Calibri"/>
          <w:iCs/>
        </w:rPr>
        <w:t>of</w:t>
      </w:r>
      <w:r w:rsidR="00F50502" w:rsidRPr="00484AE9">
        <w:rPr>
          <w:rStyle w:val="normaltextrun"/>
          <w:rFonts w:eastAsia="Calibri"/>
          <w:iCs/>
        </w:rPr>
        <w:t xml:space="preserve"> </w:t>
      </w:r>
      <w:r w:rsidR="00B85EDB" w:rsidRPr="00484AE9">
        <w:rPr>
          <w:rStyle w:val="normaltextrun"/>
          <w:rFonts w:eastAsia="Calibri"/>
          <w:iCs/>
        </w:rPr>
        <w:t xml:space="preserve">long COVID of </w:t>
      </w:r>
      <w:r w:rsidR="00EC30F6" w:rsidRPr="00484AE9">
        <w:rPr>
          <w:rStyle w:val="normaltextrun"/>
          <w:rFonts w:eastAsia="Calibri"/>
          <w:iCs/>
        </w:rPr>
        <w:t>10%</w:t>
      </w:r>
      <w:r w:rsidR="00041FF5" w:rsidRPr="00484AE9">
        <w:rPr>
          <w:rStyle w:val="normaltextrun"/>
          <w:rFonts w:eastAsia="Calibri"/>
          <w:iCs/>
        </w:rPr>
        <w:t xml:space="preserve"> for application in each of the analyses</w:t>
      </w:r>
      <w:r w:rsidR="003D55F8" w:rsidRPr="00484AE9">
        <w:rPr>
          <w:rStyle w:val="FootnoteReference"/>
          <w:rFonts w:eastAsia="Calibri"/>
          <w:iCs/>
        </w:rPr>
        <w:footnoteReference w:id="18"/>
      </w:r>
      <w:r w:rsidR="00B85EDB" w:rsidRPr="00484AE9">
        <w:rPr>
          <w:rStyle w:val="normaltextrun"/>
          <w:rFonts w:eastAsia="Calibri"/>
          <w:iCs/>
        </w:rPr>
        <w:t>. This estimate appear</w:t>
      </w:r>
      <w:r w:rsidR="00582BE0" w:rsidRPr="00484AE9">
        <w:rPr>
          <w:rStyle w:val="normaltextrun"/>
          <w:rFonts w:eastAsia="Calibri"/>
          <w:iCs/>
        </w:rPr>
        <w:t>ed</w:t>
      </w:r>
      <w:r w:rsidR="00B85EDB" w:rsidRPr="00484AE9">
        <w:rPr>
          <w:rStyle w:val="normaltextrun"/>
          <w:rFonts w:eastAsia="Calibri"/>
          <w:iCs/>
        </w:rPr>
        <w:t xml:space="preserve"> reasonable. Discussion of the assumption of treatment effect</w:t>
      </w:r>
      <w:r w:rsidR="00E800E3" w:rsidRPr="00484AE9">
        <w:rPr>
          <w:rStyle w:val="normaltextrun"/>
          <w:rFonts w:eastAsia="Calibri"/>
          <w:iCs/>
        </w:rPr>
        <w:t xml:space="preserve"> of nirmatrelvir and ritonavir </w:t>
      </w:r>
      <w:r w:rsidR="00B85EDB" w:rsidRPr="00484AE9">
        <w:rPr>
          <w:rStyle w:val="normaltextrun"/>
          <w:rFonts w:eastAsia="Calibri"/>
          <w:iCs/>
        </w:rPr>
        <w:t>on long COVID</w:t>
      </w:r>
      <w:r w:rsidR="00E800E3" w:rsidRPr="00484AE9">
        <w:rPr>
          <w:rStyle w:val="normaltextrun"/>
          <w:rFonts w:eastAsia="Calibri"/>
          <w:iCs/>
        </w:rPr>
        <w:t xml:space="preserve"> is provided at paragraphs </w:t>
      </w:r>
      <w:r w:rsidR="0057467A" w:rsidRPr="00484AE9">
        <w:rPr>
          <w:rFonts w:eastAsia="Calibri"/>
          <w:iCs/>
        </w:rPr>
        <w:fldChar w:fldCharType="begin"/>
      </w:r>
      <w:r w:rsidR="0057467A" w:rsidRPr="00484AE9">
        <w:rPr>
          <w:rFonts w:eastAsia="Calibri"/>
          <w:iCs/>
        </w:rPr>
        <w:instrText xml:space="preserve"> REF _Ref144662992 \r \h </w:instrText>
      </w:r>
      <w:r w:rsidR="00206291" w:rsidRPr="00484AE9">
        <w:rPr>
          <w:rFonts w:eastAsia="Calibri"/>
          <w:iCs/>
        </w:rPr>
        <w:instrText xml:space="preserve"> \* MERGEFORMAT </w:instrText>
      </w:r>
      <w:r w:rsidR="0057467A" w:rsidRPr="00484AE9">
        <w:rPr>
          <w:rFonts w:eastAsia="Calibri"/>
          <w:iCs/>
        </w:rPr>
      </w:r>
      <w:r w:rsidR="0057467A" w:rsidRPr="00484AE9">
        <w:rPr>
          <w:rFonts w:eastAsia="Calibri"/>
          <w:iCs/>
        </w:rPr>
        <w:fldChar w:fldCharType="separate"/>
      </w:r>
      <w:r w:rsidR="00872657">
        <w:rPr>
          <w:rFonts w:eastAsia="Calibri"/>
          <w:iCs/>
        </w:rPr>
        <w:t>6.38</w:t>
      </w:r>
      <w:r w:rsidR="0057467A" w:rsidRPr="00484AE9">
        <w:rPr>
          <w:rFonts w:eastAsia="Calibri"/>
          <w:iCs/>
        </w:rPr>
        <w:fldChar w:fldCharType="end"/>
      </w:r>
      <w:r w:rsidR="0057467A" w:rsidRPr="00484AE9">
        <w:rPr>
          <w:rFonts w:eastAsia="Calibri"/>
          <w:iCs/>
        </w:rPr>
        <w:t xml:space="preserve"> </w:t>
      </w:r>
      <w:r w:rsidR="00753E03" w:rsidRPr="00484AE9">
        <w:rPr>
          <w:rFonts w:eastAsia="Calibri"/>
          <w:iCs/>
        </w:rPr>
        <w:t xml:space="preserve">to </w:t>
      </w:r>
      <w:r w:rsidR="00753E03" w:rsidRPr="00484AE9">
        <w:rPr>
          <w:rFonts w:eastAsia="Calibri"/>
          <w:iCs/>
        </w:rPr>
        <w:fldChar w:fldCharType="begin"/>
      </w:r>
      <w:r w:rsidR="00753E03" w:rsidRPr="00484AE9">
        <w:rPr>
          <w:rFonts w:eastAsia="Calibri"/>
          <w:iCs/>
        </w:rPr>
        <w:instrText xml:space="preserve"> REF _Ref150975267 \r \h </w:instrText>
      </w:r>
      <w:r w:rsidR="00753E03" w:rsidRPr="00484AE9">
        <w:rPr>
          <w:rFonts w:eastAsia="Calibri"/>
          <w:iCs/>
        </w:rPr>
      </w:r>
      <w:r w:rsidR="00753E03" w:rsidRPr="00484AE9">
        <w:rPr>
          <w:rFonts w:eastAsia="Calibri"/>
          <w:iCs/>
        </w:rPr>
        <w:fldChar w:fldCharType="separate"/>
      </w:r>
      <w:r w:rsidR="00872657">
        <w:rPr>
          <w:rFonts w:eastAsia="Calibri"/>
          <w:iCs/>
        </w:rPr>
        <w:t>7.16</w:t>
      </w:r>
      <w:r w:rsidR="00753E03" w:rsidRPr="00484AE9">
        <w:rPr>
          <w:rFonts w:eastAsia="Calibri"/>
          <w:iCs/>
        </w:rPr>
        <w:fldChar w:fldCharType="end"/>
      </w:r>
      <w:r w:rsidR="00753E03" w:rsidRPr="00484AE9">
        <w:rPr>
          <w:rFonts w:eastAsia="Calibri"/>
          <w:iCs/>
        </w:rPr>
        <w:t>.</w:t>
      </w:r>
    </w:p>
    <w:p w14:paraId="7A460C7D" w14:textId="3E5A34A4" w:rsidR="006B668B" w:rsidRPr="00484AE9" w:rsidRDefault="007A2A12" w:rsidP="007A2A12">
      <w:pPr>
        <w:pStyle w:val="Caption"/>
        <w:rPr>
          <w:rStyle w:val="CommentReference"/>
          <w:b/>
          <w:szCs w:val="24"/>
        </w:rPr>
      </w:pPr>
      <w:bookmarkStart w:id="116" w:name="_Ref144643056"/>
      <w:r w:rsidRPr="00484AE9">
        <w:lastRenderedPageBreak/>
        <w:t xml:space="preserve">Table </w:t>
      </w:r>
      <w:fldSimple w:instr=" SEQ Table \* ARABIC ">
        <w:r w:rsidR="00872657">
          <w:rPr>
            <w:noProof/>
          </w:rPr>
          <w:t>14</w:t>
        </w:r>
      </w:fldSimple>
      <w:bookmarkEnd w:id="116"/>
      <w:r w:rsidRPr="00484AE9">
        <w:t>:</w:t>
      </w:r>
      <w:r w:rsidR="00C75540" w:rsidRPr="00484AE9">
        <w:tab/>
        <w:t xml:space="preserve"> </w:t>
      </w:r>
      <w:r w:rsidR="00CD7CAA" w:rsidRPr="00484AE9">
        <w:rPr>
          <w:rStyle w:val="CommentReference"/>
          <w:b/>
          <w:szCs w:val="24"/>
        </w:rPr>
        <w:t>Baseline risk of events applied in the economic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555"/>
        <w:gridCol w:w="1493"/>
        <w:gridCol w:w="1493"/>
        <w:gridCol w:w="1493"/>
        <w:gridCol w:w="1493"/>
        <w:gridCol w:w="1490"/>
      </w:tblGrid>
      <w:tr w:rsidR="008B6130" w:rsidRPr="00484AE9" w14:paraId="63AEEB9C" w14:textId="77777777" w:rsidTr="008B42BA">
        <w:trPr>
          <w:cantSplit/>
          <w:tblHeader/>
        </w:trPr>
        <w:tc>
          <w:tcPr>
            <w:tcW w:w="862" w:type="pct"/>
            <w:vMerge w:val="restart"/>
            <w:vAlign w:val="bottom"/>
          </w:tcPr>
          <w:p w14:paraId="606291E2" w14:textId="03B4CBF2" w:rsidR="008B42BA" w:rsidRPr="00484AE9" w:rsidRDefault="008B42BA" w:rsidP="008B42BA">
            <w:pPr>
              <w:pStyle w:val="In-tableHeading"/>
              <w:rPr>
                <w:lang w:val="en-AU"/>
              </w:rPr>
            </w:pPr>
            <w:r w:rsidRPr="00484AE9">
              <w:rPr>
                <w:lang w:val="en-AU"/>
              </w:rPr>
              <w:t>Population</w:t>
            </w:r>
          </w:p>
        </w:tc>
        <w:tc>
          <w:tcPr>
            <w:tcW w:w="4138" w:type="pct"/>
            <w:gridSpan w:val="5"/>
            <w:vAlign w:val="center"/>
          </w:tcPr>
          <w:p w14:paraId="61FDE108" w14:textId="0BD609A4" w:rsidR="008B42BA" w:rsidRPr="00484AE9" w:rsidRDefault="008B42BA" w:rsidP="00321B80">
            <w:pPr>
              <w:pStyle w:val="In-tableHeading"/>
              <w:jc w:val="center"/>
              <w:rPr>
                <w:lang w:val="en-AU"/>
              </w:rPr>
            </w:pPr>
            <w:r w:rsidRPr="00484AE9">
              <w:rPr>
                <w:lang w:val="en-AU"/>
              </w:rPr>
              <w:t>Event</w:t>
            </w:r>
          </w:p>
        </w:tc>
      </w:tr>
      <w:tr w:rsidR="008B6130" w:rsidRPr="00484AE9" w14:paraId="0DC064FD" w14:textId="77777777" w:rsidTr="008B42BA">
        <w:trPr>
          <w:cantSplit/>
          <w:tblHeader/>
        </w:trPr>
        <w:tc>
          <w:tcPr>
            <w:tcW w:w="862" w:type="pct"/>
            <w:vMerge/>
            <w:vAlign w:val="center"/>
          </w:tcPr>
          <w:p w14:paraId="040EB79D" w14:textId="77777777" w:rsidR="008B42BA" w:rsidRPr="00484AE9" w:rsidRDefault="008B42BA" w:rsidP="003E2A1F">
            <w:pPr>
              <w:pStyle w:val="In-tableHeading"/>
              <w:rPr>
                <w:lang w:val="en-AU"/>
              </w:rPr>
            </w:pPr>
          </w:p>
        </w:tc>
        <w:tc>
          <w:tcPr>
            <w:tcW w:w="828" w:type="pct"/>
            <w:vAlign w:val="center"/>
          </w:tcPr>
          <w:p w14:paraId="3E404C93" w14:textId="66F48924" w:rsidR="008B42BA" w:rsidRPr="00484AE9" w:rsidRDefault="008B42BA" w:rsidP="00321B80">
            <w:pPr>
              <w:pStyle w:val="In-tableHeading"/>
              <w:jc w:val="center"/>
              <w:rPr>
                <w:lang w:val="en-AU"/>
              </w:rPr>
            </w:pPr>
            <w:r w:rsidRPr="00484AE9">
              <w:rPr>
                <w:lang w:val="en-AU"/>
              </w:rPr>
              <w:t>Hospitalisation in a general ward only</w:t>
            </w:r>
          </w:p>
        </w:tc>
        <w:tc>
          <w:tcPr>
            <w:tcW w:w="828" w:type="pct"/>
            <w:vAlign w:val="center"/>
          </w:tcPr>
          <w:p w14:paraId="43A6AF24" w14:textId="6F3C7B6B" w:rsidR="008B42BA" w:rsidRPr="00484AE9" w:rsidRDefault="008B42BA" w:rsidP="00321B80">
            <w:pPr>
              <w:pStyle w:val="In-tableHeading"/>
              <w:jc w:val="center"/>
              <w:rPr>
                <w:lang w:val="en-AU"/>
              </w:rPr>
            </w:pPr>
            <w:r w:rsidRPr="00484AE9">
              <w:rPr>
                <w:lang w:val="en-AU"/>
              </w:rPr>
              <w:t>Hospitalisation including admission to critical care unit</w:t>
            </w:r>
          </w:p>
        </w:tc>
        <w:tc>
          <w:tcPr>
            <w:tcW w:w="828" w:type="pct"/>
            <w:vAlign w:val="center"/>
          </w:tcPr>
          <w:p w14:paraId="6C99DF41" w14:textId="4141238E" w:rsidR="008B42BA" w:rsidRPr="00484AE9" w:rsidRDefault="008B42BA" w:rsidP="00321B80">
            <w:pPr>
              <w:pStyle w:val="In-tableHeading"/>
              <w:jc w:val="center"/>
              <w:rPr>
                <w:lang w:val="en-AU"/>
              </w:rPr>
            </w:pPr>
            <w:r w:rsidRPr="00484AE9">
              <w:rPr>
                <w:lang w:val="en-AU"/>
              </w:rPr>
              <w:t>Death</w:t>
            </w:r>
          </w:p>
        </w:tc>
        <w:tc>
          <w:tcPr>
            <w:tcW w:w="828" w:type="pct"/>
            <w:vAlign w:val="center"/>
          </w:tcPr>
          <w:p w14:paraId="7A2B14F4" w14:textId="3C3A147C" w:rsidR="008B42BA" w:rsidRPr="00484AE9" w:rsidRDefault="008B42BA" w:rsidP="0054050C">
            <w:pPr>
              <w:pStyle w:val="In-tableHeading"/>
              <w:jc w:val="center"/>
              <w:rPr>
                <w:iCs/>
                <w:lang w:val="en-AU"/>
              </w:rPr>
            </w:pPr>
            <w:r w:rsidRPr="00484AE9">
              <w:rPr>
                <w:iCs/>
                <w:lang w:val="en-AU"/>
              </w:rPr>
              <w:t>Implied case fatality rate</w:t>
            </w:r>
            <w:r w:rsidR="00A85313" w:rsidRPr="00484AE9">
              <w:rPr>
                <w:iCs/>
                <w:lang w:val="en-AU"/>
              </w:rPr>
              <w:t xml:space="preserve"> for hospitalised patients</w:t>
            </w:r>
            <w:r w:rsidRPr="00484AE9">
              <w:rPr>
                <w:iCs/>
                <w:lang w:val="en-AU"/>
              </w:rPr>
              <w:t xml:space="preserve"> if all deaths occur in hospitalised patients</w:t>
            </w:r>
          </w:p>
        </w:tc>
        <w:tc>
          <w:tcPr>
            <w:tcW w:w="826" w:type="pct"/>
            <w:vAlign w:val="center"/>
          </w:tcPr>
          <w:p w14:paraId="66169F05" w14:textId="49A5D6B7" w:rsidR="008B42BA" w:rsidRPr="00484AE9" w:rsidRDefault="008B42BA" w:rsidP="00321B80">
            <w:pPr>
              <w:pStyle w:val="In-tableHeading"/>
              <w:jc w:val="center"/>
              <w:rPr>
                <w:lang w:val="en-AU"/>
              </w:rPr>
            </w:pPr>
            <w:r w:rsidRPr="00484AE9">
              <w:rPr>
                <w:lang w:val="en-AU"/>
              </w:rPr>
              <w:t>Long COVID</w:t>
            </w:r>
          </w:p>
        </w:tc>
      </w:tr>
      <w:tr w:rsidR="008B6130" w:rsidRPr="00484AE9" w14:paraId="0C8FCD0A" w14:textId="77777777" w:rsidTr="008B42BA">
        <w:trPr>
          <w:cantSplit/>
        </w:trPr>
        <w:tc>
          <w:tcPr>
            <w:tcW w:w="862" w:type="pct"/>
          </w:tcPr>
          <w:p w14:paraId="28EEF390" w14:textId="0E816E5B" w:rsidR="001B1389" w:rsidRPr="00484AE9" w:rsidRDefault="001B1389" w:rsidP="00FE17F8">
            <w:pPr>
              <w:pStyle w:val="TableText0"/>
              <w:rPr>
                <w:b/>
                <w:bCs w:val="0"/>
              </w:rPr>
            </w:pPr>
            <w:r w:rsidRPr="00484AE9">
              <w:rPr>
                <w:b/>
                <w:bCs w:val="0"/>
              </w:rPr>
              <w:t>Aged ≥ 70</w:t>
            </w:r>
          </w:p>
        </w:tc>
        <w:tc>
          <w:tcPr>
            <w:tcW w:w="828" w:type="pct"/>
            <w:vAlign w:val="center"/>
          </w:tcPr>
          <w:p w14:paraId="6D7DAED3" w14:textId="0FB9C53F" w:rsidR="001B1389" w:rsidRPr="00484AE9" w:rsidRDefault="001B1389" w:rsidP="00F76A58">
            <w:pPr>
              <w:pStyle w:val="TableText0"/>
              <w:jc w:val="center"/>
            </w:pPr>
            <w:r w:rsidRPr="00484AE9">
              <w:t>4.50%</w:t>
            </w:r>
          </w:p>
        </w:tc>
        <w:tc>
          <w:tcPr>
            <w:tcW w:w="828" w:type="pct"/>
            <w:vAlign w:val="center"/>
          </w:tcPr>
          <w:p w14:paraId="720290E2" w14:textId="3851455C" w:rsidR="001B1389" w:rsidRPr="00484AE9" w:rsidRDefault="001B1389" w:rsidP="00F76A58">
            <w:pPr>
              <w:pStyle w:val="TableText0"/>
              <w:jc w:val="center"/>
            </w:pPr>
            <w:r w:rsidRPr="00484AE9">
              <w:t>0.50%</w:t>
            </w:r>
          </w:p>
        </w:tc>
        <w:tc>
          <w:tcPr>
            <w:tcW w:w="828" w:type="pct"/>
            <w:vAlign w:val="center"/>
          </w:tcPr>
          <w:p w14:paraId="677D296E" w14:textId="19AAEC0B" w:rsidR="001B1389" w:rsidRPr="00484AE9" w:rsidRDefault="001B1389" w:rsidP="00F76A58">
            <w:pPr>
              <w:pStyle w:val="TableText0"/>
              <w:jc w:val="center"/>
            </w:pPr>
            <w:r w:rsidRPr="00484AE9">
              <w:t>3.00%</w:t>
            </w:r>
          </w:p>
        </w:tc>
        <w:tc>
          <w:tcPr>
            <w:tcW w:w="828" w:type="pct"/>
            <w:vAlign w:val="center"/>
          </w:tcPr>
          <w:p w14:paraId="31B52FDA" w14:textId="2287CD6F" w:rsidR="001B1389" w:rsidRPr="00484AE9" w:rsidRDefault="00916630" w:rsidP="00F76A58">
            <w:pPr>
              <w:pStyle w:val="TableText0"/>
              <w:jc w:val="center"/>
            </w:pPr>
            <w:r w:rsidRPr="00484AE9">
              <w:t>60</w:t>
            </w:r>
            <w:r w:rsidR="001B1389" w:rsidRPr="00484AE9">
              <w:t>%</w:t>
            </w:r>
          </w:p>
        </w:tc>
        <w:tc>
          <w:tcPr>
            <w:tcW w:w="826" w:type="pct"/>
            <w:vAlign w:val="center"/>
          </w:tcPr>
          <w:p w14:paraId="47AB6090" w14:textId="450D28A7" w:rsidR="001B1389" w:rsidRPr="00484AE9" w:rsidRDefault="001B1389" w:rsidP="00F76A58">
            <w:pPr>
              <w:pStyle w:val="TableText0"/>
              <w:jc w:val="center"/>
            </w:pPr>
            <w:r w:rsidRPr="00484AE9">
              <w:t>10%</w:t>
            </w:r>
          </w:p>
        </w:tc>
      </w:tr>
      <w:tr w:rsidR="008B6130" w:rsidRPr="00484AE9" w14:paraId="4B165F2B" w14:textId="77777777" w:rsidTr="008B42BA">
        <w:trPr>
          <w:cantSplit/>
        </w:trPr>
        <w:tc>
          <w:tcPr>
            <w:tcW w:w="862" w:type="pct"/>
          </w:tcPr>
          <w:p w14:paraId="03B9B802" w14:textId="796A5CFD" w:rsidR="001B1389" w:rsidRPr="00484AE9" w:rsidRDefault="001B1389" w:rsidP="00FE17F8">
            <w:pPr>
              <w:pStyle w:val="TableText0"/>
              <w:rPr>
                <w:b/>
                <w:bCs w:val="0"/>
              </w:rPr>
            </w:pPr>
            <w:r w:rsidRPr="00484AE9">
              <w:rPr>
                <w:b/>
                <w:bCs w:val="0"/>
              </w:rPr>
              <w:t>Aged ≥18 and immune-compromised*</w:t>
            </w:r>
          </w:p>
        </w:tc>
        <w:tc>
          <w:tcPr>
            <w:tcW w:w="828" w:type="pct"/>
            <w:vAlign w:val="center"/>
          </w:tcPr>
          <w:p w14:paraId="2E2CF61C" w14:textId="134DBCE3" w:rsidR="001B1389" w:rsidRPr="00484AE9" w:rsidRDefault="001B1389" w:rsidP="00F76A58">
            <w:pPr>
              <w:pStyle w:val="TableText0"/>
              <w:jc w:val="center"/>
            </w:pPr>
            <w:r w:rsidRPr="00484AE9">
              <w:t>3.60%</w:t>
            </w:r>
          </w:p>
        </w:tc>
        <w:tc>
          <w:tcPr>
            <w:tcW w:w="828" w:type="pct"/>
            <w:vAlign w:val="center"/>
          </w:tcPr>
          <w:p w14:paraId="06D4D351" w14:textId="3A30A5D6" w:rsidR="001B1389" w:rsidRPr="00484AE9" w:rsidRDefault="001B1389" w:rsidP="00F76A58">
            <w:pPr>
              <w:pStyle w:val="TableText0"/>
              <w:jc w:val="center"/>
            </w:pPr>
            <w:r w:rsidRPr="00484AE9">
              <w:t>0.40%</w:t>
            </w:r>
          </w:p>
        </w:tc>
        <w:tc>
          <w:tcPr>
            <w:tcW w:w="828" w:type="pct"/>
            <w:vAlign w:val="center"/>
          </w:tcPr>
          <w:p w14:paraId="2DBB8501" w14:textId="586D87EA" w:rsidR="001B1389" w:rsidRPr="00484AE9" w:rsidRDefault="001B1389" w:rsidP="00F76A58">
            <w:pPr>
              <w:pStyle w:val="TableText0"/>
              <w:jc w:val="center"/>
            </w:pPr>
            <w:r w:rsidRPr="00484AE9">
              <w:t>3.00%</w:t>
            </w:r>
          </w:p>
        </w:tc>
        <w:tc>
          <w:tcPr>
            <w:tcW w:w="828" w:type="pct"/>
            <w:vAlign w:val="center"/>
          </w:tcPr>
          <w:p w14:paraId="29F1C166" w14:textId="0287EA00" w:rsidR="001B1389" w:rsidRPr="00484AE9" w:rsidRDefault="00916630" w:rsidP="00F76A58">
            <w:pPr>
              <w:pStyle w:val="TableText0"/>
              <w:jc w:val="center"/>
            </w:pPr>
            <w:r w:rsidRPr="00484AE9">
              <w:t>75</w:t>
            </w:r>
            <w:r w:rsidR="001B1389" w:rsidRPr="00484AE9">
              <w:t>%</w:t>
            </w:r>
          </w:p>
        </w:tc>
        <w:tc>
          <w:tcPr>
            <w:tcW w:w="826" w:type="pct"/>
            <w:vAlign w:val="center"/>
          </w:tcPr>
          <w:p w14:paraId="0DEA3457" w14:textId="20CD10A7" w:rsidR="001B1389" w:rsidRPr="00484AE9" w:rsidRDefault="001B1389" w:rsidP="00F76A58">
            <w:pPr>
              <w:pStyle w:val="TableText0"/>
              <w:jc w:val="center"/>
            </w:pPr>
            <w:r w:rsidRPr="00484AE9">
              <w:t>10%</w:t>
            </w:r>
          </w:p>
        </w:tc>
      </w:tr>
      <w:tr w:rsidR="008B6130" w:rsidRPr="00484AE9" w14:paraId="32037F70" w14:textId="77777777" w:rsidTr="008B42BA">
        <w:trPr>
          <w:cantSplit/>
        </w:trPr>
        <w:tc>
          <w:tcPr>
            <w:tcW w:w="862" w:type="pct"/>
          </w:tcPr>
          <w:p w14:paraId="344DC22C" w14:textId="4C86C287" w:rsidR="001B1389" w:rsidRPr="00484AE9" w:rsidRDefault="001B1389" w:rsidP="00FE17F8">
            <w:pPr>
              <w:pStyle w:val="TableText0"/>
              <w:rPr>
                <w:b/>
                <w:bCs w:val="0"/>
              </w:rPr>
            </w:pPr>
            <w:r w:rsidRPr="00484AE9">
              <w:rPr>
                <w:b/>
                <w:bCs w:val="0"/>
              </w:rPr>
              <w:t>Indigenous aged ≥ 30 and ≥ 1 risk factor</w:t>
            </w:r>
          </w:p>
        </w:tc>
        <w:tc>
          <w:tcPr>
            <w:tcW w:w="828" w:type="pct"/>
            <w:vAlign w:val="center"/>
          </w:tcPr>
          <w:p w14:paraId="3B5ECE2D" w14:textId="0C0CF5E4" w:rsidR="001B1389" w:rsidRPr="00484AE9" w:rsidRDefault="001B1389" w:rsidP="00F76A58">
            <w:pPr>
              <w:pStyle w:val="TableText0"/>
              <w:jc w:val="center"/>
            </w:pPr>
            <w:r w:rsidRPr="00484AE9">
              <w:t>2.70%</w:t>
            </w:r>
          </w:p>
        </w:tc>
        <w:tc>
          <w:tcPr>
            <w:tcW w:w="828" w:type="pct"/>
            <w:vAlign w:val="center"/>
          </w:tcPr>
          <w:p w14:paraId="261EEBC0" w14:textId="4528A217" w:rsidR="001B1389" w:rsidRPr="00484AE9" w:rsidRDefault="001B1389" w:rsidP="00F76A58">
            <w:pPr>
              <w:pStyle w:val="TableText0"/>
              <w:jc w:val="center"/>
            </w:pPr>
            <w:r w:rsidRPr="00484AE9">
              <w:t>0.30%</w:t>
            </w:r>
          </w:p>
        </w:tc>
        <w:tc>
          <w:tcPr>
            <w:tcW w:w="828" w:type="pct"/>
            <w:vAlign w:val="center"/>
          </w:tcPr>
          <w:p w14:paraId="0B46EF75" w14:textId="05B21EE0" w:rsidR="001B1389" w:rsidRPr="00484AE9" w:rsidRDefault="001B1389" w:rsidP="00F76A58">
            <w:pPr>
              <w:pStyle w:val="TableText0"/>
              <w:jc w:val="center"/>
            </w:pPr>
            <w:r w:rsidRPr="00484AE9">
              <w:t>2.00%</w:t>
            </w:r>
          </w:p>
        </w:tc>
        <w:tc>
          <w:tcPr>
            <w:tcW w:w="828" w:type="pct"/>
            <w:vAlign w:val="center"/>
          </w:tcPr>
          <w:p w14:paraId="4B54906B" w14:textId="43E75E7C" w:rsidR="001B1389" w:rsidRPr="00484AE9" w:rsidRDefault="00A1612F" w:rsidP="00F76A58">
            <w:pPr>
              <w:pStyle w:val="TableText0"/>
              <w:jc w:val="center"/>
            </w:pPr>
            <w:r w:rsidRPr="00484AE9">
              <w:t>67</w:t>
            </w:r>
            <w:r w:rsidR="001B1389" w:rsidRPr="00484AE9">
              <w:t>%</w:t>
            </w:r>
          </w:p>
        </w:tc>
        <w:tc>
          <w:tcPr>
            <w:tcW w:w="826" w:type="pct"/>
            <w:vAlign w:val="center"/>
          </w:tcPr>
          <w:p w14:paraId="3B5D12A7" w14:textId="72339355" w:rsidR="001B1389" w:rsidRPr="00484AE9" w:rsidRDefault="001B1389" w:rsidP="00F76A58">
            <w:pPr>
              <w:pStyle w:val="TableText0"/>
              <w:jc w:val="center"/>
            </w:pPr>
            <w:r w:rsidRPr="00484AE9">
              <w:t>10%</w:t>
            </w:r>
          </w:p>
        </w:tc>
      </w:tr>
      <w:tr w:rsidR="008B6130" w:rsidRPr="00484AE9" w14:paraId="1B6FB5B2" w14:textId="77777777" w:rsidTr="008B42BA">
        <w:trPr>
          <w:cantSplit/>
        </w:trPr>
        <w:tc>
          <w:tcPr>
            <w:tcW w:w="862" w:type="pct"/>
          </w:tcPr>
          <w:p w14:paraId="4B3CC9B9" w14:textId="22F8EC99" w:rsidR="001B1389" w:rsidRPr="00484AE9" w:rsidRDefault="001B1389" w:rsidP="00FE17F8">
            <w:pPr>
              <w:pStyle w:val="TableText0"/>
              <w:rPr>
                <w:b/>
                <w:bCs w:val="0"/>
              </w:rPr>
            </w:pPr>
            <w:r w:rsidRPr="00484AE9">
              <w:rPr>
                <w:b/>
                <w:bCs w:val="0"/>
              </w:rPr>
              <w:t>Aged 50-59 &amp; ≥ 2 risk factors</w:t>
            </w:r>
          </w:p>
        </w:tc>
        <w:tc>
          <w:tcPr>
            <w:tcW w:w="828" w:type="pct"/>
            <w:vAlign w:val="center"/>
          </w:tcPr>
          <w:p w14:paraId="0487DF4C" w14:textId="0AC8F20C" w:rsidR="001B1389" w:rsidRPr="00484AE9" w:rsidRDefault="001B1389" w:rsidP="00F76A58">
            <w:pPr>
              <w:pStyle w:val="TableText0"/>
              <w:jc w:val="center"/>
            </w:pPr>
            <w:r w:rsidRPr="00484AE9">
              <w:t>1.90%</w:t>
            </w:r>
          </w:p>
        </w:tc>
        <w:tc>
          <w:tcPr>
            <w:tcW w:w="828" w:type="pct"/>
            <w:vAlign w:val="center"/>
          </w:tcPr>
          <w:p w14:paraId="76139678" w14:textId="758A561F" w:rsidR="001B1389" w:rsidRPr="00484AE9" w:rsidRDefault="001B1389" w:rsidP="00F76A58">
            <w:pPr>
              <w:pStyle w:val="TableText0"/>
              <w:jc w:val="center"/>
            </w:pPr>
            <w:r w:rsidRPr="00484AE9">
              <w:t>0.10%</w:t>
            </w:r>
          </w:p>
        </w:tc>
        <w:tc>
          <w:tcPr>
            <w:tcW w:w="828" w:type="pct"/>
            <w:vAlign w:val="center"/>
          </w:tcPr>
          <w:p w14:paraId="688078BF" w14:textId="2089475D" w:rsidR="001B1389" w:rsidRPr="00484AE9" w:rsidRDefault="001B1389" w:rsidP="00F76A58">
            <w:pPr>
              <w:pStyle w:val="TableText0"/>
              <w:jc w:val="center"/>
            </w:pPr>
            <w:r w:rsidRPr="00484AE9">
              <w:t>1.00%</w:t>
            </w:r>
          </w:p>
        </w:tc>
        <w:tc>
          <w:tcPr>
            <w:tcW w:w="828" w:type="pct"/>
            <w:vAlign w:val="center"/>
          </w:tcPr>
          <w:p w14:paraId="5CC3F144" w14:textId="71ECD060" w:rsidR="001B1389" w:rsidRPr="00484AE9" w:rsidRDefault="00A515D3" w:rsidP="00F76A58">
            <w:pPr>
              <w:pStyle w:val="TableText0"/>
              <w:jc w:val="center"/>
            </w:pPr>
            <w:r w:rsidRPr="00484AE9">
              <w:t>50</w:t>
            </w:r>
            <w:r w:rsidR="001B1389" w:rsidRPr="00484AE9">
              <w:t>%</w:t>
            </w:r>
          </w:p>
        </w:tc>
        <w:tc>
          <w:tcPr>
            <w:tcW w:w="826" w:type="pct"/>
            <w:vAlign w:val="center"/>
          </w:tcPr>
          <w:p w14:paraId="23A51AAB" w14:textId="2835B364" w:rsidR="001B1389" w:rsidRPr="00484AE9" w:rsidRDefault="001B1389" w:rsidP="00F76A58">
            <w:pPr>
              <w:pStyle w:val="TableText0"/>
              <w:jc w:val="center"/>
            </w:pPr>
            <w:r w:rsidRPr="00484AE9">
              <w:t>10%</w:t>
            </w:r>
          </w:p>
        </w:tc>
      </w:tr>
      <w:tr w:rsidR="008B6130" w:rsidRPr="00484AE9" w14:paraId="5146E7D4" w14:textId="77777777" w:rsidTr="008B42BA">
        <w:trPr>
          <w:cantSplit/>
        </w:trPr>
        <w:tc>
          <w:tcPr>
            <w:tcW w:w="862" w:type="pct"/>
          </w:tcPr>
          <w:p w14:paraId="57113A0B" w14:textId="45C023A9" w:rsidR="001B1389" w:rsidRPr="00484AE9" w:rsidRDefault="001B1389" w:rsidP="00FE17F8">
            <w:pPr>
              <w:pStyle w:val="TableText0"/>
              <w:rPr>
                <w:b/>
                <w:bCs w:val="0"/>
              </w:rPr>
            </w:pPr>
            <w:r w:rsidRPr="00484AE9">
              <w:rPr>
                <w:b/>
                <w:bCs w:val="0"/>
              </w:rPr>
              <w:t>Aged 60-69 &amp; ≥ 1 risk factor</w:t>
            </w:r>
          </w:p>
        </w:tc>
        <w:tc>
          <w:tcPr>
            <w:tcW w:w="828" w:type="pct"/>
            <w:vAlign w:val="center"/>
          </w:tcPr>
          <w:p w14:paraId="27FCF851" w14:textId="2547237C" w:rsidR="001B1389" w:rsidRPr="00484AE9" w:rsidRDefault="001B1389" w:rsidP="00F76A58">
            <w:pPr>
              <w:pStyle w:val="TableText0"/>
              <w:jc w:val="center"/>
            </w:pPr>
            <w:r w:rsidRPr="00484AE9">
              <w:t>1.90%</w:t>
            </w:r>
          </w:p>
        </w:tc>
        <w:tc>
          <w:tcPr>
            <w:tcW w:w="828" w:type="pct"/>
            <w:vAlign w:val="center"/>
          </w:tcPr>
          <w:p w14:paraId="4AEC8ACB" w14:textId="3529006C" w:rsidR="001B1389" w:rsidRPr="00484AE9" w:rsidRDefault="001B1389" w:rsidP="00F76A58">
            <w:pPr>
              <w:pStyle w:val="TableText0"/>
              <w:jc w:val="center"/>
            </w:pPr>
            <w:r w:rsidRPr="00484AE9">
              <w:t>0.10%</w:t>
            </w:r>
          </w:p>
        </w:tc>
        <w:tc>
          <w:tcPr>
            <w:tcW w:w="828" w:type="pct"/>
            <w:vAlign w:val="center"/>
          </w:tcPr>
          <w:p w14:paraId="6F955C91" w14:textId="010207CE" w:rsidR="001B1389" w:rsidRPr="00484AE9" w:rsidRDefault="001B1389" w:rsidP="00F76A58">
            <w:pPr>
              <w:pStyle w:val="TableText0"/>
              <w:jc w:val="center"/>
            </w:pPr>
            <w:r w:rsidRPr="00484AE9">
              <w:t>1.00%</w:t>
            </w:r>
          </w:p>
        </w:tc>
        <w:tc>
          <w:tcPr>
            <w:tcW w:w="828" w:type="pct"/>
            <w:vAlign w:val="center"/>
          </w:tcPr>
          <w:p w14:paraId="02668544" w14:textId="2375C790" w:rsidR="001B1389" w:rsidRPr="00484AE9" w:rsidRDefault="00A515D3" w:rsidP="00F76A58">
            <w:pPr>
              <w:pStyle w:val="TableText0"/>
              <w:jc w:val="center"/>
            </w:pPr>
            <w:r w:rsidRPr="00484AE9">
              <w:t>50</w:t>
            </w:r>
            <w:r w:rsidR="001B1389" w:rsidRPr="00484AE9">
              <w:t>%</w:t>
            </w:r>
          </w:p>
        </w:tc>
        <w:tc>
          <w:tcPr>
            <w:tcW w:w="826" w:type="pct"/>
            <w:vAlign w:val="center"/>
          </w:tcPr>
          <w:p w14:paraId="500D2A2D" w14:textId="6C24DFD0" w:rsidR="001B1389" w:rsidRPr="00484AE9" w:rsidRDefault="001B1389" w:rsidP="00F76A58">
            <w:pPr>
              <w:pStyle w:val="TableText0"/>
              <w:jc w:val="center"/>
            </w:pPr>
            <w:r w:rsidRPr="00484AE9">
              <w:t>10%</w:t>
            </w:r>
          </w:p>
        </w:tc>
      </w:tr>
      <w:tr w:rsidR="008B6130" w:rsidRPr="00484AE9" w14:paraId="69618652" w14:textId="77777777" w:rsidTr="008B42BA">
        <w:trPr>
          <w:cantSplit/>
        </w:trPr>
        <w:tc>
          <w:tcPr>
            <w:tcW w:w="862" w:type="pct"/>
          </w:tcPr>
          <w:p w14:paraId="32EC58D5" w14:textId="0EFA47EC" w:rsidR="001B1389" w:rsidRPr="00484AE9" w:rsidRDefault="001B1389" w:rsidP="00FE17F8">
            <w:pPr>
              <w:pStyle w:val="TableText0"/>
              <w:rPr>
                <w:b/>
                <w:bCs w:val="0"/>
              </w:rPr>
            </w:pPr>
            <w:r w:rsidRPr="00484AE9">
              <w:rPr>
                <w:b/>
                <w:bCs w:val="0"/>
              </w:rPr>
              <w:t>Aged 60-69 &amp; ≥ 2 risk factors</w:t>
            </w:r>
          </w:p>
        </w:tc>
        <w:tc>
          <w:tcPr>
            <w:tcW w:w="828" w:type="pct"/>
            <w:vAlign w:val="center"/>
          </w:tcPr>
          <w:p w14:paraId="6E39616E" w14:textId="275D1B21" w:rsidR="001B1389" w:rsidRPr="00484AE9" w:rsidRDefault="001B1389" w:rsidP="00F76A58">
            <w:pPr>
              <w:pStyle w:val="TableText0"/>
              <w:jc w:val="center"/>
            </w:pPr>
            <w:r w:rsidRPr="00484AE9">
              <w:t>2.375%</w:t>
            </w:r>
          </w:p>
        </w:tc>
        <w:tc>
          <w:tcPr>
            <w:tcW w:w="828" w:type="pct"/>
            <w:vAlign w:val="center"/>
          </w:tcPr>
          <w:p w14:paraId="30189FEC" w14:textId="39E69762" w:rsidR="001B1389" w:rsidRPr="00484AE9" w:rsidRDefault="001B1389" w:rsidP="00F76A58">
            <w:pPr>
              <w:pStyle w:val="TableText0"/>
              <w:jc w:val="center"/>
            </w:pPr>
            <w:r w:rsidRPr="00484AE9">
              <w:t>0.125%</w:t>
            </w:r>
          </w:p>
        </w:tc>
        <w:tc>
          <w:tcPr>
            <w:tcW w:w="828" w:type="pct"/>
            <w:vAlign w:val="center"/>
          </w:tcPr>
          <w:p w14:paraId="3BBBF195" w14:textId="60B49BAA" w:rsidR="001B1389" w:rsidRPr="00484AE9" w:rsidRDefault="001B1389" w:rsidP="00F76A58">
            <w:pPr>
              <w:pStyle w:val="TableText0"/>
              <w:jc w:val="center"/>
            </w:pPr>
            <w:r w:rsidRPr="00484AE9">
              <w:t>1.50%</w:t>
            </w:r>
          </w:p>
        </w:tc>
        <w:tc>
          <w:tcPr>
            <w:tcW w:w="828" w:type="pct"/>
            <w:vAlign w:val="center"/>
          </w:tcPr>
          <w:p w14:paraId="516076A4" w14:textId="3FEAA60A" w:rsidR="001B1389" w:rsidRPr="00484AE9" w:rsidRDefault="00564CFF" w:rsidP="00F76A58">
            <w:pPr>
              <w:pStyle w:val="TableText0"/>
              <w:jc w:val="center"/>
            </w:pPr>
            <w:r w:rsidRPr="00484AE9">
              <w:t>60</w:t>
            </w:r>
            <w:r w:rsidR="001B1389" w:rsidRPr="00484AE9">
              <w:t>%</w:t>
            </w:r>
          </w:p>
        </w:tc>
        <w:tc>
          <w:tcPr>
            <w:tcW w:w="826" w:type="pct"/>
            <w:vAlign w:val="center"/>
          </w:tcPr>
          <w:p w14:paraId="342FBA98" w14:textId="361DD562" w:rsidR="001B1389" w:rsidRPr="00484AE9" w:rsidRDefault="000477A1" w:rsidP="00F76A58">
            <w:pPr>
              <w:pStyle w:val="TableText0"/>
              <w:jc w:val="center"/>
            </w:pPr>
            <w:r w:rsidRPr="00484AE9">
              <w:t>10%</w:t>
            </w:r>
          </w:p>
        </w:tc>
      </w:tr>
      <w:tr w:rsidR="008B6130" w:rsidRPr="00484AE9" w14:paraId="2EEE6926" w14:textId="77777777" w:rsidTr="008B42BA">
        <w:trPr>
          <w:cantSplit/>
        </w:trPr>
        <w:tc>
          <w:tcPr>
            <w:tcW w:w="862" w:type="pct"/>
          </w:tcPr>
          <w:p w14:paraId="400E2FD9" w14:textId="2284A2DA" w:rsidR="001B1389" w:rsidRPr="00484AE9" w:rsidRDefault="001B1389" w:rsidP="00FE17F8">
            <w:pPr>
              <w:pStyle w:val="TableText0"/>
            </w:pPr>
            <w:r w:rsidRPr="00484AE9">
              <w:rPr>
                <w:b/>
                <w:bCs w:val="0"/>
              </w:rPr>
              <w:t>Aged 50-69 &amp; ≥ 1 risk factor</w:t>
            </w:r>
          </w:p>
        </w:tc>
        <w:tc>
          <w:tcPr>
            <w:tcW w:w="828" w:type="pct"/>
            <w:vAlign w:val="center"/>
          </w:tcPr>
          <w:p w14:paraId="45BDBBB7" w14:textId="4EDD3E06" w:rsidR="001B1389" w:rsidRPr="00484AE9" w:rsidRDefault="001B1389" w:rsidP="00F76A58">
            <w:pPr>
              <w:pStyle w:val="TableText0"/>
              <w:jc w:val="center"/>
            </w:pPr>
            <w:r w:rsidRPr="00484AE9">
              <w:t>1.425%</w:t>
            </w:r>
          </w:p>
        </w:tc>
        <w:tc>
          <w:tcPr>
            <w:tcW w:w="828" w:type="pct"/>
            <w:vAlign w:val="center"/>
          </w:tcPr>
          <w:p w14:paraId="7B4E751D" w14:textId="706E0B94" w:rsidR="001B1389" w:rsidRPr="00484AE9" w:rsidRDefault="001B1389" w:rsidP="00F76A58">
            <w:pPr>
              <w:pStyle w:val="TableText0"/>
              <w:jc w:val="center"/>
            </w:pPr>
            <w:r w:rsidRPr="00484AE9">
              <w:t>0.075%</w:t>
            </w:r>
          </w:p>
        </w:tc>
        <w:tc>
          <w:tcPr>
            <w:tcW w:w="828" w:type="pct"/>
            <w:vAlign w:val="center"/>
          </w:tcPr>
          <w:p w14:paraId="0BEFDF36" w14:textId="11B6A519" w:rsidR="001B1389" w:rsidRPr="00484AE9" w:rsidRDefault="001B1389" w:rsidP="00F76A58">
            <w:pPr>
              <w:pStyle w:val="TableText0"/>
              <w:jc w:val="center"/>
            </w:pPr>
            <w:r w:rsidRPr="00484AE9">
              <w:t>0.75%</w:t>
            </w:r>
          </w:p>
        </w:tc>
        <w:tc>
          <w:tcPr>
            <w:tcW w:w="828" w:type="pct"/>
            <w:vAlign w:val="center"/>
          </w:tcPr>
          <w:p w14:paraId="69EA1D3E" w14:textId="5BDDFCB5" w:rsidR="001B1389" w:rsidRPr="00484AE9" w:rsidRDefault="001B1389" w:rsidP="00F76A58">
            <w:pPr>
              <w:pStyle w:val="TableText0"/>
              <w:jc w:val="center"/>
            </w:pPr>
            <w:r w:rsidRPr="00484AE9">
              <w:t>33.</w:t>
            </w:r>
            <w:r w:rsidR="0016377C" w:rsidRPr="00484AE9">
              <w:t>3</w:t>
            </w:r>
            <w:r w:rsidRPr="00484AE9">
              <w:t>%</w:t>
            </w:r>
          </w:p>
        </w:tc>
        <w:tc>
          <w:tcPr>
            <w:tcW w:w="826" w:type="pct"/>
            <w:vAlign w:val="center"/>
          </w:tcPr>
          <w:p w14:paraId="0C52CFE5" w14:textId="7E091BC2" w:rsidR="001B1389" w:rsidRPr="00484AE9" w:rsidRDefault="001B1389" w:rsidP="00F76A58">
            <w:pPr>
              <w:pStyle w:val="TableText0"/>
              <w:jc w:val="center"/>
            </w:pPr>
            <w:r w:rsidRPr="00484AE9">
              <w:t>10%</w:t>
            </w:r>
          </w:p>
        </w:tc>
      </w:tr>
    </w:tbl>
    <w:p w14:paraId="10B66C97" w14:textId="77777777" w:rsidR="00E8599E" w:rsidRPr="00484AE9" w:rsidRDefault="00E8599E" w:rsidP="00E8599E">
      <w:pPr>
        <w:pStyle w:val="FooterTableFigure"/>
      </w:pPr>
      <w:r w:rsidRPr="00484AE9">
        <w:t>Source: Revised model constructed during the evaluation</w:t>
      </w:r>
    </w:p>
    <w:p w14:paraId="223AF63F" w14:textId="714CF176" w:rsidR="00747978" w:rsidRPr="00484AE9" w:rsidRDefault="00E8599E" w:rsidP="00C96EB5">
      <w:pPr>
        <w:pStyle w:val="FooterTableFigure"/>
      </w:pPr>
      <w:r w:rsidRPr="00484AE9">
        <w:t>* assumed to include patients aged ≥18 previously requiri</w:t>
      </w:r>
      <w:r w:rsidR="00C87761" w:rsidRPr="00484AE9">
        <w:t>n</w:t>
      </w:r>
      <w:r w:rsidRPr="00484AE9">
        <w:t xml:space="preserve">g hospitalisation for </w:t>
      </w:r>
      <w:r w:rsidR="009C3063" w:rsidRPr="00484AE9">
        <w:t>COVID-19</w:t>
      </w:r>
    </w:p>
    <w:bookmarkStart w:id="117" w:name="_Ref144684222"/>
    <w:bookmarkStart w:id="118" w:name="_Ref144642812"/>
    <w:p w14:paraId="0F6EFD64" w14:textId="6A24B988" w:rsidR="00436BF5" w:rsidRPr="00484AE9" w:rsidRDefault="00F55DA2" w:rsidP="00445429">
      <w:pPr>
        <w:pStyle w:val="3-BodyText"/>
      </w:pPr>
      <w:r w:rsidRPr="00484AE9">
        <w:fldChar w:fldCharType="begin"/>
      </w:r>
      <w:r w:rsidRPr="00484AE9">
        <w:instrText xml:space="preserve"> REF _Ref144664630 \h </w:instrText>
      </w:r>
      <w:r w:rsidR="00C97291" w:rsidRPr="00484AE9">
        <w:instrText xml:space="preserve"> \* MERGEFORMAT </w:instrText>
      </w:r>
      <w:r w:rsidRPr="00484AE9">
        <w:fldChar w:fldCharType="separate"/>
      </w:r>
      <w:r w:rsidR="00872657" w:rsidRPr="00484AE9">
        <w:t xml:space="preserve">Table </w:t>
      </w:r>
      <w:r w:rsidR="00872657">
        <w:t>15</w:t>
      </w:r>
      <w:r w:rsidRPr="00484AE9">
        <w:fldChar w:fldCharType="end"/>
      </w:r>
      <w:r w:rsidRPr="00484AE9">
        <w:t xml:space="preserve"> summarises the</w:t>
      </w:r>
      <w:r w:rsidR="00516307" w:rsidRPr="00484AE9">
        <w:t xml:space="preserve"> assumed</w:t>
      </w:r>
      <w:r w:rsidRPr="00484AE9">
        <w:t xml:space="preserve"> relative risk</w:t>
      </w:r>
      <w:r w:rsidR="00516307" w:rsidRPr="00484AE9">
        <w:t>s</w:t>
      </w:r>
      <w:r w:rsidRPr="00484AE9">
        <w:t xml:space="preserve"> of events for patients treated with nirmatrelvir and ritonavir or </w:t>
      </w:r>
      <w:r w:rsidR="00C97291" w:rsidRPr="00484AE9">
        <w:t>molnupiravir in the model.</w:t>
      </w:r>
      <w:r w:rsidR="005F08D5" w:rsidRPr="00484AE9">
        <w:t xml:space="preserve"> </w:t>
      </w:r>
      <w:r w:rsidR="000B52CD" w:rsidRPr="00484AE9">
        <w:t xml:space="preserve">There </w:t>
      </w:r>
      <w:r w:rsidR="00C04598" w:rsidRPr="00484AE9">
        <w:t>was</w:t>
      </w:r>
      <w:r w:rsidR="000B52CD" w:rsidRPr="00484AE9">
        <w:t xml:space="preserve"> an inconsistency between the relative risk reported to be applied in the model (Table 3.4.3 of the submission) and those actually applied in the model. </w:t>
      </w:r>
      <w:r w:rsidR="001F1441" w:rsidRPr="00484AE9">
        <w:t>The Commentary assumed this to be a transcription error</w:t>
      </w:r>
      <w:r w:rsidR="003B37E0" w:rsidRPr="00484AE9">
        <w:t>,</w:t>
      </w:r>
      <w:r w:rsidR="00F76D9A">
        <w:t xml:space="preserve"> </w:t>
      </w:r>
      <w:r w:rsidR="001F1441" w:rsidRPr="00484AE9">
        <w:fldChar w:fldCharType="begin"/>
      </w:r>
      <w:r w:rsidR="001F1441" w:rsidRPr="00484AE9">
        <w:instrText xml:space="preserve"> REF _Ref144664630 \h  \* MERGEFORMAT </w:instrText>
      </w:r>
      <w:r w:rsidR="001F1441" w:rsidRPr="00484AE9">
        <w:fldChar w:fldCharType="separate"/>
      </w:r>
      <w:r w:rsidR="00872657" w:rsidRPr="00484AE9">
        <w:t xml:space="preserve">Table </w:t>
      </w:r>
      <w:r w:rsidR="00872657">
        <w:t>15</w:t>
      </w:r>
      <w:r w:rsidR="001F1441" w:rsidRPr="00484AE9">
        <w:fldChar w:fldCharType="end"/>
      </w:r>
      <w:r w:rsidR="001F1441" w:rsidRPr="00484AE9">
        <w:t xml:space="preserve"> reports the relative risks actually applied in the model.</w:t>
      </w:r>
      <w:bookmarkEnd w:id="117"/>
    </w:p>
    <w:p w14:paraId="571D0B59" w14:textId="6388DC80" w:rsidR="009C46F7" w:rsidRPr="00445429" w:rsidRDefault="00CE4BAF" w:rsidP="00445429">
      <w:pPr>
        <w:pStyle w:val="3-BodyText"/>
        <w:numPr>
          <w:ilvl w:val="2"/>
          <w:numId w:val="1"/>
        </w:numPr>
        <w:ind w:left="1080"/>
        <w:rPr>
          <w:rStyle w:val="normaltextrun"/>
          <w:rFonts w:eastAsia="Calibri"/>
        </w:rPr>
      </w:pPr>
      <w:r w:rsidRPr="00484AE9">
        <w:rPr>
          <w:rFonts w:eastAsia="Calibri"/>
          <w:iCs/>
        </w:rPr>
        <w:t xml:space="preserve">As discussed </w:t>
      </w:r>
      <w:r w:rsidR="00A10CDF" w:rsidRPr="00484AE9">
        <w:rPr>
          <w:rFonts w:eastAsia="Calibri"/>
          <w:iCs/>
        </w:rPr>
        <w:t xml:space="preserve">in paragraph </w:t>
      </w:r>
      <w:r w:rsidR="00A10CDF" w:rsidRPr="00484AE9">
        <w:rPr>
          <w:rFonts w:eastAsia="Calibri"/>
          <w:iCs/>
        </w:rPr>
        <w:fldChar w:fldCharType="begin"/>
      </w:r>
      <w:r w:rsidR="00A10CDF" w:rsidRPr="00484AE9">
        <w:rPr>
          <w:rFonts w:eastAsia="Calibri"/>
          <w:iCs/>
        </w:rPr>
        <w:instrText xml:space="preserve"> REF _Ref144662992 \r \h </w:instrText>
      </w:r>
      <w:r w:rsidR="00436BF5" w:rsidRPr="00484AE9">
        <w:rPr>
          <w:rFonts w:eastAsia="Calibri"/>
          <w:iCs/>
        </w:rPr>
        <w:instrText xml:space="preserve"> \* MERGEFORMAT </w:instrText>
      </w:r>
      <w:r w:rsidR="00A10CDF" w:rsidRPr="00484AE9">
        <w:rPr>
          <w:rFonts w:eastAsia="Calibri"/>
          <w:iCs/>
        </w:rPr>
      </w:r>
      <w:r w:rsidR="00A10CDF" w:rsidRPr="00484AE9">
        <w:rPr>
          <w:rFonts w:eastAsia="Calibri"/>
          <w:iCs/>
        </w:rPr>
        <w:fldChar w:fldCharType="separate"/>
      </w:r>
      <w:r w:rsidR="00872657">
        <w:rPr>
          <w:rFonts w:eastAsia="Calibri"/>
          <w:iCs/>
        </w:rPr>
        <w:t>6.38</w:t>
      </w:r>
      <w:r w:rsidR="00A10CDF" w:rsidRPr="00484AE9">
        <w:rPr>
          <w:rFonts w:eastAsia="Calibri"/>
          <w:iCs/>
        </w:rPr>
        <w:fldChar w:fldCharType="end"/>
      </w:r>
      <w:r w:rsidR="00A10CDF" w:rsidRPr="00484AE9">
        <w:rPr>
          <w:rFonts w:eastAsia="Calibri"/>
          <w:iCs/>
        </w:rPr>
        <w:t>, the</w:t>
      </w:r>
      <w:r w:rsidR="00CF5349" w:rsidRPr="00484AE9">
        <w:rPr>
          <w:rFonts w:eastAsia="Calibri"/>
          <w:iCs/>
        </w:rPr>
        <w:t xml:space="preserve"> economic evaluation assumed a treatment effect </w:t>
      </w:r>
      <w:r w:rsidR="00E24B60" w:rsidRPr="00484AE9">
        <w:rPr>
          <w:rFonts w:eastAsia="Calibri"/>
          <w:iCs/>
        </w:rPr>
        <w:t xml:space="preserve">of </w:t>
      </w:r>
      <w:r w:rsidR="00E24B60" w:rsidRPr="00445429">
        <w:rPr>
          <w:rStyle w:val="normaltextrun"/>
          <w:rFonts w:eastAsia="Calibri"/>
        </w:rPr>
        <w:t xml:space="preserve">the antivirals </w:t>
      </w:r>
      <w:r w:rsidR="00CF5349" w:rsidRPr="00445429">
        <w:rPr>
          <w:rStyle w:val="normaltextrun"/>
          <w:rFonts w:eastAsia="Calibri"/>
        </w:rPr>
        <w:t xml:space="preserve">on the incidence of long COVID but the evidence supporting </w:t>
      </w:r>
      <w:r w:rsidR="00E24B60" w:rsidRPr="00445429">
        <w:rPr>
          <w:rStyle w:val="normaltextrun"/>
          <w:rFonts w:eastAsia="Calibri"/>
        </w:rPr>
        <w:t xml:space="preserve">such an assumption is </w:t>
      </w:r>
      <w:r w:rsidR="00B92E73" w:rsidRPr="00445429">
        <w:rPr>
          <w:rStyle w:val="normaltextrun"/>
          <w:rFonts w:eastAsia="Calibri"/>
        </w:rPr>
        <w:t>weak</w:t>
      </w:r>
      <w:r w:rsidR="00544583" w:rsidRPr="00445429">
        <w:rPr>
          <w:rStyle w:val="normaltextrun"/>
          <w:rFonts w:eastAsia="Calibri"/>
        </w:rPr>
        <w:t xml:space="preserve"> and an inadequate basis for establishing </w:t>
      </w:r>
      <w:r w:rsidR="00D12FF0" w:rsidRPr="00445429">
        <w:rPr>
          <w:rStyle w:val="normaltextrun"/>
          <w:rFonts w:eastAsia="Calibri"/>
        </w:rPr>
        <w:t>that nirmatrelvir and ritonavir reduces the incidence of long COVID</w:t>
      </w:r>
      <w:r w:rsidR="00B92E73" w:rsidRPr="00445429">
        <w:rPr>
          <w:rStyle w:val="normaltextrun"/>
          <w:rFonts w:eastAsia="Calibri"/>
        </w:rPr>
        <w:t xml:space="preserve">. </w:t>
      </w:r>
      <w:r w:rsidR="00790018" w:rsidRPr="00445429">
        <w:rPr>
          <w:rStyle w:val="normaltextrun"/>
          <w:rFonts w:eastAsia="Calibri"/>
        </w:rPr>
        <w:t>Re</w:t>
      </w:r>
      <w:r w:rsidR="005E2E06" w:rsidRPr="00445429">
        <w:rPr>
          <w:rStyle w:val="normaltextrun"/>
          <w:rFonts w:eastAsia="Calibri"/>
        </w:rPr>
        <w:t xml:space="preserve">specified base case </w:t>
      </w:r>
      <w:r w:rsidR="00790018" w:rsidRPr="00445429">
        <w:rPr>
          <w:rStyle w:val="normaltextrun"/>
          <w:rFonts w:eastAsia="Calibri"/>
        </w:rPr>
        <w:t xml:space="preserve">analyses </w:t>
      </w:r>
      <w:r w:rsidR="00B92E73" w:rsidRPr="00445429">
        <w:rPr>
          <w:rStyle w:val="normaltextrun"/>
          <w:rFonts w:eastAsia="Calibri"/>
        </w:rPr>
        <w:t xml:space="preserve">removing this treatment effect </w:t>
      </w:r>
      <w:r w:rsidR="00790018" w:rsidRPr="00445429">
        <w:rPr>
          <w:rStyle w:val="normaltextrun"/>
          <w:rFonts w:eastAsia="Calibri"/>
        </w:rPr>
        <w:t>are</w:t>
      </w:r>
      <w:r w:rsidR="003219A8" w:rsidRPr="00445429">
        <w:rPr>
          <w:rStyle w:val="normaltextrun"/>
          <w:rFonts w:eastAsia="Calibri"/>
        </w:rPr>
        <w:t xml:space="preserve"> presented in</w:t>
      </w:r>
      <w:r w:rsidR="00581AF4" w:rsidRPr="00445429">
        <w:rPr>
          <w:rStyle w:val="normaltextrun"/>
          <w:rFonts w:eastAsia="Calibri"/>
        </w:rPr>
        <w:t xml:space="preserve"> </w:t>
      </w:r>
      <w:r w:rsidR="00581AF4" w:rsidRPr="00445429">
        <w:rPr>
          <w:rStyle w:val="normaltextrun"/>
          <w:rFonts w:eastAsia="Calibri"/>
        </w:rPr>
        <w:fldChar w:fldCharType="begin"/>
      </w:r>
      <w:r w:rsidR="00581AF4" w:rsidRPr="00445429">
        <w:rPr>
          <w:rStyle w:val="normaltextrun"/>
          <w:rFonts w:eastAsia="Calibri"/>
        </w:rPr>
        <w:instrText xml:space="preserve"> REF _Ref104805181 \h  \* MERGEFORMAT </w:instrText>
      </w:r>
      <w:r w:rsidR="00581AF4" w:rsidRPr="00445429">
        <w:rPr>
          <w:rStyle w:val="normaltextrun"/>
          <w:rFonts w:eastAsia="Calibri"/>
        </w:rPr>
      </w:r>
      <w:r w:rsidR="00581AF4" w:rsidRPr="00445429">
        <w:rPr>
          <w:rStyle w:val="normaltextrun"/>
          <w:rFonts w:eastAsia="Calibri"/>
        </w:rPr>
        <w:fldChar w:fldCharType="separate"/>
      </w:r>
      <w:r w:rsidR="00872657" w:rsidRPr="00872657">
        <w:rPr>
          <w:rStyle w:val="normaltextrun"/>
          <w:rFonts w:eastAsia="Calibri"/>
        </w:rPr>
        <w:t>Table 20</w:t>
      </w:r>
      <w:r w:rsidR="00581AF4" w:rsidRPr="00445429">
        <w:rPr>
          <w:rStyle w:val="normaltextrun"/>
          <w:rFonts w:eastAsia="Calibri"/>
        </w:rPr>
        <w:fldChar w:fldCharType="end"/>
      </w:r>
      <w:r w:rsidR="00333CAD" w:rsidRPr="00445429">
        <w:rPr>
          <w:rStyle w:val="normaltextrun"/>
          <w:rFonts w:eastAsia="Calibri"/>
        </w:rPr>
        <w:t>.</w:t>
      </w:r>
    </w:p>
    <w:p w14:paraId="4BAB073A" w14:textId="70BA3DBB" w:rsidR="00820B32" w:rsidRPr="00445429" w:rsidRDefault="00160249" w:rsidP="00445429">
      <w:pPr>
        <w:pStyle w:val="3-BodyText"/>
        <w:numPr>
          <w:ilvl w:val="2"/>
          <w:numId w:val="1"/>
        </w:numPr>
        <w:ind w:left="1080"/>
        <w:rPr>
          <w:rStyle w:val="normaltextrun"/>
          <w:rFonts w:eastAsia="Calibri"/>
        </w:rPr>
      </w:pPr>
      <w:r w:rsidRPr="00445429">
        <w:rPr>
          <w:rStyle w:val="normaltextrun"/>
          <w:rFonts w:eastAsia="Calibri"/>
        </w:rPr>
        <w:t xml:space="preserve">The source of the </w:t>
      </w:r>
      <w:r w:rsidR="00333CAD" w:rsidRPr="00445429">
        <w:rPr>
          <w:rStyle w:val="normaltextrun"/>
          <w:rFonts w:eastAsia="Calibri"/>
        </w:rPr>
        <w:t>treatment effects</w:t>
      </w:r>
      <w:r w:rsidRPr="00445429">
        <w:rPr>
          <w:rStyle w:val="normaltextrun"/>
          <w:rFonts w:eastAsia="Calibri"/>
        </w:rPr>
        <w:t xml:space="preserve"> applied in the model</w:t>
      </w:r>
      <w:r w:rsidR="00E804D6" w:rsidRPr="00445429">
        <w:rPr>
          <w:rStyle w:val="normaltextrun"/>
          <w:rFonts w:eastAsia="Calibri"/>
        </w:rPr>
        <w:t xml:space="preserve">led economic analysis </w:t>
      </w:r>
      <w:r w:rsidR="00333CAD" w:rsidRPr="00445429">
        <w:rPr>
          <w:rStyle w:val="normaltextrun"/>
          <w:rFonts w:eastAsia="Calibri"/>
        </w:rPr>
        <w:t>for hospitalisation and death were</w:t>
      </w:r>
      <w:r w:rsidR="00E804D6" w:rsidRPr="00445429">
        <w:rPr>
          <w:rStyle w:val="normaltextrun"/>
          <w:rFonts w:eastAsia="Calibri"/>
        </w:rPr>
        <w:t xml:space="preserve"> the</w:t>
      </w:r>
      <w:r w:rsidR="00525A3D" w:rsidRPr="00445429">
        <w:rPr>
          <w:rStyle w:val="normaltextrun"/>
          <w:rFonts w:eastAsia="Calibri"/>
        </w:rPr>
        <w:t xml:space="preserve"> meta-analyses discussed at paragraph</w:t>
      </w:r>
      <w:r w:rsidR="00333CAD" w:rsidRPr="00445429">
        <w:rPr>
          <w:rStyle w:val="normaltextrun"/>
          <w:rFonts w:eastAsia="Calibri"/>
        </w:rPr>
        <w:t xml:space="preserve"> </w:t>
      </w:r>
      <w:r w:rsidR="00333CAD" w:rsidRPr="00445429">
        <w:rPr>
          <w:rStyle w:val="normaltextrun"/>
          <w:rFonts w:eastAsia="Calibri"/>
        </w:rPr>
        <w:fldChar w:fldCharType="begin"/>
      </w:r>
      <w:r w:rsidR="00333CAD" w:rsidRPr="00445429">
        <w:rPr>
          <w:rStyle w:val="normaltextrun"/>
          <w:rFonts w:eastAsia="Calibri"/>
        </w:rPr>
        <w:instrText xml:space="preserve"> REF _Ref144666156 \r \h </w:instrText>
      </w:r>
      <w:r w:rsidR="00436BF5" w:rsidRPr="00445429">
        <w:rPr>
          <w:rStyle w:val="normaltextrun"/>
          <w:rFonts w:eastAsia="Calibri"/>
        </w:rPr>
        <w:instrText xml:space="preserve"> \* MERGEFORMAT </w:instrText>
      </w:r>
      <w:r w:rsidR="00333CAD" w:rsidRPr="00445429">
        <w:rPr>
          <w:rStyle w:val="normaltextrun"/>
          <w:rFonts w:eastAsia="Calibri"/>
        </w:rPr>
      </w:r>
      <w:r w:rsidR="00333CAD" w:rsidRPr="00445429">
        <w:rPr>
          <w:rStyle w:val="normaltextrun"/>
          <w:rFonts w:eastAsia="Calibri"/>
        </w:rPr>
        <w:fldChar w:fldCharType="separate"/>
      </w:r>
      <w:r w:rsidR="00872657">
        <w:rPr>
          <w:rStyle w:val="normaltextrun"/>
          <w:rFonts w:eastAsia="Calibri"/>
        </w:rPr>
        <w:t>6.29</w:t>
      </w:r>
      <w:r w:rsidR="00333CAD" w:rsidRPr="00445429">
        <w:rPr>
          <w:rStyle w:val="normaltextrun"/>
          <w:rFonts w:eastAsia="Calibri"/>
        </w:rPr>
        <w:fldChar w:fldCharType="end"/>
      </w:r>
      <w:r w:rsidR="00525A3D" w:rsidRPr="00445429">
        <w:rPr>
          <w:rStyle w:val="normaltextrun"/>
          <w:rFonts w:eastAsia="Calibri"/>
        </w:rPr>
        <w:t>.</w:t>
      </w:r>
      <w:r w:rsidR="00E804D6" w:rsidRPr="00445429">
        <w:rPr>
          <w:rStyle w:val="normaltextrun"/>
          <w:rFonts w:eastAsia="Calibri"/>
        </w:rPr>
        <w:t xml:space="preserve"> </w:t>
      </w:r>
      <w:r w:rsidR="001706D6" w:rsidRPr="00445429">
        <w:rPr>
          <w:rStyle w:val="normaltextrun"/>
          <w:rFonts w:eastAsia="Calibri"/>
        </w:rPr>
        <w:t xml:space="preserve">As discussed in paragraph </w:t>
      </w:r>
      <w:r w:rsidR="001706D6" w:rsidRPr="00445429">
        <w:rPr>
          <w:rStyle w:val="normaltextrun"/>
          <w:rFonts w:eastAsia="Calibri"/>
        </w:rPr>
        <w:fldChar w:fldCharType="begin"/>
      </w:r>
      <w:r w:rsidR="001706D6" w:rsidRPr="00445429">
        <w:rPr>
          <w:rStyle w:val="normaltextrun"/>
          <w:rFonts w:eastAsia="Calibri"/>
        </w:rPr>
        <w:instrText xml:space="preserve"> REF _Ref144666156 \r \h </w:instrText>
      </w:r>
      <w:r w:rsidR="00436BF5" w:rsidRPr="00445429">
        <w:rPr>
          <w:rStyle w:val="normaltextrun"/>
          <w:rFonts w:eastAsia="Calibri"/>
        </w:rPr>
        <w:instrText xml:space="preserve"> \* MERGEFORMAT </w:instrText>
      </w:r>
      <w:r w:rsidR="001706D6" w:rsidRPr="00445429">
        <w:rPr>
          <w:rStyle w:val="normaltextrun"/>
          <w:rFonts w:eastAsia="Calibri"/>
        </w:rPr>
      </w:r>
      <w:r w:rsidR="001706D6" w:rsidRPr="00445429">
        <w:rPr>
          <w:rStyle w:val="normaltextrun"/>
          <w:rFonts w:eastAsia="Calibri"/>
        </w:rPr>
        <w:fldChar w:fldCharType="separate"/>
      </w:r>
      <w:r w:rsidR="00872657">
        <w:rPr>
          <w:rStyle w:val="normaltextrun"/>
          <w:rFonts w:eastAsia="Calibri"/>
        </w:rPr>
        <w:t>6.29</w:t>
      </w:r>
      <w:r w:rsidR="001706D6" w:rsidRPr="00445429">
        <w:rPr>
          <w:rStyle w:val="normaltextrun"/>
          <w:rFonts w:eastAsia="Calibri"/>
        </w:rPr>
        <w:fldChar w:fldCharType="end"/>
      </w:r>
      <w:r w:rsidR="000073EE" w:rsidRPr="00445429">
        <w:rPr>
          <w:rStyle w:val="normaltextrun"/>
          <w:rFonts w:eastAsia="Calibri"/>
        </w:rPr>
        <w:t xml:space="preserve">, the meta-analyses combine data from randomised controlled trials and </w:t>
      </w:r>
      <w:r w:rsidR="00FD1A7C" w:rsidRPr="00445429">
        <w:rPr>
          <w:rStyle w:val="normaltextrun"/>
          <w:rFonts w:eastAsia="Calibri"/>
        </w:rPr>
        <w:t xml:space="preserve">observational </w:t>
      </w:r>
      <w:r w:rsidR="000073EE" w:rsidRPr="00445429">
        <w:rPr>
          <w:rStyle w:val="normaltextrun"/>
          <w:rFonts w:eastAsia="Calibri"/>
        </w:rPr>
        <w:t xml:space="preserve">retrospective </w:t>
      </w:r>
      <w:r w:rsidR="00FD1A7C" w:rsidRPr="00445429">
        <w:rPr>
          <w:rStyle w:val="normaltextrun"/>
          <w:rFonts w:eastAsia="Calibri"/>
        </w:rPr>
        <w:t xml:space="preserve">cohort studies. </w:t>
      </w:r>
      <w:r w:rsidR="00D55042" w:rsidRPr="00445429">
        <w:rPr>
          <w:rStyle w:val="normaltextrun"/>
          <w:rFonts w:eastAsia="Calibri"/>
        </w:rPr>
        <w:t xml:space="preserve">The ESC considered this was not appropriate (see paragraph </w:t>
      </w:r>
      <w:r w:rsidR="00D55042" w:rsidRPr="00445429">
        <w:rPr>
          <w:rStyle w:val="normaltextrun"/>
          <w:rFonts w:eastAsia="Calibri"/>
        </w:rPr>
        <w:fldChar w:fldCharType="begin"/>
      </w:r>
      <w:r w:rsidR="00D55042" w:rsidRPr="00445429">
        <w:rPr>
          <w:rStyle w:val="normaltextrun"/>
          <w:rFonts w:eastAsia="Calibri"/>
        </w:rPr>
        <w:instrText xml:space="preserve"> REF _Ref148170252 \r \h </w:instrText>
      </w:r>
      <w:r w:rsidR="00445429">
        <w:rPr>
          <w:rStyle w:val="normaltextrun"/>
          <w:rFonts w:eastAsia="Calibri"/>
        </w:rPr>
        <w:instrText xml:space="preserve"> \* MERGEFORMAT </w:instrText>
      </w:r>
      <w:r w:rsidR="00D55042" w:rsidRPr="00445429">
        <w:rPr>
          <w:rStyle w:val="normaltextrun"/>
          <w:rFonts w:eastAsia="Calibri"/>
        </w:rPr>
      </w:r>
      <w:r w:rsidR="00D55042" w:rsidRPr="00445429">
        <w:rPr>
          <w:rStyle w:val="normaltextrun"/>
          <w:rFonts w:eastAsia="Calibri"/>
        </w:rPr>
        <w:fldChar w:fldCharType="separate"/>
      </w:r>
      <w:r w:rsidR="00872657">
        <w:rPr>
          <w:rStyle w:val="normaltextrun"/>
          <w:rFonts w:eastAsia="Calibri"/>
        </w:rPr>
        <w:t>6.36</w:t>
      </w:r>
      <w:r w:rsidR="00D55042" w:rsidRPr="00445429">
        <w:rPr>
          <w:rStyle w:val="normaltextrun"/>
          <w:rFonts w:eastAsia="Calibri"/>
        </w:rPr>
        <w:fldChar w:fldCharType="end"/>
      </w:r>
      <w:r w:rsidR="00D55042" w:rsidRPr="00445429">
        <w:rPr>
          <w:rStyle w:val="normaltextrun"/>
          <w:rFonts w:eastAsia="Calibri"/>
        </w:rPr>
        <w:t>).</w:t>
      </w:r>
    </w:p>
    <w:p w14:paraId="4FECBDDB" w14:textId="6314BBED" w:rsidR="00FE00CA" w:rsidRPr="00445429" w:rsidRDefault="00D631A1" w:rsidP="00445429">
      <w:pPr>
        <w:pStyle w:val="3-BodyText"/>
        <w:numPr>
          <w:ilvl w:val="2"/>
          <w:numId w:val="1"/>
        </w:numPr>
        <w:ind w:left="1080"/>
        <w:rPr>
          <w:rStyle w:val="normaltextrun"/>
          <w:rFonts w:eastAsia="Calibri"/>
        </w:rPr>
      </w:pPr>
      <w:r w:rsidRPr="00445429">
        <w:rPr>
          <w:rStyle w:val="normaltextrun"/>
          <w:rFonts w:eastAsia="Calibri"/>
        </w:rPr>
        <w:t>Furthermore, as</w:t>
      </w:r>
      <w:r w:rsidR="00FF39BF" w:rsidRPr="00445429">
        <w:rPr>
          <w:rStyle w:val="normaltextrun"/>
          <w:rFonts w:eastAsia="Calibri"/>
        </w:rPr>
        <w:t xml:space="preserve"> can b</w:t>
      </w:r>
      <w:r w:rsidR="006E062B" w:rsidRPr="00445429">
        <w:rPr>
          <w:rStyle w:val="normaltextrun"/>
          <w:rFonts w:eastAsia="Calibri"/>
        </w:rPr>
        <w:t xml:space="preserve">e seen </w:t>
      </w:r>
      <w:r w:rsidR="009C46F7" w:rsidRPr="00445429">
        <w:rPr>
          <w:rStyle w:val="normaltextrun"/>
          <w:rFonts w:eastAsia="Calibri"/>
        </w:rPr>
        <w:t xml:space="preserve">from </w:t>
      </w:r>
      <w:r w:rsidR="006E062B" w:rsidRPr="00445429">
        <w:rPr>
          <w:rStyle w:val="normaltextrun"/>
          <w:rFonts w:eastAsia="Calibri"/>
        </w:rPr>
        <w:fldChar w:fldCharType="begin"/>
      </w:r>
      <w:r w:rsidR="006E062B" w:rsidRPr="00445429">
        <w:rPr>
          <w:rStyle w:val="normaltextrun"/>
          <w:rFonts w:eastAsia="Calibri"/>
        </w:rPr>
        <w:instrText xml:space="preserve"> REF _Ref144664630 \h  \* MERGEFORMAT </w:instrText>
      </w:r>
      <w:r w:rsidR="006E062B" w:rsidRPr="00445429">
        <w:rPr>
          <w:rStyle w:val="normaltextrun"/>
          <w:rFonts w:eastAsia="Calibri"/>
        </w:rPr>
      </w:r>
      <w:r w:rsidR="006E062B" w:rsidRPr="00445429">
        <w:rPr>
          <w:rStyle w:val="normaltextrun"/>
          <w:rFonts w:eastAsia="Calibri"/>
        </w:rPr>
        <w:fldChar w:fldCharType="separate"/>
      </w:r>
      <w:r w:rsidR="00872657" w:rsidRPr="00872657">
        <w:rPr>
          <w:rStyle w:val="normaltextrun"/>
          <w:rFonts w:eastAsia="Calibri"/>
        </w:rPr>
        <w:t>Table 15</w:t>
      </w:r>
      <w:r w:rsidR="006E062B" w:rsidRPr="00445429">
        <w:rPr>
          <w:rStyle w:val="normaltextrun"/>
          <w:rFonts w:eastAsia="Calibri"/>
        </w:rPr>
        <w:fldChar w:fldCharType="end"/>
      </w:r>
      <w:r w:rsidR="006E062B" w:rsidRPr="00445429">
        <w:rPr>
          <w:rStyle w:val="normaltextrun"/>
          <w:rFonts w:eastAsia="Calibri"/>
        </w:rPr>
        <w:t>, relative risk</w:t>
      </w:r>
      <w:r w:rsidR="00D961A9" w:rsidRPr="00445429">
        <w:rPr>
          <w:rStyle w:val="normaltextrun"/>
          <w:rFonts w:eastAsia="Calibri"/>
        </w:rPr>
        <w:t>s of events were</w:t>
      </w:r>
      <w:r w:rsidR="006E062B" w:rsidRPr="00445429">
        <w:rPr>
          <w:rStyle w:val="normaltextrun"/>
          <w:rFonts w:eastAsia="Calibri"/>
        </w:rPr>
        <w:t xml:space="preserve"> assumed to vary depending on the event. </w:t>
      </w:r>
      <w:r w:rsidR="005E5FF8" w:rsidRPr="00445429">
        <w:rPr>
          <w:rStyle w:val="normaltextrun"/>
          <w:rFonts w:eastAsia="Calibri"/>
        </w:rPr>
        <w:t xml:space="preserve">The </w:t>
      </w:r>
      <w:r w:rsidR="00D903EC" w:rsidRPr="00445429">
        <w:rPr>
          <w:rStyle w:val="normaltextrun"/>
          <w:rFonts w:eastAsia="Calibri"/>
        </w:rPr>
        <w:t xml:space="preserve">evaluation considered </w:t>
      </w:r>
      <w:r w:rsidR="005E5FF8" w:rsidRPr="00445429">
        <w:rPr>
          <w:rStyle w:val="normaltextrun"/>
          <w:rFonts w:eastAsia="Calibri"/>
        </w:rPr>
        <w:t xml:space="preserve">evidence </w:t>
      </w:r>
      <w:r w:rsidR="007350B5" w:rsidRPr="00445429">
        <w:rPr>
          <w:rStyle w:val="normaltextrun"/>
          <w:rFonts w:eastAsia="Calibri"/>
        </w:rPr>
        <w:t xml:space="preserve">for </w:t>
      </w:r>
      <w:r w:rsidR="00EB4626" w:rsidRPr="00445429">
        <w:rPr>
          <w:rStyle w:val="normaltextrun"/>
          <w:rFonts w:eastAsia="Calibri"/>
        </w:rPr>
        <w:t xml:space="preserve">differential treatment effect by event </w:t>
      </w:r>
      <w:r w:rsidR="00D903EC" w:rsidRPr="00445429">
        <w:rPr>
          <w:rStyle w:val="normaltextrun"/>
          <w:rFonts w:eastAsia="Calibri"/>
        </w:rPr>
        <w:t>to be</w:t>
      </w:r>
      <w:r w:rsidR="00EB4626" w:rsidRPr="00445429">
        <w:rPr>
          <w:rStyle w:val="normaltextrun"/>
          <w:rFonts w:eastAsia="Calibri"/>
        </w:rPr>
        <w:t xml:space="preserve"> weak. </w:t>
      </w:r>
      <w:r w:rsidR="001C4CA1" w:rsidRPr="00445429">
        <w:rPr>
          <w:rStyle w:val="normaltextrun"/>
          <w:rFonts w:eastAsia="Calibri"/>
        </w:rPr>
        <w:t xml:space="preserve">The </w:t>
      </w:r>
      <w:r w:rsidR="00354513" w:rsidRPr="00445429">
        <w:rPr>
          <w:rStyle w:val="normaltextrun"/>
          <w:rFonts w:eastAsia="Calibri"/>
        </w:rPr>
        <w:t>primary endpoint of the clinical trials in high risk patients</w:t>
      </w:r>
      <w:r w:rsidR="009C46F7" w:rsidRPr="00445429">
        <w:rPr>
          <w:rStyle w:val="normaltextrun"/>
          <w:rFonts w:eastAsia="Calibri"/>
        </w:rPr>
        <w:t xml:space="preserve"> was a composite of </w:t>
      </w:r>
      <w:r w:rsidR="00FE00CA" w:rsidRPr="00445429">
        <w:rPr>
          <w:rStyle w:val="normaltextrun"/>
          <w:rFonts w:eastAsia="Calibri"/>
        </w:rPr>
        <w:t>hospitalisation and death and the</w:t>
      </w:r>
      <w:r w:rsidR="0009220A" w:rsidRPr="00445429">
        <w:rPr>
          <w:rStyle w:val="normaltextrun"/>
          <w:rFonts w:eastAsia="Calibri"/>
        </w:rPr>
        <w:t xml:space="preserve"> </w:t>
      </w:r>
      <w:r w:rsidR="001C4CA1" w:rsidRPr="00445429">
        <w:rPr>
          <w:rStyle w:val="normaltextrun"/>
          <w:rFonts w:eastAsia="Calibri"/>
        </w:rPr>
        <w:t xml:space="preserve">proportions of patients dying in the randomised clinical trials were too small </w:t>
      </w:r>
      <w:r w:rsidR="001C4CA1" w:rsidRPr="00445429">
        <w:rPr>
          <w:rStyle w:val="normaltextrun"/>
          <w:rFonts w:eastAsia="Calibri"/>
        </w:rPr>
        <w:lastRenderedPageBreak/>
        <w:t xml:space="preserve">to permit derivation of </w:t>
      </w:r>
      <w:r w:rsidR="00FE00CA" w:rsidRPr="00445429">
        <w:rPr>
          <w:rStyle w:val="normaltextrun"/>
          <w:rFonts w:eastAsia="Calibri"/>
        </w:rPr>
        <w:t>differential treatment effects</w:t>
      </w:r>
      <w:r w:rsidR="00387A89" w:rsidRPr="00445429">
        <w:rPr>
          <w:rStyle w:val="normaltextrun"/>
          <w:rFonts w:eastAsia="Calibri"/>
        </w:rPr>
        <w:t xml:space="preserve">. </w:t>
      </w:r>
      <w:r w:rsidR="000605DA" w:rsidRPr="00445429">
        <w:rPr>
          <w:rStyle w:val="normaltextrun"/>
          <w:rFonts w:eastAsia="Calibri"/>
        </w:rPr>
        <w:t>E</w:t>
      </w:r>
      <w:r w:rsidR="00B03C6B" w:rsidRPr="00445429">
        <w:rPr>
          <w:rStyle w:val="normaltextrun"/>
          <w:rFonts w:eastAsia="Calibri"/>
        </w:rPr>
        <w:t>stimates of treatment effect</w:t>
      </w:r>
      <w:r w:rsidR="000605DA" w:rsidRPr="00445429">
        <w:rPr>
          <w:rStyle w:val="normaltextrun"/>
          <w:rFonts w:eastAsia="Calibri"/>
        </w:rPr>
        <w:t xml:space="preserve"> by event</w:t>
      </w:r>
      <w:r w:rsidR="00B03C6B" w:rsidRPr="00445429">
        <w:rPr>
          <w:rStyle w:val="normaltextrun"/>
          <w:rFonts w:eastAsia="Calibri"/>
        </w:rPr>
        <w:t xml:space="preserve"> based on observational </w:t>
      </w:r>
      <w:r w:rsidR="000605DA" w:rsidRPr="00445429">
        <w:rPr>
          <w:rStyle w:val="normaltextrun"/>
          <w:rFonts w:eastAsia="Calibri"/>
        </w:rPr>
        <w:t xml:space="preserve">retrospective cohort studies will be associated with a high risk of bias. </w:t>
      </w:r>
      <w:r w:rsidR="007A1542" w:rsidRPr="00445429">
        <w:rPr>
          <w:rStyle w:val="normaltextrun"/>
          <w:rFonts w:eastAsia="Calibri"/>
        </w:rPr>
        <w:t xml:space="preserve">The respecified base case presented in </w:t>
      </w:r>
      <w:r w:rsidR="007A1542" w:rsidRPr="00445429">
        <w:rPr>
          <w:rStyle w:val="normaltextrun"/>
          <w:rFonts w:eastAsia="Calibri"/>
        </w:rPr>
        <w:fldChar w:fldCharType="begin"/>
      </w:r>
      <w:r w:rsidR="007A1542" w:rsidRPr="00445429">
        <w:rPr>
          <w:rStyle w:val="normaltextrun"/>
          <w:rFonts w:eastAsia="Calibri"/>
        </w:rPr>
        <w:instrText xml:space="preserve"> REF _Ref104805181 \h  \* MERGEFORMAT </w:instrText>
      </w:r>
      <w:r w:rsidR="007A1542" w:rsidRPr="00445429">
        <w:rPr>
          <w:rStyle w:val="normaltextrun"/>
          <w:rFonts w:eastAsia="Calibri"/>
        </w:rPr>
      </w:r>
      <w:r w:rsidR="007A1542" w:rsidRPr="00445429">
        <w:rPr>
          <w:rStyle w:val="normaltextrun"/>
          <w:rFonts w:eastAsia="Calibri"/>
        </w:rPr>
        <w:fldChar w:fldCharType="separate"/>
      </w:r>
      <w:r w:rsidR="00872657" w:rsidRPr="00872657">
        <w:rPr>
          <w:rStyle w:val="normaltextrun"/>
          <w:rFonts w:eastAsia="Calibri"/>
        </w:rPr>
        <w:t>Table 20</w:t>
      </w:r>
      <w:r w:rsidR="007A1542" w:rsidRPr="00445429">
        <w:rPr>
          <w:rStyle w:val="normaltextrun"/>
          <w:rFonts w:eastAsia="Calibri"/>
        </w:rPr>
        <w:fldChar w:fldCharType="end"/>
      </w:r>
      <w:r w:rsidR="007A1542" w:rsidRPr="00445429">
        <w:rPr>
          <w:rStyle w:val="normaltextrun"/>
          <w:rFonts w:eastAsia="Calibri"/>
        </w:rPr>
        <w:t xml:space="preserve"> </w:t>
      </w:r>
      <w:r w:rsidR="00CB74C0" w:rsidRPr="00445429">
        <w:rPr>
          <w:rStyle w:val="normaltextrun"/>
          <w:rFonts w:eastAsia="Calibri"/>
        </w:rPr>
        <w:t>applied</w:t>
      </w:r>
      <w:r w:rsidR="00210C26" w:rsidRPr="00445429">
        <w:rPr>
          <w:rStyle w:val="normaltextrun"/>
          <w:rFonts w:eastAsia="Calibri"/>
        </w:rPr>
        <w:t xml:space="preserve"> consistent relative risks </w:t>
      </w:r>
      <w:r w:rsidR="00F51EA4" w:rsidRPr="00445429">
        <w:rPr>
          <w:rStyle w:val="normaltextrun"/>
          <w:rFonts w:eastAsia="Calibri"/>
        </w:rPr>
        <w:t>of hospitalisation</w:t>
      </w:r>
      <w:r w:rsidR="00A94685" w:rsidRPr="00445429">
        <w:rPr>
          <w:rStyle w:val="normaltextrun"/>
          <w:rFonts w:eastAsia="Calibri"/>
        </w:rPr>
        <w:t xml:space="preserve"> and</w:t>
      </w:r>
      <w:r w:rsidR="00F51EA4" w:rsidRPr="00445429">
        <w:rPr>
          <w:rStyle w:val="normaltextrun"/>
          <w:rFonts w:eastAsia="Calibri"/>
        </w:rPr>
        <w:t xml:space="preserve"> death</w:t>
      </w:r>
      <w:r w:rsidR="00CB74C0" w:rsidRPr="00445429">
        <w:rPr>
          <w:rStyle w:val="normaltextrun"/>
          <w:rFonts w:eastAsia="Calibri"/>
        </w:rPr>
        <w:t xml:space="preserve"> </w:t>
      </w:r>
      <w:r w:rsidR="00702C20" w:rsidRPr="00445429">
        <w:rPr>
          <w:rStyle w:val="normaltextrun"/>
          <w:rFonts w:eastAsia="Calibri"/>
        </w:rPr>
        <w:t>(0.3</w:t>
      </w:r>
      <w:r w:rsidR="0019074B" w:rsidRPr="00445429">
        <w:rPr>
          <w:rStyle w:val="normaltextrun"/>
          <w:rFonts w:eastAsia="Calibri"/>
        </w:rPr>
        <w:t>0</w:t>
      </w:r>
      <w:r w:rsidR="00702C20" w:rsidRPr="00445429">
        <w:rPr>
          <w:rStyle w:val="normaltextrun"/>
          <w:rFonts w:eastAsia="Calibri"/>
        </w:rPr>
        <w:t>)</w:t>
      </w:r>
      <w:r w:rsidR="00A62B3A" w:rsidRPr="00445429">
        <w:rPr>
          <w:rStyle w:val="normaltextrun"/>
          <w:rFonts w:eastAsia="Calibri"/>
        </w:rPr>
        <w:t xml:space="preserve">. </w:t>
      </w:r>
      <w:r w:rsidR="00A94685" w:rsidRPr="00445429">
        <w:rPr>
          <w:rStyle w:val="normaltextrun"/>
          <w:rFonts w:eastAsia="Calibri"/>
        </w:rPr>
        <w:t>The same RR (0.30) is applied to ICU admissions as it is a subset of hospitalisations.</w:t>
      </w:r>
    </w:p>
    <w:p w14:paraId="035920B6" w14:textId="7E8D35C9" w:rsidR="008326AC" w:rsidRPr="00484AE9" w:rsidRDefault="005F08D5" w:rsidP="00445429">
      <w:pPr>
        <w:pStyle w:val="3-BodyText"/>
        <w:numPr>
          <w:ilvl w:val="2"/>
          <w:numId w:val="1"/>
        </w:numPr>
        <w:ind w:left="1080"/>
        <w:rPr>
          <w:rFonts w:eastAsia="Calibri"/>
        </w:rPr>
      </w:pPr>
      <w:r w:rsidRPr="00445429">
        <w:rPr>
          <w:rStyle w:val="normaltextrun"/>
          <w:rFonts w:eastAsia="Calibri"/>
        </w:rPr>
        <w:t xml:space="preserve">The same </w:t>
      </w:r>
      <w:r w:rsidR="00FE00CA" w:rsidRPr="00445429">
        <w:rPr>
          <w:rStyle w:val="normaltextrun"/>
          <w:rFonts w:eastAsia="Calibri"/>
        </w:rPr>
        <w:t xml:space="preserve">set of relative </w:t>
      </w:r>
      <w:r w:rsidRPr="00445429">
        <w:rPr>
          <w:rStyle w:val="normaltextrun"/>
          <w:rFonts w:eastAsia="Calibri"/>
        </w:rPr>
        <w:t xml:space="preserve">risks </w:t>
      </w:r>
      <w:r w:rsidR="000B52CD" w:rsidRPr="00445429">
        <w:rPr>
          <w:rStyle w:val="normaltextrun"/>
          <w:rFonts w:eastAsia="Calibri"/>
        </w:rPr>
        <w:t>were</w:t>
      </w:r>
      <w:r w:rsidRPr="00445429">
        <w:rPr>
          <w:rStyle w:val="normaltextrun"/>
          <w:rFonts w:eastAsia="Calibri"/>
        </w:rPr>
        <w:t xml:space="preserve"> applied regardless of the</w:t>
      </w:r>
      <w:r w:rsidR="00460125" w:rsidRPr="00445429">
        <w:rPr>
          <w:rStyle w:val="normaltextrun"/>
          <w:rFonts w:eastAsia="Calibri"/>
        </w:rPr>
        <w:t xml:space="preserve"> population</w:t>
      </w:r>
      <w:r w:rsidR="005B69C3" w:rsidRPr="00445429">
        <w:rPr>
          <w:rStyle w:val="normaltextrun"/>
          <w:rFonts w:eastAsia="Calibri"/>
        </w:rPr>
        <w:t xml:space="preserve"> (</w:t>
      </w:r>
      <w:r w:rsidR="005B69C3" w:rsidRPr="00445429">
        <w:rPr>
          <w:rStyle w:val="normaltextrun"/>
          <w:rFonts w:eastAsia="Calibri"/>
        </w:rPr>
        <w:fldChar w:fldCharType="begin"/>
      </w:r>
      <w:r w:rsidR="005B69C3" w:rsidRPr="00445429">
        <w:rPr>
          <w:rStyle w:val="normaltextrun"/>
          <w:rFonts w:eastAsia="Calibri"/>
        </w:rPr>
        <w:instrText xml:space="preserve"> REF _Ref144664630 \h </w:instrText>
      </w:r>
      <w:r w:rsidR="00445429">
        <w:rPr>
          <w:rStyle w:val="normaltextrun"/>
          <w:rFonts w:eastAsia="Calibri"/>
        </w:rPr>
        <w:instrText xml:space="preserve"> \* MERGEFORMAT </w:instrText>
      </w:r>
      <w:r w:rsidR="005B69C3" w:rsidRPr="00445429">
        <w:rPr>
          <w:rStyle w:val="normaltextrun"/>
          <w:rFonts w:eastAsia="Calibri"/>
        </w:rPr>
      </w:r>
      <w:r w:rsidR="005B69C3" w:rsidRPr="00445429">
        <w:rPr>
          <w:rStyle w:val="normaltextrun"/>
          <w:rFonts w:eastAsia="Calibri"/>
        </w:rPr>
        <w:fldChar w:fldCharType="separate"/>
      </w:r>
      <w:r w:rsidR="00872657" w:rsidRPr="00872657">
        <w:rPr>
          <w:rStyle w:val="normaltextrun"/>
          <w:rFonts w:eastAsia="Calibri"/>
          <w:iCs/>
        </w:rPr>
        <w:t>Table 15</w:t>
      </w:r>
      <w:r w:rsidR="005B69C3" w:rsidRPr="00445429">
        <w:rPr>
          <w:rStyle w:val="normaltextrun"/>
          <w:rFonts w:eastAsia="Calibri"/>
        </w:rPr>
        <w:fldChar w:fldCharType="end"/>
      </w:r>
      <w:r w:rsidR="005B69C3" w:rsidRPr="00445429">
        <w:rPr>
          <w:rStyle w:val="normaltextrun"/>
          <w:rFonts w:eastAsia="Calibri"/>
        </w:rPr>
        <w:t>)</w:t>
      </w:r>
      <w:r w:rsidR="00460125" w:rsidRPr="00445429">
        <w:rPr>
          <w:rStyle w:val="normaltextrun"/>
          <w:rFonts w:eastAsia="Calibri"/>
        </w:rPr>
        <w:t xml:space="preserve">. This </w:t>
      </w:r>
      <w:r w:rsidR="0009220A" w:rsidRPr="00445429">
        <w:rPr>
          <w:rStyle w:val="normaltextrun"/>
          <w:rFonts w:eastAsia="Calibri"/>
        </w:rPr>
        <w:t xml:space="preserve">assumption </w:t>
      </w:r>
      <w:r w:rsidR="00556C30" w:rsidRPr="00445429">
        <w:rPr>
          <w:rStyle w:val="normaltextrun"/>
          <w:rFonts w:eastAsia="Calibri"/>
        </w:rPr>
        <w:t xml:space="preserve">may be </w:t>
      </w:r>
      <w:r w:rsidR="00460125" w:rsidRPr="00445429">
        <w:rPr>
          <w:rStyle w:val="normaltextrun"/>
          <w:rFonts w:eastAsia="Calibri"/>
        </w:rPr>
        <w:t xml:space="preserve">appropriate given that </w:t>
      </w:r>
      <w:r w:rsidR="009B7241" w:rsidRPr="00445429">
        <w:rPr>
          <w:rStyle w:val="normaltextrun"/>
          <w:rFonts w:eastAsia="Calibri"/>
        </w:rPr>
        <w:t xml:space="preserve">the submission did not present </w:t>
      </w:r>
      <w:r w:rsidR="009226AC" w:rsidRPr="00445429">
        <w:rPr>
          <w:rStyle w:val="normaltextrun"/>
          <w:rFonts w:eastAsia="Calibri"/>
        </w:rPr>
        <w:t>evidence to support an assumption of</w:t>
      </w:r>
      <w:r w:rsidR="00892468" w:rsidRPr="00445429">
        <w:rPr>
          <w:rStyle w:val="normaltextrun"/>
          <w:rFonts w:eastAsia="Calibri"/>
        </w:rPr>
        <w:t xml:space="preserve"> treatment effect modification by population type.</w:t>
      </w:r>
      <w:r w:rsidR="000234BE" w:rsidRPr="00445429">
        <w:rPr>
          <w:rStyle w:val="normaltextrun"/>
          <w:rFonts w:eastAsia="Calibri"/>
          <w:iCs/>
        </w:rPr>
        <w:t xml:space="preserve"> </w:t>
      </w:r>
      <w:r w:rsidR="00567239" w:rsidRPr="00445429">
        <w:rPr>
          <w:rStyle w:val="normaltextrun"/>
          <w:rFonts w:eastAsia="Calibri"/>
        </w:rPr>
        <w:t>However</w:t>
      </w:r>
      <w:r w:rsidR="003A5A63" w:rsidRPr="00445429">
        <w:rPr>
          <w:rStyle w:val="normaltextrun"/>
          <w:rFonts w:eastAsia="Calibri"/>
        </w:rPr>
        <w:t xml:space="preserve"> with reference to EPIC-SR</w:t>
      </w:r>
      <w:r w:rsidR="00567239" w:rsidRPr="00445429">
        <w:rPr>
          <w:rStyle w:val="normaltextrun"/>
          <w:rFonts w:eastAsia="Calibri"/>
        </w:rPr>
        <w:t>, as discussed in</w:t>
      </w:r>
      <w:r w:rsidR="00B467F6" w:rsidRPr="00445429">
        <w:rPr>
          <w:rStyle w:val="normaltextrun"/>
          <w:rFonts w:eastAsia="Calibri"/>
        </w:rPr>
        <w:t xml:space="preserve"> paragraph </w:t>
      </w:r>
      <w:r w:rsidR="00B467F6" w:rsidRPr="00445429">
        <w:rPr>
          <w:rStyle w:val="normaltextrun"/>
          <w:rFonts w:eastAsia="Calibri"/>
        </w:rPr>
        <w:fldChar w:fldCharType="begin"/>
      </w:r>
      <w:r w:rsidR="00B467F6" w:rsidRPr="00445429">
        <w:rPr>
          <w:rStyle w:val="normaltextrun"/>
          <w:rFonts w:eastAsia="Calibri"/>
        </w:rPr>
        <w:instrText xml:space="preserve"> REF _Ref144668210 \r \h </w:instrText>
      </w:r>
      <w:r w:rsidR="00844636" w:rsidRPr="00445429">
        <w:rPr>
          <w:rStyle w:val="normaltextrun"/>
          <w:rFonts w:eastAsia="Calibri"/>
        </w:rPr>
        <w:instrText xml:space="preserve"> \* MERGEFORMAT </w:instrText>
      </w:r>
      <w:r w:rsidR="00B467F6" w:rsidRPr="00445429">
        <w:rPr>
          <w:rStyle w:val="normaltextrun"/>
          <w:rFonts w:eastAsia="Calibri"/>
        </w:rPr>
      </w:r>
      <w:r w:rsidR="00B467F6" w:rsidRPr="00445429">
        <w:rPr>
          <w:rStyle w:val="normaltextrun"/>
          <w:rFonts w:eastAsia="Calibri"/>
        </w:rPr>
        <w:fldChar w:fldCharType="separate"/>
      </w:r>
      <w:r w:rsidR="00872657">
        <w:rPr>
          <w:rStyle w:val="normaltextrun"/>
          <w:rFonts w:eastAsia="Calibri"/>
        </w:rPr>
        <w:t>6.25</w:t>
      </w:r>
      <w:r w:rsidR="00B467F6" w:rsidRPr="00445429">
        <w:rPr>
          <w:rStyle w:val="normaltextrun"/>
          <w:rFonts w:eastAsia="Calibri"/>
        </w:rPr>
        <w:fldChar w:fldCharType="end"/>
      </w:r>
      <w:r w:rsidR="00B467F6" w:rsidRPr="00445429">
        <w:rPr>
          <w:rStyle w:val="normaltextrun"/>
          <w:rFonts w:eastAsia="Calibri"/>
        </w:rPr>
        <w:t xml:space="preserve">, </w:t>
      </w:r>
      <w:r w:rsidR="002C40D9" w:rsidRPr="00445429">
        <w:rPr>
          <w:rStyle w:val="normaltextrun"/>
          <w:rFonts w:eastAsia="Calibri"/>
        </w:rPr>
        <w:t xml:space="preserve">neither the </w:t>
      </w:r>
      <w:r w:rsidR="00261343" w:rsidRPr="00445429">
        <w:rPr>
          <w:rStyle w:val="normaltextrun"/>
          <w:rFonts w:eastAsia="Calibri"/>
        </w:rPr>
        <w:t xml:space="preserve">results </w:t>
      </w:r>
      <w:r w:rsidR="002C40D9" w:rsidRPr="00445429">
        <w:rPr>
          <w:rStyle w:val="normaltextrun"/>
          <w:rFonts w:eastAsia="Calibri"/>
        </w:rPr>
        <w:t xml:space="preserve">based on the </w:t>
      </w:r>
      <w:r w:rsidR="00261343" w:rsidRPr="00445429">
        <w:rPr>
          <w:rStyle w:val="normaltextrun"/>
          <w:rFonts w:eastAsia="Calibri"/>
        </w:rPr>
        <w:t xml:space="preserve">mITT1 </w:t>
      </w:r>
      <w:r w:rsidR="002C40D9" w:rsidRPr="00445429">
        <w:rPr>
          <w:rStyle w:val="normaltextrun"/>
          <w:rFonts w:eastAsia="Calibri"/>
        </w:rPr>
        <w:t xml:space="preserve">population nor </w:t>
      </w:r>
      <w:r w:rsidR="00BE2158" w:rsidRPr="00445429">
        <w:rPr>
          <w:rStyle w:val="normaltextrun"/>
          <w:rFonts w:eastAsia="Calibri"/>
        </w:rPr>
        <w:t xml:space="preserve">those for the </w:t>
      </w:r>
      <w:r w:rsidR="00261343" w:rsidRPr="00445429">
        <w:rPr>
          <w:rStyle w:val="normaltextrun"/>
          <w:rFonts w:eastAsia="Calibri"/>
        </w:rPr>
        <w:t>prespecified subgroup analyses that restricted analysis to patients who were considered at high risk (defined as having at least one risk factor)</w:t>
      </w:r>
      <w:r w:rsidR="00BE2158" w:rsidRPr="00445429">
        <w:rPr>
          <w:rStyle w:val="normaltextrun"/>
          <w:rFonts w:eastAsia="Calibri"/>
        </w:rPr>
        <w:t xml:space="preserve"> </w:t>
      </w:r>
      <w:r w:rsidR="00C616EA" w:rsidRPr="00445429">
        <w:rPr>
          <w:rStyle w:val="normaltextrun"/>
          <w:rFonts w:eastAsia="Calibri"/>
        </w:rPr>
        <w:t xml:space="preserve">reached </w:t>
      </w:r>
      <w:r w:rsidR="00261343" w:rsidRPr="00445429">
        <w:rPr>
          <w:rStyle w:val="normaltextrun"/>
          <w:rFonts w:eastAsia="Calibri"/>
        </w:rPr>
        <w:t>statistical significance</w:t>
      </w:r>
      <w:r w:rsidR="00881D5C" w:rsidRPr="00445429">
        <w:rPr>
          <w:rStyle w:val="normaltextrun"/>
          <w:rFonts w:eastAsia="Calibri"/>
        </w:rPr>
        <w:t>, in contrast to EPIC-HR</w:t>
      </w:r>
      <w:r w:rsidR="00261343" w:rsidRPr="00445429">
        <w:rPr>
          <w:rStyle w:val="normaltextrun"/>
          <w:rFonts w:eastAsia="Calibri"/>
        </w:rPr>
        <w:t>.</w:t>
      </w:r>
      <w:r w:rsidR="009D3038" w:rsidRPr="00445429">
        <w:rPr>
          <w:rStyle w:val="normaltextrun"/>
          <w:rFonts w:eastAsia="Calibri"/>
        </w:rPr>
        <w:t xml:space="preserve"> Thus, it </w:t>
      </w:r>
      <w:r w:rsidR="00350870" w:rsidRPr="00445429">
        <w:rPr>
          <w:rStyle w:val="normaltextrun"/>
          <w:rFonts w:eastAsia="Calibri"/>
        </w:rPr>
        <w:t xml:space="preserve">could be considered inappropriate </w:t>
      </w:r>
      <w:r w:rsidR="003A3953" w:rsidRPr="00445429">
        <w:rPr>
          <w:rStyle w:val="normaltextrun"/>
          <w:rFonts w:eastAsia="Calibri"/>
        </w:rPr>
        <w:t xml:space="preserve">for the economic model </w:t>
      </w:r>
      <w:r w:rsidR="00350870" w:rsidRPr="00445429">
        <w:rPr>
          <w:rStyle w:val="normaltextrun"/>
          <w:rFonts w:eastAsia="Calibri"/>
        </w:rPr>
        <w:t xml:space="preserve">to apply </w:t>
      </w:r>
      <w:r w:rsidR="003A3953" w:rsidRPr="00445429">
        <w:rPr>
          <w:rStyle w:val="normaltextrun"/>
          <w:rFonts w:eastAsia="Calibri"/>
        </w:rPr>
        <w:t xml:space="preserve">the same </w:t>
      </w:r>
      <w:r w:rsidR="009D3038" w:rsidRPr="00445429">
        <w:rPr>
          <w:rStyle w:val="normaltextrun"/>
          <w:rFonts w:eastAsia="Calibri"/>
        </w:rPr>
        <w:t>treatment effect</w:t>
      </w:r>
      <w:r w:rsidR="00350870" w:rsidRPr="00445429">
        <w:rPr>
          <w:rStyle w:val="normaltextrun"/>
          <w:rFonts w:eastAsia="Calibri"/>
        </w:rPr>
        <w:t xml:space="preserve"> </w:t>
      </w:r>
      <w:r w:rsidR="003A3953" w:rsidRPr="00445429">
        <w:rPr>
          <w:rStyle w:val="normaltextrun"/>
          <w:rFonts w:eastAsia="Calibri"/>
        </w:rPr>
        <w:t xml:space="preserve">to </w:t>
      </w:r>
      <w:r w:rsidR="00350870" w:rsidRPr="00445429">
        <w:rPr>
          <w:rStyle w:val="normaltextrun"/>
          <w:rFonts w:eastAsia="Calibri"/>
        </w:rPr>
        <w:t>patients at lower</w:t>
      </w:r>
      <w:r w:rsidR="00350870" w:rsidRPr="00484AE9">
        <w:rPr>
          <w:rFonts w:eastAsia="Calibri"/>
          <w:iCs/>
        </w:rPr>
        <w:t xml:space="preserve"> risk of developing severe disease </w:t>
      </w:r>
      <w:r w:rsidR="008C227C" w:rsidRPr="00484AE9">
        <w:rPr>
          <w:rFonts w:eastAsia="Calibri"/>
          <w:iCs/>
        </w:rPr>
        <w:t>(</w:t>
      </w:r>
      <w:r w:rsidR="00350870" w:rsidRPr="00484AE9">
        <w:rPr>
          <w:rFonts w:eastAsia="Calibri"/>
          <w:iCs/>
        </w:rPr>
        <w:t xml:space="preserve">e.g., </w:t>
      </w:r>
      <w:r w:rsidR="009D3038" w:rsidRPr="00484AE9">
        <w:rPr>
          <w:rFonts w:eastAsia="Calibri"/>
          <w:iCs/>
        </w:rPr>
        <w:t xml:space="preserve">patients </w:t>
      </w:r>
      <w:r w:rsidR="009754ED" w:rsidRPr="00484AE9">
        <w:rPr>
          <w:rFonts w:eastAsia="Calibri"/>
          <w:iCs/>
        </w:rPr>
        <w:t xml:space="preserve">aged 50 to 60 years with only one </w:t>
      </w:r>
      <w:r w:rsidR="00804226" w:rsidRPr="00484AE9">
        <w:rPr>
          <w:rFonts w:eastAsia="Calibri"/>
          <w:iCs/>
        </w:rPr>
        <w:t xml:space="preserve">additional </w:t>
      </w:r>
      <w:r w:rsidR="009754ED" w:rsidRPr="00484AE9">
        <w:rPr>
          <w:rFonts w:eastAsia="Calibri"/>
          <w:iCs/>
        </w:rPr>
        <w:t>risk factor</w:t>
      </w:r>
      <w:r w:rsidR="008C227C" w:rsidRPr="00484AE9">
        <w:rPr>
          <w:rFonts w:eastAsia="Calibri"/>
          <w:iCs/>
        </w:rPr>
        <w:t>)</w:t>
      </w:r>
      <w:r w:rsidR="00E6703E" w:rsidRPr="00484AE9">
        <w:rPr>
          <w:rFonts w:eastAsia="Calibri"/>
          <w:iCs/>
        </w:rPr>
        <w:t xml:space="preserve"> that was applied to those at higher risk</w:t>
      </w:r>
      <w:r w:rsidR="009754ED" w:rsidRPr="00484AE9">
        <w:rPr>
          <w:rFonts w:eastAsia="Calibri"/>
          <w:iCs/>
        </w:rPr>
        <w:t>.</w:t>
      </w:r>
    </w:p>
    <w:p w14:paraId="0E56C305" w14:textId="2E19D192" w:rsidR="00ED479B" w:rsidRPr="00484AE9" w:rsidRDefault="00ED479B" w:rsidP="00ED479B">
      <w:pPr>
        <w:pStyle w:val="Caption"/>
      </w:pPr>
      <w:bookmarkStart w:id="119" w:name="_Ref144664630"/>
      <w:r w:rsidRPr="00484AE9">
        <w:t xml:space="preserve">Table </w:t>
      </w:r>
      <w:fldSimple w:instr=" SEQ Table \* ARABIC ">
        <w:r w:rsidR="00872657">
          <w:rPr>
            <w:noProof/>
          </w:rPr>
          <w:t>15</w:t>
        </w:r>
      </w:fldSimple>
      <w:bookmarkEnd w:id="119"/>
      <w:r w:rsidRPr="00484AE9">
        <w:t xml:space="preserve">: </w:t>
      </w:r>
      <w:r w:rsidR="00A70423" w:rsidRPr="00484AE9">
        <w:t>Relative risk of events</w:t>
      </w:r>
      <w:r w:rsidR="009979B8" w:rsidRPr="00484AE9">
        <w:t xml:space="preserve"> in patients treated with nirmatrelvir and ritonavir or molnupiravi</w:t>
      </w:r>
      <w:r w:rsidR="00F13845" w:rsidRPr="00484AE9">
        <w:t>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17"/>
        <w:gridCol w:w="3250"/>
        <w:gridCol w:w="3250"/>
      </w:tblGrid>
      <w:tr w:rsidR="008B6130" w:rsidRPr="00484AE9" w14:paraId="309539E8" w14:textId="77777777" w:rsidTr="007D58CD">
        <w:trPr>
          <w:tblHeader/>
        </w:trPr>
        <w:tc>
          <w:tcPr>
            <w:tcW w:w="1396" w:type="pct"/>
            <w:shd w:val="clear" w:color="auto" w:fill="auto"/>
            <w:vAlign w:val="center"/>
          </w:tcPr>
          <w:p w14:paraId="7F81D8E8" w14:textId="5605C3F4" w:rsidR="007D58CD" w:rsidRPr="00484AE9" w:rsidRDefault="007D58CD" w:rsidP="003E2A1F">
            <w:pPr>
              <w:pStyle w:val="In-tableHeading"/>
              <w:rPr>
                <w:lang w:val="en-AU"/>
              </w:rPr>
            </w:pPr>
            <w:r w:rsidRPr="00484AE9">
              <w:rPr>
                <w:lang w:val="en-AU"/>
              </w:rPr>
              <w:t>Event</w:t>
            </w:r>
          </w:p>
        </w:tc>
        <w:tc>
          <w:tcPr>
            <w:tcW w:w="1802" w:type="pct"/>
            <w:shd w:val="clear" w:color="auto" w:fill="auto"/>
            <w:vAlign w:val="center"/>
          </w:tcPr>
          <w:p w14:paraId="765178AA" w14:textId="16298F78" w:rsidR="007D58CD" w:rsidRPr="00484AE9" w:rsidRDefault="00A27C1E" w:rsidP="007D58CD">
            <w:pPr>
              <w:pStyle w:val="In-tableHeading"/>
              <w:jc w:val="center"/>
              <w:rPr>
                <w:lang w:val="en-AU"/>
              </w:rPr>
            </w:pPr>
            <w:r w:rsidRPr="00484AE9">
              <w:rPr>
                <w:lang w:val="en-AU"/>
              </w:rPr>
              <w:t>N</w:t>
            </w:r>
            <w:r w:rsidR="007D58CD" w:rsidRPr="00484AE9">
              <w:rPr>
                <w:lang w:val="en-AU"/>
              </w:rPr>
              <w:t>irmatrelvir</w:t>
            </w:r>
            <w:r w:rsidRPr="00484AE9">
              <w:rPr>
                <w:lang w:val="en-AU"/>
              </w:rPr>
              <w:t xml:space="preserve"> </w:t>
            </w:r>
            <w:r w:rsidR="007D58CD" w:rsidRPr="00484AE9">
              <w:rPr>
                <w:lang w:val="en-AU"/>
              </w:rPr>
              <w:t>and ritonavir</w:t>
            </w:r>
          </w:p>
        </w:tc>
        <w:tc>
          <w:tcPr>
            <w:tcW w:w="1802" w:type="pct"/>
            <w:shd w:val="clear" w:color="auto" w:fill="auto"/>
            <w:vAlign w:val="center"/>
          </w:tcPr>
          <w:p w14:paraId="336B25C8" w14:textId="66161D5B" w:rsidR="007D58CD" w:rsidRPr="00484AE9" w:rsidRDefault="00A27C1E" w:rsidP="007D58CD">
            <w:pPr>
              <w:pStyle w:val="In-tableHeading"/>
              <w:jc w:val="center"/>
              <w:rPr>
                <w:lang w:val="en-AU"/>
              </w:rPr>
            </w:pPr>
            <w:r w:rsidRPr="00484AE9">
              <w:rPr>
                <w:lang w:val="en-AU"/>
              </w:rPr>
              <w:t>Molnupiravir</w:t>
            </w:r>
            <w:r w:rsidR="00D14CB1" w:rsidRPr="00484AE9">
              <w:rPr>
                <w:lang w:val="en-AU"/>
              </w:rPr>
              <w:t>*</w:t>
            </w:r>
          </w:p>
        </w:tc>
      </w:tr>
      <w:tr w:rsidR="008B6130" w:rsidRPr="00484AE9" w14:paraId="1F4CD327" w14:textId="77777777" w:rsidTr="003E2A1F">
        <w:tc>
          <w:tcPr>
            <w:tcW w:w="1396" w:type="pct"/>
            <w:shd w:val="clear" w:color="auto" w:fill="auto"/>
            <w:vAlign w:val="center"/>
          </w:tcPr>
          <w:p w14:paraId="67DB415C" w14:textId="7EAFEE7A" w:rsidR="005F08D5" w:rsidRPr="00484AE9" w:rsidRDefault="005F08D5" w:rsidP="005F08D5">
            <w:pPr>
              <w:pStyle w:val="TableText0"/>
            </w:pPr>
            <w:r w:rsidRPr="00484AE9">
              <w:t>Hospitalisation</w:t>
            </w:r>
          </w:p>
        </w:tc>
        <w:tc>
          <w:tcPr>
            <w:tcW w:w="1802" w:type="pct"/>
            <w:shd w:val="clear" w:color="auto" w:fill="auto"/>
          </w:tcPr>
          <w:p w14:paraId="78199853" w14:textId="78D87205" w:rsidR="005F08D5" w:rsidRPr="00484AE9" w:rsidRDefault="005F08D5" w:rsidP="005F08D5">
            <w:pPr>
              <w:pStyle w:val="TableText0"/>
              <w:jc w:val="center"/>
            </w:pPr>
            <w:r w:rsidRPr="00484AE9">
              <w:t>0.41</w:t>
            </w:r>
          </w:p>
        </w:tc>
        <w:tc>
          <w:tcPr>
            <w:tcW w:w="1802" w:type="pct"/>
            <w:shd w:val="clear" w:color="auto" w:fill="auto"/>
          </w:tcPr>
          <w:p w14:paraId="5557AB20" w14:textId="729B9C93" w:rsidR="005F08D5" w:rsidRPr="00484AE9" w:rsidRDefault="005F08D5" w:rsidP="005F08D5">
            <w:pPr>
              <w:pStyle w:val="TableText0"/>
              <w:jc w:val="center"/>
            </w:pPr>
            <w:r w:rsidRPr="00484AE9">
              <w:t>0.81</w:t>
            </w:r>
          </w:p>
        </w:tc>
      </w:tr>
      <w:tr w:rsidR="008B6130" w:rsidRPr="00484AE9" w14:paraId="74AC71AA" w14:textId="77777777" w:rsidTr="003E2A1F">
        <w:tc>
          <w:tcPr>
            <w:tcW w:w="1396" w:type="pct"/>
            <w:shd w:val="clear" w:color="auto" w:fill="auto"/>
            <w:vAlign w:val="center"/>
          </w:tcPr>
          <w:p w14:paraId="614D418D" w14:textId="256F862C" w:rsidR="005F08D5" w:rsidRPr="00484AE9" w:rsidRDefault="005F08D5" w:rsidP="005F08D5">
            <w:pPr>
              <w:pStyle w:val="TableText0"/>
            </w:pPr>
            <w:r w:rsidRPr="00484AE9">
              <w:t>ICU (critical care) admission</w:t>
            </w:r>
          </w:p>
        </w:tc>
        <w:tc>
          <w:tcPr>
            <w:tcW w:w="1802" w:type="pct"/>
            <w:shd w:val="clear" w:color="auto" w:fill="auto"/>
          </w:tcPr>
          <w:p w14:paraId="1BAB443D" w14:textId="229B2154" w:rsidR="005F08D5" w:rsidRPr="00484AE9" w:rsidRDefault="005F08D5" w:rsidP="005F08D5">
            <w:pPr>
              <w:pStyle w:val="TableText0"/>
              <w:jc w:val="center"/>
            </w:pPr>
            <w:r w:rsidRPr="00484AE9">
              <w:t>0.37</w:t>
            </w:r>
          </w:p>
        </w:tc>
        <w:tc>
          <w:tcPr>
            <w:tcW w:w="1802" w:type="pct"/>
            <w:shd w:val="clear" w:color="auto" w:fill="auto"/>
          </w:tcPr>
          <w:p w14:paraId="6BD8BBE0" w14:textId="56D29C3A" w:rsidR="005F08D5" w:rsidRPr="00484AE9" w:rsidRDefault="005F08D5" w:rsidP="005F08D5">
            <w:pPr>
              <w:pStyle w:val="TableText0"/>
              <w:jc w:val="center"/>
            </w:pPr>
            <w:r w:rsidRPr="00484AE9">
              <w:t>0.75</w:t>
            </w:r>
          </w:p>
        </w:tc>
      </w:tr>
      <w:tr w:rsidR="008B6130" w:rsidRPr="00484AE9" w14:paraId="76472723" w14:textId="77777777" w:rsidTr="003E2A1F">
        <w:tc>
          <w:tcPr>
            <w:tcW w:w="1396" w:type="pct"/>
            <w:shd w:val="clear" w:color="auto" w:fill="auto"/>
            <w:vAlign w:val="center"/>
          </w:tcPr>
          <w:p w14:paraId="79B0CC0D" w14:textId="759E350A" w:rsidR="005F08D5" w:rsidRPr="00484AE9" w:rsidRDefault="005F08D5" w:rsidP="005F08D5">
            <w:pPr>
              <w:pStyle w:val="TableText0"/>
            </w:pPr>
            <w:r w:rsidRPr="00484AE9">
              <w:t>Death</w:t>
            </w:r>
          </w:p>
        </w:tc>
        <w:tc>
          <w:tcPr>
            <w:tcW w:w="1802" w:type="pct"/>
            <w:shd w:val="clear" w:color="auto" w:fill="auto"/>
          </w:tcPr>
          <w:p w14:paraId="0E910E07" w14:textId="345A6291" w:rsidR="005F08D5" w:rsidRPr="00484AE9" w:rsidRDefault="005F08D5" w:rsidP="005F08D5">
            <w:pPr>
              <w:pStyle w:val="TableText0"/>
              <w:jc w:val="center"/>
            </w:pPr>
            <w:r w:rsidRPr="00484AE9">
              <w:t>0.25</w:t>
            </w:r>
          </w:p>
        </w:tc>
        <w:tc>
          <w:tcPr>
            <w:tcW w:w="1802" w:type="pct"/>
            <w:shd w:val="clear" w:color="auto" w:fill="auto"/>
          </w:tcPr>
          <w:p w14:paraId="6DD3ED65" w14:textId="68C03B67" w:rsidR="005F08D5" w:rsidRPr="00484AE9" w:rsidRDefault="005F08D5" w:rsidP="005F08D5">
            <w:pPr>
              <w:pStyle w:val="TableText0"/>
              <w:jc w:val="center"/>
            </w:pPr>
            <w:r w:rsidRPr="00484AE9">
              <w:t>0.63</w:t>
            </w:r>
          </w:p>
        </w:tc>
      </w:tr>
      <w:tr w:rsidR="008B6130" w:rsidRPr="00484AE9" w14:paraId="2F5D69B5" w14:textId="77777777" w:rsidTr="003E2A1F">
        <w:tc>
          <w:tcPr>
            <w:tcW w:w="1396" w:type="pct"/>
            <w:shd w:val="clear" w:color="auto" w:fill="auto"/>
            <w:vAlign w:val="center"/>
          </w:tcPr>
          <w:p w14:paraId="098B58BE" w14:textId="216D8C67" w:rsidR="005F08D5" w:rsidRPr="00484AE9" w:rsidRDefault="005F08D5" w:rsidP="005F08D5">
            <w:pPr>
              <w:pStyle w:val="TableText0"/>
            </w:pPr>
            <w:r w:rsidRPr="00484AE9">
              <w:t>Long COVID</w:t>
            </w:r>
          </w:p>
        </w:tc>
        <w:tc>
          <w:tcPr>
            <w:tcW w:w="1802" w:type="pct"/>
            <w:shd w:val="clear" w:color="auto" w:fill="auto"/>
          </w:tcPr>
          <w:p w14:paraId="41D82DDE" w14:textId="0A84205B" w:rsidR="005F08D5" w:rsidRPr="00484AE9" w:rsidRDefault="005F08D5" w:rsidP="005F08D5">
            <w:pPr>
              <w:pStyle w:val="TableText0"/>
              <w:jc w:val="center"/>
            </w:pPr>
            <w:r w:rsidRPr="00484AE9">
              <w:t>0.74</w:t>
            </w:r>
          </w:p>
        </w:tc>
        <w:tc>
          <w:tcPr>
            <w:tcW w:w="1802" w:type="pct"/>
            <w:shd w:val="clear" w:color="auto" w:fill="auto"/>
          </w:tcPr>
          <w:p w14:paraId="1D646402" w14:textId="31B3D28F" w:rsidR="005F08D5" w:rsidRPr="00484AE9" w:rsidRDefault="005F08D5" w:rsidP="005F08D5">
            <w:pPr>
              <w:pStyle w:val="TableText0"/>
              <w:jc w:val="center"/>
            </w:pPr>
            <w:r w:rsidRPr="00484AE9">
              <w:t>0.86</w:t>
            </w:r>
          </w:p>
        </w:tc>
      </w:tr>
    </w:tbl>
    <w:p w14:paraId="6A5E3CA9" w14:textId="2A359EB4" w:rsidR="00F13845" w:rsidRPr="00484AE9" w:rsidRDefault="00101130" w:rsidP="00101130">
      <w:pPr>
        <w:pStyle w:val="FooterTableFigure"/>
      </w:pPr>
      <w:r w:rsidRPr="00484AE9">
        <w:t xml:space="preserve">Source: Table </w:t>
      </w:r>
      <w:r w:rsidR="00D14CB1" w:rsidRPr="00484AE9">
        <w:t xml:space="preserve">3.4.3 of the submission and the economic model presented with the </w:t>
      </w:r>
      <w:r w:rsidRPr="00484AE9">
        <w:t>submission</w:t>
      </w:r>
    </w:p>
    <w:p w14:paraId="013B2BE0" w14:textId="2FFD7833" w:rsidR="00D14CB1" w:rsidRPr="00484AE9" w:rsidRDefault="00D14CB1" w:rsidP="00101130">
      <w:pPr>
        <w:pStyle w:val="FooterTableFigure"/>
      </w:pPr>
      <w:r w:rsidRPr="00484AE9">
        <w:t>* Values reported</w:t>
      </w:r>
      <w:r w:rsidR="00D57395" w:rsidRPr="00484AE9">
        <w:t xml:space="preserve"> for molnupiravir in Table 3.4.3 </w:t>
      </w:r>
      <w:r w:rsidR="00C15E5E" w:rsidRPr="00484AE9">
        <w:t>did not reflect values applied in the economic analysis. Values reported in this table are those applied in the economic analysis.</w:t>
      </w:r>
    </w:p>
    <w:p w14:paraId="56876F64" w14:textId="75054B80" w:rsidR="00DB6F1A" w:rsidRPr="00484AE9" w:rsidRDefault="00BE7614" w:rsidP="00D75786">
      <w:pPr>
        <w:pStyle w:val="3-BodyText"/>
      </w:pPr>
      <w:bookmarkStart w:id="120" w:name="_Ref144642828"/>
      <w:bookmarkEnd w:id="118"/>
      <w:r w:rsidRPr="00484AE9">
        <w:t xml:space="preserve">The </w:t>
      </w:r>
      <w:r w:rsidR="00A37101" w:rsidRPr="00484AE9">
        <w:t>submission</w:t>
      </w:r>
      <w:r w:rsidRPr="00484AE9">
        <w:t xml:space="preserve"> </w:t>
      </w:r>
      <w:r w:rsidR="00A37101" w:rsidRPr="00484AE9">
        <w:t>estimated</w:t>
      </w:r>
      <w:r w:rsidRPr="00484AE9">
        <w:t xml:space="preserve"> discounted quality adjusted life expectanc</w:t>
      </w:r>
      <w:r w:rsidR="00A37101" w:rsidRPr="00484AE9">
        <w:t>ies</w:t>
      </w:r>
      <w:r w:rsidRPr="00484AE9">
        <w:t xml:space="preserve"> (dQALE</w:t>
      </w:r>
      <w:r w:rsidR="00A37101" w:rsidRPr="00484AE9">
        <w:t>s</w:t>
      </w:r>
      <w:r w:rsidRPr="00484AE9">
        <w:t>)</w:t>
      </w:r>
      <w:r w:rsidR="00A37101" w:rsidRPr="00484AE9">
        <w:t xml:space="preserve"> for each of the modelled</w:t>
      </w:r>
      <w:r w:rsidRPr="00484AE9">
        <w:t xml:space="preserve"> cohort, representing the QALY loss per fatal case of COVID-19</w:t>
      </w:r>
      <w:r w:rsidR="009679C2" w:rsidRPr="00484AE9">
        <w:t>. Th</w:t>
      </w:r>
      <w:r w:rsidR="009E6885" w:rsidRPr="00484AE9">
        <w:t xml:space="preserve">is estimate was combined with </w:t>
      </w:r>
      <w:r w:rsidRPr="00484AE9">
        <w:t>undiscounted short term QALY decrement</w:t>
      </w:r>
      <w:r w:rsidR="009E6885" w:rsidRPr="00484AE9">
        <w:t>s</w:t>
      </w:r>
      <w:r w:rsidRPr="00484AE9">
        <w:t xml:space="preserve"> (QALYd) associated with transient instances of acute </w:t>
      </w:r>
      <w:r w:rsidR="009E6885" w:rsidRPr="00484AE9">
        <w:rPr>
          <w:rStyle w:val="normaltextrun"/>
        </w:rPr>
        <w:t>COVID</w:t>
      </w:r>
      <w:r w:rsidR="009E6885" w:rsidRPr="00484AE9">
        <w:rPr>
          <w:rStyle w:val="normaltextrun"/>
        </w:rPr>
        <w:noBreakHyphen/>
        <w:t>19</w:t>
      </w:r>
      <w:r w:rsidRPr="00484AE9">
        <w:t xml:space="preserve"> or</w:t>
      </w:r>
      <w:r w:rsidR="009E6885" w:rsidRPr="00484AE9">
        <w:t xml:space="preserve"> long COVID</w:t>
      </w:r>
      <w:r w:rsidR="006D64A8" w:rsidRPr="00484AE9">
        <w:t xml:space="preserve">. The approach to derivation of the dQALEs applied in the model </w:t>
      </w:r>
      <w:r w:rsidR="008E3407" w:rsidRPr="00484AE9">
        <w:t xml:space="preserve">generally </w:t>
      </w:r>
      <w:r w:rsidR="006D64A8" w:rsidRPr="00484AE9">
        <w:t>appeared reasonable</w:t>
      </w:r>
      <w:r w:rsidR="00AC7E58" w:rsidRPr="00484AE9">
        <w:t xml:space="preserve"> however</w:t>
      </w:r>
      <w:r w:rsidR="00CE35B3" w:rsidRPr="00484AE9">
        <w:t xml:space="preserve"> it may have been appropriate </w:t>
      </w:r>
      <w:r w:rsidR="00FF40C4" w:rsidRPr="00484AE9">
        <w:t xml:space="preserve">for the QALYs lost for patients </w:t>
      </w:r>
      <w:r w:rsidR="00C31362" w:rsidRPr="00484AE9">
        <w:t>aged 60 - 69</w:t>
      </w:r>
      <w:r w:rsidR="00FF40C4" w:rsidRPr="00484AE9">
        <w:t xml:space="preserve"> with </w:t>
      </w:r>
      <w:r w:rsidR="00FF40C4" w:rsidRPr="00484AE9">
        <w:rPr>
          <w:rFonts w:cstheme="minorHAnsi"/>
        </w:rPr>
        <w:t>≥</w:t>
      </w:r>
      <w:r w:rsidR="00FF40C4" w:rsidRPr="00484AE9">
        <w:t xml:space="preserve"> 2 </w:t>
      </w:r>
      <w:r w:rsidR="0082225C" w:rsidRPr="00484AE9">
        <w:t xml:space="preserve">additional </w:t>
      </w:r>
      <w:r w:rsidR="00FF40C4" w:rsidRPr="00484AE9">
        <w:t xml:space="preserve">risk factors to have been less that for patients </w:t>
      </w:r>
      <w:r w:rsidR="00FF40C4" w:rsidRPr="00484AE9">
        <w:rPr>
          <w:rFonts w:cstheme="minorHAnsi"/>
        </w:rPr>
        <w:t>≥</w:t>
      </w:r>
      <w:r w:rsidR="00FF40C4" w:rsidRPr="00484AE9">
        <w:t xml:space="preserve"> 1 risk </w:t>
      </w:r>
      <w:r w:rsidR="0082225C" w:rsidRPr="00484AE9">
        <w:t xml:space="preserve">additional </w:t>
      </w:r>
      <w:r w:rsidR="00FF40C4" w:rsidRPr="00484AE9">
        <w:t>factor</w:t>
      </w:r>
      <w:r w:rsidR="006D64A8" w:rsidRPr="00484AE9">
        <w:t>.</w:t>
      </w:r>
      <w:r w:rsidR="006D64A8" w:rsidRPr="00484AE9">
        <w:rPr>
          <w:iCs/>
        </w:rPr>
        <w:t xml:space="preserve"> </w:t>
      </w:r>
      <w:r w:rsidR="00FB638B" w:rsidRPr="00484AE9">
        <w:t>The QALYs lost by patients</w:t>
      </w:r>
      <w:r w:rsidR="00791D63" w:rsidRPr="00484AE9">
        <w:t xml:space="preserve"> with fatal outcomes applied in each of the cohorts is summarised in </w:t>
      </w:r>
      <w:r w:rsidR="00FF281F" w:rsidRPr="00484AE9">
        <w:fldChar w:fldCharType="begin"/>
      </w:r>
      <w:r w:rsidR="00FF281F" w:rsidRPr="00484AE9">
        <w:instrText xml:space="preserve"> REF _Ref144674370 \h </w:instrText>
      </w:r>
      <w:r w:rsidR="00FF281F" w:rsidRPr="00484AE9">
        <w:fldChar w:fldCharType="separate"/>
      </w:r>
      <w:r w:rsidR="00872657" w:rsidRPr="00484AE9">
        <w:t xml:space="preserve">Table </w:t>
      </w:r>
      <w:r w:rsidR="00872657">
        <w:rPr>
          <w:noProof/>
        </w:rPr>
        <w:t>16</w:t>
      </w:r>
      <w:r w:rsidR="00FF281F" w:rsidRPr="00484AE9">
        <w:fldChar w:fldCharType="end"/>
      </w:r>
      <w:r w:rsidR="00AC7E58" w:rsidRPr="00484AE9">
        <w:t>.</w:t>
      </w:r>
    </w:p>
    <w:p w14:paraId="62330AD3" w14:textId="226F02D1" w:rsidR="00791D63" w:rsidRPr="00484AE9" w:rsidRDefault="00F237E5" w:rsidP="00F237E5">
      <w:pPr>
        <w:pStyle w:val="Caption"/>
      </w:pPr>
      <w:bookmarkStart w:id="121" w:name="_Ref144674370"/>
      <w:r w:rsidRPr="00484AE9">
        <w:t xml:space="preserve">Table </w:t>
      </w:r>
      <w:fldSimple w:instr=" SEQ Table \* ARABIC ">
        <w:r w:rsidR="00872657">
          <w:rPr>
            <w:noProof/>
          </w:rPr>
          <w:t>16</w:t>
        </w:r>
      </w:fldSimple>
      <w:bookmarkEnd w:id="121"/>
      <w:r w:rsidR="00904106" w:rsidRPr="00484AE9">
        <w:t xml:space="preserve">: </w:t>
      </w:r>
      <w:r w:rsidR="00870FF5" w:rsidRPr="00484AE9">
        <w:t xml:space="preserve">QALYs lost by </w:t>
      </w:r>
      <w:r w:rsidR="00C352A8" w:rsidRPr="00484AE9">
        <w:t>patient who died by cohort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964"/>
        <w:gridCol w:w="5053"/>
      </w:tblGrid>
      <w:tr w:rsidR="008B6130" w:rsidRPr="00484AE9" w14:paraId="645C217F" w14:textId="77777777" w:rsidTr="006D7941">
        <w:trPr>
          <w:tblHeader/>
        </w:trPr>
        <w:tc>
          <w:tcPr>
            <w:tcW w:w="2198" w:type="pct"/>
            <w:shd w:val="clear" w:color="auto" w:fill="auto"/>
            <w:vAlign w:val="center"/>
          </w:tcPr>
          <w:p w14:paraId="5B3320EF" w14:textId="73B9C701" w:rsidR="006D7941" w:rsidRPr="00484AE9" w:rsidRDefault="006D7941" w:rsidP="003E2A1F">
            <w:pPr>
              <w:pStyle w:val="In-tableHeading"/>
              <w:rPr>
                <w:lang w:val="en-AU"/>
              </w:rPr>
            </w:pPr>
            <w:r w:rsidRPr="00484AE9">
              <w:rPr>
                <w:lang w:val="en-AU"/>
              </w:rPr>
              <w:t>Population</w:t>
            </w:r>
            <w:r w:rsidR="00C352A8" w:rsidRPr="00484AE9">
              <w:rPr>
                <w:lang w:val="en-AU"/>
              </w:rPr>
              <w:t xml:space="preserve"> (cohort)</w:t>
            </w:r>
          </w:p>
        </w:tc>
        <w:tc>
          <w:tcPr>
            <w:tcW w:w="2802" w:type="pct"/>
            <w:shd w:val="clear" w:color="auto" w:fill="auto"/>
            <w:vAlign w:val="center"/>
          </w:tcPr>
          <w:p w14:paraId="53835A53" w14:textId="1163E056" w:rsidR="006D7941" w:rsidRPr="00484AE9" w:rsidRDefault="006D7941" w:rsidP="003E2A1F">
            <w:pPr>
              <w:pStyle w:val="In-tableHeading"/>
              <w:jc w:val="center"/>
              <w:rPr>
                <w:lang w:val="en-AU"/>
              </w:rPr>
            </w:pPr>
            <w:r w:rsidRPr="00484AE9">
              <w:rPr>
                <w:lang w:val="en-AU"/>
              </w:rPr>
              <w:t>QALYs lost b</w:t>
            </w:r>
            <w:r w:rsidR="008C4693" w:rsidRPr="00484AE9">
              <w:rPr>
                <w:lang w:val="en-AU"/>
              </w:rPr>
              <w:t>y patients who died</w:t>
            </w:r>
          </w:p>
        </w:tc>
      </w:tr>
      <w:tr w:rsidR="008B6130" w:rsidRPr="00484AE9" w14:paraId="452AF389" w14:textId="77777777" w:rsidTr="006D7941">
        <w:tc>
          <w:tcPr>
            <w:tcW w:w="2198" w:type="pct"/>
            <w:shd w:val="clear" w:color="auto" w:fill="auto"/>
          </w:tcPr>
          <w:p w14:paraId="3D7DFB73" w14:textId="341EE084" w:rsidR="005624F7" w:rsidRPr="00484AE9" w:rsidRDefault="005624F7" w:rsidP="005624F7">
            <w:pPr>
              <w:pStyle w:val="TableText0"/>
            </w:pPr>
            <w:r w:rsidRPr="00484AE9">
              <w:t>Aged ≥ 70</w:t>
            </w:r>
          </w:p>
        </w:tc>
        <w:tc>
          <w:tcPr>
            <w:tcW w:w="2802" w:type="pct"/>
            <w:shd w:val="clear" w:color="auto" w:fill="auto"/>
          </w:tcPr>
          <w:p w14:paraId="25243D5A" w14:textId="799EA9DB" w:rsidR="005624F7" w:rsidRPr="00484AE9" w:rsidRDefault="005624F7" w:rsidP="005624F7">
            <w:pPr>
              <w:pStyle w:val="TableText0"/>
              <w:jc w:val="center"/>
            </w:pPr>
            <w:r w:rsidRPr="00484AE9">
              <w:t>6.44</w:t>
            </w:r>
          </w:p>
        </w:tc>
      </w:tr>
      <w:tr w:rsidR="008B6130" w:rsidRPr="00484AE9" w14:paraId="2F574CB2" w14:textId="77777777" w:rsidTr="006D7941">
        <w:tc>
          <w:tcPr>
            <w:tcW w:w="2198" w:type="pct"/>
            <w:shd w:val="clear" w:color="auto" w:fill="auto"/>
          </w:tcPr>
          <w:p w14:paraId="1BCD9F05" w14:textId="23CC0E77" w:rsidR="005624F7" w:rsidRPr="00484AE9" w:rsidRDefault="005624F7" w:rsidP="005624F7">
            <w:pPr>
              <w:pStyle w:val="TableText0"/>
            </w:pPr>
            <w:r w:rsidRPr="00484AE9">
              <w:t>Aged ≥18 and immune-compromised*</w:t>
            </w:r>
          </w:p>
        </w:tc>
        <w:tc>
          <w:tcPr>
            <w:tcW w:w="2802" w:type="pct"/>
            <w:shd w:val="clear" w:color="auto" w:fill="auto"/>
          </w:tcPr>
          <w:p w14:paraId="3A5A4AE6" w14:textId="7F468758" w:rsidR="005624F7" w:rsidRPr="00484AE9" w:rsidRDefault="005624F7" w:rsidP="005624F7">
            <w:pPr>
              <w:pStyle w:val="TableText0"/>
              <w:jc w:val="center"/>
            </w:pPr>
            <w:r w:rsidRPr="00484AE9">
              <w:t>15.57</w:t>
            </w:r>
          </w:p>
        </w:tc>
      </w:tr>
      <w:tr w:rsidR="008B6130" w:rsidRPr="00484AE9" w14:paraId="5B00B00B" w14:textId="77777777" w:rsidTr="006D7941">
        <w:tc>
          <w:tcPr>
            <w:tcW w:w="2198" w:type="pct"/>
            <w:shd w:val="clear" w:color="auto" w:fill="auto"/>
          </w:tcPr>
          <w:p w14:paraId="43260AD3" w14:textId="4B08503E" w:rsidR="005624F7" w:rsidRPr="00484AE9" w:rsidRDefault="005624F7" w:rsidP="005624F7">
            <w:pPr>
              <w:pStyle w:val="TableText0"/>
            </w:pPr>
            <w:r w:rsidRPr="00484AE9">
              <w:t>Indigenous aged ≥ 30 and ≥ 1 risk factor</w:t>
            </w:r>
          </w:p>
        </w:tc>
        <w:tc>
          <w:tcPr>
            <w:tcW w:w="2802" w:type="pct"/>
            <w:shd w:val="clear" w:color="auto" w:fill="auto"/>
          </w:tcPr>
          <w:p w14:paraId="257A2967" w14:textId="0FE17763" w:rsidR="005624F7" w:rsidRPr="00484AE9" w:rsidRDefault="005624F7" w:rsidP="005624F7">
            <w:pPr>
              <w:pStyle w:val="TableText0"/>
              <w:jc w:val="center"/>
            </w:pPr>
            <w:r w:rsidRPr="00484AE9">
              <w:t>13</w:t>
            </w:r>
          </w:p>
        </w:tc>
      </w:tr>
      <w:tr w:rsidR="008B6130" w:rsidRPr="00484AE9" w14:paraId="62DD5D49" w14:textId="77777777" w:rsidTr="006D7941">
        <w:tc>
          <w:tcPr>
            <w:tcW w:w="2198" w:type="pct"/>
            <w:shd w:val="clear" w:color="auto" w:fill="auto"/>
          </w:tcPr>
          <w:p w14:paraId="446E8869" w14:textId="2B762F71" w:rsidR="005624F7" w:rsidRPr="00484AE9" w:rsidRDefault="005624F7" w:rsidP="005624F7">
            <w:pPr>
              <w:pStyle w:val="TableText0"/>
            </w:pPr>
            <w:r w:rsidRPr="00484AE9">
              <w:t>Aged 50-59 &amp; ≥ 2 risk factors</w:t>
            </w:r>
          </w:p>
        </w:tc>
        <w:tc>
          <w:tcPr>
            <w:tcW w:w="2802" w:type="pct"/>
            <w:shd w:val="clear" w:color="auto" w:fill="auto"/>
          </w:tcPr>
          <w:p w14:paraId="5F740BFE" w14:textId="41500979" w:rsidR="005624F7" w:rsidRPr="00484AE9" w:rsidRDefault="005624F7" w:rsidP="005624F7">
            <w:pPr>
              <w:pStyle w:val="TableText0"/>
              <w:jc w:val="center"/>
            </w:pPr>
            <w:r w:rsidRPr="00484AE9">
              <w:t>12.18</w:t>
            </w:r>
          </w:p>
        </w:tc>
      </w:tr>
      <w:tr w:rsidR="008B6130" w:rsidRPr="00484AE9" w14:paraId="6763ECBE" w14:textId="77777777" w:rsidTr="006D7941">
        <w:tc>
          <w:tcPr>
            <w:tcW w:w="2198" w:type="pct"/>
            <w:shd w:val="clear" w:color="auto" w:fill="auto"/>
          </w:tcPr>
          <w:p w14:paraId="724CDA85" w14:textId="7006CD20" w:rsidR="005624F7" w:rsidRPr="00484AE9" w:rsidRDefault="005624F7" w:rsidP="005624F7">
            <w:pPr>
              <w:pStyle w:val="TableText0"/>
            </w:pPr>
            <w:r w:rsidRPr="00484AE9">
              <w:t>Aged 60-69 &amp; ≥ 1 risk factor</w:t>
            </w:r>
          </w:p>
        </w:tc>
        <w:tc>
          <w:tcPr>
            <w:tcW w:w="2802" w:type="pct"/>
            <w:shd w:val="clear" w:color="auto" w:fill="auto"/>
          </w:tcPr>
          <w:p w14:paraId="09681283" w14:textId="36883316" w:rsidR="005624F7" w:rsidRPr="00484AE9" w:rsidRDefault="005624F7" w:rsidP="005624F7">
            <w:pPr>
              <w:pStyle w:val="TableText0"/>
              <w:jc w:val="center"/>
            </w:pPr>
            <w:r w:rsidRPr="00484AE9">
              <w:t>10.65</w:t>
            </w:r>
          </w:p>
        </w:tc>
      </w:tr>
      <w:tr w:rsidR="008B6130" w:rsidRPr="00484AE9" w14:paraId="5198FFC3" w14:textId="77777777" w:rsidTr="006D7941">
        <w:tc>
          <w:tcPr>
            <w:tcW w:w="2198" w:type="pct"/>
            <w:shd w:val="clear" w:color="auto" w:fill="auto"/>
          </w:tcPr>
          <w:p w14:paraId="30F94880" w14:textId="4FF844FA" w:rsidR="005624F7" w:rsidRPr="00484AE9" w:rsidRDefault="005624F7" w:rsidP="005624F7">
            <w:pPr>
              <w:pStyle w:val="TableText0"/>
            </w:pPr>
            <w:r w:rsidRPr="00484AE9">
              <w:t>Aged 60-69 &amp; ≥ 2 risk factors</w:t>
            </w:r>
          </w:p>
        </w:tc>
        <w:tc>
          <w:tcPr>
            <w:tcW w:w="2802" w:type="pct"/>
            <w:shd w:val="clear" w:color="auto" w:fill="auto"/>
          </w:tcPr>
          <w:p w14:paraId="665F1537" w14:textId="21AAF4B6" w:rsidR="005624F7" w:rsidRPr="00484AE9" w:rsidRDefault="0082226A" w:rsidP="005624F7">
            <w:pPr>
              <w:pStyle w:val="TableText0"/>
              <w:jc w:val="center"/>
            </w:pPr>
            <w:r w:rsidRPr="00484AE9">
              <w:t>10.65</w:t>
            </w:r>
          </w:p>
        </w:tc>
      </w:tr>
      <w:tr w:rsidR="008B6130" w:rsidRPr="00484AE9" w14:paraId="38679AA1" w14:textId="77777777" w:rsidTr="006D7941">
        <w:tc>
          <w:tcPr>
            <w:tcW w:w="2198" w:type="pct"/>
            <w:shd w:val="clear" w:color="auto" w:fill="auto"/>
          </w:tcPr>
          <w:p w14:paraId="684398C6" w14:textId="027B0A82" w:rsidR="006D7941" w:rsidRPr="00484AE9" w:rsidRDefault="006D7941" w:rsidP="006D7941">
            <w:pPr>
              <w:pStyle w:val="TableText0"/>
            </w:pPr>
            <w:r w:rsidRPr="00484AE9">
              <w:t>Aged 50-69 &amp; ≥ 1 risk factor</w:t>
            </w:r>
          </w:p>
        </w:tc>
        <w:tc>
          <w:tcPr>
            <w:tcW w:w="2802" w:type="pct"/>
            <w:shd w:val="clear" w:color="auto" w:fill="auto"/>
          </w:tcPr>
          <w:p w14:paraId="0448C125" w14:textId="66894F45" w:rsidR="006D7941" w:rsidRPr="00484AE9" w:rsidRDefault="005624F7" w:rsidP="006D7941">
            <w:pPr>
              <w:pStyle w:val="TableText0"/>
              <w:jc w:val="center"/>
            </w:pPr>
            <w:r w:rsidRPr="00484AE9">
              <w:t>12.18</w:t>
            </w:r>
          </w:p>
        </w:tc>
      </w:tr>
    </w:tbl>
    <w:p w14:paraId="1A44F335" w14:textId="2B10CBEF" w:rsidR="00791D63" w:rsidRPr="00484AE9" w:rsidRDefault="002601A0" w:rsidP="0099580C">
      <w:pPr>
        <w:pStyle w:val="FooterTableFigure"/>
      </w:pPr>
      <w:r w:rsidRPr="00484AE9">
        <w:t>Source:</w:t>
      </w:r>
      <w:r w:rsidR="0099580C" w:rsidRPr="00484AE9">
        <w:t xml:space="preserve"> Table</w:t>
      </w:r>
      <w:r w:rsidR="00C05832" w:rsidRPr="00484AE9">
        <w:t xml:space="preserve"> 3.5.1 and Table </w:t>
      </w:r>
      <w:r w:rsidR="00101130" w:rsidRPr="00484AE9">
        <w:t>3.9.7 of the submission</w:t>
      </w:r>
    </w:p>
    <w:p w14:paraId="2477839E" w14:textId="3DCDBBF7" w:rsidR="00A02757" w:rsidRPr="00484AE9" w:rsidRDefault="00A02757" w:rsidP="0099580C">
      <w:pPr>
        <w:pStyle w:val="FooterTableFigure"/>
      </w:pPr>
      <w:r w:rsidRPr="00484AE9">
        <w:t xml:space="preserve">* assumed to include patients aged ≥18 previously requiring hospitalisation for </w:t>
      </w:r>
      <w:r w:rsidR="009C3063" w:rsidRPr="00484AE9">
        <w:t>COVID-19</w:t>
      </w:r>
    </w:p>
    <w:p w14:paraId="171743D5" w14:textId="5AE36537" w:rsidR="00DB6F1A" w:rsidRPr="00484AE9" w:rsidRDefault="00EC20BA" w:rsidP="00BB00B3">
      <w:pPr>
        <w:pStyle w:val="3-BodyText"/>
      </w:pPr>
      <w:bookmarkStart w:id="122" w:name="_Ref144920652"/>
      <w:r w:rsidRPr="00484AE9">
        <w:lastRenderedPageBreak/>
        <w:t xml:space="preserve">The </w:t>
      </w:r>
      <w:r w:rsidR="00F510BF" w:rsidRPr="00484AE9">
        <w:t xml:space="preserve">submission stated that </w:t>
      </w:r>
      <w:r w:rsidRPr="00484AE9">
        <w:t xml:space="preserve">literature on the </w:t>
      </w:r>
      <w:r w:rsidR="00F510BF" w:rsidRPr="00484AE9">
        <w:t xml:space="preserve">quality of life </w:t>
      </w:r>
      <w:r w:rsidRPr="00484AE9">
        <w:t xml:space="preserve">impact of acute </w:t>
      </w:r>
      <w:r w:rsidR="009C3063" w:rsidRPr="00484AE9">
        <w:t>COVID-19</w:t>
      </w:r>
      <w:r w:rsidRPr="00484AE9">
        <w:t xml:space="preserve"> and long COVID was immature. Estimates of utility decrements </w:t>
      </w:r>
      <w:r w:rsidR="00C352A8" w:rsidRPr="00484AE9">
        <w:t>for patients experiencing events in the model</w:t>
      </w:r>
      <w:r w:rsidRPr="00484AE9">
        <w:t xml:space="preserve"> were estimated based on a broad review of the literature and analyst judgement</w:t>
      </w:r>
      <w:r w:rsidR="00B4439E" w:rsidRPr="00484AE9">
        <w:t xml:space="preserve">. </w:t>
      </w:r>
      <w:r w:rsidR="00D57B89" w:rsidRPr="00484AE9">
        <w:t xml:space="preserve">In the absence of </w:t>
      </w:r>
      <w:r w:rsidR="00E537EF" w:rsidRPr="00484AE9">
        <w:t xml:space="preserve">rigorous studies reporting quality of life in patients with </w:t>
      </w:r>
      <w:r w:rsidR="00E537EF" w:rsidRPr="00484AE9">
        <w:rPr>
          <w:rStyle w:val="normaltextrun"/>
        </w:rPr>
        <w:t>COVID</w:t>
      </w:r>
      <w:r w:rsidR="00E537EF" w:rsidRPr="00484AE9">
        <w:rPr>
          <w:rStyle w:val="normaltextrun"/>
        </w:rPr>
        <w:noBreakHyphen/>
        <w:t>19, the</w:t>
      </w:r>
      <w:r w:rsidR="00E13545" w:rsidRPr="00484AE9">
        <w:t xml:space="preserve"> pragmatic approach </w:t>
      </w:r>
      <w:r w:rsidR="00A52DB3" w:rsidRPr="00484AE9">
        <w:t xml:space="preserve">adopted was reasonable. </w:t>
      </w:r>
      <w:r w:rsidR="00B4439E" w:rsidRPr="00484AE9">
        <w:t xml:space="preserve">The disutilities applied, the duration in the </w:t>
      </w:r>
      <w:r w:rsidR="00E13545" w:rsidRPr="00484AE9">
        <w:t>health state and the total QALYs lost by patients in the various health states are summarised</w:t>
      </w:r>
      <w:r w:rsidR="002C241E" w:rsidRPr="00484AE9">
        <w:t xml:space="preserve"> in </w:t>
      </w:r>
      <w:r w:rsidR="002C241E" w:rsidRPr="00484AE9">
        <w:fldChar w:fldCharType="begin"/>
      </w:r>
      <w:r w:rsidR="002C241E" w:rsidRPr="00484AE9">
        <w:instrText xml:space="preserve"> REF _Ref144676191 \h </w:instrText>
      </w:r>
      <w:r w:rsidR="00DA41F6" w:rsidRPr="00484AE9">
        <w:instrText xml:space="preserve"> \* MERGEFORMAT </w:instrText>
      </w:r>
      <w:r w:rsidR="002C241E" w:rsidRPr="00484AE9">
        <w:fldChar w:fldCharType="separate"/>
      </w:r>
      <w:r w:rsidR="00872657" w:rsidRPr="00484AE9">
        <w:t xml:space="preserve">Table </w:t>
      </w:r>
      <w:r w:rsidR="00872657">
        <w:t>17</w:t>
      </w:r>
      <w:r w:rsidR="002C241E" w:rsidRPr="00484AE9">
        <w:fldChar w:fldCharType="end"/>
      </w:r>
      <w:r w:rsidR="002C241E" w:rsidRPr="00484AE9">
        <w:t>.</w:t>
      </w:r>
      <w:r w:rsidR="00592733" w:rsidRPr="00484AE9">
        <w:t xml:space="preserve"> There was a typographical error in the reporting of the disutility in Table</w:t>
      </w:r>
      <w:r w:rsidR="003E5ABF" w:rsidRPr="00484AE9">
        <w:t xml:space="preserve"> 3.5.2 of the submission</w:t>
      </w:r>
      <w:r w:rsidR="00E22239" w:rsidRPr="00484AE9">
        <w:t xml:space="preserve">, which </w:t>
      </w:r>
      <w:r w:rsidR="006229A6" w:rsidRPr="00484AE9">
        <w:t>has been</w:t>
      </w:r>
      <w:r w:rsidR="003E5ABF" w:rsidRPr="00484AE9">
        <w:t xml:space="preserve"> corrected in </w:t>
      </w:r>
      <w:r w:rsidR="003E5ABF" w:rsidRPr="00484AE9">
        <w:fldChar w:fldCharType="begin"/>
      </w:r>
      <w:r w:rsidR="003E5ABF" w:rsidRPr="00484AE9">
        <w:instrText xml:space="preserve"> REF _Ref144676191 \h </w:instrText>
      </w:r>
      <w:r w:rsidR="006229A6" w:rsidRPr="00484AE9">
        <w:instrText xml:space="preserve"> \* MERGEFORMAT </w:instrText>
      </w:r>
      <w:r w:rsidR="003E5ABF" w:rsidRPr="00484AE9">
        <w:fldChar w:fldCharType="separate"/>
      </w:r>
      <w:r w:rsidR="00872657" w:rsidRPr="00484AE9">
        <w:t xml:space="preserve">Table </w:t>
      </w:r>
      <w:r w:rsidR="00872657">
        <w:t>17</w:t>
      </w:r>
      <w:r w:rsidR="003E5ABF" w:rsidRPr="00484AE9">
        <w:fldChar w:fldCharType="end"/>
      </w:r>
      <w:r w:rsidR="003E5ABF" w:rsidRPr="00484AE9">
        <w:t>.</w:t>
      </w:r>
      <w:bookmarkEnd w:id="122"/>
      <w:r w:rsidR="003E5ABF" w:rsidRPr="00484AE9">
        <w:t xml:space="preserve"> </w:t>
      </w:r>
    </w:p>
    <w:p w14:paraId="3319234C" w14:textId="68573300" w:rsidR="00AE217E" w:rsidRPr="00484AE9" w:rsidRDefault="00C641DD" w:rsidP="00C641DD">
      <w:pPr>
        <w:pStyle w:val="Caption"/>
      </w:pPr>
      <w:bookmarkStart w:id="123" w:name="_Ref144676191"/>
      <w:r w:rsidRPr="00484AE9">
        <w:t xml:space="preserve">Table </w:t>
      </w:r>
      <w:fldSimple w:instr=" SEQ Table \* ARABIC ">
        <w:r w:rsidR="00872657">
          <w:rPr>
            <w:noProof/>
          </w:rPr>
          <w:t>17</w:t>
        </w:r>
      </w:fldSimple>
      <w:bookmarkEnd w:id="123"/>
      <w:r w:rsidRPr="00484AE9">
        <w:t>:</w:t>
      </w:r>
      <w:r w:rsidR="00870FF5" w:rsidRPr="00484AE9">
        <w:t xml:space="preserve"> Disutilities applied to temporary states in the economic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0"/>
        <w:gridCol w:w="1589"/>
        <w:gridCol w:w="1589"/>
        <w:gridCol w:w="1589"/>
      </w:tblGrid>
      <w:tr w:rsidR="008B6130" w:rsidRPr="00484AE9" w14:paraId="1D1483F6" w14:textId="77777777" w:rsidTr="00E74B38">
        <w:trPr>
          <w:tblHeader/>
        </w:trPr>
        <w:tc>
          <w:tcPr>
            <w:tcW w:w="2357" w:type="pct"/>
            <w:shd w:val="clear" w:color="auto" w:fill="auto"/>
            <w:vAlign w:val="center"/>
          </w:tcPr>
          <w:p w14:paraId="666BE6E2" w14:textId="42AEECA9" w:rsidR="00D3267B" w:rsidRPr="00484AE9" w:rsidRDefault="00D3267B" w:rsidP="003E2A1F">
            <w:pPr>
              <w:pStyle w:val="In-tableHeading"/>
              <w:rPr>
                <w:lang w:val="en-AU"/>
              </w:rPr>
            </w:pPr>
            <w:r w:rsidRPr="00484AE9">
              <w:rPr>
                <w:lang w:val="en-AU"/>
              </w:rPr>
              <w:t>Event</w:t>
            </w:r>
          </w:p>
        </w:tc>
        <w:tc>
          <w:tcPr>
            <w:tcW w:w="881" w:type="pct"/>
            <w:shd w:val="clear" w:color="auto" w:fill="auto"/>
            <w:vAlign w:val="center"/>
          </w:tcPr>
          <w:p w14:paraId="427E1514" w14:textId="6E1242C9" w:rsidR="00D3267B" w:rsidRPr="00484AE9" w:rsidRDefault="00E74B38" w:rsidP="003E2A1F">
            <w:pPr>
              <w:pStyle w:val="In-tableHeading"/>
              <w:jc w:val="center"/>
              <w:rPr>
                <w:lang w:val="en-AU"/>
              </w:rPr>
            </w:pPr>
            <w:r w:rsidRPr="00484AE9">
              <w:rPr>
                <w:lang w:val="en-AU"/>
              </w:rPr>
              <w:t>Disutility</w:t>
            </w:r>
          </w:p>
        </w:tc>
        <w:tc>
          <w:tcPr>
            <w:tcW w:w="881" w:type="pct"/>
            <w:shd w:val="clear" w:color="auto" w:fill="auto"/>
            <w:vAlign w:val="center"/>
          </w:tcPr>
          <w:p w14:paraId="79FB8005" w14:textId="12C763A8" w:rsidR="00D3267B" w:rsidRPr="00484AE9" w:rsidRDefault="00E74B38" w:rsidP="003E2A1F">
            <w:pPr>
              <w:pStyle w:val="In-tableHeading"/>
              <w:jc w:val="center"/>
              <w:rPr>
                <w:lang w:val="en-AU"/>
              </w:rPr>
            </w:pPr>
            <w:r w:rsidRPr="00484AE9">
              <w:rPr>
                <w:lang w:val="en-AU"/>
              </w:rPr>
              <w:t>Duration</w:t>
            </w:r>
          </w:p>
        </w:tc>
        <w:tc>
          <w:tcPr>
            <w:tcW w:w="881" w:type="pct"/>
            <w:shd w:val="clear" w:color="auto" w:fill="auto"/>
            <w:vAlign w:val="center"/>
          </w:tcPr>
          <w:p w14:paraId="548568DB" w14:textId="61AED50D" w:rsidR="00D3267B" w:rsidRPr="00484AE9" w:rsidRDefault="00E74B38" w:rsidP="003E2A1F">
            <w:pPr>
              <w:pStyle w:val="In-tableHeading"/>
              <w:jc w:val="center"/>
              <w:rPr>
                <w:lang w:val="en-AU"/>
              </w:rPr>
            </w:pPr>
            <w:r w:rsidRPr="00484AE9">
              <w:rPr>
                <w:lang w:val="en-AU"/>
              </w:rPr>
              <w:t>QALYs lost</w:t>
            </w:r>
          </w:p>
        </w:tc>
      </w:tr>
      <w:tr w:rsidR="008B6130" w:rsidRPr="00484AE9" w14:paraId="1FAE6968" w14:textId="77777777" w:rsidTr="00E74B38">
        <w:tc>
          <w:tcPr>
            <w:tcW w:w="2357" w:type="pct"/>
            <w:shd w:val="clear" w:color="auto" w:fill="auto"/>
          </w:tcPr>
          <w:p w14:paraId="37172525" w14:textId="06F88184" w:rsidR="00592733" w:rsidRPr="00484AE9" w:rsidRDefault="00592733" w:rsidP="00592733">
            <w:pPr>
              <w:pStyle w:val="TableText0"/>
            </w:pPr>
            <w:r w:rsidRPr="00484AE9">
              <w:t>Managed in the outpatient setting</w:t>
            </w:r>
          </w:p>
        </w:tc>
        <w:tc>
          <w:tcPr>
            <w:tcW w:w="881" w:type="pct"/>
            <w:shd w:val="clear" w:color="auto" w:fill="auto"/>
          </w:tcPr>
          <w:p w14:paraId="29BD3379" w14:textId="2E793C7C" w:rsidR="00592733" w:rsidRPr="00484AE9" w:rsidRDefault="00592733" w:rsidP="00592733">
            <w:pPr>
              <w:pStyle w:val="TableText0"/>
              <w:jc w:val="center"/>
            </w:pPr>
            <w:r w:rsidRPr="00484AE9">
              <w:t>0.2</w:t>
            </w:r>
            <w:r w:rsidR="003E5ABF" w:rsidRPr="00484AE9">
              <w:t>*</w:t>
            </w:r>
          </w:p>
        </w:tc>
        <w:tc>
          <w:tcPr>
            <w:tcW w:w="881" w:type="pct"/>
            <w:shd w:val="clear" w:color="auto" w:fill="auto"/>
          </w:tcPr>
          <w:p w14:paraId="5A6C5F6E" w14:textId="7878A2CD" w:rsidR="00592733" w:rsidRPr="00484AE9" w:rsidRDefault="00592733" w:rsidP="00592733">
            <w:pPr>
              <w:pStyle w:val="TableText0"/>
              <w:jc w:val="center"/>
            </w:pPr>
            <w:r w:rsidRPr="00484AE9">
              <w:t>5</w:t>
            </w:r>
          </w:p>
        </w:tc>
        <w:tc>
          <w:tcPr>
            <w:tcW w:w="881" w:type="pct"/>
            <w:shd w:val="clear" w:color="auto" w:fill="auto"/>
          </w:tcPr>
          <w:p w14:paraId="0DF8DFCD" w14:textId="470A92AD" w:rsidR="00592733" w:rsidRPr="00484AE9" w:rsidRDefault="00592733" w:rsidP="00592733">
            <w:pPr>
              <w:pStyle w:val="TableText0"/>
              <w:jc w:val="center"/>
            </w:pPr>
            <w:r w:rsidRPr="00484AE9">
              <w:t>0.0027</w:t>
            </w:r>
          </w:p>
        </w:tc>
      </w:tr>
      <w:tr w:rsidR="008B6130" w:rsidRPr="00484AE9" w14:paraId="1D7D0F58" w14:textId="77777777" w:rsidTr="00E74B38">
        <w:tc>
          <w:tcPr>
            <w:tcW w:w="2357" w:type="pct"/>
            <w:shd w:val="clear" w:color="auto" w:fill="auto"/>
          </w:tcPr>
          <w:p w14:paraId="010E7B86" w14:textId="442FD4BA" w:rsidR="00592733" w:rsidRPr="00484AE9" w:rsidRDefault="00592733" w:rsidP="00592733">
            <w:pPr>
              <w:pStyle w:val="TableText0"/>
            </w:pPr>
            <w:r w:rsidRPr="00484AE9">
              <w:t>Required admission to a general ward of a hospital</w:t>
            </w:r>
          </w:p>
        </w:tc>
        <w:tc>
          <w:tcPr>
            <w:tcW w:w="881" w:type="pct"/>
            <w:shd w:val="clear" w:color="auto" w:fill="auto"/>
          </w:tcPr>
          <w:p w14:paraId="2F5AE95B" w14:textId="7BA9C897" w:rsidR="00592733" w:rsidRPr="00484AE9" w:rsidRDefault="00592733" w:rsidP="00592733">
            <w:pPr>
              <w:pStyle w:val="TableText0"/>
              <w:jc w:val="center"/>
            </w:pPr>
            <w:r w:rsidRPr="00484AE9">
              <w:t>0.4</w:t>
            </w:r>
          </w:p>
        </w:tc>
        <w:tc>
          <w:tcPr>
            <w:tcW w:w="881" w:type="pct"/>
            <w:shd w:val="clear" w:color="auto" w:fill="auto"/>
          </w:tcPr>
          <w:p w14:paraId="4DB713E3" w14:textId="3B814F94" w:rsidR="00592733" w:rsidRPr="00484AE9" w:rsidRDefault="00592733" w:rsidP="00592733">
            <w:pPr>
              <w:pStyle w:val="TableText0"/>
              <w:jc w:val="center"/>
            </w:pPr>
            <w:r w:rsidRPr="00484AE9">
              <w:t>7</w:t>
            </w:r>
          </w:p>
        </w:tc>
        <w:tc>
          <w:tcPr>
            <w:tcW w:w="881" w:type="pct"/>
            <w:shd w:val="clear" w:color="auto" w:fill="auto"/>
          </w:tcPr>
          <w:p w14:paraId="23A574C3" w14:textId="6AD6AB04" w:rsidR="00592733" w:rsidRPr="00484AE9" w:rsidRDefault="00592733" w:rsidP="00592733">
            <w:pPr>
              <w:pStyle w:val="TableText0"/>
              <w:jc w:val="center"/>
            </w:pPr>
            <w:r w:rsidRPr="00484AE9">
              <w:t>0.0077</w:t>
            </w:r>
          </w:p>
        </w:tc>
      </w:tr>
      <w:tr w:rsidR="008B6130" w:rsidRPr="00484AE9" w14:paraId="517940BA" w14:textId="77777777" w:rsidTr="00E74B38">
        <w:tc>
          <w:tcPr>
            <w:tcW w:w="2357" w:type="pct"/>
            <w:shd w:val="clear" w:color="auto" w:fill="auto"/>
          </w:tcPr>
          <w:p w14:paraId="61C27247" w14:textId="404A987C" w:rsidR="00592733" w:rsidRPr="00484AE9" w:rsidRDefault="00592733" w:rsidP="00592733">
            <w:pPr>
              <w:pStyle w:val="TableText0"/>
            </w:pPr>
            <w:r w:rsidRPr="00484AE9">
              <w:t>Required admission to a critical care unit in a hospital</w:t>
            </w:r>
          </w:p>
        </w:tc>
        <w:tc>
          <w:tcPr>
            <w:tcW w:w="881" w:type="pct"/>
            <w:shd w:val="clear" w:color="auto" w:fill="auto"/>
          </w:tcPr>
          <w:p w14:paraId="1349ED85" w14:textId="486BB8E1" w:rsidR="00592733" w:rsidRPr="00484AE9" w:rsidRDefault="00592733" w:rsidP="00592733">
            <w:pPr>
              <w:pStyle w:val="TableText0"/>
              <w:jc w:val="center"/>
            </w:pPr>
            <w:r w:rsidRPr="00484AE9">
              <w:t>0.6</w:t>
            </w:r>
          </w:p>
        </w:tc>
        <w:tc>
          <w:tcPr>
            <w:tcW w:w="881" w:type="pct"/>
            <w:shd w:val="clear" w:color="auto" w:fill="auto"/>
          </w:tcPr>
          <w:p w14:paraId="1629BED7" w14:textId="67A07676" w:rsidR="00592733" w:rsidRPr="00484AE9" w:rsidRDefault="00592733" w:rsidP="00592733">
            <w:pPr>
              <w:pStyle w:val="TableText0"/>
              <w:jc w:val="center"/>
            </w:pPr>
            <w:r w:rsidRPr="00484AE9">
              <w:t>10</w:t>
            </w:r>
          </w:p>
        </w:tc>
        <w:tc>
          <w:tcPr>
            <w:tcW w:w="881" w:type="pct"/>
            <w:shd w:val="clear" w:color="auto" w:fill="auto"/>
          </w:tcPr>
          <w:p w14:paraId="7BA7050A" w14:textId="11ED8E32" w:rsidR="00592733" w:rsidRPr="00484AE9" w:rsidRDefault="00592733" w:rsidP="00592733">
            <w:pPr>
              <w:pStyle w:val="TableText0"/>
              <w:jc w:val="center"/>
            </w:pPr>
            <w:r w:rsidRPr="00484AE9">
              <w:t>0.0164</w:t>
            </w:r>
          </w:p>
        </w:tc>
      </w:tr>
      <w:tr w:rsidR="008B6130" w:rsidRPr="00484AE9" w14:paraId="17FDA430" w14:textId="77777777" w:rsidTr="00E74B38">
        <w:tc>
          <w:tcPr>
            <w:tcW w:w="2357" w:type="pct"/>
            <w:shd w:val="clear" w:color="auto" w:fill="auto"/>
          </w:tcPr>
          <w:p w14:paraId="33B4EF38" w14:textId="7F5122A5" w:rsidR="00592733" w:rsidRPr="00484AE9" w:rsidRDefault="00592733" w:rsidP="00592733">
            <w:pPr>
              <w:pStyle w:val="TableText0"/>
            </w:pPr>
            <w:r w:rsidRPr="00484AE9">
              <w:t>Long COVID</w:t>
            </w:r>
          </w:p>
        </w:tc>
        <w:tc>
          <w:tcPr>
            <w:tcW w:w="881" w:type="pct"/>
            <w:shd w:val="clear" w:color="auto" w:fill="auto"/>
          </w:tcPr>
          <w:p w14:paraId="5E7663B0" w14:textId="6174DB45" w:rsidR="00592733" w:rsidRPr="00484AE9" w:rsidRDefault="00592733" w:rsidP="00592733">
            <w:pPr>
              <w:pStyle w:val="TableText0"/>
              <w:jc w:val="center"/>
            </w:pPr>
            <w:r w:rsidRPr="00484AE9">
              <w:t>0.2</w:t>
            </w:r>
          </w:p>
        </w:tc>
        <w:tc>
          <w:tcPr>
            <w:tcW w:w="881" w:type="pct"/>
            <w:shd w:val="clear" w:color="auto" w:fill="auto"/>
          </w:tcPr>
          <w:p w14:paraId="7EDB2FE0" w14:textId="5B0CCE5E" w:rsidR="00592733" w:rsidRPr="00484AE9" w:rsidRDefault="00592733" w:rsidP="00592733">
            <w:pPr>
              <w:pStyle w:val="TableText0"/>
              <w:jc w:val="center"/>
            </w:pPr>
            <w:r w:rsidRPr="00484AE9">
              <w:t>90</w:t>
            </w:r>
          </w:p>
        </w:tc>
        <w:tc>
          <w:tcPr>
            <w:tcW w:w="881" w:type="pct"/>
            <w:shd w:val="clear" w:color="auto" w:fill="auto"/>
          </w:tcPr>
          <w:p w14:paraId="3F4A1468" w14:textId="1555BFFF" w:rsidR="00592733" w:rsidRPr="00484AE9" w:rsidRDefault="00592733" w:rsidP="00592733">
            <w:pPr>
              <w:pStyle w:val="TableText0"/>
              <w:jc w:val="center"/>
            </w:pPr>
            <w:r w:rsidRPr="00484AE9">
              <w:t>0.0493</w:t>
            </w:r>
          </w:p>
        </w:tc>
      </w:tr>
    </w:tbl>
    <w:p w14:paraId="4C105558" w14:textId="77777777" w:rsidR="00C15E5E" w:rsidRPr="00484AE9" w:rsidRDefault="00C15E5E" w:rsidP="00C15E5E">
      <w:pPr>
        <w:pStyle w:val="FooterTableFigure"/>
      </w:pPr>
      <w:r w:rsidRPr="00484AE9">
        <w:t>Source: Table 3.4.3 of the submission and the economic model presented with the submission</w:t>
      </w:r>
    </w:p>
    <w:p w14:paraId="29A6E51D" w14:textId="77777777" w:rsidR="00C15E5E" w:rsidRPr="00484AE9" w:rsidRDefault="00C15E5E" w:rsidP="00C15E5E">
      <w:pPr>
        <w:pStyle w:val="FooterTableFigure"/>
      </w:pPr>
      <w:r w:rsidRPr="00484AE9">
        <w:t>* Values reported for molnupiravir in Table 3.4.3 did not reflect values applied in the economic analysis. Values reported in this table are those applied in the economic analysis.</w:t>
      </w:r>
    </w:p>
    <w:bookmarkEnd w:id="120"/>
    <w:p w14:paraId="6A7D4782" w14:textId="2E129FC9" w:rsidR="00A20675" w:rsidRPr="00484AE9" w:rsidRDefault="00076017" w:rsidP="00445429">
      <w:pPr>
        <w:pStyle w:val="3-BodyText"/>
      </w:pPr>
      <w:r w:rsidRPr="00484AE9">
        <w:t>Health care resource use and costs associated with such use that were incorporated into the model include:</w:t>
      </w:r>
    </w:p>
    <w:p w14:paraId="143CF502" w14:textId="7BAD27F3" w:rsidR="007C6F3E" w:rsidRPr="00445429" w:rsidRDefault="00EA0507" w:rsidP="00445429">
      <w:pPr>
        <w:pStyle w:val="3-BodyText"/>
        <w:numPr>
          <w:ilvl w:val="2"/>
          <w:numId w:val="1"/>
        </w:numPr>
        <w:ind w:left="1080"/>
        <w:rPr>
          <w:rStyle w:val="normaltextrun"/>
          <w:rFonts w:eastAsia="Calibri"/>
        </w:rPr>
      </w:pPr>
      <w:r w:rsidRPr="00484AE9">
        <w:rPr>
          <w:rFonts w:eastAsia="Calibri"/>
          <w:iCs/>
        </w:rPr>
        <w:t xml:space="preserve">Drug costs: The </w:t>
      </w:r>
      <w:r w:rsidR="006E11AC" w:rsidRPr="00484AE9">
        <w:rPr>
          <w:rFonts w:eastAsia="Calibri"/>
          <w:iCs/>
        </w:rPr>
        <w:t xml:space="preserve">dispensed prices of nirmatrelvir and ritonavir or molnupiravir </w:t>
      </w:r>
      <w:r w:rsidR="00B12771" w:rsidRPr="00484AE9">
        <w:rPr>
          <w:rFonts w:eastAsia="Calibri"/>
          <w:iCs/>
        </w:rPr>
        <w:t>were</w:t>
      </w:r>
      <w:r w:rsidR="006E11AC" w:rsidRPr="00484AE9">
        <w:rPr>
          <w:rFonts w:eastAsia="Calibri"/>
          <w:iCs/>
        </w:rPr>
        <w:t xml:space="preserve"> </w:t>
      </w:r>
      <w:r w:rsidR="006E11AC" w:rsidRPr="00445429">
        <w:rPr>
          <w:rStyle w:val="normaltextrun"/>
          <w:rFonts w:eastAsia="Calibri"/>
        </w:rPr>
        <w:t xml:space="preserve">included in the economic analysis. </w:t>
      </w:r>
      <w:r w:rsidR="00076017" w:rsidRPr="00445429">
        <w:rPr>
          <w:rStyle w:val="normaltextrun"/>
          <w:rFonts w:eastAsia="Calibri"/>
        </w:rPr>
        <w:t xml:space="preserve">The </w:t>
      </w:r>
      <w:r w:rsidR="00C05FFF" w:rsidRPr="00445429">
        <w:rPr>
          <w:rStyle w:val="normaltextrun"/>
          <w:rFonts w:eastAsia="Calibri"/>
        </w:rPr>
        <w:t xml:space="preserve">cost applied for </w:t>
      </w:r>
      <w:r w:rsidR="00C05FFF" w:rsidRPr="00A31543">
        <w:rPr>
          <w:rStyle w:val="normaltextrun"/>
          <w:rFonts w:eastAsia="Calibri"/>
        </w:rPr>
        <w:t>nirmatrelvir and ritonavir</w:t>
      </w:r>
      <w:r w:rsidR="00076017" w:rsidRPr="00A31543">
        <w:rPr>
          <w:rStyle w:val="normaltextrun"/>
          <w:rFonts w:eastAsia="Calibri"/>
        </w:rPr>
        <w:t xml:space="preserve"> </w:t>
      </w:r>
      <w:r w:rsidR="00B12771" w:rsidRPr="00A31543">
        <w:rPr>
          <w:rStyle w:val="normaltextrun"/>
          <w:rFonts w:eastAsia="Calibri"/>
        </w:rPr>
        <w:t>was</w:t>
      </w:r>
      <w:r w:rsidR="00076017" w:rsidRPr="00A31543">
        <w:rPr>
          <w:rStyle w:val="normaltextrun"/>
          <w:rFonts w:eastAsia="Calibri"/>
        </w:rPr>
        <w:t xml:space="preserve"> the requested PBS DPMQ as specified in Section 1 (</w:t>
      </w:r>
      <w:r w:rsidR="00696519" w:rsidRPr="00696519">
        <w:rPr>
          <w:rStyle w:val="normaltextrun"/>
          <w:rFonts w:eastAsia="Calibri"/>
        </w:rPr>
        <w:t>$</w:t>
      </w:r>
      <w:r w:rsidR="00696519" w:rsidRPr="00872657">
        <w:rPr>
          <w:rStyle w:val="normaltextrun"/>
          <w:rFonts w:eastAsia="Calibri"/>
          <w:color w:val="000000"/>
          <w:w w:val="15"/>
          <w:shd w:val="solid" w:color="000000" w:fill="000000"/>
          <w:fitText w:val="-20" w:id="-1032089078"/>
          <w14:textFill>
            <w14:solidFill>
              <w14:srgbClr w14:val="000000">
                <w14:alpha w14:val="100000"/>
              </w14:srgbClr>
            </w14:solidFill>
          </w14:textFill>
        </w:rPr>
        <w:t xml:space="preserve">| </w:t>
      </w:r>
      <w:r w:rsidR="00696519" w:rsidRPr="00872657">
        <w:rPr>
          <w:rStyle w:val="normaltextrun"/>
          <w:rFonts w:eastAsia="Calibri"/>
          <w:color w:val="000000"/>
          <w:spacing w:val="-61"/>
          <w:w w:val="15"/>
          <w:shd w:val="solid" w:color="000000" w:fill="000000"/>
          <w:fitText w:val="-20" w:id="-1032089078"/>
          <w14:textFill>
            <w14:solidFill>
              <w14:srgbClr w14:val="000000">
                <w14:alpha w14:val="100000"/>
              </w14:srgbClr>
            </w14:solidFill>
          </w14:textFill>
        </w:rPr>
        <w:t>|</w:t>
      </w:r>
      <w:r w:rsidR="00076017" w:rsidRPr="00A31543">
        <w:rPr>
          <w:rStyle w:val="normaltextrun"/>
          <w:rFonts w:eastAsia="Calibri"/>
        </w:rPr>
        <w:t>)</w:t>
      </w:r>
      <w:r w:rsidR="00C05FFF" w:rsidRPr="00A31543">
        <w:rPr>
          <w:rStyle w:val="normaltextrun"/>
          <w:rFonts w:eastAsia="Calibri"/>
        </w:rPr>
        <w:t xml:space="preserve"> of</w:t>
      </w:r>
      <w:r w:rsidR="00C05FFF" w:rsidRPr="00445429">
        <w:rPr>
          <w:rStyle w:val="normaltextrun"/>
          <w:rFonts w:eastAsia="Calibri"/>
        </w:rPr>
        <w:t xml:space="preserve"> the submission. The cost applied for </w:t>
      </w:r>
      <w:r w:rsidR="007C6F3E" w:rsidRPr="00445429">
        <w:rPr>
          <w:rStyle w:val="normaltextrun"/>
          <w:rFonts w:eastAsia="Calibri"/>
        </w:rPr>
        <w:t xml:space="preserve">molnupiravir </w:t>
      </w:r>
      <w:r w:rsidR="00B12771" w:rsidRPr="00445429">
        <w:rPr>
          <w:rStyle w:val="normaltextrun"/>
          <w:rFonts w:eastAsia="Calibri"/>
        </w:rPr>
        <w:t>was</w:t>
      </w:r>
      <w:r w:rsidR="007C6F3E" w:rsidRPr="00445429">
        <w:rPr>
          <w:rStyle w:val="normaltextrun"/>
          <w:rFonts w:eastAsia="Calibri"/>
        </w:rPr>
        <w:t xml:space="preserve"> the dispensed price </w:t>
      </w:r>
      <w:r w:rsidR="00076017" w:rsidRPr="00445429">
        <w:rPr>
          <w:rStyle w:val="normaltextrun"/>
          <w:rFonts w:eastAsia="Calibri"/>
        </w:rPr>
        <w:t>for PBS Item 12910L as at 6 June 2023 ($1,101.39).</w:t>
      </w:r>
      <w:r w:rsidR="00CD0D8A" w:rsidRPr="00445429">
        <w:rPr>
          <w:rStyle w:val="normaltextrun"/>
          <w:rFonts w:eastAsia="Calibri"/>
        </w:rPr>
        <w:t xml:space="preserve"> No drug costs </w:t>
      </w:r>
      <w:r w:rsidR="00B12771" w:rsidRPr="00445429">
        <w:rPr>
          <w:rStyle w:val="normaltextrun"/>
          <w:rFonts w:eastAsia="Calibri"/>
        </w:rPr>
        <w:t>were</w:t>
      </w:r>
      <w:r w:rsidR="00CD0D8A" w:rsidRPr="00445429">
        <w:rPr>
          <w:rStyle w:val="normaltextrun"/>
          <w:rFonts w:eastAsia="Calibri"/>
        </w:rPr>
        <w:t xml:space="preserve"> included for treatment of patients in the placebo arm.</w:t>
      </w:r>
    </w:p>
    <w:p w14:paraId="1837A223" w14:textId="75B216D0" w:rsidR="00D56F47" w:rsidRPr="00445429" w:rsidRDefault="00CD0D8A" w:rsidP="00445429">
      <w:pPr>
        <w:pStyle w:val="3-BodyText"/>
        <w:numPr>
          <w:ilvl w:val="2"/>
          <w:numId w:val="1"/>
        </w:numPr>
        <w:ind w:left="1080"/>
        <w:rPr>
          <w:rStyle w:val="normaltextrun"/>
          <w:rFonts w:eastAsia="Calibri"/>
        </w:rPr>
      </w:pPr>
      <w:r w:rsidRPr="00445429">
        <w:rPr>
          <w:rStyle w:val="normaltextrun"/>
          <w:rFonts w:eastAsia="Calibri"/>
        </w:rPr>
        <w:t xml:space="preserve">Medical care: </w:t>
      </w:r>
      <w:r w:rsidR="00076017" w:rsidRPr="00445429">
        <w:rPr>
          <w:rStyle w:val="normaltextrun"/>
          <w:rFonts w:eastAsia="Calibri"/>
        </w:rPr>
        <w:t xml:space="preserve">It </w:t>
      </w:r>
      <w:r w:rsidR="003A794B" w:rsidRPr="00445429">
        <w:rPr>
          <w:rStyle w:val="normaltextrun"/>
          <w:rFonts w:eastAsia="Calibri"/>
        </w:rPr>
        <w:t>was</w:t>
      </w:r>
      <w:r w:rsidR="00076017" w:rsidRPr="00445429">
        <w:rPr>
          <w:rStyle w:val="normaltextrun"/>
          <w:rFonts w:eastAsia="Calibri"/>
        </w:rPr>
        <w:t xml:space="preserve"> assumed that</w:t>
      </w:r>
      <w:r w:rsidRPr="00445429">
        <w:rPr>
          <w:rStyle w:val="normaltextrun"/>
          <w:rFonts w:eastAsia="Calibri"/>
        </w:rPr>
        <w:t xml:space="preserve"> all patients prescribed an antiviral </w:t>
      </w:r>
      <w:r w:rsidR="00B12771" w:rsidRPr="00445429">
        <w:rPr>
          <w:rStyle w:val="normaltextrun"/>
          <w:rFonts w:eastAsia="Calibri"/>
        </w:rPr>
        <w:t xml:space="preserve">would </w:t>
      </w:r>
      <w:r w:rsidR="00B46B0C" w:rsidRPr="00445429">
        <w:rPr>
          <w:rStyle w:val="normaltextrun"/>
          <w:rFonts w:eastAsia="Calibri"/>
        </w:rPr>
        <w:t xml:space="preserve">have had </w:t>
      </w:r>
      <w:r w:rsidR="00076017" w:rsidRPr="00445429">
        <w:rPr>
          <w:rStyle w:val="normaltextrun"/>
          <w:rFonts w:eastAsia="Calibri"/>
        </w:rPr>
        <w:t>a brief telehealth consultation (MBS Item 91890L) for eligibility assessment and prescribing of antiviral medication</w:t>
      </w:r>
      <w:r w:rsidR="00B46B0C" w:rsidRPr="00445429">
        <w:rPr>
          <w:rStyle w:val="normaltextrun"/>
          <w:rFonts w:eastAsia="Calibri"/>
        </w:rPr>
        <w:t xml:space="preserve">. </w:t>
      </w:r>
      <w:r w:rsidR="00114513" w:rsidRPr="00445429">
        <w:rPr>
          <w:rStyle w:val="normaltextrun"/>
          <w:rFonts w:eastAsia="Calibri"/>
        </w:rPr>
        <w:t xml:space="preserve">It was assumed that </w:t>
      </w:r>
      <w:r w:rsidR="00076017" w:rsidRPr="00445429">
        <w:rPr>
          <w:rStyle w:val="normaltextrun"/>
          <w:rFonts w:eastAsia="Calibri"/>
        </w:rPr>
        <w:t>50% of patients</w:t>
      </w:r>
      <w:r w:rsidR="00545A1D" w:rsidRPr="00445429">
        <w:rPr>
          <w:rStyle w:val="normaltextrun"/>
          <w:rFonts w:eastAsia="Calibri"/>
        </w:rPr>
        <w:t xml:space="preserve"> in the placebo arm would have had a telehealth consultation</w:t>
      </w:r>
      <w:r w:rsidR="00A62B3A" w:rsidRPr="00445429">
        <w:rPr>
          <w:rStyle w:val="normaltextrun"/>
          <w:rFonts w:eastAsia="Calibri"/>
        </w:rPr>
        <w:t xml:space="preserve">. </w:t>
      </w:r>
      <w:r w:rsidR="00D56F47" w:rsidRPr="00445429">
        <w:rPr>
          <w:rStyle w:val="normaltextrun"/>
          <w:rFonts w:eastAsia="Calibri"/>
        </w:rPr>
        <w:t>The ESC noted that the assumption that patients on multiple medications could be assessed and prescribed nirmatrelvir and ritonavir in a 6-minute telephone consultation was unlikely to be valid. Thus, the costs of medical care may be underestimated.</w:t>
      </w:r>
    </w:p>
    <w:p w14:paraId="6018042C" w14:textId="383C1CAF" w:rsidR="00076017" w:rsidRPr="00445429" w:rsidRDefault="006B1A76" w:rsidP="00445429">
      <w:pPr>
        <w:pStyle w:val="3-BodyText"/>
        <w:numPr>
          <w:ilvl w:val="2"/>
          <w:numId w:val="1"/>
        </w:numPr>
        <w:ind w:left="1080"/>
        <w:rPr>
          <w:rStyle w:val="normaltextrun"/>
          <w:rFonts w:eastAsia="Calibri"/>
        </w:rPr>
      </w:pPr>
      <w:r w:rsidRPr="00445429">
        <w:rPr>
          <w:rStyle w:val="normaltextrun"/>
          <w:rFonts w:eastAsia="Calibri"/>
        </w:rPr>
        <w:t xml:space="preserve">Hospitalisation: In the absence of </w:t>
      </w:r>
      <w:r w:rsidR="00076017" w:rsidRPr="00445429">
        <w:rPr>
          <w:rStyle w:val="normaltextrun"/>
          <w:rFonts w:eastAsia="Calibri"/>
        </w:rPr>
        <w:t xml:space="preserve">validated Australian data available in the public domain </w:t>
      </w:r>
      <w:r w:rsidR="00C93639" w:rsidRPr="00445429">
        <w:rPr>
          <w:rStyle w:val="normaltextrun"/>
          <w:rFonts w:eastAsia="Calibri"/>
        </w:rPr>
        <w:t xml:space="preserve">reporting </w:t>
      </w:r>
      <w:r w:rsidR="00076017" w:rsidRPr="00445429">
        <w:rPr>
          <w:rStyle w:val="normaltextrun"/>
          <w:rFonts w:eastAsia="Calibri"/>
        </w:rPr>
        <w:t>the average cost of managing acute cases of COVID-19 infection among high risk patients in a general ward or ICU setting,</w:t>
      </w:r>
      <w:r w:rsidR="00437D51" w:rsidRPr="00445429">
        <w:rPr>
          <w:rStyle w:val="normaltextrun"/>
          <w:rFonts w:eastAsia="Calibri"/>
        </w:rPr>
        <w:t xml:space="preserve"> costs from the </w:t>
      </w:r>
      <w:r w:rsidR="00076017" w:rsidRPr="00445429">
        <w:rPr>
          <w:rStyle w:val="normaltextrun"/>
          <w:rFonts w:eastAsia="Calibri"/>
        </w:rPr>
        <w:t>National Hospital Cost Data Collection (</w:t>
      </w:r>
      <w:r w:rsidR="002478E5" w:rsidRPr="00445429">
        <w:rPr>
          <w:rStyle w:val="normaltextrun"/>
          <w:rFonts w:eastAsia="Calibri"/>
        </w:rPr>
        <w:t xml:space="preserve">Public Sector, </w:t>
      </w:r>
      <w:r w:rsidR="00076017" w:rsidRPr="00445429">
        <w:rPr>
          <w:rStyle w:val="normaltextrun"/>
          <w:rFonts w:eastAsia="Calibri"/>
        </w:rPr>
        <w:t>Round 23, 201</w:t>
      </w:r>
      <w:r w:rsidR="002478E5" w:rsidRPr="00445429">
        <w:rPr>
          <w:rStyle w:val="normaltextrun"/>
          <w:rFonts w:eastAsia="Calibri"/>
        </w:rPr>
        <w:t>8</w:t>
      </w:r>
      <w:r w:rsidR="00076017" w:rsidRPr="00445429">
        <w:rPr>
          <w:rStyle w:val="normaltextrun"/>
          <w:rFonts w:eastAsia="Calibri"/>
        </w:rPr>
        <w:t>-2019)</w:t>
      </w:r>
      <w:r w:rsidR="00437D51" w:rsidRPr="00445429">
        <w:rPr>
          <w:rStyle w:val="normaltextrun"/>
          <w:rFonts w:eastAsia="Calibri"/>
        </w:rPr>
        <w:t xml:space="preserve"> </w:t>
      </w:r>
      <w:r w:rsidR="00855C2A" w:rsidRPr="00445429">
        <w:rPr>
          <w:rStyle w:val="normaltextrun"/>
          <w:rFonts w:eastAsia="Calibri"/>
        </w:rPr>
        <w:t>were</w:t>
      </w:r>
      <w:r w:rsidR="00437D51" w:rsidRPr="00445429">
        <w:rPr>
          <w:rStyle w:val="normaltextrun"/>
          <w:rFonts w:eastAsia="Calibri"/>
        </w:rPr>
        <w:t xml:space="preserve"> applied. Specifically, </w:t>
      </w:r>
      <w:r w:rsidR="00076017" w:rsidRPr="00445429">
        <w:rPr>
          <w:rStyle w:val="normaltextrun"/>
          <w:rFonts w:eastAsia="Calibri"/>
        </w:rPr>
        <w:t>weighted</w:t>
      </w:r>
      <w:r w:rsidR="000C36A2" w:rsidRPr="00445429">
        <w:rPr>
          <w:rStyle w:val="normaltextrun"/>
          <w:rFonts w:eastAsia="Calibri"/>
        </w:rPr>
        <w:t xml:space="preserve"> (by separation)</w:t>
      </w:r>
      <w:r w:rsidR="00076017" w:rsidRPr="00445429">
        <w:rPr>
          <w:rStyle w:val="normaltextrun"/>
          <w:rFonts w:eastAsia="Calibri"/>
        </w:rPr>
        <w:t xml:space="preserve"> average costs for AR-DRG items E62 A/B </w:t>
      </w:r>
      <w:r w:rsidR="001D66A5" w:rsidRPr="00445429">
        <w:rPr>
          <w:rStyle w:val="normaltextrun"/>
          <w:rFonts w:eastAsia="Calibri"/>
        </w:rPr>
        <w:t>(Respiratory Infections and Inflammations)</w:t>
      </w:r>
      <w:r w:rsidR="00076017" w:rsidRPr="00445429">
        <w:rPr>
          <w:rStyle w:val="normaltextrun"/>
          <w:rFonts w:eastAsia="Calibri"/>
        </w:rPr>
        <w:t xml:space="preserve"> and E40/41 A/B </w:t>
      </w:r>
      <w:r w:rsidR="00070F7E" w:rsidRPr="00445429">
        <w:rPr>
          <w:rStyle w:val="normaltextrun"/>
          <w:rFonts w:eastAsia="Calibri"/>
        </w:rPr>
        <w:t>(Respiratory System Disorders with Ventilator Support</w:t>
      </w:r>
      <w:r w:rsidR="00A01D27" w:rsidRPr="00445429">
        <w:rPr>
          <w:rStyle w:val="normaltextrun"/>
          <w:rFonts w:eastAsia="Calibri"/>
        </w:rPr>
        <w:t xml:space="preserve"> / Respiratory System Disorders with Non-Invasive Ventilation</w:t>
      </w:r>
      <w:r w:rsidR="00070F7E" w:rsidRPr="00445429">
        <w:rPr>
          <w:rStyle w:val="normaltextrun"/>
          <w:rFonts w:eastAsia="Calibri"/>
        </w:rPr>
        <w:t>)</w:t>
      </w:r>
      <w:r w:rsidR="00076017" w:rsidRPr="00445429">
        <w:rPr>
          <w:rStyle w:val="normaltextrun"/>
          <w:rFonts w:eastAsia="Calibri"/>
        </w:rPr>
        <w:t xml:space="preserve"> have been used respectively, for episodes </w:t>
      </w:r>
      <w:r w:rsidR="004908AD" w:rsidRPr="00445429">
        <w:rPr>
          <w:rStyle w:val="normaltextrun"/>
          <w:rFonts w:eastAsia="Calibri"/>
        </w:rPr>
        <w:t xml:space="preserve">of </w:t>
      </w:r>
      <w:r w:rsidR="00076017" w:rsidRPr="00445429">
        <w:rPr>
          <w:rStyle w:val="normaltextrun"/>
          <w:rFonts w:eastAsia="Calibri"/>
        </w:rPr>
        <w:t xml:space="preserve">treatment in a general ward ($6,419) or ICU ($20,675) setting. </w:t>
      </w:r>
    </w:p>
    <w:p w14:paraId="67177E8A" w14:textId="09D9DBEA" w:rsidR="00076017" w:rsidRPr="00484AE9" w:rsidRDefault="00076017" w:rsidP="00445429">
      <w:pPr>
        <w:pStyle w:val="3-BodyText"/>
        <w:numPr>
          <w:ilvl w:val="2"/>
          <w:numId w:val="1"/>
        </w:numPr>
        <w:ind w:left="1080"/>
        <w:rPr>
          <w:rFonts w:eastAsia="Calibri"/>
          <w:iCs/>
        </w:rPr>
      </w:pPr>
      <w:r w:rsidRPr="00445429">
        <w:rPr>
          <w:rStyle w:val="normaltextrun"/>
          <w:rFonts w:eastAsia="Calibri"/>
        </w:rPr>
        <w:lastRenderedPageBreak/>
        <w:t xml:space="preserve">Costs associated with the management of </w:t>
      </w:r>
      <w:r w:rsidR="00476537" w:rsidRPr="00445429">
        <w:rPr>
          <w:rStyle w:val="normaltextrun"/>
          <w:rFonts w:eastAsia="Calibri"/>
        </w:rPr>
        <w:t xml:space="preserve">long COVID were estimated </w:t>
      </w:r>
      <w:r w:rsidR="008124E2" w:rsidRPr="00445429">
        <w:rPr>
          <w:rStyle w:val="normaltextrun"/>
          <w:rFonts w:eastAsia="Calibri"/>
        </w:rPr>
        <w:t>by application of</w:t>
      </w:r>
      <w:r w:rsidRPr="00484AE9">
        <w:rPr>
          <w:rFonts w:eastAsia="Calibri"/>
          <w:iCs/>
        </w:rPr>
        <w:t xml:space="preserve"> a </w:t>
      </w:r>
      <w:r w:rsidR="008124E2" w:rsidRPr="00484AE9">
        <w:rPr>
          <w:rFonts w:eastAsia="Calibri"/>
          <w:iCs/>
        </w:rPr>
        <w:t>cost to manage chronic fatigue syndrome</w:t>
      </w:r>
      <w:r w:rsidR="008967A6" w:rsidRPr="00484AE9">
        <w:rPr>
          <w:rFonts w:eastAsia="Calibri"/>
          <w:iCs/>
        </w:rPr>
        <w:t xml:space="preserve"> (as reported by Vos-Vromans et al, 2017)</w:t>
      </w:r>
      <w:r w:rsidR="008124E2" w:rsidRPr="00484AE9">
        <w:rPr>
          <w:rFonts w:eastAsia="Calibri"/>
          <w:iCs/>
        </w:rPr>
        <w:t xml:space="preserve"> </w:t>
      </w:r>
      <w:r w:rsidR="00200EFA" w:rsidRPr="00484AE9">
        <w:rPr>
          <w:rFonts w:eastAsia="Calibri"/>
          <w:iCs/>
        </w:rPr>
        <w:t xml:space="preserve">as a </w:t>
      </w:r>
      <w:r w:rsidRPr="00484AE9">
        <w:rPr>
          <w:rFonts w:eastAsia="Calibri"/>
          <w:iCs/>
        </w:rPr>
        <w:t xml:space="preserve">proxy for </w:t>
      </w:r>
      <w:r w:rsidR="00200EFA" w:rsidRPr="00484AE9">
        <w:rPr>
          <w:rFonts w:eastAsia="Calibri"/>
          <w:iCs/>
        </w:rPr>
        <w:t>costs to manage l</w:t>
      </w:r>
      <w:r w:rsidRPr="00484AE9">
        <w:rPr>
          <w:rFonts w:eastAsia="Calibri"/>
          <w:iCs/>
        </w:rPr>
        <w:t>ong COVID</w:t>
      </w:r>
      <w:r w:rsidR="00200EFA" w:rsidRPr="00484AE9">
        <w:rPr>
          <w:rFonts w:eastAsia="Calibri"/>
          <w:iCs/>
        </w:rPr>
        <w:t>.</w:t>
      </w:r>
      <w:r w:rsidR="008967A6" w:rsidRPr="00484AE9">
        <w:rPr>
          <w:rFonts w:eastAsia="Calibri"/>
          <w:iCs/>
        </w:rPr>
        <w:t xml:space="preserve"> </w:t>
      </w:r>
      <w:r w:rsidR="007D3910" w:rsidRPr="00484AE9">
        <w:rPr>
          <w:rFonts w:eastAsia="Calibri"/>
          <w:iCs/>
        </w:rPr>
        <w:t>The approach resulted in an estimate of</w:t>
      </w:r>
      <w:r w:rsidRPr="00484AE9">
        <w:rPr>
          <w:rFonts w:eastAsia="Calibri"/>
          <w:iCs/>
        </w:rPr>
        <w:t xml:space="preserve"> $3,586 </w:t>
      </w:r>
      <w:r w:rsidR="007D3910" w:rsidRPr="00484AE9">
        <w:rPr>
          <w:rFonts w:eastAsia="Calibri"/>
          <w:iCs/>
        </w:rPr>
        <w:t>per case of long COVID in the mode</w:t>
      </w:r>
      <w:r w:rsidR="00A95CAD" w:rsidRPr="00484AE9">
        <w:rPr>
          <w:rFonts w:eastAsia="Calibri"/>
          <w:iCs/>
        </w:rPr>
        <w:t>l</w:t>
      </w:r>
      <w:r w:rsidRPr="00484AE9">
        <w:rPr>
          <w:rFonts w:eastAsia="Calibri"/>
          <w:iCs/>
        </w:rPr>
        <w:t>.</w:t>
      </w:r>
    </w:p>
    <w:bookmarkStart w:id="124" w:name="_Ref144899955"/>
    <w:p w14:paraId="37B4237B" w14:textId="4D750817" w:rsidR="00275C5A" w:rsidRPr="00484AE9" w:rsidRDefault="00AE52F1" w:rsidP="00951881">
      <w:pPr>
        <w:pStyle w:val="3-BodyText"/>
      </w:pPr>
      <w:r w:rsidRPr="00484AE9">
        <w:fldChar w:fldCharType="begin"/>
      </w:r>
      <w:r w:rsidRPr="00484AE9">
        <w:instrText xml:space="preserve"> REF _Ref104805122 \h </w:instrText>
      </w:r>
      <w:r w:rsidRPr="00484AE9">
        <w:fldChar w:fldCharType="separate"/>
      </w:r>
      <w:r w:rsidR="00872657" w:rsidRPr="00484AE9">
        <w:t xml:space="preserve">Table </w:t>
      </w:r>
      <w:r w:rsidR="00872657">
        <w:rPr>
          <w:noProof/>
        </w:rPr>
        <w:t>18</w:t>
      </w:r>
      <w:r w:rsidRPr="00484AE9">
        <w:fldChar w:fldCharType="end"/>
      </w:r>
      <w:r w:rsidRPr="00484AE9">
        <w:t xml:space="preserve"> summarises the key drivers of </w:t>
      </w:r>
      <w:r w:rsidR="00287BB4" w:rsidRPr="00484AE9">
        <w:t>the outcomes generated by the model</w:t>
      </w:r>
      <w:r w:rsidR="00CA19EA" w:rsidRPr="00484AE9">
        <w:t xml:space="preserve"> as demonstrated by sensitivity analyses presented in </w:t>
      </w:r>
      <w:r w:rsidR="00125B4D" w:rsidRPr="00484AE9">
        <w:fldChar w:fldCharType="begin"/>
      </w:r>
      <w:r w:rsidR="00125B4D" w:rsidRPr="00484AE9">
        <w:instrText xml:space="preserve"> REF _Ref150950721 \h </w:instrText>
      </w:r>
      <w:r w:rsidR="00125B4D" w:rsidRPr="00484AE9">
        <w:fldChar w:fldCharType="separate"/>
      </w:r>
      <w:r w:rsidR="00872657" w:rsidRPr="00484AE9">
        <w:t xml:space="preserve">Table </w:t>
      </w:r>
      <w:r w:rsidR="00872657">
        <w:rPr>
          <w:noProof/>
        </w:rPr>
        <w:t>21</w:t>
      </w:r>
      <w:r w:rsidR="00125B4D" w:rsidRPr="00484AE9">
        <w:fldChar w:fldCharType="end"/>
      </w:r>
      <w:r w:rsidR="00A62B3A" w:rsidRPr="00484AE9">
        <w:t xml:space="preserve">. </w:t>
      </w:r>
      <w:r w:rsidR="00B92D0A" w:rsidRPr="00484AE9">
        <w:t xml:space="preserve">The key drivers </w:t>
      </w:r>
      <w:r w:rsidR="0084619A" w:rsidRPr="00484AE9">
        <w:t xml:space="preserve">of outcomes generated by the model are: baseline risk of death; the relative risk of death in patients treated with nirmatrelvir and ritonavir; and the QALYs assumed to be lost by patients who die in the acute phase of </w:t>
      </w:r>
      <w:r w:rsidR="0084619A" w:rsidRPr="00484AE9">
        <w:rPr>
          <w:rStyle w:val="normaltextrun"/>
        </w:rPr>
        <w:t>COVID</w:t>
      </w:r>
      <w:r w:rsidR="0084619A" w:rsidRPr="00484AE9">
        <w:rPr>
          <w:rStyle w:val="normaltextrun"/>
        </w:rPr>
        <w:noBreakHyphen/>
        <w:t xml:space="preserve">19. Each of these inputs </w:t>
      </w:r>
      <w:r w:rsidR="00B92D0A" w:rsidRPr="00484AE9">
        <w:t>have a</w:t>
      </w:r>
      <w:r w:rsidR="0084619A" w:rsidRPr="00484AE9">
        <w:t xml:space="preserve"> direct</w:t>
      </w:r>
      <w:r w:rsidR="00B92D0A" w:rsidRPr="00484AE9">
        <w:t xml:space="preserve"> impact on patients dying in the model</w:t>
      </w:r>
      <w:r w:rsidR="008B4E32" w:rsidRPr="00484AE9">
        <w:t xml:space="preserve"> (either the proportion </w:t>
      </w:r>
      <w:r w:rsidR="008073CC" w:rsidRPr="00484AE9">
        <w:t xml:space="preserve">of patients dying </w:t>
      </w:r>
      <w:r w:rsidR="008B4E32" w:rsidRPr="00484AE9">
        <w:t>or the QALYs lost through death)</w:t>
      </w:r>
      <w:r w:rsidR="00B92D0A" w:rsidRPr="00484AE9">
        <w:t>.</w:t>
      </w:r>
      <w:r w:rsidR="00913C93" w:rsidRPr="00484AE9">
        <w:t xml:space="preserve"> </w:t>
      </w:r>
      <w:r w:rsidR="008073CC" w:rsidRPr="00484AE9">
        <w:t xml:space="preserve">As shown in </w:t>
      </w:r>
      <w:r w:rsidR="00E22239" w:rsidRPr="00484AE9">
        <w:fldChar w:fldCharType="begin"/>
      </w:r>
      <w:r w:rsidR="00E22239" w:rsidRPr="00484AE9">
        <w:instrText xml:space="preserve"> REF _Ref150950721 \h </w:instrText>
      </w:r>
      <w:r w:rsidR="00E22239" w:rsidRPr="00484AE9">
        <w:fldChar w:fldCharType="separate"/>
      </w:r>
      <w:r w:rsidR="00872657" w:rsidRPr="00484AE9">
        <w:t xml:space="preserve">Table </w:t>
      </w:r>
      <w:r w:rsidR="00872657">
        <w:rPr>
          <w:noProof/>
        </w:rPr>
        <w:t>21</w:t>
      </w:r>
      <w:r w:rsidR="00E22239" w:rsidRPr="00484AE9">
        <w:fldChar w:fldCharType="end"/>
      </w:r>
      <w:r w:rsidR="00E22239" w:rsidRPr="00484AE9">
        <w:t xml:space="preserve">, </w:t>
      </w:r>
      <w:r w:rsidR="008073CC" w:rsidRPr="00484AE9">
        <w:t>the</w:t>
      </w:r>
      <w:r w:rsidR="00913C93" w:rsidRPr="00484AE9">
        <w:t xml:space="preserve"> results of the economic analyses are very sensitive to the</w:t>
      </w:r>
      <w:r w:rsidR="009C1234" w:rsidRPr="00484AE9">
        <w:t xml:space="preserve"> inputs</w:t>
      </w:r>
      <w:r w:rsidR="00C03B0F" w:rsidRPr="00484AE9">
        <w:rPr>
          <w:rStyle w:val="normaltextrun"/>
        </w:rPr>
        <w:t>.</w:t>
      </w:r>
      <w:bookmarkEnd w:id="124"/>
    </w:p>
    <w:p w14:paraId="774D46B7" w14:textId="1EE33D33" w:rsidR="00D110BD" w:rsidRPr="00484AE9" w:rsidRDefault="00E16AD8" w:rsidP="00E16AD8">
      <w:pPr>
        <w:pStyle w:val="Caption"/>
        <w:jc w:val="left"/>
        <w:rPr>
          <w:rStyle w:val="CommentReference"/>
          <w:b/>
          <w:szCs w:val="24"/>
        </w:rPr>
      </w:pPr>
      <w:bookmarkStart w:id="125" w:name="_Ref104805122"/>
      <w:r w:rsidRPr="00484AE9">
        <w:t xml:space="preserve">Table </w:t>
      </w:r>
      <w:fldSimple w:instr=" SEQ Table \* ARABIC ">
        <w:r w:rsidR="00872657">
          <w:rPr>
            <w:noProof/>
          </w:rPr>
          <w:t>18</w:t>
        </w:r>
      </w:fldSimple>
      <w:bookmarkEnd w:id="125"/>
      <w:r w:rsidRPr="00484AE9">
        <w:t>:</w:t>
      </w:r>
      <w:r w:rsidR="00D110BD" w:rsidRPr="00484AE9">
        <w:rPr>
          <w:rStyle w:val="CommentReference"/>
          <w:b/>
          <w:szCs w:val="24"/>
        </w:rPr>
        <w:t xml:space="preserve"> Key drivers of the </w:t>
      </w:r>
      <w:r w:rsidR="00287BB4" w:rsidRPr="00484AE9">
        <w:rPr>
          <w:rStyle w:val="CommentReference"/>
          <w:b/>
          <w:szCs w:val="24"/>
        </w:rPr>
        <w:t>outcomes generated by the economic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3829"/>
        <w:gridCol w:w="2783"/>
      </w:tblGrid>
      <w:tr w:rsidR="008B6130" w:rsidRPr="00484AE9" w14:paraId="4DD8026E" w14:textId="77777777" w:rsidTr="00DA2A15">
        <w:trPr>
          <w:tblHeader/>
        </w:trPr>
        <w:tc>
          <w:tcPr>
            <w:tcW w:w="1334" w:type="pct"/>
            <w:shd w:val="clear" w:color="auto" w:fill="auto"/>
            <w:vAlign w:val="center"/>
          </w:tcPr>
          <w:p w14:paraId="6A9EC2DA" w14:textId="77777777" w:rsidR="00D110BD" w:rsidRPr="00484AE9" w:rsidRDefault="00D110BD" w:rsidP="00BB00B3">
            <w:pPr>
              <w:pStyle w:val="In-tableHeading"/>
              <w:jc w:val="center"/>
              <w:rPr>
                <w:lang w:val="en-AU"/>
              </w:rPr>
            </w:pPr>
            <w:r w:rsidRPr="00484AE9">
              <w:rPr>
                <w:lang w:val="en-AU"/>
              </w:rPr>
              <w:t>Description</w:t>
            </w:r>
          </w:p>
        </w:tc>
        <w:tc>
          <w:tcPr>
            <w:tcW w:w="2123" w:type="pct"/>
            <w:shd w:val="clear" w:color="auto" w:fill="auto"/>
            <w:vAlign w:val="center"/>
          </w:tcPr>
          <w:p w14:paraId="67A62672" w14:textId="77777777" w:rsidR="00D110BD" w:rsidRPr="00484AE9" w:rsidRDefault="00D110BD" w:rsidP="000A7453">
            <w:pPr>
              <w:pStyle w:val="In-tableHeading"/>
              <w:jc w:val="center"/>
              <w:rPr>
                <w:lang w:val="en-AU"/>
              </w:rPr>
            </w:pPr>
            <w:r w:rsidRPr="00484AE9">
              <w:rPr>
                <w:lang w:val="en-AU"/>
              </w:rPr>
              <w:t>Method/Value</w:t>
            </w:r>
          </w:p>
        </w:tc>
        <w:tc>
          <w:tcPr>
            <w:tcW w:w="1544" w:type="pct"/>
            <w:shd w:val="clear" w:color="auto" w:fill="auto"/>
            <w:vAlign w:val="center"/>
          </w:tcPr>
          <w:p w14:paraId="6C1DC9EA" w14:textId="6901B50D" w:rsidR="00490B17" w:rsidRPr="00484AE9" w:rsidRDefault="00D110BD" w:rsidP="006A604C">
            <w:pPr>
              <w:pStyle w:val="In-tableHeading"/>
              <w:jc w:val="center"/>
              <w:rPr>
                <w:lang w:val="en-AU"/>
              </w:rPr>
            </w:pPr>
            <w:r w:rsidRPr="00484AE9">
              <w:rPr>
                <w:lang w:val="en-AU"/>
              </w:rPr>
              <w:t>Impact</w:t>
            </w:r>
          </w:p>
        </w:tc>
      </w:tr>
      <w:tr w:rsidR="008B6130" w:rsidRPr="00484AE9" w14:paraId="3DE22150" w14:textId="77777777" w:rsidTr="00DA2A15">
        <w:tc>
          <w:tcPr>
            <w:tcW w:w="1334" w:type="pct"/>
            <w:shd w:val="clear" w:color="auto" w:fill="auto"/>
            <w:vAlign w:val="center"/>
          </w:tcPr>
          <w:p w14:paraId="72E20981" w14:textId="0CF537C1" w:rsidR="00D110BD" w:rsidRPr="00484AE9" w:rsidRDefault="00254AEE" w:rsidP="00C127B9">
            <w:pPr>
              <w:pStyle w:val="TableText0"/>
            </w:pPr>
            <w:r w:rsidRPr="00484AE9">
              <w:t xml:space="preserve">Baseline risk of </w:t>
            </w:r>
            <w:r w:rsidR="00B77ABE" w:rsidRPr="00484AE9">
              <w:t>death</w:t>
            </w:r>
            <w:r w:rsidR="00DA2A15" w:rsidRPr="00484AE9">
              <w:t xml:space="preserve"> due to </w:t>
            </w:r>
            <w:r w:rsidR="00DA2A15" w:rsidRPr="00484AE9">
              <w:rPr>
                <w:rStyle w:val="normaltextrun"/>
              </w:rPr>
              <w:t>COVID</w:t>
            </w:r>
            <w:r w:rsidR="00DA2A15" w:rsidRPr="00484AE9">
              <w:rPr>
                <w:rStyle w:val="normaltextrun"/>
              </w:rPr>
              <w:noBreakHyphen/>
              <w:t>19</w:t>
            </w:r>
          </w:p>
        </w:tc>
        <w:tc>
          <w:tcPr>
            <w:tcW w:w="2123" w:type="pct"/>
            <w:shd w:val="clear" w:color="auto" w:fill="auto"/>
            <w:vAlign w:val="center"/>
          </w:tcPr>
          <w:p w14:paraId="3CF18FC4" w14:textId="4FC6513B" w:rsidR="00E61CF4" w:rsidRPr="00484AE9" w:rsidRDefault="00E61CF4" w:rsidP="00BB00B3">
            <w:pPr>
              <w:pStyle w:val="TableText0"/>
            </w:pPr>
            <w:r w:rsidRPr="00484AE9">
              <w:t>Derived based on a</w:t>
            </w:r>
            <w:r w:rsidR="00D34143" w:rsidRPr="00484AE9">
              <w:t xml:space="preserve"> </w:t>
            </w:r>
            <w:r w:rsidR="003E529B" w:rsidRPr="00484AE9">
              <w:t>c</w:t>
            </w:r>
            <w:r w:rsidRPr="00484AE9">
              <w:t>onsideration of a range of sources</w:t>
            </w:r>
          </w:p>
          <w:p w14:paraId="64938802" w14:textId="1736B189" w:rsidR="00106B80" w:rsidRPr="00484AE9" w:rsidRDefault="0016377C" w:rsidP="00BB00B3">
            <w:pPr>
              <w:pStyle w:val="TableText0"/>
            </w:pPr>
            <w:r w:rsidRPr="00484AE9">
              <w:t>0.75% to 3%</w:t>
            </w:r>
          </w:p>
        </w:tc>
        <w:tc>
          <w:tcPr>
            <w:tcW w:w="1544" w:type="pct"/>
            <w:shd w:val="clear" w:color="auto" w:fill="auto"/>
            <w:vAlign w:val="center"/>
          </w:tcPr>
          <w:p w14:paraId="0AD58F2B" w14:textId="23272CC4" w:rsidR="00490B17" w:rsidRPr="00484AE9" w:rsidRDefault="00D110BD" w:rsidP="008D743C">
            <w:pPr>
              <w:pStyle w:val="TableText0"/>
            </w:pPr>
            <w:r w:rsidRPr="00484AE9">
              <w:t xml:space="preserve">High, </w:t>
            </w:r>
            <w:r w:rsidR="000C64DB" w:rsidRPr="00484AE9">
              <w:t xml:space="preserve">a high value </w:t>
            </w:r>
            <w:r w:rsidRPr="00484AE9">
              <w:t>favours</w:t>
            </w:r>
            <w:r w:rsidR="000C64DB" w:rsidRPr="00484AE9">
              <w:t xml:space="preserve"> nirmatrelvir and ritonavir</w:t>
            </w:r>
          </w:p>
        </w:tc>
      </w:tr>
      <w:tr w:rsidR="008B6130" w:rsidRPr="00484AE9" w14:paraId="3483847F" w14:textId="77777777" w:rsidTr="00DA2A15">
        <w:tc>
          <w:tcPr>
            <w:tcW w:w="1334" w:type="pct"/>
            <w:shd w:val="clear" w:color="auto" w:fill="auto"/>
            <w:vAlign w:val="center"/>
          </w:tcPr>
          <w:p w14:paraId="2724D8D9" w14:textId="663D0966" w:rsidR="00D110BD" w:rsidRPr="00484AE9" w:rsidRDefault="003E529B" w:rsidP="00C127B9">
            <w:pPr>
              <w:pStyle w:val="TableText0"/>
            </w:pPr>
            <w:r w:rsidRPr="00484AE9">
              <w:t>Relative risk of death with nirmatrelvir and ritonavir treatment</w:t>
            </w:r>
          </w:p>
        </w:tc>
        <w:tc>
          <w:tcPr>
            <w:tcW w:w="2123" w:type="pct"/>
            <w:shd w:val="clear" w:color="auto" w:fill="auto"/>
            <w:vAlign w:val="center"/>
          </w:tcPr>
          <w:p w14:paraId="2589ADEC" w14:textId="77777777" w:rsidR="00D110BD" w:rsidRPr="00484AE9" w:rsidRDefault="003E529B" w:rsidP="00BB00B3">
            <w:pPr>
              <w:pStyle w:val="TableText0"/>
            </w:pPr>
            <w:r w:rsidRPr="00484AE9">
              <w:t>Derived based on meta-analyses</w:t>
            </w:r>
            <w:r w:rsidR="007F54D4" w:rsidRPr="00484AE9">
              <w:t xml:space="preserve"> that combined outcomes from randomised controlled trials with those from</w:t>
            </w:r>
            <w:r w:rsidR="00FF4466" w:rsidRPr="00484AE9">
              <w:t xml:space="preserve"> retrospective cohort studies</w:t>
            </w:r>
          </w:p>
          <w:p w14:paraId="4B9FCE0E" w14:textId="4B27346E" w:rsidR="00DF69B6" w:rsidRPr="00484AE9" w:rsidRDefault="00AD32D6" w:rsidP="00BB00B3">
            <w:pPr>
              <w:pStyle w:val="TableText0"/>
            </w:pPr>
            <w:r w:rsidRPr="00484AE9">
              <w:t>0.25</w:t>
            </w:r>
          </w:p>
        </w:tc>
        <w:tc>
          <w:tcPr>
            <w:tcW w:w="1544" w:type="pct"/>
            <w:shd w:val="clear" w:color="auto" w:fill="auto"/>
            <w:vAlign w:val="center"/>
          </w:tcPr>
          <w:p w14:paraId="4CB0C507" w14:textId="0119119D" w:rsidR="00D110BD" w:rsidRPr="00484AE9" w:rsidRDefault="00DF69B6" w:rsidP="008D743C">
            <w:pPr>
              <w:pStyle w:val="TableText0"/>
            </w:pPr>
            <w:r w:rsidRPr="00484AE9">
              <w:t>High, a low value favours nirmatrelvir and ritonavir</w:t>
            </w:r>
          </w:p>
        </w:tc>
      </w:tr>
      <w:tr w:rsidR="008B6130" w:rsidRPr="00484AE9" w14:paraId="39E46D5B" w14:textId="77777777" w:rsidTr="00DA2A15">
        <w:tc>
          <w:tcPr>
            <w:tcW w:w="1334" w:type="pct"/>
            <w:shd w:val="clear" w:color="auto" w:fill="auto"/>
            <w:vAlign w:val="center"/>
          </w:tcPr>
          <w:p w14:paraId="347EC5A4" w14:textId="3238B0F8" w:rsidR="00D110BD" w:rsidRPr="00484AE9" w:rsidRDefault="00B815D3" w:rsidP="00C127B9">
            <w:pPr>
              <w:pStyle w:val="TableText0"/>
            </w:pPr>
            <w:r w:rsidRPr="00484AE9">
              <w:t>QALYs lost by patients who die</w:t>
            </w:r>
          </w:p>
        </w:tc>
        <w:tc>
          <w:tcPr>
            <w:tcW w:w="2123" w:type="pct"/>
            <w:shd w:val="clear" w:color="auto" w:fill="auto"/>
            <w:vAlign w:val="center"/>
          </w:tcPr>
          <w:p w14:paraId="1E5827B9" w14:textId="77777777" w:rsidR="00D110BD" w:rsidRPr="00484AE9" w:rsidRDefault="00CF650C" w:rsidP="00BB00B3">
            <w:pPr>
              <w:pStyle w:val="TableText0"/>
            </w:pPr>
            <w:r w:rsidRPr="00484AE9">
              <w:t xml:space="preserve">Estimated </w:t>
            </w:r>
            <w:r w:rsidR="004C4B41" w:rsidRPr="00484AE9">
              <w:t xml:space="preserve">by derivation of </w:t>
            </w:r>
            <w:r w:rsidRPr="00484AE9">
              <w:t>discounted quality adjusted life expectancies for each of the modelled cohort</w:t>
            </w:r>
            <w:r w:rsidR="004635AE" w:rsidRPr="00484AE9">
              <w:t xml:space="preserve"> based on the cohort’s characteristics</w:t>
            </w:r>
          </w:p>
          <w:p w14:paraId="7E7105AF" w14:textId="7A16CE60" w:rsidR="00806F71" w:rsidRPr="00484AE9" w:rsidRDefault="00806F71" w:rsidP="00806F71">
            <w:pPr>
              <w:pStyle w:val="TableText0"/>
            </w:pPr>
            <w:r w:rsidRPr="00484AE9">
              <w:t>6.44 QALYs for people aged ≥ 70, up to 15.57 for p</w:t>
            </w:r>
            <w:r w:rsidR="00205941" w:rsidRPr="00484AE9">
              <w:t>eople aged ≥ 18 who are immunocompromised</w:t>
            </w:r>
          </w:p>
        </w:tc>
        <w:tc>
          <w:tcPr>
            <w:tcW w:w="1544" w:type="pct"/>
            <w:shd w:val="clear" w:color="auto" w:fill="auto"/>
            <w:vAlign w:val="center"/>
          </w:tcPr>
          <w:p w14:paraId="50F3F3FF" w14:textId="557E946C" w:rsidR="00D110BD" w:rsidRPr="00484AE9" w:rsidRDefault="004635AE" w:rsidP="004635AE">
            <w:pPr>
              <w:pStyle w:val="TableText0"/>
            </w:pPr>
            <w:r w:rsidRPr="00484AE9">
              <w:t>High, a high value favours nirmatrelvir and ritonavir</w:t>
            </w:r>
          </w:p>
        </w:tc>
      </w:tr>
    </w:tbl>
    <w:p w14:paraId="4A34283F" w14:textId="1C390C14" w:rsidR="00E22239" w:rsidRPr="00484AE9" w:rsidRDefault="009D792E" w:rsidP="00E22239">
      <w:pPr>
        <w:pStyle w:val="FooterTableFigure"/>
      </w:pPr>
      <w:r w:rsidRPr="00484AE9">
        <w:t xml:space="preserve">Source: </w:t>
      </w:r>
      <w:r w:rsidR="00C87876" w:rsidRPr="00484AE9">
        <w:t xml:space="preserve">Based on observations </w:t>
      </w:r>
      <w:r w:rsidR="008B2C63" w:rsidRPr="00484AE9">
        <w:t xml:space="preserve">from </w:t>
      </w:r>
      <w:r w:rsidR="00E22239" w:rsidRPr="00484AE9">
        <w:fldChar w:fldCharType="begin"/>
      </w:r>
      <w:r w:rsidR="00E22239" w:rsidRPr="00484AE9">
        <w:instrText xml:space="preserve"> REF _Ref150950721 \h  \* MERGEFORMAT </w:instrText>
      </w:r>
      <w:r w:rsidR="00E22239" w:rsidRPr="00484AE9">
        <w:fldChar w:fldCharType="separate"/>
      </w:r>
      <w:r w:rsidR="00872657" w:rsidRPr="00484AE9">
        <w:t xml:space="preserve">Table </w:t>
      </w:r>
      <w:r w:rsidR="00872657">
        <w:t>21</w:t>
      </w:r>
      <w:r w:rsidR="00E22239" w:rsidRPr="00484AE9">
        <w:fldChar w:fldCharType="end"/>
      </w:r>
      <w:r w:rsidR="00E22239" w:rsidRPr="00484AE9">
        <w:t>.</w:t>
      </w:r>
    </w:p>
    <w:p w14:paraId="16014F20" w14:textId="5EFCAF01" w:rsidR="00E22239" w:rsidRPr="00484AE9" w:rsidRDefault="00F87870" w:rsidP="00F76D9A">
      <w:pPr>
        <w:pStyle w:val="3-BodyText"/>
      </w:pPr>
      <w:r w:rsidRPr="00484AE9">
        <w:fldChar w:fldCharType="begin"/>
      </w:r>
      <w:r w:rsidRPr="00484AE9">
        <w:instrText xml:space="preserve"> REF _Ref104805160 \h </w:instrText>
      </w:r>
      <w:r w:rsidRPr="00484AE9">
        <w:fldChar w:fldCharType="separate"/>
      </w:r>
      <w:r w:rsidR="00872657" w:rsidRPr="00484AE9">
        <w:t xml:space="preserve">Table </w:t>
      </w:r>
      <w:r w:rsidR="00872657">
        <w:rPr>
          <w:noProof/>
        </w:rPr>
        <w:t>19</w:t>
      </w:r>
      <w:r w:rsidRPr="00484AE9">
        <w:fldChar w:fldCharType="end"/>
      </w:r>
      <w:r w:rsidR="00101DC4" w:rsidRPr="00484AE9">
        <w:t xml:space="preserve"> summarises results of the base case analys</w:t>
      </w:r>
      <w:r w:rsidR="001E7D32" w:rsidRPr="00484AE9">
        <w:t>es</w:t>
      </w:r>
      <w:r w:rsidR="00101DC4" w:rsidRPr="00484AE9">
        <w:t xml:space="preserve"> presented in the submission</w:t>
      </w:r>
      <w:r w:rsidR="00A62B3A" w:rsidRPr="00484AE9">
        <w:t xml:space="preserve">. </w:t>
      </w:r>
      <w:r w:rsidR="00606D07" w:rsidRPr="00484AE9">
        <w:t xml:space="preserve">The ICERs range from </w:t>
      </w:r>
      <w:r w:rsidR="00136F6B" w:rsidRPr="00484AE9">
        <w:t>$</w:t>
      </w:r>
      <w:r w:rsidR="00714655" w:rsidRPr="00714655">
        <w:t>0 to &lt; $5,000</w:t>
      </w:r>
      <w:r w:rsidR="00136F6B" w:rsidRPr="00484AE9">
        <w:t xml:space="preserve"> </w:t>
      </w:r>
      <w:r w:rsidR="00150D7C" w:rsidRPr="00484AE9">
        <w:t>to $</w:t>
      </w:r>
      <w:r w:rsidR="00714655" w:rsidRPr="00714655">
        <w:t>15,000 to &lt; $25,000</w:t>
      </w:r>
      <w:r w:rsidR="00150D7C" w:rsidRPr="00484AE9">
        <w:t xml:space="preserve"> </w:t>
      </w:r>
      <w:r w:rsidR="00136F6B" w:rsidRPr="00484AE9">
        <w:rPr>
          <w:iCs/>
        </w:rPr>
        <w:t>per QALY gained</w:t>
      </w:r>
      <w:r w:rsidR="00032BDE" w:rsidRPr="00484AE9">
        <w:rPr>
          <w:iCs/>
        </w:rPr>
        <w:t xml:space="preserve"> for the four cohorts presented in the submission.</w:t>
      </w:r>
      <w:r w:rsidR="00150D7C" w:rsidRPr="00484AE9">
        <w:t xml:space="preserve"> </w:t>
      </w:r>
      <w:r w:rsidR="00FD3BC6" w:rsidRPr="00484AE9">
        <w:t>A weighted ICER for the total population was calculated as scenario analysis</w:t>
      </w:r>
      <w:r w:rsidR="002F6744" w:rsidRPr="00484AE9">
        <w:t xml:space="preserve"> (see </w:t>
      </w:r>
      <w:r w:rsidR="002F6744" w:rsidRPr="00484AE9">
        <w:fldChar w:fldCharType="begin"/>
      </w:r>
      <w:r w:rsidR="002F6744" w:rsidRPr="00484AE9">
        <w:instrText xml:space="preserve"> REF _Ref145246906 \h </w:instrText>
      </w:r>
      <w:r w:rsidR="002F6744" w:rsidRPr="00484AE9">
        <w:fldChar w:fldCharType="separate"/>
      </w:r>
      <w:r w:rsidR="00872657" w:rsidRPr="00484AE9">
        <w:t xml:space="preserve">Table </w:t>
      </w:r>
      <w:r w:rsidR="00872657">
        <w:rPr>
          <w:noProof/>
        </w:rPr>
        <w:t>22</w:t>
      </w:r>
      <w:r w:rsidR="002F6744" w:rsidRPr="00484AE9">
        <w:fldChar w:fldCharType="end"/>
      </w:r>
      <w:r w:rsidR="002F6744" w:rsidRPr="00484AE9">
        <w:t>)</w:t>
      </w:r>
      <w:r w:rsidR="00FD3BC6" w:rsidRPr="00484AE9">
        <w:t>.</w:t>
      </w:r>
    </w:p>
    <w:p w14:paraId="63D487B8" w14:textId="202F9364" w:rsidR="00D110BD" w:rsidRPr="00484AE9" w:rsidRDefault="00E16AD8" w:rsidP="00E16AD8">
      <w:pPr>
        <w:pStyle w:val="Caption"/>
        <w:rPr>
          <w:rStyle w:val="CommentReference"/>
          <w:b/>
          <w:szCs w:val="24"/>
        </w:rPr>
      </w:pPr>
      <w:bookmarkStart w:id="126" w:name="_Ref104805160"/>
      <w:r w:rsidRPr="00484AE9">
        <w:t xml:space="preserve">Table </w:t>
      </w:r>
      <w:fldSimple w:instr=" SEQ Table \* ARABIC ">
        <w:r w:rsidR="00872657">
          <w:rPr>
            <w:noProof/>
          </w:rPr>
          <w:t>19</w:t>
        </w:r>
      </w:fldSimple>
      <w:bookmarkEnd w:id="126"/>
      <w:r w:rsidRPr="00484AE9">
        <w:t>:</w:t>
      </w:r>
      <w:r w:rsidR="005A373D" w:rsidRPr="00484AE9">
        <w:rPr>
          <w:rStyle w:val="CommentReference"/>
          <w:b/>
          <w:szCs w:val="24"/>
        </w:rPr>
        <w:t xml:space="preserve"> Results of the </w:t>
      </w:r>
      <w:r w:rsidR="00515532" w:rsidRPr="00484AE9">
        <w:rPr>
          <w:rStyle w:val="CommentReference"/>
          <w:b/>
          <w:szCs w:val="24"/>
        </w:rPr>
        <w:t>base case</w:t>
      </w:r>
      <w:r w:rsidR="005A373D" w:rsidRPr="00484AE9">
        <w:rPr>
          <w:rStyle w:val="CommentReference"/>
          <w:b/>
          <w:szCs w:val="24"/>
        </w:rPr>
        <w:t xml:space="preserve"> economic evaluation</w:t>
      </w:r>
      <w:r w:rsidR="001E7D32" w:rsidRPr="00484AE9">
        <w:rPr>
          <w:rStyle w:val="CommentReference"/>
          <w:b/>
          <w:szCs w:val="24"/>
        </w:rPr>
        <w:t>s</w:t>
      </w:r>
      <w:r w:rsidR="00515532" w:rsidRPr="00484AE9">
        <w:rPr>
          <w:rStyle w:val="CommentReference"/>
          <w:b/>
          <w:szCs w:val="24"/>
        </w:rPr>
        <w:t xml:space="preserve"> presented in the submission</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696"/>
        <w:gridCol w:w="1842"/>
        <w:gridCol w:w="1844"/>
        <w:gridCol w:w="1844"/>
        <w:gridCol w:w="1841"/>
      </w:tblGrid>
      <w:tr w:rsidR="008B6130" w:rsidRPr="00484AE9" w14:paraId="1F7C8D03" w14:textId="77777777" w:rsidTr="006D67C5">
        <w:trPr>
          <w:cantSplit/>
          <w:tblHeader/>
        </w:trPr>
        <w:tc>
          <w:tcPr>
            <w:tcW w:w="935" w:type="pct"/>
            <w:shd w:val="clear" w:color="auto" w:fill="FFFFFF"/>
            <w:vAlign w:val="center"/>
          </w:tcPr>
          <w:p w14:paraId="1FE1D2E0" w14:textId="77777777" w:rsidR="001D6E51" w:rsidRPr="00484AE9" w:rsidRDefault="001D6E51" w:rsidP="006D67C5">
            <w:pPr>
              <w:pStyle w:val="In-tableHeading"/>
              <w:rPr>
                <w:lang w:val="en-AU"/>
              </w:rPr>
            </w:pPr>
          </w:p>
        </w:tc>
        <w:tc>
          <w:tcPr>
            <w:tcW w:w="1007" w:type="pct"/>
            <w:shd w:val="clear" w:color="auto" w:fill="FFFFFF"/>
          </w:tcPr>
          <w:p w14:paraId="3563A33B" w14:textId="411A34E1" w:rsidR="001D6E51" w:rsidRPr="00484AE9" w:rsidRDefault="001D6E51" w:rsidP="003E2A1F">
            <w:pPr>
              <w:pStyle w:val="In-tableHeading"/>
              <w:jc w:val="center"/>
              <w:rPr>
                <w:lang w:val="en-AU"/>
              </w:rPr>
            </w:pPr>
            <w:r w:rsidRPr="00484AE9">
              <w:rPr>
                <w:lang w:val="en-AU"/>
              </w:rPr>
              <w:t>Nirmatrelvir and ritonavir</w:t>
            </w:r>
          </w:p>
        </w:tc>
        <w:tc>
          <w:tcPr>
            <w:tcW w:w="1010" w:type="pct"/>
            <w:shd w:val="clear" w:color="auto" w:fill="FFFFFF"/>
          </w:tcPr>
          <w:p w14:paraId="4A79EFB1" w14:textId="24C8F830" w:rsidR="001D6E51" w:rsidRPr="00484AE9" w:rsidRDefault="001D6E51" w:rsidP="003E2A1F">
            <w:pPr>
              <w:pStyle w:val="In-tableHeading"/>
              <w:jc w:val="center"/>
              <w:rPr>
                <w:lang w:val="en-AU"/>
              </w:rPr>
            </w:pPr>
            <w:r w:rsidRPr="00484AE9">
              <w:rPr>
                <w:lang w:val="en-AU"/>
              </w:rPr>
              <w:t>Placebo</w:t>
            </w:r>
          </w:p>
        </w:tc>
        <w:tc>
          <w:tcPr>
            <w:tcW w:w="1009" w:type="pct"/>
            <w:shd w:val="clear" w:color="auto" w:fill="FFFFFF"/>
            <w:vAlign w:val="center"/>
          </w:tcPr>
          <w:p w14:paraId="35B6348E" w14:textId="77777777" w:rsidR="001D6E51" w:rsidRPr="00484AE9" w:rsidRDefault="001D6E51" w:rsidP="003E2A1F">
            <w:pPr>
              <w:pStyle w:val="In-tableHeading"/>
              <w:jc w:val="center"/>
              <w:rPr>
                <w:lang w:val="en-AU"/>
              </w:rPr>
            </w:pPr>
            <w:r w:rsidRPr="00484AE9">
              <w:rPr>
                <w:lang w:val="en-AU"/>
              </w:rPr>
              <w:t>Increment</w:t>
            </w:r>
          </w:p>
        </w:tc>
        <w:tc>
          <w:tcPr>
            <w:tcW w:w="1039" w:type="pct"/>
            <w:shd w:val="clear" w:color="auto" w:fill="FFFFFF"/>
            <w:vAlign w:val="center"/>
          </w:tcPr>
          <w:p w14:paraId="42ED2A4C" w14:textId="5D1B4C98" w:rsidR="001D6E51" w:rsidRPr="00484AE9" w:rsidRDefault="001D6E51" w:rsidP="003E2A1F">
            <w:pPr>
              <w:pStyle w:val="In-tableHeading"/>
              <w:jc w:val="center"/>
              <w:rPr>
                <w:lang w:val="en-AU"/>
              </w:rPr>
            </w:pPr>
            <w:r w:rsidRPr="00484AE9">
              <w:rPr>
                <w:lang w:val="en-AU"/>
              </w:rPr>
              <w:t>ICER</w:t>
            </w:r>
          </w:p>
        </w:tc>
      </w:tr>
      <w:tr w:rsidR="008B6130" w:rsidRPr="00484AE9" w14:paraId="6BEBFCDF" w14:textId="77777777" w:rsidTr="006D67C5">
        <w:trPr>
          <w:cantSplit/>
          <w:tblHeader/>
        </w:trPr>
        <w:tc>
          <w:tcPr>
            <w:tcW w:w="5000" w:type="pct"/>
            <w:gridSpan w:val="5"/>
            <w:shd w:val="clear" w:color="auto" w:fill="FFFFFF"/>
            <w:vAlign w:val="center"/>
          </w:tcPr>
          <w:p w14:paraId="1DB2B58F" w14:textId="65C1AA78" w:rsidR="001D6E51" w:rsidRPr="00484AE9" w:rsidRDefault="001D6E51" w:rsidP="006D67C5">
            <w:pPr>
              <w:pStyle w:val="In-tableHeading"/>
              <w:rPr>
                <w:b w:val="0"/>
                <w:bCs/>
                <w:lang w:val="en-AU"/>
              </w:rPr>
            </w:pPr>
            <w:r w:rsidRPr="00484AE9">
              <w:rPr>
                <w:lang w:val="en-AU"/>
              </w:rPr>
              <w:t>Cohort: Aged ≥ 70</w:t>
            </w:r>
          </w:p>
        </w:tc>
      </w:tr>
      <w:tr w:rsidR="008B6130" w:rsidRPr="00484AE9" w14:paraId="74ADB488" w14:textId="77777777" w:rsidTr="006D67C5">
        <w:trPr>
          <w:cantSplit/>
        </w:trPr>
        <w:tc>
          <w:tcPr>
            <w:tcW w:w="935" w:type="pct"/>
            <w:shd w:val="clear" w:color="auto" w:fill="auto"/>
            <w:vAlign w:val="center"/>
          </w:tcPr>
          <w:p w14:paraId="083A790C" w14:textId="77777777" w:rsidR="001D6E51" w:rsidRPr="00484AE9" w:rsidRDefault="001D6E51" w:rsidP="006D67C5">
            <w:pPr>
              <w:pStyle w:val="TableText0"/>
            </w:pPr>
            <w:r w:rsidRPr="00484AE9">
              <w:t>Costs</w:t>
            </w:r>
          </w:p>
        </w:tc>
        <w:tc>
          <w:tcPr>
            <w:tcW w:w="1007" w:type="pct"/>
            <w:shd w:val="clear" w:color="auto" w:fill="auto"/>
          </w:tcPr>
          <w:p w14:paraId="46426360" w14:textId="3161A7A7" w:rsidR="001D6E51" w:rsidRPr="00714655" w:rsidRDefault="00696519" w:rsidP="003E2A1F">
            <w:pPr>
              <w:pStyle w:val="TableText0"/>
              <w:jc w:val="center"/>
            </w:pPr>
            <w:r w:rsidRPr="00696519">
              <w:t xml:space="preserve"> </w:t>
            </w:r>
            <w:r w:rsidRPr="00696519">
              <w:rPr>
                <w:color w:val="000000"/>
                <w:shd w:val="solid" w:color="000000" w:fill="000000"/>
                <w14:textFill>
                  <w14:solidFill>
                    <w14:srgbClr w14:val="000000">
                      <w14:alpha w14:val="100000"/>
                    </w14:srgbClr>
                  </w14:solidFill>
                </w14:textFill>
              </w:rPr>
              <w:t>|</w:t>
            </w:r>
            <w:r w:rsidR="001A5252">
              <w:t xml:space="preserve"> </w:t>
            </w:r>
          </w:p>
        </w:tc>
        <w:tc>
          <w:tcPr>
            <w:tcW w:w="1010" w:type="pct"/>
            <w:shd w:val="clear" w:color="auto" w:fill="auto"/>
          </w:tcPr>
          <w:p w14:paraId="7BEB458B" w14:textId="1C747D16" w:rsidR="001D6E51" w:rsidRPr="00714655" w:rsidRDefault="001D6E51" w:rsidP="003E2A1F">
            <w:pPr>
              <w:pStyle w:val="TableText0"/>
              <w:jc w:val="center"/>
            </w:pPr>
            <w:r w:rsidRPr="00714655">
              <w:t>$759.93</w:t>
            </w:r>
          </w:p>
        </w:tc>
        <w:tc>
          <w:tcPr>
            <w:tcW w:w="1009" w:type="pct"/>
            <w:shd w:val="clear" w:color="auto" w:fill="auto"/>
          </w:tcPr>
          <w:p w14:paraId="3947F8BF" w14:textId="4310E5D0" w:rsidR="001D6E51" w:rsidRPr="00714655" w:rsidRDefault="00696519" w:rsidP="003E2A1F">
            <w:pPr>
              <w:pStyle w:val="TableText0"/>
              <w:jc w:val="center"/>
            </w:pPr>
            <w:r w:rsidRPr="00696519">
              <w:t xml:space="preserve"> </w:t>
            </w:r>
            <w:r w:rsidRPr="00696519">
              <w:rPr>
                <w:color w:val="000000"/>
                <w:shd w:val="solid" w:color="000000" w:fill="000000"/>
                <w14:textFill>
                  <w14:solidFill>
                    <w14:srgbClr w14:val="000000">
                      <w14:alpha w14:val="100000"/>
                    </w14:srgbClr>
                  </w14:solidFill>
                </w14:textFill>
              </w:rPr>
              <w:t>|</w:t>
            </w:r>
            <w:r w:rsidR="001A5252">
              <w:t xml:space="preserve"> </w:t>
            </w:r>
          </w:p>
        </w:tc>
        <w:tc>
          <w:tcPr>
            <w:tcW w:w="1039" w:type="pct"/>
            <w:vMerge w:val="restart"/>
            <w:shd w:val="clear" w:color="auto" w:fill="auto"/>
            <w:vAlign w:val="center"/>
          </w:tcPr>
          <w:p w14:paraId="0BD7E660" w14:textId="1EA8C238" w:rsidR="001D6E51" w:rsidRPr="00A31543" w:rsidRDefault="00696519" w:rsidP="006D67C5">
            <w:pPr>
              <w:pStyle w:val="TableText0"/>
              <w:jc w:val="center"/>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00F14EBF" w:rsidRPr="00F14EBF">
              <w:rPr>
                <w:vertAlign w:val="superscript"/>
              </w:rPr>
              <w:t>1</w:t>
            </w:r>
          </w:p>
        </w:tc>
      </w:tr>
      <w:tr w:rsidR="008B6130" w:rsidRPr="00484AE9" w14:paraId="3A5CE68B" w14:textId="77777777" w:rsidTr="006D67C5">
        <w:trPr>
          <w:cantSplit/>
        </w:trPr>
        <w:tc>
          <w:tcPr>
            <w:tcW w:w="935" w:type="pct"/>
            <w:shd w:val="clear" w:color="auto" w:fill="auto"/>
            <w:vAlign w:val="center"/>
          </w:tcPr>
          <w:p w14:paraId="27D70523" w14:textId="428B2E90" w:rsidR="001D6E51" w:rsidRPr="00484AE9" w:rsidRDefault="001D6E51" w:rsidP="006D67C5">
            <w:pPr>
              <w:pStyle w:val="TableText0"/>
            </w:pPr>
            <w:r w:rsidRPr="00484AE9">
              <w:t>QALYS lost</w:t>
            </w:r>
          </w:p>
        </w:tc>
        <w:tc>
          <w:tcPr>
            <w:tcW w:w="1007" w:type="pct"/>
            <w:shd w:val="clear" w:color="auto" w:fill="auto"/>
          </w:tcPr>
          <w:p w14:paraId="7EECDBFD" w14:textId="279486FE" w:rsidR="001D6E51" w:rsidRPr="00484AE9" w:rsidRDefault="001D6E51" w:rsidP="003E2A1F">
            <w:pPr>
              <w:pStyle w:val="TableText0"/>
              <w:jc w:val="center"/>
            </w:pPr>
            <w:r w:rsidRPr="00484AE9">
              <w:t>0.0548</w:t>
            </w:r>
          </w:p>
        </w:tc>
        <w:tc>
          <w:tcPr>
            <w:tcW w:w="1010" w:type="pct"/>
            <w:shd w:val="clear" w:color="auto" w:fill="auto"/>
          </w:tcPr>
          <w:p w14:paraId="5FC075AA" w14:textId="2409D28C" w:rsidR="001D6E51" w:rsidRPr="00484AE9" w:rsidRDefault="004D260B" w:rsidP="003E2A1F">
            <w:pPr>
              <w:pStyle w:val="TableText0"/>
              <w:jc w:val="center"/>
            </w:pPr>
            <w:r w:rsidRPr="00484AE9">
              <w:t>0.2012</w:t>
            </w:r>
          </w:p>
        </w:tc>
        <w:tc>
          <w:tcPr>
            <w:tcW w:w="1009" w:type="pct"/>
            <w:shd w:val="clear" w:color="auto" w:fill="auto"/>
          </w:tcPr>
          <w:p w14:paraId="4FB8F004" w14:textId="303E6CB4" w:rsidR="001D6E51" w:rsidRPr="00484AE9" w:rsidRDefault="001F6A5B" w:rsidP="003E2A1F">
            <w:pPr>
              <w:pStyle w:val="TableText0"/>
              <w:jc w:val="center"/>
            </w:pPr>
            <w:r w:rsidRPr="00484AE9">
              <w:t>0.1464</w:t>
            </w:r>
          </w:p>
        </w:tc>
        <w:tc>
          <w:tcPr>
            <w:tcW w:w="1039" w:type="pct"/>
            <w:vMerge/>
            <w:shd w:val="clear" w:color="auto" w:fill="auto"/>
            <w:vAlign w:val="center"/>
          </w:tcPr>
          <w:p w14:paraId="756EE53A" w14:textId="07F4A70A" w:rsidR="001D6E51" w:rsidRPr="00484AE9" w:rsidRDefault="001D6E51" w:rsidP="006D67C5">
            <w:pPr>
              <w:pStyle w:val="TableText0"/>
              <w:jc w:val="center"/>
            </w:pPr>
          </w:p>
        </w:tc>
      </w:tr>
      <w:tr w:rsidR="008B6130" w:rsidRPr="00484AE9" w14:paraId="51BFFB42" w14:textId="77777777" w:rsidTr="006D67C5">
        <w:trPr>
          <w:cantSplit/>
          <w:tblHeader/>
        </w:trPr>
        <w:tc>
          <w:tcPr>
            <w:tcW w:w="5000" w:type="pct"/>
            <w:gridSpan w:val="5"/>
            <w:shd w:val="clear" w:color="auto" w:fill="FFFFFF"/>
            <w:vAlign w:val="center"/>
          </w:tcPr>
          <w:p w14:paraId="6870FDA8" w14:textId="03FE3B4C" w:rsidR="00540217" w:rsidRPr="00484AE9" w:rsidRDefault="00540217" w:rsidP="006D67C5">
            <w:pPr>
              <w:pStyle w:val="In-tableHeading"/>
              <w:rPr>
                <w:b w:val="0"/>
                <w:bCs/>
                <w:lang w:val="en-AU"/>
              </w:rPr>
            </w:pPr>
            <w:r w:rsidRPr="00484AE9">
              <w:rPr>
                <w:lang w:val="en-AU"/>
              </w:rPr>
              <w:t xml:space="preserve">Cohort: </w:t>
            </w:r>
            <w:r w:rsidR="0076492B" w:rsidRPr="00484AE9">
              <w:rPr>
                <w:lang w:val="en-AU"/>
              </w:rPr>
              <w:t>Aged ≥18 and immune-compromised*</w:t>
            </w:r>
          </w:p>
        </w:tc>
      </w:tr>
      <w:tr w:rsidR="008B6130" w:rsidRPr="00484AE9" w14:paraId="01A3C7F8" w14:textId="77777777" w:rsidTr="00C671FE">
        <w:trPr>
          <w:cantSplit/>
        </w:trPr>
        <w:tc>
          <w:tcPr>
            <w:tcW w:w="935" w:type="pct"/>
            <w:shd w:val="clear" w:color="auto" w:fill="auto"/>
            <w:vAlign w:val="center"/>
          </w:tcPr>
          <w:p w14:paraId="4D16FC07" w14:textId="77777777" w:rsidR="00973431" w:rsidRPr="00484AE9" w:rsidRDefault="00973431" w:rsidP="006D67C5">
            <w:pPr>
              <w:pStyle w:val="TableText0"/>
            </w:pPr>
            <w:r w:rsidRPr="00484AE9">
              <w:t>Costs</w:t>
            </w:r>
          </w:p>
        </w:tc>
        <w:tc>
          <w:tcPr>
            <w:tcW w:w="1016" w:type="pct"/>
            <w:shd w:val="clear" w:color="auto" w:fill="auto"/>
          </w:tcPr>
          <w:p w14:paraId="05CF6559" w14:textId="1E3C13E8" w:rsidR="00973431" w:rsidRPr="00A31543" w:rsidRDefault="00696519" w:rsidP="00973431">
            <w:pPr>
              <w:pStyle w:val="TableText0"/>
              <w:jc w:val="center"/>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Pr="00696519">
              <w:t xml:space="preserve"> </w:t>
            </w:r>
          </w:p>
        </w:tc>
        <w:tc>
          <w:tcPr>
            <w:tcW w:w="1017" w:type="pct"/>
            <w:shd w:val="clear" w:color="auto" w:fill="auto"/>
          </w:tcPr>
          <w:p w14:paraId="006FC1C8" w14:textId="70932B2A" w:rsidR="00973431" w:rsidRPr="00484AE9" w:rsidRDefault="00973431" w:rsidP="00973431">
            <w:pPr>
              <w:pStyle w:val="TableText0"/>
              <w:jc w:val="center"/>
            </w:pPr>
            <w:r w:rsidRPr="00484AE9">
              <w:t>$681.48</w:t>
            </w:r>
          </w:p>
        </w:tc>
        <w:tc>
          <w:tcPr>
            <w:tcW w:w="1017" w:type="pct"/>
            <w:shd w:val="clear" w:color="auto" w:fill="auto"/>
          </w:tcPr>
          <w:p w14:paraId="5A69BCD8" w14:textId="0727BFA4" w:rsidR="00973431" w:rsidRPr="00484AE9" w:rsidRDefault="00696519" w:rsidP="00973431">
            <w:pPr>
              <w:pStyle w:val="TableText0"/>
              <w:jc w:val="center"/>
            </w:pPr>
            <w:r w:rsidRPr="00696519">
              <w:t xml:space="preserve"> </w:t>
            </w:r>
            <w:r w:rsidRPr="00696519">
              <w:rPr>
                <w:color w:val="000000"/>
                <w:shd w:val="solid" w:color="000000" w:fill="000000"/>
                <w14:textFill>
                  <w14:solidFill>
                    <w14:srgbClr w14:val="000000">
                      <w14:alpha w14:val="100000"/>
                    </w14:srgbClr>
                  </w14:solidFill>
                </w14:textFill>
              </w:rPr>
              <w:t>|</w:t>
            </w:r>
            <w:r w:rsidR="001A5252">
              <w:t xml:space="preserve"> </w:t>
            </w:r>
          </w:p>
        </w:tc>
        <w:tc>
          <w:tcPr>
            <w:tcW w:w="1015" w:type="pct"/>
            <w:vMerge w:val="restart"/>
            <w:shd w:val="clear" w:color="auto" w:fill="auto"/>
            <w:vAlign w:val="center"/>
          </w:tcPr>
          <w:p w14:paraId="257E843C" w14:textId="1F8FF456" w:rsidR="00973431" w:rsidRPr="00A31543" w:rsidRDefault="00696519" w:rsidP="006D67C5">
            <w:pPr>
              <w:pStyle w:val="TableText0"/>
              <w:jc w:val="center"/>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00F14EBF">
              <w:rPr>
                <w:vertAlign w:val="superscript"/>
              </w:rPr>
              <w:t>2</w:t>
            </w:r>
          </w:p>
        </w:tc>
      </w:tr>
      <w:tr w:rsidR="008B6130" w:rsidRPr="00484AE9" w14:paraId="06CDAE4A" w14:textId="77777777" w:rsidTr="00C671FE">
        <w:trPr>
          <w:cantSplit/>
        </w:trPr>
        <w:tc>
          <w:tcPr>
            <w:tcW w:w="935" w:type="pct"/>
            <w:shd w:val="clear" w:color="auto" w:fill="auto"/>
            <w:vAlign w:val="center"/>
          </w:tcPr>
          <w:p w14:paraId="033B243A" w14:textId="77777777" w:rsidR="00973431" w:rsidRPr="00484AE9" w:rsidRDefault="00973431" w:rsidP="006D67C5">
            <w:pPr>
              <w:pStyle w:val="TableText0"/>
            </w:pPr>
            <w:r w:rsidRPr="00484AE9">
              <w:t>QALYS lost</w:t>
            </w:r>
          </w:p>
        </w:tc>
        <w:tc>
          <w:tcPr>
            <w:tcW w:w="1016" w:type="pct"/>
            <w:shd w:val="clear" w:color="auto" w:fill="auto"/>
          </w:tcPr>
          <w:p w14:paraId="0EE98237" w14:textId="7EFB4060" w:rsidR="00973431" w:rsidRPr="00484AE9" w:rsidRDefault="00973431" w:rsidP="00973431">
            <w:pPr>
              <w:pStyle w:val="TableText0"/>
              <w:jc w:val="center"/>
            </w:pPr>
            <w:r w:rsidRPr="00484AE9">
              <w:t>0.1233</w:t>
            </w:r>
          </w:p>
        </w:tc>
        <w:tc>
          <w:tcPr>
            <w:tcW w:w="1017" w:type="pct"/>
            <w:shd w:val="clear" w:color="auto" w:fill="auto"/>
          </w:tcPr>
          <w:p w14:paraId="2F353F59" w14:textId="761A695B" w:rsidR="00973431" w:rsidRPr="00484AE9" w:rsidRDefault="00973431" w:rsidP="00973431">
            <w:pPr>
              <w:pStyle w:val="TableText0"/>
              <w:jc w:val="center"/>
            </w:pPr>
            <w:r w:rsidRPr="00484AE9">
              <w:t>0.4750</w:t>
            </w:r>
          </w:p>
        </w:tc>
        <w:tc>
          <w:tcPr>
            <w:tcW w:w="1017" w:type="pct"/>
            <w:shd w:val="clear" w:color="auto" w:fill="auto"/>
          </w:tcPr>
          <w:p w14:paraId="28CC0FD7" w14:textId="7A3198E8" w:rsidR="00973431" w:rsidRPr="00484AE9" w:rsidRDefault="00973431" w:rsidP="00973431">
            <w:pPr>
              <w:pStyle w:val="TableText0"/>
              <w:jc w:val="center"/>
            </w:pPr>
            <w:r w:rsidRPr="00484AE9">
              <w:t>0.3517</w:t>
            </w:r>
          </w:p>
        </w:tc>
        <w:tc>
          <w:tcPr>
            <w:tcW w:w="1015" w:type="pct"/>
            <w:vMerge/>
            <w:shd w:val="clear" w:color="auto" w:fill="auto"/>
            <w:vAlign w:val="center"/>
          </w:tcPr>
          <w:p w14:paraId="37886669" w14:textId="77777777" w:rsidR="00973431" w:rsidRPr="00484AE9" w:rsidRDefault="00973431" w:rsidP="006D67C5">
            <w:pPr>
              <w:pStyle w:val="TableText0"/>
              <w:jc w:val="center"/>
            </w:pPr>
          </w:p>
        </w:tc>
      </w:tr>
      <w:tr w:rsidR="008B6130" w:rsidRPr="00484AE9" w14:paraId="7AC45778" w14:textId="77777777" w:rsidTr="006D67C5">
        <w:trPr>
          <w:cantSplit/>
          <w:tblHeader/>
        </w:trPr>
        <w:tc>
          <w:tcPr>
            <w:tcW w:w="5000" w:type="pct"/>
            <w:gridSpan w:val="5"/>
            <w:shd w:val="clear" w:color="auto" w:fill="FFFFFF"/>
            <w:vAlign w:val="center"/>
          </w:tcPr>
          <w:p w14:paraId="31468E0D" w14:textId="6FA01FD7" w:rsidR="009C3063" w:rsidRPr="00484AE9" w:rsidRDefault="009C3063" w:rsidP="006D67C5">
            <w:pPr>
              <w:pStyle w:val="In-tableHeading"/>
              <w:rPr>
                <w:b w:val="0"/>
                <w:bCs/>
                <w:lang w:val="en-AU"/>
              </w:rPr>
            </w:pPr>
            <w:r w:rsidRPr="00484AE9">
              <w:rPr>
                <w:lang w:val="en-AU"/>
              </w:rPr>
              <w:t xml:space="preserve">Cohort: </w:t>
            </w:r>
            <w:r w:rsidR="00414D19" w:rsidRPr="00484AE9">
              <w:rPr>
                <w:lang w:val="en-AU"/>
              </w:rPr>
              <w:t>Aboriginal and Torres Strait Islander people</w:t>
            </w:r>
            <w:r w:rsidR="00626862" w:rsidRPr="00484AE9">
              <w:rPr>
                <w:lang w:val="en-AU"/>
              </w:rPr>
              <w:t xml:space="preserve"> aged ≥ 30 and ≥ 1 risk factor</w:t>
            </w:r>
          </w:p>
        </w:tc>
      </w:tr>
      <w:tr w:rsidR="008B6130" w:rsidRPr="00484AE9" w14:paraId="0A33407E" w14:textId="77777777" w:rsidTr="00C671FE">
        <w:trPr>
          <w:cantSplit/>
        </w:trPr>
        <w:tc>
          <w:tcPr>
            <w:tcW w:w="935" w:type="pct"/>
            <w:shd w:val="clear" w:color="auto" w:fill="auto"/>
            <w:vAlign w:val="center"/>
          </w:tcPr>
          <w:p w14:paraId="595C9320" w14:textId="77777777" w:rsidR="00C671FE" w:rsidRPr="00484AE9" w:rsidRDefault="00C671FE" w:rsidP="00C671FE">
            <w:pPr>
              <w:pStyle w:val="TableText0"/>
            </w:pPr>
            <w:r w:rsidRPr="00484AE9">
              <w:t>Costs</w:t>
            </w:r>
          </w:p>
        </w:tc>
        <w:tc>
          <w:tcPr>
            <w:tcW w:w="1016" w:type="pct"/>
            <w:shd w:val="clear" w:color="auto" w:fill="auto"/>
          </w:tcPr>
          <w:p w14:paraId="4F850844" w14:textId="00FC836A" w:rsidR="00C671FE" w:rsidRPr="00F76D9A" w:rsidRDefault="00696519" w:rsidP="00C671FE">
            <w:pPr>
              <w:pStyle w:val="TableText0"/>
              <w:jc w:val="center"/>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Pr="00696519">
              <w:t xml:space="preserve"> </w:t>
            </w:r>
          </w:p>
        </w:tc>
        <w:tc>
          <w:tcPr>
            <w:tcW w:w="1017" w:type="pct"/>
            <w:shd w:val="clear" w:color="auto" w:fill="auto"/>
          </w:tcPr>
          <w:p w14:paraId="3D9B0A25" w14:textId="44C39B2C" w:rsidR="00C671FE" w:rsidRPr="00484AE9" w:rsidRDefault="00C671FE" w:rsidP="00C671FE">
            <w:pPr>
              <w:pStyle w:val="TableText0"/>
              <w:jc w:val="center"/>
            </w:pPr>
            <w:r w:rsidRPr="00484AE9">
              <w:t>$603.04</w:t>
            </w:r>
          </w:p>
        </w:tc>
        <w:tc>
          <w:tcPr>
            <w:tcW w:w="1017" w:type="pct"/>
            <w:shd w:val="clear" w:color="auto" w:fill="auto"/>
          </w:tcPr>
          <w:p w14:paraId="7FE1076D" w14:textId="003B5DDD" w:rsidR="00C671FE" w:rsidRPr="00484AE9" w:rsidRDefault="00696519" w:rsidP="00C671FE">
            <w:pPr>
              <w:pStyle w:val="TableText0"/>
              <w:jc w:val="center"/>
            </w:pPr>
            <w:r w:rsidRPr="00696519">
              <w:t xml:space="preserve"> </w:t>
            </w:r>
            <w:r w:rsidRPr="00696519">
              <w:rPr>
                <w:color w:val="000000"/>
                <w:shd w:val="solid" w:color="000000" w:fill="000000"/>
                <w14:textFill>
                  <w14:solidFill>
                    <w14:srgbClr w14:val="000000">
                      <w14:alpha w14:val="100000"/>
                    </w14:srgbClr>
                  </w14:solidFill>
                </w14:textFill>
              </w:rPr>
              <w:t>|</w:t>
            </w:r>
            <w:r w:rsidR="001A5252">
              <w:t xml:space="preserve"> </w:t>
            </w:r>
          </w:p>
        </w:tc>
        <w:tc>
          <w:tcPr>
            <w:tcW w:w="1015" w:type="pct"/>
            <w:vMerge w:val="restart"/>
            <w:shd w:val="clear" w:color="auto" w:fill="auto"/>
            <w:vAlign w:val="center"/>
          </w:tcPr>
          <w:p w14:paraId="13284031" w14:textId="7AD0AD52" w:rsidR="00C671FE" w:rsidRPr="00F76D9A" w:rsidRDefault="00696519" w:rsidP="00C671FE">
            <w:pPr>
              <w:pStyle w:val="TableText0"/>
              <w:jc w:val="center"/>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004528EE">
              <w:rPr>
                <w:vertAlign w:val="superscript"/>
              </w:rPr>
              <w:t>1</w:t>
            </w:r>
          </w:p>
        </w:tc>
      </w:tr>
      <w:tr w:rsidR="008B6130" w:rsidRPr="00484AE9" w14:paraId="4F824C24" w14:textId="77777777" w:rsidTr="00C671FE">
        <w:trPr>
          <w:cantSplit/>
        </w:trPr>
        <w:tc>
          <w:tcPr>
            <w:tcW w:w="935" w:type="pct"/>
            <w:shd w:val="clear" w:color="auto" w:fill="auto"/>
            <w:vAlign w:val="center"/>
          </w:tcPr>
          <w:p w14:paraId="6B3DC716" w14:textId="77777777" w:rsidR="00C671FE" w:rsidRPr="00484AE9" w:rsidRDefault="00C671FE" w:rsidP="00C671FE">
            <w:pPr>
              <w:pStyle w:val="TableText0"/>
            </w:pPr>
            <w:r w:rsidRPr="00484AE9">
              <w:t>QALYS lost</w:t>
            </w:r>
          </w:p>
        </w:tc>
        <w:tc>
          <w:tcPr>
            <w:tcW w:w="1016" w:type="pct"/>
            <w:shd w:val="clear" w:color="auto" w:fill="auto"/>
          </w:tcPr>
          <w:p w14:paraId="3C0B825D" w14:textId="3416A704" w:rsidR="00C671FE" w:rsidRPr="00484AE9" w:rsidRDefault="00C671FE" w:rsidP="00C671FE">
            <w:pPr>
              <w:pStyle w:val="TableText0"/>
              <w:jc w:val="center"/>
            </w:pPr>
            <w:r w:rsidRPr="00484AE9">
              <w:t>0.0715</w:t>
            </w:r>
          </w:p>
        </w:tc>
        <w:tc>
          <w:tcPr>
            <w:tcW w:w="1017" w:type="pct"/>
            <w:shd w:val="clear" w:color="auto" w:fill="auto"/>
          </w:tcPr>
          <w:p w14:paraId="20950EDE" w14:textId="24AE259A" w:rsidR="00C671FE" w:rsidRPr="00484AE9" w:rsidRDefault="00C671FE" w:rsidP="00C671FE">
            <w:pPr>
              <w:pStyle w:val="TableText0"/>
              <w:jc w:val="center"/>
            </w:pPr>
            <w:r w:rsidRPr="00484AE9">
              <w:t>0.2678</w:t>
            </w:r>
          </w:p>
        </w:tc>
        <w:tc>
          <w:tcPr>
            <w:tcW w:w="1017" w:type="pct"/>
            <w:shd w:val="clear" w:color="auto" w:fill="auto"/>
          </w:tcPr>
          <w:p w14:paraId="11680F67" w14:textId="448F00E8" w:rsidR="00C671FE" w:rsidRPr="00484AE9" w:rsidRDefault="00C671FE" w:rsidP="00C671FE">
            <w:pPr>
              <w:pStyle w:val="TableText0"/>
              <w:jc w:val="center"/>
            </w:pPr>
            <w:r w:rsidRPr="00484AE9">
              <w:t>0.1964</w:t>
            </w:r>
          </w:p>
        </w:tc>
        <w:tc>
          <w:tcPr>
            <w:tcW w:w="1015" w:type="pct"/>
            <w:vMerge/>
            <w:shd w:val="clear" w:color="auto" w:fill="auto"/>
          </w:tcPr>
          <w:p w14:paraId="60239119" w14:textId="77777777" w:rsidR="00C671FE" w:rsidRPr="00484AE9" w:rsidRDefault="00C671FE" w:rsidP="00C671FE">
            <w:pPr>
              <w:pStyle w:val="TableText0"/>
              <w:jc w:val="center"/>
            </w:pPr>
          </w:p>
        </w:tc>
      </w:tr>
      <w:tr w:rsidR="008B6130" w:rsidRPr="00484AE9" w14:paraId="5CC921F7" w14:textId="77777777" w:rsidTr="006D67C5">
        <w:trPr>
          <w:cantSplit/>
          <w:tblHeader/>
        </w:trPr>
        <w:tc>
          <w:tcPr>
            <w:tcW w:w="5000" w:type="pct"/>
            <w:gridSpan w:val="5"/>
            <w:shd w:val="clear" w:color="auto" w:fill="FFFFFF"/>
            <w:vAlign w:val="center"/>
          </w:tcPr>
          <w:p w14:paraId="6A1C5A82" w14:textId="72227D40" w:rsidR="009C3063" w:rsidRPr="00484AE9" w:rsidRDefault="009C3063" w:rsidP="006D67C5">
            <w:pPr>
              <w:pStyle w:val="In-tableHeading"/>
              <w:rPr>
                <w:b w:val="0"/>
                <w:bCs/>
                <w:lang w:val="en-AU"/>
              </w:rPr>
            </w:pPr>
            <w:r w:rsidRPr="00484AE9">
              <w:rPr>
                <w:lang w:val="en-AU"/>
              </w:rPr>
              <w:t xml:space="preserve">Cohort: </w:t>
            </w:r>
            <w:r w:rsidR="00414D19" w:rsidRPr="00484AE9">
              <w:rPr>
                <w:lang w:val="en-AU"/>
              </w:rPr>
              <w:t>Aged 50-69 &amp; ≥ 1 risk factor</w:t>
            </w:r>
          </w:p>
        </w:tc>
      </w:tr>
      <w:tr w:rsidR="008B6130" w:rsidRPr="00484AE9" w14:paraId="60A453F9" w14:textId="77777777" w:rsidTr="007F5E0E">
        <w:trPr>
          <w:cantSplit/>
        </w:trPr>
        <w:tc>
          <w:tcPr>
            <w:tcW w:w="935" w:type="pct"/>
            <w:shd w:val="clear" w:color="auto" w:fill="auto"/>
            <w:vAlign w:val="center"/>
          </w:tcPr>
          <w:p w14:paraId="2B28DA6C" w14:textId="77777777" w:rsidR="007F5E0E" w:rsidRPr="00484AE9" w:rsidRDefault="007F5E0E" w:rsidP="007F5E0E">
            <w:pPr>
              <w:pStyle w:val="TableText0"/>
            </w:pPr>
            <w:r w:rsidRPr="00484AE9">
              <w:t>Costs</w:t>
            </w:r>
          </w:p>
        </w:tc>
        <w:tc>
          <w:tcPr>
            <w:tcW w:w="1016" w:type="pct"/>
            <w:shd w:val="clear" w:color="auto" w:fill="auto"/>
          </w:tcPr>
          <w:p w14:paraId="595024F8" w14:textId="11411453" w:rsidR="007F5E0E" w:rsidRPr="00484AE9" w:rsidRDefault="00696519" w:rsidP="007F5E0E">
            <w:pPr>
              <w:pStyle w:val="TableText0"/>
              <w:jc w:val="center"/>
            </w:pPr>
            <w:r w:rsidRPr="00696519">
              <w:t xml:space="preserve"> </w:t>
            </w:r>
            <w:r w:rsidRPr="00696519">
              <w:rPr>
                <w:color w:val="000000"/>
                <w:shd w:val="solid" w:color="000000" w:fill="000000"/>
                <w14:textFill>
                  <w14:solidFill>
                    <w14:srgbClr w14:val="000000">
                      <w14:alpha w14:val="100000"/>
                    </w14:srgbClr>
                  </w14:solidFill>
                </w14:textFill>
              </w:rPr>
              <w:t>|</w:t>
            </w:r>
            <w:r w:rsidR="001A5252">
              <w:t xml:space="preserve"> </w:t>
            </w:r>
          </w:p>
        </w:tc>
        <w:tc>
          <w:tcPr>
            <w:tcW w:w="1017" w:type="pct"/>
            <w:shd w:val="clear" w:color="auto" w:fill="auto"/>
          </w:tcPr>
          <w:p w14:paraId="72A71FB9" w14:textId="1F544741" w:rsidR="007F5E0E" w:rsidRPr="00484AE9" w:rsidRDefault="007F5E0E" w:rsidP="007F5E0E">
            <w:pPr>
              <w:pStyle w:val="TableText0"/>
              <w:jc w:val="center"/>
            </w:pPr>
            <w:r w:rsidRPr="00484AE9">
              <w:t>$474.68</w:t>
            </w:r>
          </w:p>
        </w:tc>
        <w:tc>
          <w:tcPr>
            <w:tcW w:w="1017" w:type="pct"/>
            <w:shd w:val="clear" w:color="auto" w:fill="auto"/>
          </w:tcPr>
          <w:p w14:paraId="1078F00D" w14:textId="3A7EFD8E" w:rsidR="007F5E0E" w:rsidRPr="00484AE9" w:rsidRDefault="00696519" w:rsidP="007F5E0E">
            <w:pPr>
              <w:pStyle w:val="TableText0"/>
              <w:jc w:val="center"/>
            </w:pPr>
            <w:r w:rsidRPr="00696519">
              <w:t xml:space="preserve"> </w:t>
            </w:r>
            <w:r w:rsidRPr="00696519">
              <w:rPr>
                <w:color w:val="000000"/>
                <w:shd w:val="solid" w:color="000000" w:fill="000000"/>
                <w14:textFill>
                  <w14:solidFill>
                    <w14:srgbClr w14:val="000000">
                      <w14:alpha w14:val="100000"/>
                    </w14:srgbClr>
                  </w14:solidFill>
                </w14:textFill>
              </w:rPr>
              <w:t>|</w:t>
            </w:r>
            <w:r w:rsidR="001A5252">
              <w:t xml:space="preserve"> </w:t>
            </w:r>
          </w:p>
        </w:tc>
        <w:tc>
          <w:tcPr>
            <w:tcW w:w="1015" w:type="pct"/>
            <w:vMerge w:val="restart"/>
            <w:shd w:val="clear" w:color="auto" w:fill="auto"/>
            <w:vAlign w:val="center"/>
          </w:tcPr>
          <w:p w14:paraId="6326C018" w14:textId="7B0E5CAB" w:rsidR="007F5E0E" w:rsidRPr="00F76D9A" w:rsidRDefault="00696519" w:rsidP="007F5E0E">
            <w:pPr>
              <w:pStyle w:val="TableText0"/>
              <w:jc w:val="center"/>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001A5252" w:rsidRPr="00F76D9A">
              <w:rPr>
                <w:vertAlign w:val="superscript"/>
              </w:rPr>
              <w:t>3</w:t>
            </w:r>
          </w:p>
        </w:tc>
      </w:tr>
      <w:tr w:rsidR="008B6130" w:rsidRPr="00484AE9" w14:paraId="2B61ED1A" w14:textId="77777777" w:rsidTr="00C671FE">
        <w:trPr>
          <w:cantSplit/>
        </w:trPr>
        <w:tc>
          <w:tcPr>
            <w:tcW w:w="935" w:type="pct"/>
            <w:shd w:val="clear" w:color="auto" w:fill="auto"/>
            <w:vAlign w:val="center"/>
          </w:tcPr>
          <w:p w14:paraId="1B366FF2" w14:textId="77777777" w:rsidR="007F5E0E" w:rsidRPr="00484AE9" w:rsidRDefault="007F5E0E" w:rsidP="007F5E0E">
            <w:pPr>
              <w:pStyle w:val="TableText0"/>
            </w:pPr>
            <w:r w:rsidRPr="00484AE9">
              <w:t>QALYS lost</w:t>
            </w:r>
          </w:p>
        </w:tc>
        <w:tc>
          <w:tcPr>
            <w:tcW w:w="1016" w:type="pct"/>
            <w:shd w:val="clear" w:color="auto" w:fill="auto"/>
          </w:tcPr>
          <w:p w14:paraId="12714D64" w14:textId="2A613A02" w:rsidR="007F5E0E" w:rsidRPr="00484AE9" w:rsidRDefault="007F5E0E" w:rsidP="007F5E0E">
            <w:pPr>
              <w:pStyle w:val="TableText0"/>
              <w:jc w:val="center"/>
            </w:pPr>
            <w:r w:rsidRPr="00484AE9">
              <w:t>0.0293</w:t>
            </w:r>
          </w:p>
        </w:tc>
        <w:tc>
          <w:tcPr>
            <w:tcW w:w="1017" w:type="pct"/>
            <w:shd w:val="clear" w:color="auto" w:fill="auto"/>
          </w:tcPr>
          <w:p w14:paraId="1FB2AAD4" w14:textId="36DB42AB" w:rsidR="007F5E0E" w:rsidRPr="00484AE9" w:rsidRDefault="007F5E0E" w:rsidP="007F5E0E">
            <w:pPr>
              <w:pStyle w:val="TableText0"/>
              <w:jc w:val="center"/>
            </w:pPr>
            <w:r w:rsidRPr="00484AE9">
              <w:t>0.0991</w:t>
            </w:r>
          </w:p>
        </w:tc>
        <w:tc>
          <w:tcPr>
            <w:tcW w:w="1017" w:type="pct"/>
            <w:shd w:val="clear" w:color="auto" w:fill="auto"/>
          </w:tcPr>
          <w:p w14:paraId="24505505" w14:textId="5BAC90F0" w:rsidR="007F5E0E" w:rsidRPr="00484AE9" w:rsidRDefault="007F5E0E" w:rsidP="007F5E0E">
            <w:pPr>
              <w:pStyle w:val="TableText0"/>
              <w:jc w:val="center"/>
            </w:pPr>
            <w:r w:rsidRPr="00484AE9">
              <w:t>0.0698</w:t>
            </w:r>
          </w:p>
        </w:tc>
        <w:tc>
          <w:tcPr>
            <w:tcW w:w="1015" w:type="pct"/>
            <w:vMerge/>
            <w:shd w:val="clear" w:color="auto" w:fill="auto"/>
          </w:tcPr>
          <w:p w14:paraId="38DA57AA" w14:textId="77777777" w:rsidR="007F5E0E" w:rsidRPr="00484AE9" w:rsidRDefault="007F5E0E" w:rsidP="007F5E0E">
            <w:pPr>
              <w:pStyle w:val="TableText0"/>
              <w:jc w:val="center"/>
            </w:pPr>
          </w:p>
        </w:tc>
      </w:tr>
    </w:tbl>
    <w:p w14:paraId="059E4C81" w14:textId="1A5CEB1E" w:rsidR="007638E7" w:rsidRPr="00484AE9" w:rsidRDefault="007638E7" w:rsidP="007638E7">
      <w:pPr>
        <w:pStyle w:val="FooterTableFigure"/>
        <w:rPr>
          <w:rStyle w:val="CommentReference"/>
        </w:rPr>
      </w:pPr>
      <w:r w:rsidRPr="00484AE9">
        <w:t xml:space="preserve">Source: </w:t>
      </w:r>
      <w:r w:rsidR="00702BE2" w:rsidRPr="00484AE9">
        <w:t>Table 3.8.4 on p</w:t>
      </w:r>
      <w:r w:rsidR="0096068E" w:rsidRPr="00484AE9">
        <w:t>209 of the submission</w:t>
      </w:r>
    </w:p>
    <w:p w14:paraId="24E99894" w14:textId="52105234" w:rsidR="007638E7" w:rsidRPr="00484AE9" w:rsidRDefault="007638E7" w:rsidP="007638E7">
      <w:pPr>
        <w:pStyle w:val="FooterTableFigure"/>
        <w:rPr>
          <w:rFonts w:eastAsia="Calibri"/>
          <w:szCs w:val="20"/>
        </w:rPr>
      </w:pPr>
      <w:r w:rsidRPr="00484AE9">
        <w:rPr>
          <w:rFonts w:eastAsia="Calibri"/>
          <w:szCs w:val="20"/>
        </w:rPr>
        <w:t>QALY = quality adjusted life year</w:t>
      </w:r>
    </w:p>
    <w:p w14:paraId="2E96A85C" w14:textId="7225819D" w:rsidR="008A5017" w:rsidRDefault="008A5017" w:rsidP="007638E7">
      <w:pPr>
        <w:pStyle w:val="FooterTableFigure"/>
      </w:pPr>
      <w:r w:rsidRPr="00484AE9">
        <w:lastRenderedPageBreak/>
        <w:t>* assumed to include patients aged ≥18 previously requiring hospitalisation for COVID-19</w:t>
      </w:r>
    </w:p>
    <w:p w14:paraId="7AA4DF6F" w14:textId="77777777" w:rsidR="001A5252" w:rsidRPr="001A5252" w:rsidRDefault="001A5252" w:rsidP="001A5252">
      <w:pPr>
        <w:pStyle w:val="FooterTableFigure"/>
        <w:rPr>
          <w:rFonts w:eastAsia="Calibri"/>
          <w:i/>
          <w:iCs/>
          <w:szCs w:val="20"/>
        </w:rPr>
      </w:pPr>
      <w:bookmarkStart w:id="127" w:name="_Hlk155790479"/>
      <w:r w:rsidRPr="001A5252">
        <w:rPr>
          <w:rFonts w:eastAsia="Calibri"/>
          <w:i/>
          <w:iCs/>
          <w:szCs w:val="20"/>
        </w:rPr>
        <w:t>The redacted values correspond to the following ranges:</w:t>
      </w:r>
    </w:p>
    <w:p w14:paraId="221C999D" w14:textId="217BE579" w:rsidR="001A5252" w:rsidRPr="004528EE" w:rsidRDefault="001A5252" w:rsidP="001A5252">
      <w:pPr>
        <w:pStyle w:val="FooterTableFigure"/>
        <w:rPr>
          <w:rFonts w:eastAsia="Calibri"/>
          <w:i/>
          <w:iCs/>
          <w:szCs w:val="20"/>
        </w:rPr>
      </w:pPr>
      <w:r w:rsidRPr="004528EE">
        <w:rPr>
          <w:rFonts w:eastAsia="Calibri"/>
          <w:i/>
          <w:iCs/>
          <w:szCs w:val="20"/>
          <w:vertAlign w:val="superscript"/>
        </w:rPr>
        <w:t>1</w:t>
      </w:r>
      <w:r w:rsidRPr="004528EE">
        <w:rPr>
          <w:rFonts w:eastAsia="Calibri"/>
          <w:i/>
          <w:iCs/>
          <w:szCs w:val="20"/>
        </w:rPr>
        <w:t xml:space="preserve"> </w:t>
      </w:r>
      <w:r w:rsidR="004528EE" w:rsidRPr="00F76D9A">
        <w:rPr>
          <w:rFonts w:eastAsia="Calibri"/>
          <w:i/>
          <w:iCs/>
          <w:szCs w:val="20"/>
        </w:rPr>
        <w:t xml:space="preserve">$5,000 to &lt; $15,000 </w:t>
      </w:r>
    </w:p>
    <w:p w14:paraId="0E096778" w14:textId="69D39F3B" w:rsidR="001A5252" w:rsidRPr="004528EE" w:rsidRDefault="001A5252" w:rsidP="001A5252">
      <w:pPr>
        <w:pStyle w:val="FooterTableFigure"/>
        <w:rPr>
          <w:rFonts w:eastAsia="Calibri"/>
          <w:i/>
          <w:iCs/>
          <w:szCs w:val="20"/>
        </w:rPr>
      </w:pPr>
      <w:r w:rsidRPr="00F76D9A">
        <w:rPr>
          <w:rFonts w:eastAsia="Calibri"/>
          <w:i/>
          <w:iCs/>
          <w:szCs w:val="20"/>
          <w:vertAlign w:val="superscript"/>
        </w:rPr>
        <w:t>2</w:t>
      </w:r>
      <w:r w:rsidRPr="004528EE">
        <w:rPr>
          <w:rFonts w:eastAsia="Calibri"/>
          <w:i/>
          <w:iCs/>
          <w:szCs w:val="20"/>
        </w:rPr>
        <w:t xml:space="preserve"> </w:t>
      </w:r>
      <w:r w:rsidR="004528EE" w:rsidRPr="00F76D9A">
        <w:rPr>
          <w:rFonts w:eastAsia="Calibri"/>
          <w:i/>
          <w:iCs/>
          <w:szCs w:val="20"/>
        </w:rPr>
        <w:t>$0 to &lt; $5,000</w:t>
      </w:r>
    </w:p>
    <w:p w14:paraId="23EA5F25" w14:textId="2A4B3E58" w:rsidR="001A5252" w:rsidRPr="00484AE9" w:rsidRDefault="001A5252" w:rsidP="007638E7">
      <w:pPr>
        <w:pStyle w:val="FooterTableFigure"/>
        <w:rPr>
          <w:rFonts w:eastAsia="Calibri"/>
          <w:szCs w:val="20"/>
        </w:rPr>
      </w:pPr>
      <w:r w:rsidRPr="00F76D9A">
        <w:rPr>
          <w:rFonts w:eastAsia="Calibri"/>
          <w:i/>
          <w:iCs/>
          <w:szCs w:val="20"/>
          <w:vertAlign w:val="superscript"/>
        </w:rPr>
        <w:t xml:space="preserve">3 </w:t>
      </w:r>
      <w:r w:rsidRPr="004528EE">
        <w:rPr>
          <w:rFonts w:eastAsia="Calibri"/>
          <w:i/>
          <w:iCs/>
          <w:szCs w:val="20"/>
        </w:rPr>
        <w:t>$15,000 to &lt; $25,000</w:t>
      </w:r>
      <w:bookmarkEnd w:id="127"/>
    </w:p>
    <w:p w14:paraId="054A82EA" w14:textId="2CF49E82" w:rsidR="00056E63" w:rsidRPr="00484AE9" w:rsidRDefault="0059204A" w:rsidP="00FE0846">
      <w:pPr>
        <w:pStyle w:val="3-BodyText"/>
      </w:pPr>
      <w:bookmarkStart w:id="128" w:name="_Ref144900006"/>
      <w:r w:rsidRPr="00484AE9">
        <w:t xml:space="preserve">The submission also presented cost-effectiveness analyses of molnupiravir versus placebo and of </w:t>
      </w:r>
      <w:r w:rsidRPr="00484AE9">
        <w:rPr>
          <w:color w:val="000000" w:themeColor="text1"/>
        </w:rPr>
        <w:t xml:space="preserve">nirmatrelvir and ritonavir versus molnupiravir. As discussed in paragraphs </w:t>
      </w:r>
      <w:r w:rsidR="00A103AE" w:rsidRPr="00484AE9">
        <w:rPr>
          <w:color w:val="000000" w:themeColor="text1"/>
        </w:rPr>
        <w:fldChar w:fldCharType="begin"/>
      </w:r>
      <w:r w:rsidR="00A103AE" w:rsidRPr="00484AE9">
        <w:rPr>
          <w:color w:val="000000" w:themeColor="text1"/>
        </w:rPr>
        <w:instrText xml:space="preserve"> REF _Ref144999354 \r \h </w:instrText>
      </w:r>
      <w:r w:rsidR="00A103AE" w:rsidRPr="00484AE9">
        <w:rPr>
          <w:color w:val="000000" w:themeColor="text1"/>
        </w:rPr>
      </w:r>
      <w:r w:rsidR="00A103AE" w:rsidRPr="00484AE9">
        <w:rPr>
          <w:color w:val="000000" w:themeColor="text1"/>
        </w:rPr>
        <w:fldChar w:fldCharType="separate"/>
      </w:r>
      <w:r w:rsidR="00872657">
        <w:rPr>
          <w:color w:val="000000" w:themeColor="text1"/>
        </w:rPr>
        <w:t>6.11</w:t>
      </w:r>
      <w:r w:rsidR="00A103AE" w:rsidRPr="00484AE9">
        <w:rPr>
          <w:color w:val="000000" w:themeColor="text1"/>
        </w:rPr>
        <w:fldChar w:fldCharType="end"/>
      </w:r>
      <w:r w:rsidR="00A103AE" w:rsidRPr="00484AE9">
        <w:rPr>
          <w:color w:val="000000" w:themeColor="text1"/>
        </w:rPr>
        <w:t xml:space="preserve"> to </w:t>
      </w:r>
      <w:r w:rsidR="00587C83" w:rsidRPr="00484AE9">
        <w:rPr>
          <w:color w:val="000000" w:themeColor="text1"/>
        </w:rPr>
        <w:fldChar w:fldCharType="begin"/>
      </w:r>
      <w:r w:rsidR="00587C83" w:rsidRPr="00484AE9">
        <w:rPr>
          <w:color w:val="000000" w:themeColor="text1"/>
        </w:rPr>
        <w:instrText xml:space="preserve"> REF _Ref144999447 \r \h </w:instrText>
      </w:r>
      <w:r w:rsidR="00587C83" w:rsidRPr="00484AE9">
        <w:rPr>
          <w:color w:val="000000" w:themeColor="text1"/>
        </w:rPr>
      </w:r>
      <w:r w:rsidR="00587C83" w:rsidRPr="00484AE9">
        <w:rPr>
          <w:color w:val="000000" w:themeColor="text1"/>
        </w:rPr>
        <w:fldChar w:fldCharType="separate"/>
      </w:r>
      <w:r w:rsidR="00872657">
        <w:rPr>
          <w:color w:val="000000" w:themeColor="text1"/>
        </w:rPr>
        <w:t>6.14</w:t>
      </w:r>
      <w:r w:rsidR="00587C83" w:rsidRPr="00484AE9">
        <w:rPr>
          <w:color w:val="000000" w:themeColor="text1"/>
        </w:rPr>
        <w:fldChar w:fldCharType="end"/>
      </w:r>
      <w:r w:rsidRPr="00484AE9">
        <w:rPr>
          <w:color w:val="000000" w:themeColor="text1"/>
        </w:rPr>
        <w:t xml:space="preserve">, </w:t>
      </w:r>
      <w:r w:rsidR="00126A9F" w:rsidRPr="00484AE9">
        <w:rPr>
          <w:color w:val="000000" w:themeColor="text1"/>
        </w:rPr>
        <w:t xml:space="preserve">the meta-analyses that inform these comparisons are incomplete and, </w:t>
      </w:r>
      <w:r w:rsidR="00F43FCD" w:rsidRPr="00484AE9">
        <w:rPr>
          <w:color w:val="000000" w:themeColor="text1"/>
        </w:rPr>
        <w:t xml:space="preserve">an </w:t>
      </w:r>
      <w:r w:rsidR="00126A9F" w:rsidRPr="00484AE9">
        <w:rPr>
          <w:color w:val="000000" w:themeColor="text1"/>
        </w:rPr>
        <w:t>indirect comparison</w:t>
      </w:r>
      <w:r w:rsidR="00F43FCD" w:rsidRPr="00484AE9">
        <w:rPr>
          <w:color w:val="000000" w:themeColor="text1"/>
        </w:rPr>
        <w:t xml:space="preserve"> of nirmatrelvir and ritonavir versus molnupiravir was not presented in the submission.</w:t>
      </w:r>
    </w:p>
    <w:bookmarkStart w:id="129" w:name="_Ref150977471"/>
    <w:p w14:paraId="06EF45E4" w14:textId="7F81960E" w:rsidR="00FE0846" w:rsidRPr="00484AE9" w:rsidRDefault="00FE0846" w:rsidP="001A764C">
      <w:pPr>
        <w:pStyle w:val="3-BodyText"/>
      </w:pPr>
      <w:r w:rsidRPr="00484AE9">
        <w:fldChar w:fldCharType="begin"/>
      </w:r>
      <w:r w:rsidRPr="00484AE9">
        <w:instrText xml:space="preserve"> REF _Ref104805181 \h </w:instrText>
      </w:r>
      <w:r w:rsidRPr="00484AE9">
        <w:fldChar w:fldCharType="separate"/>
      </w:r>
      <w:r w:rsidR="00872657" w:rsidRPr="00484AE9">
        <w:t xml:space="preserve">Table </w:t>
      </w:r>
      <w:r w:rsidR="00872657">
        <w:rPr>
          <w:noProof/>
        </w:rPr>
        <w:t>20</w:t>
      </w:r>
      <w:r w:rsidRPr="00484AE9">
        <w:fldChar w:fldCharType="end"/>
      </w:r>
      <w:r w:rsidRPr="00484AE9">
        <w:t xml:space="preserve"> summarises results of respecified base-case analys</w:t>
      </w:r>
      <w:r w:rsidR="001E7D32" w:rsidRPr="00484AE9">
        <w:t>e</w:t>
      </w:r>
      <w:r w:rsidRPr="00484AE9">
        <w:t>s that</w:t>
      </w:r>
      <w:r w:rsidR="002C37AD" w:rsidRPr="00484AE9">
        <w:t>: (i) removes the treatment effect on the incidence of long COVID</w:t>
      </w:r>
      <w:r w:rsidR="00D51D4D" w:rsidRPr="00484AE9">
        <w:t xml:space="preserve">; (ii) </w:t>
      </w:r>
      <w:r w:rsidRPr="00484AE9">
        <w:t>reduces the baseline risk of death applied in the model</w:t>
      </w:r>
      <w:r w:rsidR="00D51D4D" w:rsidRPr="00484AE9">
        <w:t>;</w:t>
      </w:r>
      <w:r w:rsidRPr="00484AE9">
        <w:t xml:space="preserve"> and </w:t>
      </w:r>
      <w:r w:rsidR="00E541F0" w:rsidRPr="00484AE9">
        <w:t xml:space="preserve">(iii) </w:t>
      </w:r>
      <w:r w:rsidRPr="00484AE9">
        <w:t xml:space="preserve">applies a constant relative risk of </w:t>
      </w:r>
      <w:r w:rsidR="0019074B" w:rsidRPr="00484AE9">
        <w:t>0.30</w:t>
      </w:r>
      <w:r w:rsidRPr="00484AE9">
        <w:t xml:space="preserve"> regardless of event</w:t>
      </w:r>
      <w:r w:rsidR="004A6E80" w:rsidRPr="00484AE9">
        <w:t xml:space="preserve"> (apart from long COVID)</w:t>
      </w:r>
      <w:r w:rsidRPr="00484AE9">
        <w:t xml:space="preserve">. </w:t>
      </w:r>
      <w:r w:rsidR="00502608" w:rsidRPr="00484AE9">
        <w:t>The</w:t>
      </w:r>
      <w:r w:rsidR="002C37AD" w:rsidRPr="00484AE9">
        <w:t xml:space="preserve"> incremental</w:t>
      </w:r>
      <w:r w:rsidR="00502608" w:rsidRPr="00484AE9">
        <w:t xml:space="preserve"> impact of each of these changes is</w:t>
      </w:r>
      <w:r w:rsidR="003F28DA" w:rsidRPr="00484AE9">
        <w:t xml:space="preserve"> shown</w:t>
      </w:r>
      <w:r w:rsidR="002C37AD" w:rsidRPr="00484AE9">
        <w:t xml:space="preserve"> for the cohort of patients aged </w:t>
      </w:r>
      <w:r w:rsidR="002C37AD" w:rsidRPr="00484AE9">
        <w:rPr>
          <w:rFonts w:cstheme="minorHAnsi"/>
        </w:rPr>
        <w:t>≥</w:t>
      </w:r>
      <w:r w:rsidR="002C37AD" w:rsidRPr="00484AE9">
        <w:t xml:space="preserve"> 70 years.</w:t>
      </w:r>
      <w:r w:rsidRPr="00484AE9">
        <w:t xml:space="preserve"> </w:t>
      </w:r>
      <w:r w:rsidRPr="00484AE9">
        <w:fldChar w:fldCharType="begin"/>
      </w:r>
      <w:r w:rsidRPr="00484AE9">
        <w:instrText xml:space="preserve"> REF _Ref104805181 \h </w:instrText>
      </w:r>
      <w:r w:rsidRPr="00484AE9">
        <w:fldChar w:fldCharType="separate"/>
      </w:r>
      <w:r w:rsidR="00872657" w:rsidRPr="00484AE9">
        <w:t xml:space="preserve">Table </w:t>
      </w:r>
      <w:r w:rsidR="00872657">
        <w:rPr>
          <w:noProof/>
        </w:rPr>
        <w:t>20</w:t>
      </w:r>
      <w:r w:rsidRPr="00484AE9">
        <w:fldChar w:fldCharType="end"/>
      </w:r>
      <w:r w:rsidRPr="00484AE9">
        <w:t xml:space="preserve"> also includes an estimate of cost-effectiveness for </w:t>
      </w:r>
      <w:r w:rsidR="000F3BB8" w:rsidRPr="00484AE9">
        <w:t>a cohort</w:t>
      </w:r>
      <w:r w:rsidRPr="00484AE9">
        <w:t xml:space="preserve"> of patients aged 50 - 69 with </w:t>
      </w:r>
      <w:r w:rsidRPr="00484AE9">
        <w:rPr>
          <w:rFonts w:cstheme="minorHAnsi"/>
        </w:rPr>
        <w:t>≥</w:t>
      </w:r>
      <w:r w:rsidRPr="00484AE9">
        <w:t xml:space="preserve"> 2 </w:t>
      </w:r>
      <w:r w:rsidR="00050A98" w:rsidRPr="00484AE9">
        <w:t xml:space="preserve">additional </w:t>
      </w:r>
      <w:r w:rsidRPr="00484AE9">
        <w:t xml:space="preserve">risk factors, consistent with the population that was reimbursed prior to the temporary expansion of the restriction to include patients aged 50 – 69 years with one </w:t>
      </w:r>
      <w:r w:rsidR="006E038D" w:rsidRPr="00484AE9">
        <w:t xml:space="preserve">additional </w:t>
      </w:r>
      <w:r w:rsidRPr="00484AE9">
        <w:t xml:space="preserve">risk factor (discussed at paragraph </w:t>
      </w:r>
      <w:r w:rsidRPr="00484AE9">
        <w:fldChar w:fldCharType="begin"/>
      </w:r>
      <w:r w:rsidRPr="00484AE9">
        <w:instrText xml:space="preserve"> REF _Ref144149929 \r \h </w:instrText>
      </w:r>
      <w:r w:rsidRPr="00484AE9">
        <w:fldChar w:fldCharType="separate"/>
      </w:r>
      <w:r w:rsidR="00872657">
        <w:t>2.12</w:t>
      </w:r>
      <w:r w:rsidRPr="00484AE9">
        <w:fldChar w:fldCharType="end"/>
      </w:r>
      <w:r w:rsidRPr="00484AE9">
        <w:t>).</w:t>
      </w:r>
      <w:r w:rsidR="001C4B03" w:rsidRPr="00484AE9">
        <w:t xml:space="preserve"> As can be seen, </w:t>
      </w:r>
      <w:r w:rsidR="005E129B" w:rsidRPr="00484AE9">
        <w:t>the ICER</w:t>
      </w:r>
      <w:r w:rsidR="001C4B03" w:rsidRPr="00484AE9">
        <w:t xml:space="preserve"> when</w:t>
      </w:r>
      <w:r w:rsidR="005E129B" w:rsidRPr="00484AE9">
        <w:t xml:space="preserve"> use of nirmatrelvir and ritonavir in</w:t>
      </w:r>
      <w:r w:rsidR="001C4B03" w:rsidRPr="00484AE9">
        <w:t xml:space="preserve"> patients aged 50 -69 with 1 </w:t>
      </w:r>
      <w:r w:rsidR="0082225C" w:rsidRPr="00484AE9">
        <w:t xml:space="preserve">additional </w:t>
      </w:r>
      <w:r w:rsidR="001C4B03" w:rsidRPr="00484AE9">
        <w:t xml:space="preserve">risk factor is </w:t>
      </w:r>
      <w:r w:rsidR="005E129B" w:rsidRPr="00484AE9">
        <w:t xml:space="preserve">permitted is </w:t>
      </w:r>
      <w:r w:rsidR="00BA4A72" w:rsidRPr="00484AE9">
        <w:t xml:space="preserve">substantially higher than when </w:t>
      </w:r>
      <w:r w:rsidR="008268E9" w:rsidRPr="00484AE9">
        <w:t>the population is</w:t>
      </w:r>
      <w:r w:rsidR="00BA4A72" w:rsidRPr="00484AE9">
        <w:t xml:space="preserve"> limited to patients with </w:t>
      </w:r>
      <w:r w:rsidR="00CD5878" w:rsidRPr="00484AE9">
        <w:rPr>
          <w:rFonts w:cstheme="minorHAnsi"/>
        </w:rPr>
        <w:t>≥</w:t>
      </w:r>
      <w:r w:rsidR="00CD5878">
        <w:t> </w:t>
      </w:r>
      <w:r w:rsidR="00BA4A72" w:rsidRPr="00484AE9">
        <w:t xml:space="preserve">2 </w:t>
      </w:r>
      <w:r w:rsidR="00050A98" w:rsidRPr="00484AE9">
        <w:t xml:space="preserve">additional </w:t>
      </w:r>
      <w:r w:rsidR="00BA4A72" w:rsidRPr="00484AE9">
        <w:t>risk factors</w:t>
      </w:r>
      <w:r w:rsidR="001508C3" w:rsidRPr="00484AE9">
        <w:t xml:space="preserve"> (</w:t>
      </w:r>
      <w:bookmarkEnd w:id="128"/>
      <w:r w:rsidR="001508C3" w:rsidRPr="00484AE9">
        <w:t>$</w:t>
      </w:r>
      <w:r w:rsidR="001A5252" w:rsidRPr="001A5252">
        <w:t>55,000</w:t>
      </w:r>
      <w:r w:rsidR="00F76D9A">
        <w:t xml:space="preserve"> </w:t>
      </w:r>
      <w:r w:rsidR="001A5252" w:rsidRPr="001A5252">
        <w:t>to</w:t>
      </w:r>
      <w:r w:rsidR="00F76D9A">
        <w:t xml:space="preserve"> </w:t>
      </w:r>
      <w:r w:rsidR="001A5252" w:rsidRPr="001A5252">
        <w:t>&lt; $75,000</w:t>
      </w:r>
      <w:r w:rsidR="001508C3" w:rsidRPr="00484AE9">
        <w:t xml:space="preserve">/QALY compared with </w:t>
      </w:r>
      <w:r w:rsidR="001508C3" w:rsidRPr="00F14EBF">
        <w:t>$</w:t>
      </w:r>
      <w:r w:rsidR="00F14EBF" w:rsidRPr="00F76D9A">
        <w:t>35,000 to</w:t>
      </w:r>
      <w:r w:rsidR="00F76D9A">
        <w:t xml:space="preserve"> </w:t>
      </w:r>
      <w:r w:rsidR="00F14EBF" w:rsidRPr="00F76D9A">
        <w:t>&lt; $45,000</w:t>
      </w:r>
      <w:r w:rsidR="001508C3" w:rsidRPr="00F14EBF">
        <w:t>/QALY</w:t>
      </w:r>
      <w:r w:rsidR="001508C3" w:rsidRPr="00484AE9">
        <w:t>)</w:t>
      </w:r>
      <w:r w:rsidR="00A62B3A" w:rsidRPr="00484AE9">
        <w:t xml:space="preserve">. </w:t>
      </w:r>
      <w:r w:rsidR="001A764C" w:rsidRPr="00484AE9">
        <w:t>On this basis, the PBAC considered that the PBS restriction for patients aged 50 -69 years should revert to requiring at least 2 additional risk factors.</w:t>
      </w:r>
      <w:bookmarkEnd w:id="129"/>
      <w:r w:rsidR="001A764C" w:rsidRPr="00484AE9">
        <w:t xml:space="preserve"> </w:t>
      </w:r>
    </w:p>
    <w:p w14:paraId="7025ADE2" w14:textId="6B696DA7" w:rsidR="003D3FC6" w:rsidRPr="00484AE9" w:rsidRDefault="00D33AD5" w:rsidP="00FE0846">
      <w:pPr>
        <w:pStyle w:val="3-BodyText"/>
        <w:rPr>
          <w:iCs/>
        </w:rPr>
      </w:pPr>
      <w:bookmarkStart w:id="130" w:name="_Ref150978151"/>
      <w:r w:rsidRPr="00484AE9">
        <w:rPr>
          <w:iCs/>
        </w:rPr>
        <w:t xml:space="preserve">The </w:t>
      </w:r>
      <w:r w:rsidR="00D94DFC" w:rsidRPr="00484AE9">
        <w:rPr>
          <w:iCs/>
        </w:rPr>
        <w:t>ESC note</w:t>
      </w:r>
      <w:r w:rsidR="001508C3" w:rsidRPr="00484AE9">
        <w:rPr>
          <w:iCs/>
        </w:rPr>
        <w:t>d</w:t>
      </w:r>
      <w:r w:rsidR="00D94DFC" w:rsidRPr="00484AE9">
        <w:rPr>
          <w:iCs/>
        </w:rPr>
        <w:t xml:space="preserve"> that, regardless </w:t>
      </w:r>
      <w:r w:rsidR="005D66CA" w:rsidRPr="00484AE9">
        <w:rPr>
          <w:iCs/>
        </w:rPr>
        <w:t>of which set of results was considered, t</w:t>
      </w:r>
      <w:r w:rsidR="00D94DFC" w:rsidRPr="00484AE9">
        <w:rPr>
          <w:iCs/>
        </w:rPr>
        <w:t>he ICERs for nirmatrelvir and ritonavir in patients aged 50-69 years were substantially higher than those calculated for the other patients groups</w:t>
      </w:r>
      <w:r w:rsidR="001508C3" w:rsidRPr="00484AE9">
        <w:rPr>
          <w:iCs/>
        </w:rPr>
        <w:t xml:space="preserve"> (</w:t>
      </w:r>
      <w:r w:rsidR="001508C3" w:rsidRPr="00484AE9">
        <w:rPr>
          <w:iCs/>
        </w:rPr>
        <w:fldChar w:fldCharType="begin"/>
      </w:r>
      <w:r w:rsidR="001508C3" w:rsidRPr="00484AE9">
        <w:rPr>
          <w:iCs/>
        </w:rPr>
        <w:instrText xml:space="preserve"> REF _Ref104805160 \h  \* MERGEFORMAT </w:instrText>
      </w:r>
      <w:r w:rsidR="001508C3" w:rsidRPr="00484AE9">
        <w:rPr>
          <w:iCs/>
        </w:rPr>
      </w:r>
      <w:r w:rsidR="001508C3" w:rsidRPr="00484AE9">
        <w:rPr>
          <w:iCs/>
        </w:rPr>
        <w:fldChar w:fldCharType="separate"/>
      </w:r>
      <w:r w:rsidR="00872657" w:rsidRPr="00872657">
        <w:rPr>
          <w:iCs/>
        </w:rPr>
        <w:t>Table 19</w:t>
      </w:r>
      <w:r w:rsidR="001508C3" w:rsidRPr="00484AE9">
        <w:rPr>
          <w:iCs/>
        </w:rPr>
        <w:fldChar w:fldCharType="end"/>
      </w:r>
      <w:r w:rsidR="001508C3" w:rsidRPr="00484AE9">
        <w:rPr>
          <w:iCs/>
        </w:rPr>
        <w:t xml:space="preserve">, </w:t>
      </w:r>
      <w:r w:rsidR="001508C3" w:rsidRPr="00484AE9">
        <w:rPr>
          <w:iCs/>
        </w:rPr>
        <w:fldChar w:fldCharType="begin"/>
      </w:r>
      <w:r w:rsidR="001508C3" w:rsidRPr="00484AE9">
        <w:rPr>
          <w:iCs/>
        </w:rPr>
        <w:instrText xml:space="preserve"> REF _Ref104805181 \h  \* MERGEFORMAT </w:instrText>
      </w:r>
      <w:r w:rsidR="001508C3" w:rsidRPr="00484AE9">
        <w:rPr>
          <w:iCs/>
        </w:rPr>
      </w:r>
      <w:r w:rsidR="001508C3" w:rsidRPr="00484AE9">
        <w:rPr>
          <w:iCs/>
        </w:rPr>
        <w:fldChar w:fldCharType="separate"/>
      </w:r>
      <w:r w:rsidR="00872657" w:rsidRPr="00872657">
        <w:rPr>
          <w:iCs/>
        </w:rPr>
        <w:t>Table 20</w:t>
      </w:r>
      <w:r w:rsidR="001508C3" w:rsidRPr="00484AE9">
        <w:rPr>
          <w:iCs/>
        </w:rPr>
        <w:fldChar w:fldCharType="end"/>
      </w:r>
      <w:r w:rsidR="001508C3" w:rsidRPr="00484AE9">
        <w:rPr>
          <w:iCs/>
        </w:rPr>
        <w:t>)</w:t>
      </w:r>
      <w:bookmarkEnd w:id="130"/>
      <w:r w:rsidR="00A62B3A" w:rsidRPr="00484AE9">
        <w:rPr>
          <w:iCs/>
        </w:rPr>
        <w:t xml:space="preserve">. </w:t>
      </w:r>
    </w:p>
    <w:p w14:paraId="70B884BC" w14:textId="085CE15B" w:rsidR="00973FAF" w:rsidRPr="00484AE9" w:rsidRDefault="00E16AD8" w:rsidP="00E16AD8">
      <w:pPr>
        <w:pStyle w:val="Caption"/>
        <w:rPr>
          <w:rStyle w:val="CommentReference"/>
          <w:b/>
          <w:szCs w:val="24"/>
        </w:rPr>
      </w:pPr>
      <w:bookmarkStart w:id="131" w:name="_Ref104805181"/>
      <w:bookmarkStart w:id="132" w:name="_Hlk148170322"/>
      <w:r w:rsidRPr="00484AE9">
        <w:lastRenderedPageBreak/>
        <w:t xml:space="preserve">Table </w:t>
      </w:r>
      <w:fldSimple w:instr=" SEQ Table \* ARABIC ">
        <w:r w:rsidR="00872657">
          <w:rPr>
            <w:noProof/>
          </w:rPr>
          <w:t>20</w:t>
        </w:r>
      </w:fldSimple>
      <w:bookmarkEnd w:id="131"/>
      <w:r w:rsidR="001F4081" w:rsidRPr="00484AE9">
        <w:rPr>
          <w:rStyle w:val="CommentReference"/>
          <w:b/>
          <w:szCs w:val="24"/>
        </w:rPr>
        <w:t xml:space="preserve">: Results of the </w:t>
      </w:r>
      <w:r w:rsidR="00691C52" w:rsidRPr="00484AE9">
        <w:rPr>
          <w:rStyle w:val="CommentReference"/>
          <w:b/>
          <w:szCs w:val="24"/>
        </w:rPr>
        <w:t>re</w:t>
      </w:r>
      <w:r w:rsidR="00515532" w:rsidRPr="00484AE9">
        <w:rPr>
          <w:rStyle w:val="CommentReference"/>
          <w:b/>
          <w:szCs w:val="24"/>
        </w:rPr>
        <w:t xml:space="preserve">specified </w:t>
      </w:r>
      <w:r w:rsidR="001F4081" w:rsidRPr="00484AE9">
        <w:rPr>
          <w:rStyle w:val="CommentReference"/>
          <w:b/>
          <w:szCs w:val="24"/>
        </w:rPr>
        <w:t>economic evaluation</w:t>
      </w:r>
      <w:r w:rsidR="00515532" w:rsidRPr="00484AE9">
        <w:rPr>
          <w:rStyle w:val="CommentReference"/>
          <w:b/>
          <w:szCs w:val="24"/>
        </w:rPr>
        <w:t xml:space="preserve"> conducted during the evaluation</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694"/>
        <w:gridCol w:w="1844"/>
        <w:gridCol w:w="1844"/>
        <w:gridCol w:w="1844"/>
        <w:gridCol w:w="1841"/>
      </w:tblGrid>
      <w:tr w:rsidR="0008138F" w:rsidRPr="00484AE9" w14:paraId="779A5347" w14:textId="77777777" w:rsidTr="00E74073">
        <w:trPr>
          <w:cantSplit/>
          <w:tblHeader/>
        </w:trPr>
        <w:tc>
          <w:tcPr>
            <w:tcW w:w="934" w:type="pct"/>
            <w:shd w:val="clear" w:color="auto" w:fill="FFFFFF"/>
            <w:vAlign w:val="center"/>
          </w:tcPr>
          <w:p w14:paraId="71C91D6D" w14:textId="77777777" w:rsidR="00973FAF" w:rsidRPr="00484AE9" w:rsidRDefault="00973FAF" w:rsidP="002D2536">
            <w:pPr>
              <w:pStyle w:val="In-tableHeading"/>
              <w:rPr>
                <w:lang w:val="en-AU"/>
              </w:rPr>
            </w:pPr>
          </w:p>
        </w:tc>
        <w:tc>
          <w:tcPr>
            <w:tcW w:w="1007" w:type="pct"/>
            <w:shd w:val="clear" w:color="auto" w:fill="FFFFFF"/>
          </w:tcPr>
          <w:p w14:paraId="4B7AC5A0" w14:textId="77777777" w:rsidR="00973FAF" w:rsidRPr="00484AE9" w:rsidRDefault="00973FAF" w:rsidP="008B03CB">
            <w:pPr>
              <w:pStyle w:val="In-tableHeading"/>
              <w:jc w:val="center"/>
              <w:rPr>
                <w:lang w:val="en-AU"/>
              </w:rPr>
            </w:pPr>
            <w:r w:rsidRPr="00484AE9">
              <w:rPr>
                <w:lang w:val="en-AU"/>
              </w:rPr>
              <w:t>Nirmatrelvir and ritonavir</w:t>
            </w:r>
          </w:p>
        </w:tc>
        <w:tc>
          <w:tcPr>
            <w:tcW w:w="1010" w:type="pct"/>
            <w:shd w:val="clear" w:color="auto" w:fill="FFFFFF"/>
          </w:tcPr>
          <w:p w14:paraId="3FFC5BAC" w14:textId="77777777" w:rsidR="00973FAF" w:rsidRPr="00484AE9" w:rsidRDefault="00973FAF" w:rsidP="008B03CB">
            <w:pPr>
              <w:pStyle w:val="In-tableHeading"/>
              <w:jc w:val="center"/>
              <w:rPr>
                <w:lang w:val="en-AU"/>
              </w:rPr>
            </w:pPr>
            <w:r w:rsidRPr="00484AE9">
              <w:rPr>
                <w:lang w:val="en-AU"/>
              </w:rPr>
              <w:t>Placebo</w:t>
            </w:r>
          </w:p>
        </w:tc>
        <w:tc>
          <w:tcPr>
            <w:tcW w:w="1008" w:type="pct"/>
            <w:shd w:val="clear" w:color="auto" w:fill="FFFFFF"/>
            <w:vAlign w:val="center"/>
          </w:tcPr>
          <w:p w14:paraId="4F55B970" w14:textId="77777777" w:rsidR="00973FAF" w:rsidRPr="00484AE9" w:rsidRDefault="00973FAF" w:rsidP="008B03CB">
            <w:pPr>
              <w:pStyle w:val="In-tableHeading"/>
              <w:jc w:val="center"/>
              <w:rPr>
                <w:lang w:val="en-AU"/>
              </w:rPr>
            </w:pPr>
            <w:r w:rsidRPr="00484AE9">
              <w:rPr>
                <w:lang w:val="en-AU"/>
              </w:rPr>
              <w:t>Increment</w:t>
            </w:r>
          </w:p>
        </w:tc>
        <w:tc>
          <w:tcPr>
            <w:tcW w:w="1041" w:type="pct"/>
            <w:shd w:val="clear" w:color="auto" w:fill="FFFFFF"/>
            <w:vAlign w:val="center"/>
          </w:tcPr>
          <w:p w14:paraId="26B7E35E" w14:textId="77777777" w:rsidR="00973FAF" w:rsidRPr="00484AE9" w:rsidRDefault="00973FAF" w:rsidP="002D2536">
            <w:pPr>
              <w:pStyle w:val="In-tableHeading"/>
              <w:jc w:val="center"/>
              <w:rPr>
                <w:lang w:val="en-AU"/>
              </w:rPr>
            </w:pPr>
            <w:r w:rsidRPr="00484AE9">
              <w:rPr>
                <w:lang w:val="en-AU"/>
              </w:rPr>
              <w:t>ICER</w:t>
            </w:r>
          </w:p>
        </w:tc>
      </w:tr>
      <w:tr w:rsidR="00023497" w:rsidRPr="00484AE9" w14:paraId="62644CD6" w14:textId="77777777" w:rsidTr="00023497">
        <w:trPr>
          <w:cantSplit/>
          <w:tblHeader/>
        </w:trPr>
        <w:tc>
          <w:tcPr>
            <w:tcW w:w="934" w:type="pct"/>
            <w:shd w:val="clear" w:color="auto" w:fill="D9D9D9" w:themeFill="background1" w:themeFillShade="D9"/>
            <w:vAlign w:val="center"/>
          </w:tcPr>
          <w:p w14:paraId="28221DAF" w14:textId="12D4AD52" w:rsidR="00023497" w:rsidRPr="00484AE9" w:rsidRDefault="00023497" w:rsidP="002D2536">
            <w:pPr>
              <w:pStyle w:val="In-tableHeading"/>
              <w:rPr>
                <w:lang w:val="en-AU"/>
              </w:rPr>
            </w:pPr>
            <w:r w:rsidRPr="00484AE9">
              <w:rPr>
                <w:lang w:val="en-AU"/>
              </w:rPr>
              <w:t>Cohort: Aged ≥ 70</w:t>
            </w:r>
          </w:p>
        </w:tc>
        <w:tc>
          <w:tcPr>
            <w:tcW w:w="1007" w:type="pct"/>
            <w:shd w:val="clear" w:color="auto" w:fill="D9D9D9" w:themeFill="background1" w:themeFillShade="D9"/>
          </w:tcPr>
          <w:p w14:paraId="3FD987CF" w14:textId="77777777" w:rsidR="00023497" w:rsidRPr="00484AE9" w:rsidRDefault="00023497" w:rsidP="008B03CB">
            <w:pPr>
              <w:pStyle w:val="In-tableHeading"/>
              <w:jc w:val="center"/>
              <w:rPr>
                <w:lang w:val="en-AU"/>
              </w:rPr>
            </w:pPr>
          </w:p>
        </w:tc>
        <w:tc>
          <w:tcPr>
            <w:tcW w:w="1010" w:type="pct"/>
            <w:shd w:val="clear" w:color="auto" w:fill="D9D9D9" w:themeFill="background1" w:themeFillShade="D9"/>
          </w:tcPr>
          <w:p w14:paraId="173BE3BF" w14:textId="77777777" w:rsidR="00023497" w:rsidRPr="00484AE9" w:rsidRDefault="00023497" w:rsidP="008B03CB">
            <w:pPr>
              <w:pStyle w:val="In-tableHeading"/>
              <w:jc w:val="center"/>
              <w:rPr>
                <w:lang w:val="en-AU"/>
              </w:rPr>
            </w:pPr>
          </w:p>
        </w:tc>
        <w:tc>
          <w:tcPr>
            <w:tcW w:w="1008" w:type="pct"/>
            <w:shd w:val="clear" w:color="auto" w:fill="D9D9D9" w:themeFill="background1" w:themeFillShade="D9"/>
            <w:vAlign w:val="center"/>
          </w:tcPr>
          <w:p w14:paraId="6F9CDE2A" w14:textId="77777777" w:rsidR="00023497" w:rsidRPr="00484AE9" w:rsidRDefault="00023497" w:rsidP="008B03CB">
            <w:pPr>
              <w:pStyle w:val="In-tableHeading"/>
              <w:jc w:val="center"/>
              <w:rPr>
                <w:lang w:val="en-AU"/>
              </w:rPr>
            </w:pPr>
          </w:p>
        </w:tc>
        <w:tc>
          <w:tcPr>
            <w:tcW w:w="1041" w:type="pct"/>
            <w:shd w:val="clear" w:color="auto" w:fill="D9D9D9" w:themeFill="background1" w:themeFillShade="D9"/>
            <w:vAlign w:val="center"/>
          </w:tcPr>
          <w:p w14:paraId="7003F1E8" w14:textId="77777777" w:rsidR="00023497" w:rsidRPr="00484AE9" w:rsidRDefault="00023497" w:rsidP="002D2536">
            <w:pPr>
              <w:pStyle w:val="In-tableHeading"/>
              <w:jc w:val="center"/>
              <w:rPr>
                <w:lang w:val="en-AU"/>
              </w:rPr>
            </w:pPr>
          </w:p>
        </w:tc>
      </w:tr>
      <w:tr w:rsidR="008B6130" w:rsidRPr="00484AE9" w14:paraId="39846959" w14:textId="77777777" w:rsidTr="008C6698">
        <w:trPr>
          <w:cantSplit/>
          <w:tblHeader/>
        </w:trPr>
        <w:tc>
          <w:tcPr>
            <w:tcW w:w="5000" w:type="pct"/>
            <w:gridSpan w:val="5"/>
            <w:shd w:val="clear" w:color="auto" w:fill="FFFFFF"/>
            <w:vAlign w:val="center"/>
          </w:tcPr>
          <w:p w14:paraId="7679CB97" w14:textId="5F3D59F0" w:rsidR="00973FAF" w:rsidRPr="00484AE9" w:rsidRDefault="00867716" w:rsidP="002D2536">
            <w:pPr>
              <w:pStyle w:val="In-tableHeading"/>
              <w:rPr>
                <w:b w:val="0"/>
                <w:bCs/>
                <w:lang w:val="en-AU"/>
              </w:rPr>
            </w:pPr>
            <w:r w:rsidRPr="00484AE9">
              <w:rPr>
                <w:lang w:val="en-AU"/>
              </w:rPr>
              <w:t xml:space="preserve">Step 1: </w:t>
            </w:r>
            <w:r w:rsidR="00A40BAC" w:rsidRPr="00484AE9">
              <w:rPr>
                <w:lang w:val="en-AU"/>
              </w:rPr>
              <w:t>R</w:t>
            </w:r>
            <w:r w:rsidR="00E74073" w:rsidRPr="00484AE9">
              <w:rPr>
                <w:lang w:val="en-AU"/>
              </w:rPr>
              <w:t>e</w:t>
            </w:r>
            <w:r w:rsidR="008E1A97" w:rsidRPr="00484AE9">
              <w:rPr>
                <w:lang w:val="en-AU"/>
              </w:rPr>
              <w:t>moving</w:t>
            </w:r>
            <w:r w:rsidR="002131B9" w:rsidRPr="00484AE9">
              <w:rPr>
                <w:lang w:val="en-AU"/>
              </w:rPr>
              <w:t xml:space="preserve"> </w:t>
            </w:r>
            <w:r w:rsidR="00CB300A" w:rsidRPr="00484AE9">
              <w:rPr>
                <w:lang w:val="en-AU"/>
              </w:rPr>
              <w:t>treatment effect on long COVID</w:t>
            </w:r>
          </w:p>
        </w:tc>
      </w:tr>
      <w:tr w:rsidR="00496D23" w:rsidRPr="00484AE9" w14:paraId="1DFEB93E" w14:textId="77777777" w:rsidTr="00E74073">
        <w:trPr>
          <w:cantSplit/>
        </w:trPr>
        <w:tc>
          <w:tcPr>
            <w:tcW w:w="934" w:type="pct"/>
            <w:shd w:val="clear" w:color="auto" w:fill="auto"/>
            <w:vAlign w:val="center"/>
          </w:tcPr>
          <w:p w14:paraId="633D98FE" w14:textId="77777777" w:rsidR="00E74073" w:rsidRPr="00484AE9" w:rsidRDefault="00E74073">
            <w:pPr>
              <w:pStyle w:val="TableText0"/>
            </w:pPr>
            <w:r w:rsidRPr="00484AE9">
              <w:t>Costs</w:t>
            </w:r>
          </w:p>
        </w:tc>
        <w:tc>
          <w:tcPr>
            <w:tcW w:w="1007" w:type="pct"/>
            <w:shd w:val="clear" w:color="auto" w:fill="auto"/>
          </w:tcPr>
          <w:p w14:paraId="4D2327CE" w14:textId="4E2D1981" w:rsidR="00E74073" w:rsidRPr="00484AE9" w:rsidRDefault="00696519">
            <w:pPr>
              <w:pStyle w:val="TableText0"/>
              <w:jc w:val="center"/>
            </w:pPr>
            <w:r w:rsidRPr="00696519">
              <w:t xml:space="preserve"> </w:t>
            </w:r>
            <w:r w:rsidRPr="00696519">
              <w:rPr>
                <w:color w:val="000000"/>
                <w:shd w:val="solid" w:color="000000" w:fill="000000"/>
                <w14:textFill>
                  <w14:solidFill>
                    <w14:srgbClr w14:val="000000">
                      <w14:alpha w14:val="100000"/>
                    </w14:srgbClr>
                  </w14:solidFill>
                </w14:textFill>
              </w:rPr>
              <w:t>|</w:t>
            </w:r>
            <w:r w:rsidR="00ED01BB">
              <w:t xml:space="preserve"> </w:t>
            </w:r>
          </w:p>
        </w:tc>
        <w:tc>
          <w:tcPr>
            <w:tcW w:w="1010" w:type="pct"/>
            <w:shd w:val="clear" w:color="auto" w:fill="auto"/>
          </w:tcPr>
          <w:p w14:paraId="58BAFA61" w14:textId="53D025B5" w:rsidR="00E74073" w:rsidRPr="00484AE9" w:rsidRDefault="00E74073">
            <w:pPr>
              <w:pStyle w:val="TableText0"/>
              <w:jc w:val="center"/>
            </w:pPr>
            <w:r w:rsidRPr="00484AE9">
              <w:t>$759.93</w:t>
            </w:r>
          </w:p>
        </w:tc>
        <w:tc>
          <w:tcPr>
            <w:tcW w:w="1008" w:type="pct"/>
            <w:shd w:val="clear" w:color="auto" w:fill="auto"/>
          </w:tcPr>
          <w:p w14:paraId="18242E56" w14:textId="1410C6CA" w:rsidR="00E74073" w:rsidRPr="00484AE9" w:rsidRDefault="00696519">
            <w:pPr>
              <w:pStyle w:val="TableText0"/>
              <w:jc w:val="center"/>
            </w:pPr>
            <w:r w:rsidRPr="00696519">
              <w:t xml:space="preserve"> </w:t>
            </w:r>
            <w:r w:rsidRPr="00696519">
              <w:rPr>
                <w:color w:val="000000"/>
                <w:shd w:val="solid" w:color="000000" w:fill="000000"/>
                <w14:textFill>
                  <w14:solidFill>
                    <w14:srgbClr w14:val="000000">
                      <w14:alpha w14:val="100000"/>
                    </w14:srgbClr>
                  </w14:solidFill>
                </w14:textFill>
              </w:rPr>
              <w:t>|</w:t>
            </w:r>
            <w:r w:rsidR="00ED01BB">
              <w:t xml:space="preserve"> </w:t>
            </w:r>
          </w:p>
        </w:tc>
        <w:tc>
          <w:tcPr>
            <w:tcW w:w="1042" w:type="pct"/>
            <w:vMerge w:val="restart"/>
            <w:shd w:val="clear" w:color="auto" w:fill="auto"/>
            <w:vAlign w:val="center"/>
          </w:tcPr>
          <w:p w14:paraId="3F125D94" w14:textId="640FECD4" w:rsidR="00E74073" w:rsidRPr="00484AE9" w:rsidRDefault="00696519">
            <w:pPr>
              <w:pStyle w:val="TableText0"/>
              <w:jc w:val="center"/>
            </w:pPr>
            <w:r w:rsidRPr="00696519">
              <w:t xml:space="preserve"> </w:t>
            </w:r>
            <w:r w:rsidRPr="00696519">
              <w:rPr>
                <w:color w:val="000000"/>
                <w:shd w:val="solid" w:color="000000" w:fill="000000"/>
                <w14:textFill>
                  <w14:solidFill>
                    <w14:srgbClr w14:val="000000">
                      <w14:alpha w14:val="100000"/>
                    </w14:srgbClr>
                  </w14:solidFill>
                </w14:textFill>
              </w:rPr>
              <w:t>|</w:t>
            </w:r>
            <w:r w:rsidR="004528EE">
              <w:rPr>
                <w:vertAlign w:val="superscript"/>
              </w:rPr>
              <w:t>1</w:t>
            </w:r>
          </w:p>
        </w:tc>
      </w:tr>
      <w:tr w:rsidR="00496D23" w:rsidRPr="00484AE9" w14:paraId="266F7A8A" w14:textId="77777777" w:rsidTr="00E74073">
        <w:trPr>
          <w:cantSplit/>
        </w:trPr>
        <w:tc>
          <w:tcPr>
            <w:tcW w:w="934" w:type="pct"/>
            <w:shd w:val="clear" w:color="auto" w:fill="auto"/>
            <w:vAlign w:val="center"/>
          </w:tcPr>
          <w:p w14:paraId="1F01B2BE" w14:textId="77777777" w:rsidR="00E74073" w:rsidRPr="00484AE9" w:rsidRDefault="00E74073">
            <w:pPr>
              <w:pStyle w:val="TableText0"/>
            </w:pPr>
            <w:r w:rsidRPr="00484AE9">
              <w:t>QALYS lost</w:t>
            </w:r>
          </w:p>
        </w:tc>
        <w:tc>
          <w:tcPr>
            <w:tcW w:w="1007" w:type="pct"/>
            <w:shd w:val="clear" w:color="auto" w:fill="auto"/>
          </w:tcPr>
          <w:p w14:paraId="1F32F8D2" w14:textId="08EB252F" w:rsidR="00E74073" w:rsidRPr="00484AE9" w:rsidRDefault="00E74073">
            <w:pPr>
              <w:pStyle w:val="TableText0"/>
              <w:jc w:val="center"/>
            </w:pPr>
            <w:r w:rsidRPr="00484AE9">
              <w:t>0.</w:t>
            </w:r>
            <w:r w:rsidR="00DB446F" w:rsidRPr="00484AE9">
              <w:t>0561</w:t>
            </w:r>
          </w:p>
        </w:tc>
        <w:tc>
          <w:tcPr>
            <w:tcW w:w="1010" w:type="pct"/>
            <w:shd w:val="clear" w:color="auto" w:fill="auto"/>
          </w:tcPr>
          <w:p w14:paraId="018042F2" w14:textId="132017A9" w:rsidR="00E74073" w:rsidRPr="00484AE9" w:rsidRDefault="00E74073">
            <w:pPr>
              <w:pStyle w:val="TableText0"/>
              <w:jc w:val="center"/>
            </w:pPr>
            <w:r w:rsidRPr="00484AE9">
              <w:t>0.</w:t>
            </w:r>
            <w:r w:rsidR="00DB446F" w:rsidRPr="00484AE9">
              <w:t>2012</w:t>
            </w:r>
          </w:p>
        </w:tc>
        <w:tc>
          <w:tcPr>
            <w:tcW w:w="1008" w:type="pct"/>
            <w:shd w:val="clear" w:color="auto" w:fill="auto"/>
          </w:tcPr>
          <w:p w14:paraId="3094E94C" w14:textId="7E7392A0" w:rsidR="00E74073" w:rsidRPr="00484AE9" w:rsidRDefault="00E74073">
            <w:pPr>
              <w:pStyle w:val="TableText0"/>
              <w:jc w:val="center"/>
            </w:pPr>
            <w:r w:rsidRPr="00484AE9">
              <w:t>0.</w:t>
            </w:r>
            <w:r w:rsidR="00DB446F" w:rsidRPr="00484AE9">
              <w:t>1451</w:t>
            </w:r>
          </w:p>
        </w:tc>
        <w:tc>
          <w:tcPr>
            <w:tcW w:w="1042" w:type="pct"/>
            <w:vMerge/>
            <w:shd w:val="clear" w:color="auto" w:fill="auto"/>
            <w:vAlign w:val="center"/>
          </w:tcPr>
          <w:p w14:paraId="5BC6E8F8" w14:textId="77777777" w:rsidR="00E74073" w:rsidRPr="00484AE9" w:rsidRDefault="00E74073">
            <w:pPr>
              <w:pStyle w:val="TableText0"/>
              <w:jc w:val="center"/>
            </w:pPr>
          </w:p>
        </w:tc>
      </w:tr>
      <w:tr w:rsidR="00496D23" w:rsidRPr="00484AE9" w14:paraId="6DB8BD05" w14:textId="77777777">
        <w:trPr>
          <w:cantSplit/>
          <w:tblHeader/>
        </w:trPr>
        <w:tc>
          <w:tcPr>
            <w:tcW w:w="5000" w:type="pct"/>
            <w:gridSpan w:val="5"/>
            <w:shd w:val="clear" w:color="auto" w:fill="FFFFFF"/>
            <w:vAlign w:val="center"/>
          </w:tcPr>
          <w:p w14:paraId="117E7B93" w14:textId="538D499B" w:rsidR="00E74073" w:rsidRPr="00484AE9" w:rsidRDefault="00867716">
            <w:pPr>
              <w:pStyle w:val="In-tableHeading"/>
              <w:rPr>
                <w:b w:val="0"/>
                <w:bCs/>
                <w:lang w:val="en-AU"/>
              </w:rPr>
            </w:pPr>
            <w:r w:rsidRPr="00484AE9">
              <w:rPr>
                <w:lang w:val="en-AU"/>
              </w:rPr>
              <w:t xml:space="preserve">Step 2: </w:t>
            </w:r>
            <w:r w:rsidR="0054710F" w:rsidRPr="00484AE9">
              <w:rPr>
                <w:lang w:val="en-AU"/>
              </w:rPr>
              <w:t xml:space="preserve">Step 1 </w:t>
            </w:r>
            <w:r w:rsidRPr="00484AE9">
              <w:rPr>
                <w:lang w:val="en-AU"/>
              </w:rPr>
              <w:t xml:space="preserve">and </w:t>
            </w:r>
            <w:r w:rsidR="00CB300A" w:rsidRPr="00484AE9">
              <w:rPr>
                <w:lang w:val="en-AU"/>
              </w:rPr>
              <w:t>reducing baseline risk of mortality</w:t>
            </w:r>
          </w:p>
        </w:tc>
      </w:tr>
      <w:tr w:rsidR="00496D23" w:rsidRPr="00484AE9" w14:paraId="09B373AA" w14:textId="77777777" w:rsidTr="00E74073">
        <w:trPr>
          <w:cantSplit/>
        </w:trPr>
        <w:tc>
          <w:tcPr>
            <w:tcW w:w="934" w:type="pct"/>
            <w:shd w:val="clear" w:color="auto" w:fill="auto"/>
            <w:vAlign w:val="center"/>
          </w:tcPr>
          <w:p w14:paraId="7F0A3F7A" w14:textId="77777777" w:rsidR="00E74073" w:rsidRPr="00484AE9" w:rsidRDefault="00E74073">
            <w:pPr>
              <w:pStyle w:val="TableText0"/>
            </w:pPr>
            <w:r w:rsidRPr="00484AE9">
              <w:t>Costs</w:t>
            </w:r>
          </w:p>
        </w:tc>
        <w:tc>
          <w:tcPr>
            <w:tcW w:w="1007" w:type="pct"/>
            <w:shd w:val="clear" w:color="auto" w:fill="auto"/>
          </w:tcPr>
          <w:p w14:paraId="473231F7" w14:textId="16D14067" w:rsidR="00E74073" w:rsidRPr="00484AE9" w:rsidRDefault="00696519">
            <w:pPr>
              <w:pStyle w:val="TableText0"/>
              <w:jc w:val="center"/>
            </w:pPr>
            <w:r w:rsidRPr="00696519">
              <w:t xml:space="preserve"> </w:t>
            </w:r>
            <w:r w:rsidRPr="00696519">
              <w:rPr>
                <w:color w:val="000000"/>
                <w:shd w:val="solid" w:color="000000" w:fill="000000"/>
                <w14:textFill>
                  <w14:solidFill>
                    <w14:srgbClr w14:val="000000">
                      <w14:alpha w14:val="100000"/>
                    </w14:srgbClr>
                  </w14:solidFill>
                </w14:textFill>
              </w:rPr>
              <w:t>|</w:t>
            </w:r>
            <w:r w:rsidR="00ED01BB">
              <w:t xml:space="preserve"> </w:t>
            </w:r>
          </w:p>
        </w:tc>
        <w:tc>
          <w:tcPr>
            <w:tcW w:w="1010" w:type="pct"/>
            <w:shd w:val="clear" w:color="auto" w:fill="auto"/>
          </w:tcPr>
          <w:p w14:paraId="6BB3BA4D" w14:textId="77777777" w:rsidR="00E74073" w:rsidRPr="00484AE9" w:rsidRDefault="00E74073">
            <w:pPr>
              <w:pStyle w:val="TableText0"/>
              <w:jc w:val="center"/>
            </w:pPr>
            <w:r w:rsidRPr="00484AE9">
              <w:t>$759.93</w:t>
            </w:r>
          </w:p>
        </w:tc>
        <w:tc>
          <w:tcPr>
            <w:tcW w:w="1008" w:type="pct"/>
            <w:shd w:val="clear" w:color="auto" w:fill="auto"/>
          </w:tcPr>
          <w:p w14:paraId="68FF198D" w14:textId="74496A39" w:rsidR="00E74073" w:rsidRPr="00484AE9" w:rsidRDefault="00696519">
            <w:pPr>
              <w:pStyle w:val="TableText0"/>
              <w:jc w:val="center"/>
            </w:pPr>
            <w:r w:rsidRPr="00696519">
              <w:t xml:space="preserve"> </w:t>
            </w:r>
            <w:r w:rsidRPr="00696519">
              <w:rPr>
                <w:color w:val="000000"/>
                <w:shd w:val="solid" w:color="000000" w:fill="000000"/>
                <w14:textFill>
                  <w14:solidFill>
                    <w14:srgbClr w14:val="000000">
                      <w14:alpha w14:val="100000"/>
                    </w14:srgbClr>
                  </w14:solidFill>
                </w14:textFill>
              </w:rPr>
              <w:t>|</w:t>
            </w:r>
            <w:r w:rsidR="00ED01BB">
              <w:t xml:space="preserve"> </w:t>
            </w:r>
          </w:p>
        </w:tc>
        <w:tc>
          <w:tcPr>
            <w:tcW w:w="1042" w:type="pct"/>
            <w:vMerge w:val="restart"/>
            <w:shd w:val="clear" w:color="auto" w:fill="auto"/>
            <w:vAlign w:val="center"/>
          </w:tcPr>
          <w:p w14:paraId="1D84208C" w14:textId="26ECD6DA" w:rsidR="00E74073" w:rsidRPr="00484AE9" w:rsidRDefault="00696519">
            <w:pPr>
              <w:pStyle w:val="TableText0"/>
              <w:jc w:val="center"/>
            </w:pPr>
            <w:r w:rsidRPr="00696519">
              <w:t xml:space="preserve"> </w:t>
            </w:r>
            <w:r w:rsidRPr="00696519">
              <w:rPr>
                <w:color w:val="000000"/>
                <w:shd w:val="solid" w:color="000000" w:fill="000000"/>
                <w14:textFill>
                  <w14:solidFill>
                    <w14:srgbClr w14:val="000000">
                      <w14:alpha w14:val="100000"/>
                    </w14:srgbClr>
                  </w14:solidFill>
                </w14:textFill>
              </w:rPr>
              <w:t>|</w:t>
            </w:r>
            <w:r w:rsidR="004528EE">
              <w:rPr>
                <w:vertAlign w:val="superscript"/>
              </w:rPr>
              <w:t>2</w:t>
            </w:r>
          </w:p>
        </w:tc>
      </w:tr>
      <w:tr w:rsidR="00496D23" w:rsidRPr="00484AE9" w14:paraId="45205538" w14:textId="77777777" w:rsidTr="00E74073">
        <w:trPr>
          <w:cantSplit/>
        </w:trPr>
        <w:tc>
          <w:tcPr>
            <w:tcW w:w="934" w:type="pct"/>
            <w:shd w:val="clear" w:color="auto" w:fill="auto"/>
            <w:vAlign w:val="center"/>
          </w:tcPr>
          <w:p w14:paraId="12D3F963" w14:textId="77777777" w:rsidR="00E74073" w:rsidRPr="00484AE9" w:rsidRDefault="00E74073">
            <w:pPr>
              <w:pStyle w:val="TableText0"/>
            </w:pPr>
            <w:r w:rsidRPr="00484AE9">
              <w:t>QALYS lost</w:t>
            </w:r>
          </w:p>
        </w:tc>
        <w:tc>
          <w:tcPr>
            <w:tcW w:w="1007" w:type="pct"/>
            <w:shd w:val="clear" w:color="auto" w:fill="auto"/>
          </w:tcPr>
          <w:p w14:paraId="6912F898" w14:textId="30E3C481" w:rsidR="00E74073" w:rsidRPr="00484AE9" w:rsidRDefault="00E74073">
            <w:pPr>
              <w:pStyle w:val="TableText0"/>
              <w:jc w:val="center"/>
            </w:pPr>
            <w:r w:rsidRPr="00484AE9">
              <w:t>0.</w:t>
            </w:r>
            <w:r w:rsidR="004C0234" w:rsidRPr="00484AE9">
              <w:t>0239</w:t>
            </w:r>
          </w:p>
        </w:tc>
        <w:tc>
          <w:tcPr>
            <w:tcW w:w="1010" w:type="pct"/>
            <w:shd w:val="clear" w:color="auto" w:fill="auto"/>
          </w:tcPr>
          <w:p w14:paraId="17D7D0D0" w14:textId="77777777" w:rsidR="00E74073" w:rsidRPr="00484AE9" w:rsidRDefault="00E74073">
            <w:pPr>
              <w:pStyle w:val="TableText0"/>
              <w:jc w:val="center"/>
            </w:pPr>
            <w:r w:rsidRPr="00484AE9">
              <w:t>0.0724</w:t>
            </w:r>
          </w:p>
        </w:tc>
        <w:tc>
          <w:tcPr>
            <w:tcW w:w="1008" w:type="pct"/>
            <w:shd w:val="clear" w:color="auto" w:fill="auto"/>
          </w:tcPr>
          <w:p w14:paraId="4D727D20" w14:textId="39D36CC4" w:rsidR="00E74073" w:rsidRPr="00484AE9" w:rsidRDefault="00E74073">
            <w:pPr>
              <w:pStyle w:val="TableText0"/>
              <w:jc w:val="center"/>
            </w:pPr>
            <w:r w:rsidRPr="00484AE9">
              <w:t>0.</w:t>
            </w:r>
            <w:r w:rsidR="004C0234" w:rsidRPr="00484AE9">
              <w:t>0485</w:t>
            </w:r>
          </w:p>
        </w:tc>
        <w:tc>
          <w:tcPr>
            <w:tcW w:w="1042" w:type="pct"/>
            <w:vMerge/>
            <w:shd w:val="clear" w:color="auto" w:fill="auto"/>
            <w:vAlign w:val="center"/>
          </w:tcPr>
          <w:p w14:paraId="3C370BFE" w14:textId="77777777" w:rsidR="00E74073" w:rsidRPr="00484AE9" w:rsidRDefault="00E74073">
            <w:pPr>
              <w:pStyle w:val="TableText0"/>
              <w:jc w:val="center"/>
            </w:pPr>
          </w:p>
        </w:tc>
      </w:tr>
      <w:tr w:rsidR="00FC6879" w:rsidRPr="00484AE9" w14:paraId="3021C536" w14:textId="77777777" w:rsidTr="008C6698">
        <w:trPr>
          <w:cantSplit/>
          <w:tblHeader/>
        </w:trPr>
        <w:tc>
          <w:tcPr>
            <w:tcW w:w="5000" w:type="pct"/>
            <w:gridSpan w:val="5"/>
            <w:shd w:val="clear" w:color="auto" w:fill="FFFFFF"/>
            <w:vAlign w:val="center"/>
          </w:tcPr>
          <w:p w14:paraId="4AFE9460" w14:textId="1F51376B" w:rsidR="00973FAF" w:rsidRPr="00484AE9" w:rsidRDefault="00C343F3" w:rsidP="002D2536">
            <w:pPr>
              <w:pStyle w:val="In-tableHeading"/>
              <w:rPr>
                <w:lang w:val="en-AU"/>
              </w:rPr>
            </w:pPr>
            <w:r w:rsidRPr="00484AE9">
              <w:rPr>
                <w:lang w:val="en-AU"/>
              </w:rPr>
              <w:t xml:space="preserve">Step 3: </w:t>
            </w:r>
            <w:r w:rsidR="0054710F" w:rsidRPr="00484AE9">
              <w:rPr>
                <w:lang w:val="en-AU"/>
              </w:rPr>
              <w:t xml:space="preserve">Step 2 and applying a constant RR of 0.3 for all events </w:t>
            </w:r>
            <w:r w:rsidR="00A40BAC" w:rsidRPr="00484AE9">
              <w:rPr>
                <w:lang w:val="en-AU"/>
              </w:rPr>
              <w:t>(</w:t>
            </w:r>
            <w:r w:rsidR="00AF0658" w:rsidRPr="00484AE9">
              <w:rPr>
                <w:lang w:val="en-AU"/>
              </w:rPr>
              <w:t>respecified base case</w:t>
            </w:r>
            <w:r w:rsidR="00A40BAC" w:rsidRPr="00484AE9">
              <w:rPr>
                <w:lang w:val="en-AU"/>
              </w:rPr>
              <w:t>)</w:t>
            </w:r>
          </w:p>
        </w:tc>
      </w:tr>
      <w:tr w:rsidR="008B6130" w:rsidRPr="00484AE9" w14:paraId="1A0AEFC6" w14:textId="77777777" w:rsidTr="00496D23">
        <w:trPr>
          <w:cantSplit/>
        </w:trPr>
        <w:tc>
          <w:tcPr>
            <w:tcW w:w="934" w:type="pct"/>
            <w:shd w:val="clear" w:color="auto" w:fill="auto"/>
            <w:vAlign w:val="center"/>
          </w:tcPr>
          <w:p w14:paraId="27CA6129" w14:textId="77777777" w:rsidR="001E6B22" w:rsidRPr="00484AE9" w:rsidRDefault="001E6B22" w:rsidP="002D2536">
            <w:pPr>
              <w:pStyle w:val="TableText0"/>
            </w:pPr>
            <w:r w:rsidRPr="00484AE9">
              <w:t>Costs</w:t>
            </w:r>
          </w:p>
        </w:tc>
        <w:tc>
          <w:tcPr>
            <w:tcW w:w="1007" w:type="pct"/>
            <w:shd w:val="clear" w:color="auto" w:fill="auto"/>
          </w:tcPr>
          <w:p w14:paraId="19FE35F7" w14:textId="5B2C0381" w:rsidR="001E6B22" w:rsidRPr="00F76D9A" w:rsidRDefault="00696519" w:rsidP="001E6B22">
            <w:pPr>
              <w:pStyle w:val="TableText0"/>
              <w:jc w:val="center"/>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Pr="00696519">
              <w:t xml:space="preserve"> </w:t>
            </w:r>
          </w:p>
        </w:tc>
        <w:tc>
          <w:tcPr>
            <w:tcW w:w="1010" w:type="pct"/>
            <w:shd w:val="clear" w:color="auto" w:fill="auto"/>
          </w:tcPr>
          <w:p w14:paraId="486916ED" w14:textId="3E92F69C" w:rsidR="001E6B22" w:rsidRPr="00484AE9" w:rsidRDefault="001E6B22" w:rsidP="001E6B22">
            <w:pPr>
              <w:pStyle w:val="TableText0"/>
              <w:jc w:val="center"/>
            </w:pPr>
            <w:r w:rsidRPr="00484AE9">
              <w:t>$759.93</w:t>
            </w:r>
          </w:p>
        </w:tc>
        <w:tc>
          <w:tcPr>
            <w:tcW w:w="1008" w:type="pct"/>
            <w:shd w:val="clear" w:color="auto" w:fill="auto"/>
          </w:tcPr>
          <w:p w14:paraId="02A165E8" w14:textId="7904FD8E" w:rsidR="001E6B22" w:rsidRPr="00484AE9" w:rsidRDefault="00696519" w:rsidP="001E6B22">
            <w:pPr>
              <w:pStyle w:val="TableText0"/>
              <w:jc w:val="center"/>
            </w:pPr>
            <w:r w:rsidRPr="00696519">
              <w:t xml:space="preserve"> </w:t>
            </w:r>
            <w:r w:rsidRPr="00696519">
              <w:rPr>
                <w:color w:val="000000"/>
                <w:shd w:val="solid" w:color="000000" w:fill="000000"/>
                <w14:textFill>
                  <w14:solidFill>
                    <w14:srgbClr w14:val="000000">
                      <w14:alpha w14:val="100000"/>
                    </w14:srgbClr>
                  </w14:solidFill>
                </w14:textFill>
              </w:rPr>
              <w:t>|</w:t>
            </w:r>
            <w:r w:rsidR="00ED01BB">
              <w:t xml:space="preserve"> </w:t>
            </w:r>
          </w:p>
        </w:tc>
        <w:tc>
          <w:tcPr>
            <w:tcW w:w="1041" w:type="pct"/>
            <w:vMerge w:val="restart"/>
            <w:shd w:val="clear" w:color="auto" w:fill="auto"/>
            <w:vAlign w:val="center"/>
          </w:tcPr>
          <w:p w14:paraId="04CF26AA" w14:textId="0259A676" w:rsidR="001E6B22" w:rsidRPr="00484AE9" w:rsidRDefault="00696519" w:rsidP="002D2536">
            <w:pPr>
              <w:pStyle w:val="TableText0"/>
              <w:jc w:val="center"/>
            </w:pPr>
            <w:r w:rsidRPr="00696519">
              <w:t xml:space="preserve"> </w:t>
            </w:r>
            <w:r w:rsidRPr="00696519">
              <w:rPr>
                <w:color w:val="000000"/>
                <w:shd w:val="solid" w:color="000000" w:fill="000000"/>
                <w14:textFill>
                  <w14:solidFill>
                    <w14:srgbClr w14:val="000000">
                      <w14:alpha w14:val="100000"/>
                    </w14:srgbClr>
                  </w14:solidFill>
                </w14:textFill>
              </w:rPr>
              <w:t>|</w:t>
            </w:r>
            <w:r w:rsidR="00170C56" w:rsidRPr="00170C56">
              <w:rPr>
                <w:vertAlign w:val="superscript"/>
              </w:rPr>
              <w:t>2</w:t>
            </w:r>
          </w:p>
        </w:tc>
      </w:tr>
      <w:tr w:rsidR="008B6130" w:rsidRPr="00484AE9" w14:paraId="7435084E" w14:textId="77777777" w:rsidTr="00496D23">
        <w:trPr>
          <w:cantSplit/>
        </w:trPr>
        <w:tc>
          <w:tcPr>
            <w:tcW w:w="934" w:type="pct"/>
            <w:shd w:val="clear" w:color="auto" w:fill="auto"/>
            <w:vAlign w:val="center"/>
          </w:tcPr>
          <w:p w14:paraId="309D4940" w14:textId="77777777" w:rsidR="001E6B22" w:rsidRPr="00484AE9" w:rsidRDefault="001E6B22" w:rsidP="002D2536">
            <w:pPr>
              <w:pStyle w:val="TableText0"/>
            </w:pPr>
            <w:r w:rsidRPr="00484AE9">
              <w:t>QALYS lost</w:t>
            </w:r>
          </w:p>
        </w:tc>
        <w:tc>
          <w:tcPr>
            <w:tcW w:w="1007" w:type="pct"/>
            <w:shd w:val="clear" w:color="auto" w:fill="auto"/>
          </w:tcPr>
          <w:p w14:paraId="1D0FEE09" w14:textId="15960C0C" w:rsidR="001E6B22" w:rsidRPr="00484AE9" w:rsidRDefault="001E6B22" w:rsidP="001E6B22">
            <w:pPr>
              <w:pStyle w:val="TableText0"/>
              <w:jc w:val="center"/>
            </w:pPr>
            <w:r w:rsidRPr="00484AE9">
              <w:t>0.0271</w:t>
            </w:r>
          </w:p>
        </w:tc>
        <w:tc>
          <w:tcPr>
            <w:tcW w:w="1010" w:type="pct"/>
            <w:shd w:val="clear" w:color="auto" w:fill="auto"/>
          </w:tcPr>
          <w:p w14:paraId="072B9FEF" w14:textId="46AB333F" w:rsidR="001E6B22" w:rsidRPr="00484AE9" w:rsidRDefault="001E6B22" w:rsidP="001E6B22">
            <w:pPr>
              <w:pStyle w:val="TableText0"/>
              <w:jc w:val="center"/>
            </w:pPr>
            <w:r w:rsidRPr="00484AE9">
              <w:t>0.0724</w:t>
            </w:r>
          </w:p>
        </w:tc>
        <w:tc>
          <w:tcPr>
            <w:tcW w:w="1008" w:type="pct"/>
            <w:shd w:val="clear" w:color="auto" w:fill="auto"/>
          </w:tcPr>
          <w:p w14:paraId="2FA348B0" w14:textId="2FE237A6" w:rsidR="001E6B22" w:rsidRPr="00484AE9" w:rsidRDefault="001E6B22" w:rsidP="001E6B22">
            <w:pPr>
              <w:pStyle w:val="TableText0"/>
              <w:jc w:val="center"/>
            </w:pPr>
            <w:r w:rsidRPr="00484AE9">
              <w:t>0.0453</w:t>
            </w:r>
          </w:p>
        </w:tc>
        <w:tc>
          <w:tcPr>
            <w:tcW w:w="1041" w:type="pct"/>
            <w:vMerge/>
            <w:shd w:val="clear" w:color="auto" w:fill="auto"/>
            <w:vAlign w:val="center"/>
          </w:tcPr>
          <w:p w14:paraId="26285441" w14:textId="77777777" w:rsidR="001E6B22" w:rsidRPr="00484AE9" w:rsidRDefault="001E6B22" w:rsidP="002D2536">
            <w:pPr>
              <w:pStyle w:val="TableText0"/>
              <w:jc w:val="center"/>
            </w:pPr>
          </w:p>
        </w:tc>
      </w:tr>
      <w:tr w:rsidR="008B6130" w:rsidRPr="00484AE9" w14:paraId="79110FFF" w14:textId="77777777" w:rsidTr="00023497">
        <w:trPr>
          <w:cantSplit/>
          <w:tblHeader/>
        </w:trPr>
        <w:tc>
          <w:tcPr>
            <w:tcW w:w="5000" w:type="pct"/>
            <w:gridSpan w:val="5"/>
            <w:shd w:val="clear" w:color="auto" w:fill="D9D9D9" w:themeFill="background1" w:themeFillShade="D9"/>
            <w:vAlign w:val="center"/>
          </w:tcPr>
          <w:p w14:paraId="318C93DB" w14:textId="77777777" w:rsidR="00973FAF" w:rsidRPr="00484AE9" w:rsidRDefault="00973FAF" w:rsidP="002D2536">
            <w:pPr>
              <w:pStyle w:val="In-tableHeading"/>
              <w:rPr>
                <w:b w:val="0"/>
                <w:bCs/>
                <w:lang w:val="en-AU"/>
              </w:rPr>
            </w:pPr>
            <w:r w:rsidRPr="00484AE9">
              <w:rPr>
                <w:lang w:val="en-AU"/>
              </w:rPr>
              <w:t>Cohort: Aged ≥18 and immune-compromised</w:t>
            </w:r>
            <w:r w:rsidR="00FE300D" w:rsidRPr="00484AE9">
              <w:rPr>
                <w:lang w:val="en-AU"/>
              </w:rPr>
              <w:t xml:space="preserve"> respecified base case </w:t>
            </w:r>
            <w:r w:rsidRPr="00484AE9">
              <w:rPr>
                <w:lang w:val="en-AU"/>
              </w:rPr>
              <w:t>*</w:t>
            </w:r>
          </w:p>
        </w:tc>
      </w:tr>
      <w:tr w:rsidR="008B6130" w:rsidRPr="00484AE9" w14:paraId="3BA531EF" w14:textId="77777777" w:rsidTr="00496D23">
        <w:trPr>
          <w:cantSplit/>
        </w:trPr>
        <w:tc>
          <w:tcPr>
            <w:tcW w:w="934" w:type="pct"/>
            <w:shd w:val="clear" w:color="auto" w:fill="auto"/>
            <w:vAlign w:val="center"/>
          </w:tcPr>
          <w:p w14:paraId="1E9FA8DE" w14:textId="77777777" w:rsidR="006E79E7" w:rsidRPr="00484AE9" w:rsidRDefault="006E79E7" w:rsidP="002D2536">
            <w:pPr>
              <w:pStyle w:val="TableText0"/>
            </w:pPr>
            <w:r w:rsidRPr="00484AE9">
              <w:t>Costs</w:t>
            </w:r>
          </w:p>
        </w:tc>
        <w:tc>
          <w:tcPr>
            <w:tcW w:w="1017" w:type="pct"/>
            <w:shd w:val="clear" w:color="auto" w:fill="auto"/>
          </w:tcPr>
          <w:p w14:paraId="6E1E109B" w14:textId="22320A30" w:rsidR="006E79E7" w:rsidRPr="00484AE9" w:rsidRDefault="00696519" w:rsidP="006E79E7">
            <w:pPr>
              <w:pStyle w:val="TableText0"/>
              <w:jc w:val="center"/>
            </w:pPr>
            <w:r w:rsidRPr="00696519">
              <w:t xml:space="preserve"> </w:t>
            </w:r>
            <w:r w:rsidRPr="00696519">
              <w:rPr>
                <w:color w:val="000000"/>
                <w:shd w:val="solid" w:color="000000" w:fill="000000"/>
                <w14:textFill>
                  <w14:solidFill>
                    <w14:srgbClr w14:val="000000">
                      <w14:alpha w14:val="100000"/>
                    </w14:srgbClr>
                  </w14:solidFill>
                </w14:textFill>
              </w:rPr>
              <w:t>|</w:t>
            </w:r>
            <w:r w:rsidR="00ED01BB">
              <w:t xml:space="preserve"> </w:t>
            </w:r>
          </w:p>
        </w:tc>
        <w:tc>
          <w:tcPr>
            <w:tcW w:w="1017" w:type="pct"/>
            <w:shd w:val="clear" w:color="auto" w:fill="auto"/>
          </w:tcPr>
          <w:p w14:paraId="127000D9" w14:textId="731F337C" w:rsidR="006E79E7" w:rsidRPr="00484AE9" w:rsidRDefault="006E79E7" w:rsidP="006E79E7">
            <w:pPr>
              <w:pStyle w:val="TableText0"/>
              <w:jc w:val="center"/>
            </w:pPr>
            <w:r w:rsidRPr="00484AE9">
              <w:t>$681.48</w:t>
            </w:r>
          </w:p>
        </w:tc>
        <w:tc>
          <w:tcPr>
            <w:tcW w:w="1017" w:type="pct"/>
            <w:shd w:val="clear" w:color="auto" w:fill="auto"/>
            <w:vAlign w:val="center"/>
          </w:tcPr>
          <w:p w14:paraId="6DDD4618" w14:textId="27B0EED0" w:rsidR="006E79E7" w:rsidRPr="00484AE9" w:rsidRDefault="00696519" w:rsidP="002D2536">
            <w:pPr>
              <w:pStyle w:val="TableText0"/>
              <w:jc w:val="center"/>
            </w:pPr>
            <w:r w:rsidRPr="00696519">
              <w:t xml:space="preserve"> </w:t>
            </w:r>
            <w:r w:rsidRPr="00696519">
              <w:rPr>
                <w:color w:val="000000"/>
                <w:shd w:val="solid" w:color="000000" w:fill="000000"/>
                <w14:textFill>
                  <w14:solidFill>
                    <w14:srgbClr w14:val="000000">
                      <w14:alpha w14:val="100000"/>
                    </w14:srgbClr>
                  </w14:solidFill>
                </w14:textFill>
              </w:rPr>
              <w:t>|</w:t>
            </w:r>
            <w:r w:rsidR="00ED01BB">
              <w:t xml:space="preserve"> </w:t>
            </w:r>
          </w:p>
        </w:tc>
        <w:tc>
          <w:tcPr>
            <w:tcW w:w="1015" w:type="pct"/>
            <w:vMerge w:val="restart"/>
            <w:shd w:val="clear" w:color="auto" w:fill="auto"/>
            <w:vAlign w:val="center"/>
          </w:tcPr>
          <w:p w14:paraId="5CD6E893" w14:textId="7691FD51" w:rsidR="006E79E7" w:rsidRPr="00484AE9" w:rsidRDefault="00696519" w:rsidP="002D2536">
            <w:pPr>
              <w:pStyle w:val="TableText0"/>
              <w:jc w:val="center"/>
            </w:pPr>
            <w:r w:rsidRPr="00696519">
              <w:t xml:space="preserve"> </w:t>
            </w:r>
            <w:r w:rsidRPr="00696519">
              <w:rPr>
                <w:color w:val="000000"/>
                <w:shd w:val="solid" w:color="000000" w:fill="000000"/>
                <w14:textFill>
                  <w14:solidFill>
                    <w14:srgbClr w14:val="000000">
                      <w14:alpha w14:val="100000"/>
                    </w14:srgbClr>
                  </w14:solidFill>
                </w14:textFill>
              </w:rPr>
              <w:t>|</w:t>
            </w:r>
            <w:r w:rsidR="00F11F0D">
              <w:rPr>
                <w:vertAlign w:val="superscript"/>
              </w:rPr>
              <w:t>1</w:t>
            </w:r>
          </w:p>
        </w:tc>
      </w:tr>
      <w:tr w:rsidR="008B6130" w:rsidRPr="00484AE9" w14:paraId="4B166116" w14:textId="77777777" w:rsidTr="00496D23">
        <w:trPr>
          <w:cantSplit/>
        </w:trPr>
        <w:tc>
          <w:tcPr>
            <w:tcW w:w="934" w:type="pct"/>
            <w:shd w:val="clear" w:color="auto" w:fill="auto"/>
            <w:vAlign w:val="center"/>
          </w:tcPr>
          <w:p w14:paraId="4B797231" w14:textId="77777777" w:rsidR="006E79E7" w:rsidRPr="00484AE9" w:rsidRDefault="006E79E7" w:rsidP="002D2536">
            <w:pPr>
              <w:pStyle w:val="TableText0"/>
            </w:pPr>
            <w:r w:rsidRPr="00484AE9">
              <w:t>QALYS lost</w:t>
            </w:r>
          </w:p>
        </w:tc>
        <w:tc>
          <w:tcPr>
            <w:tcW w:w="1017" w:type="pct"/>
            <w:shd w:val="clear" w:color="auto" w:fill="auto"/>
          </w:tcPr>
          <w:p w14:paraId="0D1EAFE0" w14:textId="5C3C10F4" w:rsidR="006E79E7" w:rsidRPr="00484AE9" w:rsidRDefault="006E79E7" w:rsidP="006E79E7">
            <w:pPr>
              <w:pStyle w:val="TableText0"/>
              <w:jc w:val="center"/>
            </w:pPr>
            <w:r w:rsidRPr="00484AE9">
              <w:t>0.0545</w:t>
            </w:r>
          </w:p>
        </w:tc>
        <w:tc>
          <w:tcPr>
            <w:tcW w:w="1017" w:type="pct"/>
            <w:shd w:val="clear" w:color="auto" w:fill="auto"/>
          </w:tcPr>
          <w:p w14:paraId="6D4DD154" w14:textId="06C9DB36" w:rsidR="006E79E7" w:rsidRPr="00484AE9" w:rsidRDefault="006E79E7" w:rsidP="006E79E7">
            <w:pPr>
              <w:pStyle w:val="TableText0"/>
              <w:jc w:val="center"/>
            </w:pPr>
            <w:r w:rsidRPr="00484AE9">
              <w:t>0.1636</w:t>
            </w:r>
          </w:p>
        </w:tc>
        <w:tc>
          <w:tcPr>
            <w:tcW w:w="1017" w:type="pct"/>
            <w:shd w:val="clear" w:color="auto" w:fill="auto"/>
            <w:vAlign w:val="center"/>
          </w:tcPr>
          <w:p w14:paraId="5D64831E" w14:textId="468A8C4C" w:rsidR="006E79E7" w:rsidRPr="00484AE9" w:rsidRDefault="006E79E7" w:rsidP="002D2536">
            <w:pPr>
              <w:pStyle w:val="TableText0"/>
              <w:jc w:val="center"/>
            </w:pPr>
            <w:r w:rsidRPr="00484AE9">
              <w:t>0.1092</w:t>
            </w:r>
          </w:p>
        </w:tc>
        <w:tc>
          <w:tcPr>
            <w:tcW w:w="1015" w:type="pct"/>
            <w:vMerge/>
            <w:shd w:val="clear" w:color="auto" w:fill="auto"/>
            <w:vAlign w:val="center"/>
          </w:tcPr>
          <w:p w14:paraId="7406FC9F" w14:textId="77777777" w:rsidR="006E79E7" w:rsidRPr="00484AE9" w:rsidRDefault="006E79E7" w:rsidP="002D2536">
            <w:pPr>
              <w:pStyle w:val="TableText0"/>
              <w:jc w:val="center"/>
            </w:pPr>
          </w:p>
        </w:tc>
      </w:tr>
      <w:tr w:rsidR="008B6130" w:rsidRPr="00484AE9" w14:paraId="31AE34E9" w14:textId="77777777" w:rsidTr="00023497">
        <w:trPr>
          <w:cantSplit/>
          <w:tblHeader/>
        </w:trPr>
        <w:tc>
          <w:tcPr>
            <w:tcW w:w="5000" w:type="pct"/>
            <w:gridSpan w:val="5"/>
            <w:shd w:val="clear" w:color="auto" w:fill="D9D9D9" w:themeFill="background1" w:themeFillShade="D9"/>
            <w:vAlign w:val="center"/>
          </w:tcPr>
          <w:p w14:paraId="3497769D" w14:textId="77777777" w:rsidR="00973FAF" w:rsidRPr="00484AE9" w:rsidRDefault="00973FAF" w:rsidP="002D2536">
            <w:pPr>
              <w:pStyle w:val="In-tableHeading"/>
              <w:rPr>
                <w:b w:val="0"/>
                <w:bCs/>
                <w:lang w:val="en-AU"/>
              </w:rPr>
            </w:pPr>
            <w:r w:rsidRPr="00484AE9">
              <w:rPr>
                <w:lang w:val="en-AU"/>
              </w:rPr>
              <w:t>Cohort: Aboriginal and Torres Strait Islander people aged ≥ 30 and ≥ 1 risk factor</w:t>
            </w:r>
            <w:r w:rsidR="00632199" w:rsidRPr="00484AE9">
              <w:rPr>
                <w:lang w:val="en-AU"/>
              </w:rPr>
              <w:t xml:space="preserve"> respecified base case</w:t>
            </w:r>
          </w:p>
        </w:tc>
      </w:tr>
      <w:tr w:rsidR="008B6130" w:rsidRPr="00484AE9" w14:paraId="0FF65404" w14:textId="77777777" w:rsidTr="00496D23">
        <w:trPr>
          <w:cantSplit/>
        </w:trPr>
        <w:tc>
          <w:tcPr>
            <w:tcW w:w="934" w:type="pct"/>
            <w:shd w:val="clear" w:color="auto" w:fill="auto"/>
            <w:vAlign w:val="center"/>
          </w:tcPr>
          <w:p w14:paraId="03309A40" w14:textId="77777777" w:rsidR="002F7227" w:rsidRPr="00484AE9" w:rsidRDefault="002F7227" w:rsidP="002D2536">
            <w:pPr>
              <w:pStyle w:val="TableText0"/>
            </w:pPr>
            <w:r w:rsidRPr="00484AE9">
              <w:t>Costs</w:t>
            </w:r>
          </w:p>
        </w:tc>
        <w:tc>
          <w:tcPr>
            <w:tcW w:w="1017" w:type="pct"/>
            <w:shd w:val="clear" w:color="auto" w:fill="auto"/>
          </w:tcPr>
          <w:p w14:paraId="7A9A474A" w14:textId="1A5BC86D" w:rsidR="002F7227" w:rsidRPr="00484AE9" w:rsidRDefault="00696519" w:rsidP="002F7227">
            <w:pPr>
              <w:pStyle w:val="TableText0"/>
              <w:jc w:val="center"/>
            </w:pPr>
            <w:r w:rsidRPr="00696519">
              <w:t xml:space="preserve"> </w:t>
            </w:r>
            <w:r w:rsidRPr="00696519">
              <w:rPr>
                <w:color w:val="000000"/>
                <w:shd w:val="solid" w:color="000000" w:fill="000000"/>
                <w14:textFill>
                  <w14:solidFill>
                    <w14:srgbClr w14:val="000000">
                      <w14:alpha w14:val="100000"/>
                    </w14:srgbClr>
                  </w14:solidFill>
                </w14:textFill>
              </w:rPr>
              <w:t>|</w:t>
            </w:r>
            <w:r w:rsidR="00ED01BB">
              <w:t xml:space="preserve"> </w:t>
            </w:r>
          </w:p>
        </w:tc>
        <w:tc>
          <w:tcPr>
            <w:tcW w:w="1017" w:type="pct"/>
            <w:shd w:val="clear" w:color="auto" w:fill="auto"/>
          </w:tcPr>
          <w:p w14:paraId="0BADCB03" w14:textId="1D4DC7A3" w:rsidR="002F7227" w:rsidRPr="00484AE9" w:rsidRDefault="002F7227" w:rsidP="002F7227">
            <w:pPr>
              <w:pStyle w:val="TableText0"/>
              <w:jc w:val="center"/>
            </w:pPr>
            <w:r w:rsidRPr="00F14EBF">
              <w:t>$603.04</w:t>
            </w:r>
          </w:p>
        </w:tc>
        <w:tc>
          <w:tcPr>
            <w:tcW w:w="1017" w:type="pct"/>
            <w:shd w:val="clear" w:color="auto" w:fill="auto"/>
            <w:vAlign w:val="center"/>
          </w:tcPr>
          <w:p w14:paraId="2551F680" w14:textId="5CDC08F2" w:rsidR="002F7227" w:rsidRPr="00484AE9" w:rsidRDefault="00696519" w:rsidP="002D2536">
            <w:pPr>
              <w:pStyle w:val="TableText0"/>
              <w:jc w:val="center"/>
            </w:pPr>
            <w:r w:rsidRPr="00696519">
              <w:t xml:space="preserve"> </w:t>
            </w:r>
            <w:r w:rsidRPr="00696519">
              <w:rPr>
                <w:color w:val="000000"/>
                <w:shd w:val="solid" w:color="000000" w:fill="000000"/>
                <w14:textFill>
                  <w14:solidFill>
                    <w14:srgbClr w14:val="000000">
                      <w14:alpha w14:val="100000"/>
                    </w14:srgbClr>
                  </w14:solidFill>
                </w14:textFill>
              </w:rPr>
              <w:t>|</w:t>
            </w:r>
            <w:r w:rsidR="00ED01BB">
              <w:t xml:space="preserve"> </w:t>
            </w:r>
          </w:p>
        </w:tc>
        <w:tc>
          <w:tcPr>
            <w:tcW w:w="1015" w:type="pct"/>
            <w:vMerge w:val="restart"/>
            <w:shd w:val="clear" w:color="auto" w:fill="auto"/>
            <w:vAlign w:val="center"/>
          </w:tcPr>
          <w:p w14:paraId="546A601E" w14:textId="29114FF9" w:rsidR="002F7227" w:rsidRPr="00484AE9" w:rsidRDefault="00696519" w:rsidP="002D2536">
            <w:pPr>
              <w:pStyle w:val="TableText0"/>
              <w:jc w:val="center"/>
            </w:pPr>
            <w:r w:rsidRPr="00696519">
              <w:t xml:space="preserve"> </w:t>
            </w:r>
            <w:r w:rsidRPr="00696519">
              <w:rPr>
                <w:color w:val="000000"/>
                <w:shd w:val="solid" w:color="000000" w:fill="000000"/>
                <w14:textFill>
                  <w14:solidFill>
                    <w14:srgbClr w14:val="000000">
                      <w14:alpha w14:val="100000"/>
                    </w14:srgbClr>
                  </w14:solidFill>
                </w14:textFill>
              </w:rPr>
              <w:t>|</w:t>
            </w:r>
            <w:r w:rsidR="00ED01BB" w:rsidRPr="00F76D9A">
              <w:rPr>
                <w:vertAlign w:val="superscript"/>
              </w:rPr>
              <w:t>3</w:t>
            </w:r>
          </w:p>
        </w:tc>
      </w:tr>
      <w:tr w:rsidR="008B6130" w:rsidRPr="00484AE9" w14:paraId="523D1505" w14:textId="77777777" w:rsidTr="00496D23">
        <w:trPr>
          <w:cantSplit/>
        </w:trPr>
        <w:tc>
          <w:tcPr>
            <w:tcW w:w="934" w:type="pct"/>
            <w:shd w:val="clear" w:color="auto" w:fill="auto"/>
            <w:vAlign w:val="center"/>
          </w:tcPr>
          <w:p w14:paraId="7801CD41" w14:textId="77777777" w:rsidR="002F7227" w:rsidRPr="00484AE9" w:rsidRDefault="002F7227" w:rsidP="002D2536">
            <w:pPr>
              <w:pStyle w:val="TableText0"/>
            </w:pPr>
            <w:r w:rsidRPr="00484AE9">
              <w:t>QALYS lost</w:t>
            </w:r>
          </w:p>
        </w:tc>
        <w:tc>
          <w:tcPr>
            <w:tcW w:w="1017" w:type="pct"/>
            <w:shd w:val="clear" w:color="auto" w:fill="auto"/>
          </w:tcPr>
          <w:p w14:paraId="782C3277" w14:textId="44F2ECB4" w:rsidR="002F7227" w:rsidRPr="00484AE9" w:rsidRDefault="002F7227" w:rsidP="002F7227">
            <w:pPr>
              <w:pStyle w:val="TableText0"/>
              <w:jc w:val="center"/>
            </w:pPr>
            <w:r w:rsidRPr="00484AE9">
              <w:t>0.0337</w:t>
            </w:r>
          </w:p>
        </w:tc>
        <w:tc>
          <w:tcPr>
            <w:tcW w:w="1017" w:type="pct"/>
            <w:shd w:val="clear" w:color="auto" w:fill="auto"/>
          </w:tcPr>
          <w:p w14:paraId="5299092C" w14:textId="71E1F013" w:rsidR="002F7227" w:rsidRPr="00484AE9" w:rsidRDefault="002F7227" w:rsidP="002F7227">
            <w:pPr>
              <w:pStyle w:val="TableText0"/>
              <w:jc w:val="center"/>
            </w:pPr>
            <w:r w:rsidRPr="00484AE9">
              <w:t>0.0945</w:t>
            </w:r>
          </w:p>
        </w:tc>
        <w:tc>
          <w:tcPr>
            <w:tcW w:w="1017" w:type="pct"/>
            <w:shd w:val="clear" w:color="auto" w:fill="auto"/>
            <w:vAlign w:val="center"/>
          </w:tcPr>
          <w:p w14:paraId="5401C642" w14:textId="129B42C3" w:rsidR="002F7227" w:rsidRPr="00484AE9" w:rsidRDefault="002F7227" w:rsidP="002D2536">
            <w:pPr>
              <w:pStyle w:val="TableText0"/>
              <w:jc w:val="center"/>
            </w:pPr>
            <w:r w:rsidRPr="00484AE9">
              <w:t>0.0608</w:t>
            </w:r>
          </w:p>
        </w:tc>
        <w:tc>
          <w:tcPr>
            <w:tcW w:w="1015" w:type="pct"/>
            <w:vMerge/>
            <w:shd w:val="clear" w:color="auto" w:fill="auto"/>
            <w:vAlign w:val="center"/>
          </w:tcPr>
          <w:p w14:paraId="631FB3AE" w14:textId="77777777" w:rsidR="002F7227" w:rsidRPr="00484AE9" w:rsidRDefault="002F7227" w:rsidP="002D2536">
            <w:pPr>
              <w:pStyle w:val="TableText0"/>
              <w:jc w:val="center"/>
            </w:pPr>
          </w:p>
        </w:tc>
      </w:tr>
      <w:tr w:rsidR="008B6130" w:rsidRPr="00484AE9" w14:paraId="4796C3F9" w14:textId="77777777" w:rsidTr="00023497">
        <w:trPr>
          <w:cantSplit/>
          <w:tblHeader/>
        </w:trPr>
        <w:tc>
          <w:tcPr>
            <w:tcW w:w="5000" w:type="pct"/>
            <w:gridSpan w:val="5"/>
            <w:shd w:val="clear" w:color="auto" w:fill="D9D9D9" w:themeFill="background1" w:themeFillShade="D9"/>
            <w:vAlign w:val="center"/>
          </w:tcPr>
          <w:p w14:paraId="0C5C2F7F" w14:textId="77777777" w:rsidR="00973FAF" w:rsidRPr="00484AE9" w:rsidRDefault="00973FAF" w:rsidP="002D2536">
            <w:pPr>
              <w:pStyle w:val="In-tableHeading"/>
              <w:rPr>
                <w:b w:val="0"/>
                <w:bCs/>
                <w:lang w:val="en-AU"/>
              </w:rPr>
            </w:pPr>
            <w:r w:rsidRPr="00484AE9">
              <w:rPr>
                <w:lang w:val="en-AU"/>
              </w:rPr>
              <w:t>Cohort: Aged 50-69 &amp; ≥ 1 risk factor</w:t>
            </w:r>
            <w:r w:rsidR="00632199" w:rsidRPr="00484AE9">
              <w:rPr>
                <w:lang w:val="en-AU"/>
              </w:rPr>
              <w:t xml:space="preserve"> respecified base case</w:t>
            </w:r>
          </w:p>
        </w:tc>
      </w:tr>
      <w:tr w:rsidR="008B6130" w:rsidRPr="00484AE9" w14:paraId="510DE9E3" w14:textId="77777777" w:rsidTr="00496D23">
        <w:trPr>
          <w:cantSplit/>
        </w:trPr>
        <w:tc>
          <w:tcPr>
            <w:tcW w:w="934" w:type="pct"/>
            <w:shd w:val="clear" w:color="auto" w:fill="auto"/>
            <w:vAlign w:val="center"/>
          </w:tcPr>
          <w:p w14:paraId="7DE90111" w14:textId="77777777" w:rsidR="002D2536" w:rsidRPr="00484AE9" w:rsidRDefault="002D2536" w:rsidP="002D2536">
            <w:pPr>
              <w:pStyle w:val="TableText0"/>
            </w:pPr>
            <w:r w:rsidRPr="00484AE9">
              <w:t>Costs</w:t>
            </w:r>
          </w:p>
        </w:tc>
        <w:tc>
          <w:tcPr>
            <w:tcW w:w="1017" w:type="pct"/>
            <w:shd w:val="clear" w:color="auto" w:fill="auto"/>
          </w:tcPr>
          <w:p w14:paraId="6EDAF2AB" w14:textId="269A817D" w:rsidR="002D2536" w:rsidRPr="00484AE9" w:rsidRDefault="00696519" w:rsidP="002D2536">
            <w:pPr>
              <w:pStyle w:val="TableText0"/>
              <w:jc w:val="center"/>
            </w:pPr>
            <w:r w:rsidRPr="00696519">
              <w:t xml:space="preserve"> </w:t>
            </w:r>
            <w:r w:rsidRPr="00696519">
              <w:rPr>
                <w:color w:val="000000"/>
                <w:shd w:val="solid" w:color="000000" w:fill="000000"/>
                <w14:textFill>
                  <w14:solidFill>
                    <w14:srgbClr w14:val="000000">
                      <w14:alpha w14:val="100000"/>
                    </w14:srgbClr>
                  </w14:solidFill>
                </w14:textFill>
              </w:rPr>
              <w:t>|</w:t>
            </w:r>
            <w:r w:rsidR="00ED01BB">
              <w:t xml:space="preserve"> </w:t>
            </w:r>
          </w:p>
        </w:tc>
        <w:tc>
          <w:tcPr>
            <w:tcW w:w="1017" w:type="pct"/>
            <w:shd w:val="clear" w:color="auto" w:fill="auto"/>
          </w:tcPr>
          <w:p w14:paraId="609C6FF2" w14:textId="0181DAF7" w:rsidR="002D2536" w:rsidRPr="00484AE9" w:rsidRDefault="002D2536" w:rsidP="002D2536">
            <w:pPr>
              <w:pStyle w:val="TableText0"/>
              <w:jc w:val="center"/>
            </w:pPr>
            <w:r w:rsidRPr="00484AE9">
              <w:t>$474.68</w:t>
            </w:r>
          </w:p>
        </w:tc>
        <w:tc>
          <w:tcPr>
            <w:tcW w:w="1017" w:type="pct"/>
            <w:shd w:val="clear" w:color="auto" w:fill="auto"/>
            <w:vAlign w:val="center"/>
          </w:tcPr>
          <w:p w14:paraId="6C7F916B" w14:textId="6D50E387" w:rsidR="002D2536" w:rsidRPr="00484AE9" w:rsidRDefault="00696519" w:rsidP="002D2536">
            <w:pPr>
              <w:pStyle w:val="TableText0"/>
              <w:jc w:val="center"/>
            </w:pPr>
            <w:r w:rsidRPr="00696519">
              <w:t xml:space="preserve"> </w:t>
            </w:r>
            <w:r w:rsidRPr="00696519">
              <w:rPr>
                <w:color w:val="000000"/>
                <w:shd w:val="solid" w:color="000000" w:fill="000000"/>
                <w14:textFill>
                  <w14:solidFill>
                    <w14:srgbClr w14:val="000000">
                      <w14:alpha w14:val="100000"/>
                    </w14:srgbClr>
                  </w14:solidFill>
                </w14:textFill>
              </w:rPr>
              <w:t>|</w:t>
            </w:r>
            <w:r w:rsidR="00ED01BB">
              <w:t xml:space="preserve"> </w:t>
            </w:r>
          </w:p>
        </w:tc>
        <w:tc>
          <w:tcPr>
            <w:tcW w:w="1015" w:type="pct"/>
            <w:vMerge w:val="restart"/>
            <w:shd w:val="clear" w:color="auto" w:fill="auto"/>
            <w:vAlign w:val="center"/>
          </w:tcPr>
          <w:p w14:paraId="74FAB565" w14:textId="4E75FE9D" w:rsidR="002D2536" w:rsidRPr="00484AE9" w:rsidRDefault="00696519" w:rsidP="002D2536">
            <w:pPr>
              <w:pStyle w:val="TableText0"/>
              <w:jc w:val="center"/>
            </w:pPr>
            <w:r w:rsidRPr="00696519">
              <w:t xml:space="preserve"> </w:t>
            </w:r>
            <w:r w:rsidRPr="00696519">
              <w:rPr>
                <w:color w:val="000000"/>
                <w:shd w:val="solid" w:color="000000" w:fill="000000"/>
                <w14:textFill>
                  <w14:solidFill>
                    <w14:srgbClr w14:val="000000">
                      <w14:alpha w14:val="100000"/>
                    </w14:srgbClr>
                  </w14:solidFill>
                </w14:textFill>
              </w:rPr>
              <w:t>|</w:t>
            </w:r>
            <w:r w:rsidR="00F11F0D">
              <w:rPr>
                <w:vertAlign w:val="superscript"/>
              </w:rPr>
              <w:t>4</w:t>
            </w:r>
          </w:p>
        </w:tc>
      </w:tr>
      <w:tr w:rsidR="008B6130" w:rsidRPr="00484AE9" w14:paraId="0033A8E0" w14:textId="77777777" w:rsidTr="00496D23">
        <w:trPr>
          <w:cantSplit/>
        </w:trPr>
        <w:tc>
          <w:tcPr>
            <w:tcW w:w="934" w:type="pct"/>
            <w:shd w:val="clear" w:color="auto" w:fill="auto"/>
            <w:vAlign w:val="center"/>
          </w:tcPr>
          <w:p w14:paraId="1DD28F98" w14:textId="77777777" w:rsidR="002D2536" w:rsidRPr="00484AE9" w:rsidRDefault="002D2536" w:rsidP="002D2536">
            <w:pPr>
              <w:pStyle w:val="TableText0"/>
            </w:pPr>
            <w:r w:rsidRPr="00484AE9">
              <w:t>QALYS lost</w:t>
            </w:r>
          </w:p>
        </w:tc>
        <w:tc>
          <w:tcPr>
            <w:tcW w:w="1017" w:type="pct"/>
            <w:shd w:val="clear" w:color="auto" w:fill="auto"/>
          </w:tcPr>
          <w:p w14:paraId="31DB83CD" w14:textId="3AE8FD0B" w:rsidR="002D2536" w:rsidRPr="00484AE9" w:rsidRDefault="002D2536" w:rsidP="002D2536">
            <w:pPr>
              <w:pStyle w:val="TableText0"/>
              <w:jc w:val="center"/>
            </w:pPr>
            <w:r w:rsidRPr="00484AE9">
              <w:t>0.0168</w:t>
            </w:r>
          </w:p>
        </w:tc>
        <w:tc>
          <w:tcPr>
            <w:tcW w:w="1017" w:type="pct"/>
            <w:shd w:val="clear" w:color="auto" w:fill="auto"/>
          </w:tcPr>
          <w:p w14:paraId="4D5C112F" w14:textId="1ADAC43F" w:rsidR="002D2536" w:rsidRPr="00484AE9" w:rsidRDefault="002D2536" w:rsidP="002D2536">
            <w:pPr>
              <w:pStyle w:val="TableText0"/>
              <w:jc w:val="center"/>
            </w:pPr>
            <w:r w:rsidRPr="00484AE9">
              <w:t>0.0382</w:t>
            </w:r>
          </w:p>
        </w:tc>
        <w:tc>
          <w:tcPr>
            <w:tcW w:w="1017" w:type="pct"/>
            <w:shd w:val="clear" w:color="auto" w:fill="auto"/>
            <w:vAlign w:val="center"/>
          </w:tcPr>
          <w:p w14:paraId="600C1D60" w14:textId="137C50DA" w:rsidR="002D2536" w:rsidRPr="00484AE9" w:rsidRDefault="002D2536" w:rsidP="002D2536">
            <w:pPr>
              <w:pStyle w:val="TableText0"/>
              <w:jc w:val="center"/>
            </w:pPr>
            <w:r w:rsidRPr="00484AE9">
              <w:t>0.0214</w:t>
            </w:r>
          </w:p>
        </w:tc>
        <w:tc>
          <w:tcPr>
            <w:tcW w:w="1015" w:type="pct"/>
            <w:vMerge/>
            <w:shd w:val="clear" w:color="auto" w:fill="auto"/>
            <w:vAlign w:val="center"/>
          </w:tcPr>
          <w:p w14:paraId="4BCFDBE4" w14:textId="77777777" w:rsidR="002D2536" w:rsidRPr="00484AE9" w:rsidRDefault="002D2536" w:rsidP="002D2536">
            <w:pPr>
              <w:pStyle w:val="TableText0"/>
              <w:jc w:val="center"/>
            </w:pPr>
          </w:p>
        </w:tc>
      </w:tr>
      <w:tr w:rsidR="008B6130" w:rsidRPr="00484AE9" w14:paraId="1103EE5B" w14:textId="77777777" w:rsidTr="00023497">
        <w:trPr>
          <w:cantSplit/>
          <w:tblHeader/>
        </w:trPr>
        <w:tc>
          <w:tcPr>
            <w:tcW w:w="5000" w:type="pct"/>
            <w:gridSpan w:val="5"/>
            <w:shd w:val="clear" w:color="auto" w:fill="D9D9D9" w:themeFill="background1" w:themeFillShade="D9"/>
            <w:vAlign w:val="center"/>
          </w:tcPr>
          <w:p w14:paraId="29A0986A" w14:textId="4829CFF4" w:rsidR="008C6698" w:rsidRPr="00484AE9" w:rsidRDefault="008C6698" w:rsidP="008B03CB">
            <w:pPr>
              <w:pStyle w:val="In-tableHeading"/>
              <w:rPr>
                <w:b w:val="0"/>
                <w:bCs/>
                <w:lang w:val="en-AU"/>
              </w:rPr>
            </w:pPr>
            <w:r w:rsidRPr="00484AE9">
              <w:rPr>
                <w:lang w:val="en-AU"/>
              </w:rPr>
              <w:t>Cohort: Aged 50-69 &amp; ≥ </w:t>
            </w:r>
            <w:r w:rsidR="007544DB" w:rsidRPr="00484AE9">
              <w:rPr>
                <w:lang w:val="en-AU"/>
              </w:rPr>
              <w:t>2</w:t>
            </w:r>
            <w:r w:rsidRPr="00484AE9">
              <w:rPr>
                <w:lang w:val="en-AU"/>
              </w:rPr>
              <w:t xml:space="preserve"> risk factor</w:t>
            </w:r>
            <w:r w:rsidR="007544DB" w:rsidRPr="00484AE9">
              <w:rPr>
                <w:lang w:val="en-AU"/>
              </w:rPr>
              <w:t>s</w:t>
            </w:r>
            <w:r w:rsidR="00632199" w:rsidRPr="00484AE9">
              <w:rPr>
                <w:lang w:val="en-AU"/>
              </w:rPr>
              <w:t xml:space="preserve"> respecified base case</w:t>
            </w:r>
            <w:r w:rsidR="00B60938" w:rsidRPr="00484AE9">
              <w:rPr>
                <w:lang w:val="en-AU"/>
              </w:rPr>
              <w:t>^</w:t>
            </w:r>
          </w:p>
        </w:tc>
      </w:tr>
      <w:tr w:rsidR="008B6130" w:rsidRPr="00484AE9" w14:paraId="737F2894" w14:textId="77777777" w:rsidTr="00496D23">
        <w:trPr>
          <w:cantSplit/>
        </w:trPr>
        <w:tc>
          <w:tcPr>
            <w:tcW w:w="934" w:type="pct"/>
            <w:shd w:val="clear" w:color="auto" w:fill="auto"/>
            <w:vAlign w:val="center"/>
          </w:tcPr>
          <w:p w14:paraId="5EDBD659" w14:textId="77777777" w:rsidR="007544DB" w:rsidRPr="00484AE9" w:rsidRDefault="007544DB" w:rsidP="007544DB">
            <w:pPr>
              <w:pStyle w:val="TableText0"/>
            </w:pPr>
            <w:r w:rsidRPr="00484AE9">
              <w:t>Costs</w:t>
            </w:r>
          </w:p>
        </w:tc>
        <w:tc>
          <w:tcPr>
            <w:tcW w:w="1017" w:type="pct"/>
            <w:shd w:val="clear" w:color="auto" w:fill="auto"/>
          </w:tcPr>
          <w:p w14:paraId="32BB0480" w14:textId="54975E53" w:rsidR="007544DB" w:rsidRPr="00484AE9" w:rsidRDefault="00696519" w:rsidP="007544DB">
            <w:pPr>
              <w:pStyle w:val="TableText0"/>
              <w:jc w:val="center"/>
            </w:pPr>
            <w:r w:rsidRPr="00696519">
              <w:t xml:space="preserve"> </w:t>
            </w:r>
            <w:r w:rsidRPr="00696519">
              <w:rPr>
                <w:color w:val="000000"/>
                <w:shd w:val="solid" w:color="000000" w:fill="000000"/>
                <w14:textFill>
                  <w14:solidFill>
                    <w14:srgbClr w14:val="000000">
                      <w14:alpha w14:val="100000"/>
                    </w14:srgbClr>
                  </w14:solidFill>
                </w14:textFill>
              </w:rPr>
              <w:t>|</w:t>
            </w:r>
            <w:r w:rsidR="00ED01BB">
              <w:t xml:space="preserve"> </w:t>
            </w:r>
          </w:p>
        </w:tc>
        <w:tc>
          <w:tcPr>
            <w:tcW w:w="1017" w:type="pct"/>
            <w:shd w:val="clear" w:color="auto" w:fill="auto"/>
          </w:tcPr>
          <w:p w14:paraId="4BA8791E" w14:textId="58EBF82C" w:rsidR="007544DB" w:rsidRPr="00484AE9" w:rsidRDefault="007544DB" w:rsidP="007544DB">
            <w:pPr>
              <w:pStyle w:val="TableText0"/>
              <w:jc w:val="center"/>
            </w:pPr>
            <w:r w:rsidRPr="00484AE9">
              <w:t>$528.17</w:t>
            </w:r>
          </w:p>
        </w:tc>
        <w:tc>
          <w:tcPr>
            <w:tcW w:w="1017" w:type="pct"/>
            <w:shd w:val="clear" w:color="auto" w:fill="auto"/>
          </w:tcPr>
          <w:p w14:paraId="193B4CD7" w14:textId="0C2D279C" w:rsidR="007544DB" w:rsidRPr="00484AE9" w:rsidRDefault="00696519" w:rsidP="007544DB">
            <w:pPr>
              <w:pStyle w:val="TableText0"/>
              <w:jc w:val="center"/>
            </w:pPr>
            <w:r w:rsidRPr="00696519">
              <w:t xml:space="preserve"> </w:t>
            </w:r>
            <w:r w:rsidRPr="00696519">
              <w:rPr>
                <w:color w:val="000000"/>
                <w:shd w:val="solid" w:color="000000" w:fill="000000"/>
                <w14:textFill>
                  <w14:solidFill>
                    <w14:srgbClr w14:val="000000">
                      <w14:alpha w14:val="100000"/>
                    </w14:srgbClr>
                  </w14:solidFill>
                </w14:textFill>
              </w:rPr>
              <w:t>|</w:t>
            </w:r>
            <w:r w:rsidR="00ED01BB">
              <w:t xml:space="preserve"> </w:t>
            </w:r>
          </w:p>
        </w:tc>
        <w:tc>
          <w:tcPr>
            <w:tcW w:w="1015" w:type="pct"/>
            <w:vMerge w:val="restart"/>
            <w:shd w:val="clear" w:color="auto" w:fill="auto"/>
            <w:vAlign w:val="center"/>
          </w:tcPr>
          <w:p w14:paraId="12FF9EE3" w14:textId="6581AA64" w:rsidR="007544DB" w:rsidRPr="00484AE9" w:rsidRDefault="00696519" w:rsidP="007544DB">
            <w:pPr>
              <w:pStyle w:val="TableText0"/>
              <w:jc w:val="center"/>
            </w:pPr>
            <w:r w:rsidRPr="00696519">
              <w:t xml:space="preserve"> </w:t>
            </w:r>
            <w:r w:rsidRPr="00696519">
              <w:rPr>
                <w:color w:val="000000"/>
                <w:shd w:val="solid" w:color="000000" w:fill="000000"/>
                <w14:textFill>
                  <w14:solidFill>
                    <w14:srgbClr w14:val="000000">
                      <w14:alpha w14:val="100000"/>
                    </w14:srgbClr>
                  </w14:solidFill>
                </w14:textFill>
              </w:rPr>
              <w:t>|</w:t>
            </w:r>
            <w:r w:rsidR="00ED01BB" w:rsidRPr="00F76D9A">
              <w:rPr>
                <w:vertAlign w:val="superscript"/>
              </w:rPr>
              <w:t>5</w:t>
            </w:r>
          </w:p>
        </w:tc>
      </w:tr>
      <w:tr w:rsidR="008B6130" w:rsidRPr="00484AE9" w14:paraId="1E94AAEB" w14:textId="77777777" w:rsidTr="00496D23">
        <w:trPr>
          <w:cantSplit/>
        </w:trPr>
        <w:tc>
          <w:tcPr>
            <w:tcW w:w="934" w:type="pct"/>
            <w:shd w:val="clear" w:color="auto" w:fill="auto"/>
            <w:vAlign w:val="center"/>
          </w:tcPr>
          <w:p w14:paraId="7044A5DB" w14:textId="77777777" w:rsidR="007544DB" w:rsidRPr="00484AE9" w:rsidRDefault="007544DB" w:rsidP="007544DB">
            <w:pPr>
              <w:pStyle w:val="TableText0"/>
            </w:pPr>
            <w:r w:rsidRPr="00484AE9">
              <w:t>QALYS lost</w:t>
            </w:r>
          </w:p>
        </w:tc>
        <w:tc>
          <w:tcPr>
            <w:tcW w:w="1017" w:type="pct"/>
            <w:shd w:val="clear" w:color="auto" w:fill="auto"/>
          </w:tcPr>
          <w:p w14:paraId="149BB893" w14:textId="21F14A12" w:rsidR="007544DB" w:rsidRPr="00484AE9" w:rsidRDefault="007544DB" w:rsidP="007544DB">
            <w:pPr>
              <w:pStyle w:val="TableText0"/>
              <w:jc w:val="center"/>
            </w:pPr>
            <w:r w:rsidRPr="00484AE9">
              <w:t>0.0</w:t>
            </w:r>
            <w:r w:rsidR="00AB20D5" w:rsidRPr="00484AE9">
              <w:t>220</w:t>
            </w:r>
          </w:p>
        </w:tc>
        <w:tc>
          <w:tcPr>
            <w:tcW w:w="1017" w:type="pct"/>
            <w:shd w:val="clear" w:color="auto" w:fill="auto"/>
          </w:tcPr>
          <w:p w14:paraId="3504962D" w14:textId="40B35115" w:rsidR="007544DB" w:rsidRPr="00484AE9" w:rsidRDefault="007544DB" w:rsidP="007544DB">
            <w:pPr>
              <w:pStyle w:val="TableText0"/>
              <w:jc w:val="center"/>
            </w:pPr>
            <w:r w:rsidRPr="00484AE9">
              <w:t>0.</w:t>
            </w:r>
            <w:r w:rsidR="00AB20D5" w:rsidRPr="00484AE9">
              <w:t>0554</w:t>
            </w:r>
          </w:p>
        </w:tc>
        <w:tc>
          <w:tcPr>
            <w:tcW w:w="1017" w:type="pct"/>
            <w:shd w:val="clear" w:color="auto" w:fill="auto"/>
          </w:tcPr>
          <w:p w14:paraId="0C020DB9" w14:textId="6D0718C8" w:rsidR="007544DB" w:rsidRPr="00484AE9" w:rsidRDefault="007544DB" w:rsidP="007544DB">
            <w:pPr>
              <w:pStyle w:val="TableText0"/>
              <w:jc w:val="center"/>
            </w:pPr>
            <w:r w:rsidRPr="00484AE9">
              <w:t>0.0</w:t>
            </w:r>
            <w:r w:rsidR="000A0C63" w:rsidRPr="00484AE9">
              <w:t>33</w:t>
            </w:r>
            <w:r w:rsidR="004C5245" w:rsidRPr="00484AE9">
              <w:t>4</w:t>
            </w:r>
          </w:p>
        </w:tc>
        <w:tc>
          <w:tcPr>
            <w:tcW w:w="1015" w:type="pct"/>
            <w:vMerge/>
            <w:shd w:val="clear" w:color="auto" w:fill="auto"/>
          </w:tcPr>
          <w:p w14:paraId="45D52FB9" w14:textId="77777777" w:rsidR="007544DB" w:rsidRPr="00484AE9" w:rsidRDefault="007544DB" w:rsidP="007544DB">
            <w:pPr>
              <w:pStyle w:val="TableText0"/>
              <w:jc w:val="center"/>
            </w:pPr>
          </w:p>
        </w:tc>
      </w:tr>
    </w:tbl>
    <w:p w14:paraId="58E25431" w14:textId="62E5843B" w:rsidR="00973FAF" w:rsidRPr="00484AE9" w:rsidRDefault="00973FAF" w:rsidP="00973FAF">
      <w:pPr>
        <w:pStyle w:val="FooterTableFigure"/>
        <w:rPr>
          <w:rStyle w:val="CommentReference"/>
        </w:rPr>
      </w:pPr>
      <w:r w:rsidRPr="00484AE9">
        <w:t xml:space="preserve">Source: </w:t>
      </w:r>
      <w:r w:rsidR="00E20A53" w:rsidRPr="00484AE9">
        <w:t>Constructed</w:t>
      </w:r>
      <w:r w:rsidR="00C62E0B" w:rsidRPr="00484AE9">
        <w:t xml:space="preserve"> during the evaluation</w:t>
      </w:r>
    </w:p>
    <w:p w14:paraId="7DC4CC31" w14:textId="77777777" w:rsidR="00973FAF" w:rsidRPr="00484AE9" w:rsidRDefault="00973FAF" w:rsidP="00973FAF">
      <w:pPr>
        <w:pStyle w:val="FooterTableFigure"/>
        <w:rPr>
          <w:rFonts w:eastAsia="Calibri"/>
          <w:szCs w:val="20"/>
        </w:rPr>
      </w:pPr>
      <w:r w:rsidRPr="00484AE9">
        <w:rPr>
          <w:rFonts w:eastAsia="Calibri"/>
          <w:szCs w:val="20"/>
        </w:rPr>
        <w:t>QALY = quality adjusted life year</w:t>
      </w:r>
    </w:p>
    <w:bookmarkEnd w:id="132"/>
    <w:p w14:paraId="01DA6DB7" w14:textId="77777777" w:rsidR="00973FAF" w:rsidRPr="00484AE9" w:rsidRDefault="00973FAF" w:rsidP="00973FAF">
      <w:pPr>
        <w:pStyle w:val="FooterTableFigure"/>
      </w:pPr>
      <w:r w:rsidRPr="00484AE9">
        <w:t>* assumed to include patients aged ≥18 previously requiring hospitalisation for COVID-19</w:t>
      </w:r>
    </w:p>
    <w:p w14:paraId="0D064FBC" w14:textId="7D21F67C" w:rsidR="00D953FB" w:rsidRPr="00484AE9" w:rsidRDefault="00D953FB" w:rsidP="00D953FB">
      <w:pPr>
        <w:pStyle w:val="FooterTableFigure"/>
      </w:pPr>
      <w:r w:rsidRPr="00484AE9">
        <w:t># this cohort reflects the current PBS restrictions for patients aged 50-69</w:t>
      </w:r>
      <w:r w:rsidR="00587B29" w:rsidRPr="00484AE9">
        <w:t xml:space="preserve"> (which requires at least one additional risk factor)</w:t>
      </w:r>
    </w:p>
    <w:p w14:paraId="25C4E7CC" w14:textId="1976AD3A" w:rsidR="00B60938" w:rsidRDefault="00B31328" w:rsidP="00B60938">
      <w:pPr>
        <w:pStyle w:val="FooterTableFigure"/>
      </w:pPr>
      <w:r w:rsidRPr="00484AE9">
        <w:t>^</w:t>
      </w:r>
      <w:r w:rsidR="00B60938" w:rsidRPr="00484AE9">
        <w:t xml:space="preserve"> </w:t>
      </w:r>
      <w:r w:rsidRPr="00484AE9">
        <w:t>this cohort is a subset of the cohort of patients aged 50-69 &amp; ≥ 1 risk</w:t>
      </w:r>
      <w:r w:rsidR="00CF7097" w:rsidRPr="00484AE9">
        <w:t xml:space="preserve">, and reflects the </w:t>
      </w:r>
      <w:r w:rsidR="00587B29" w:rsidRPr="00484AE9">
        <w:t>PBS restrictions</w:t>
      </w:r>
      <w:r w:rsidR="00CF7097" w:rsidRPr="00484AE9">
        <w:t xml:space="preserve"> </w:t>
      </w:r>
      <w:r w:rsidR="00567BFC" w:rsidRPr="00484AE9">
        <w:t>for patients aged 50-69 prior to</w:t>
      </w:r>
      <w:r w:rsidR="00CF7097" w:rsidRPr="00484AE9">
        <w:t xml:space="preserve"> </w:t>
      </w:r>
      <w:r w:rsidR="00587B29" w:rsidRPr="00484AE9">
        <w:t xml:space="preserve">the </w:t>
      </w:r>
      <w:r w:rsidR="00CF7097" w:rsidRPr="00484AE9">
        <w:t>expansions recommended by PBAC in February and June 2023</w:t>
      </w:r>
      <w:r w:rsidR="00567BFC" w:rsidRPr="00484AE9">
        <w:t xml:space="preserve"> (i.e. required at least two additional risk factors).</w:t>
      </w:r>
    </w:p>
    <w:p w14:paraId="3C24F648" w14:textId="77777777" w:rsidR="00ED01BB" w:rsidRPr="00ED01BB" w:rsidRDefault="00ED01BB" w:rsidP="00ED01BB">
      <w:pPr>
        <w:pStyle w:val="FooterTableFigure"/>
        <w:rPr>
          <w:i/>
          <w:iCs/>
        </w:rPr>
      </w:pPr>
      <w:r w:rsidRPr="00ED01BB">
        <w:rPr>
          <w:i/>
          <w:iCs/>
        </w:rPr>
        <w:t>The redacted values correspond to the following ranges:</w:t>
      </w:r>
    </w:p>
    <w:p w14:paraId="710902AB" w14:textId="26D280EA" w:rsidR="00ED01BB" w:rsidRPr="00ED01BB" w:rsidRDefault="00ED01BB" w:rsidP="00ED01BB">
      <w:pPr>
        <w:pStyle w:val="FooterTableFigure"/>
        <w:rPr>
          <w:i/>
          <w:iCs/>
        </w:rPr>
      </w:pPr>
      <w:r w:rsidRPr="00ED01BB">
        <w:rPr>
          <w:i/>
          <w:iCs/>
          <w:vertAlign w:val="superscript"/>
        </w:rPr>
        <w:t>1</w:t>
      </w:r>
      <w:r w:rsidRPr="00ED01BB">
        <w:rPr>
          <w:i/>
          <w:iCs/>
        </w:rPr>
        <w:t xml:space="preserve"> </w:t>
      </w:r>
      <w:r w:rsidR="004528EE" w:rsidRPr="00ED01BB">
        <w:rPr>
          <w:i/>
          <w:iCs/>
        </w:rPr>
        <w:t xml:space="preserve">$5,000 to &lt; $15,000 </w:t>
      </w:r>
    </w:p>
    <w:p w14:paraId="01B84426" w14:textId="59AE3779" w:rsidR="00ED01BB" w:rsidRPr="00ED01BB" w:rsidRDefault="00ED01BB" w:rsidP="00ED01BB">
      <w:pPr>
        <w:pStyle w:val="FooterTableFigure"/>
        <w:rPr>
          <w:i/>
          <w:iCs/>
        </w:rPr>
      </w:pPr>
      <w:r w:rsidRPr="00ED01BB">
        <w:rPr>
          <w:i/>
          <w:iCs/>
          <w:vertAlign w:val="superscript"/>
        </w:rPr>
        <w:t>2</w:t>
      </w:r>
      <w:r w:rsidRPr="00ED01BB">
        <w:rPr>
          <w:i/>
          <w:iCs/>
        </w:rPr>
        <w:t xml:space="preserve"> </w:t>
      </w:r>
      <w:r w:rsidR="00F11F0D" w:rsidRPr="000F38BD">
        <w:rPr>
          <w:i/>
          <w:iCs/>
        </w:rPr>
        <w:t>$25,000 to &lt; $35,000</w:t>
      </w:r>
    </w:p>
    <w:p w14:paraId="151B1A2F" w14:textId="77777777" w:rsidR="00ED01BB" w:rsidRPr="00ED01BB" w:rsidRDefault="00ED01BB" w:rsidP="00ED01BB">
      <w:pPr>
        <w:pStyle w:val="FooterTableFigure"/>
        <w:rPr>
          <w:i/>
          <w:iCs/>
        </w:rPr>
      </w:pPr>
      <w:r w:rsidRPr="00ED01BB">
        <w:rPr>
          <w:i/>
          <w:iCs/>
          <w:vertAlign w:val="superscript"/>
        </w:rPr>
        <w:t xml:space="preserve">3 </w:t>
      </w:r>
      <w:r w:rsidRPr="00ED01BB">
        <w:rPr>
          <w:i/>
          <w:iCs/>
        </w:rPr>
        <w:t>$15,000 to &lt; $25,000</w:t>
      </w:r>
    </w:p>
    <w:p w14:paraId="12C1D75E" w14:textId="5DFE978D" w:rsidR="00ED01BB" w:rsidRPr="00F76D9A" w:rsidRDefault="00ED01BB" w:rsidP="00ED01BB">
      <w:pPr>
        <w:pStyle w:val="FooterTableFigure"/>
        <w:rPr>
          <w:i/>
          <w:iCs/>
        </w:rPr>
      </w:pPr>
      <w:r w:rsidRPr="00F76D9A">
        <w:rPr>
          <w:i/>
          <w:iCs/>
          <w:vertAlign w:val="superscript"/>
        </w:rPr>
        <w:t>4</w:t>
      </w:r>
      <w:r>
        <w:rPr>
          <w:i/>
          <w:iCs/>
        </w:rPr>
        <w:t xml:space="preserve"> </w:t>
      </w:r>
      <w:r w:rsidR="00F11F0D" w:rsidRPr="000F38BD">
        <w:rPr>
          <w:i/>
          <w:iCs/>
        </w:rPr>
        <w:t xml:space="preserve">$55,000 to &lt; $75,000 </w:t>
      </w:r>
    </w:p>
    <w:p w14:paraId="78E04B42" w14:textId="1B12BBCF" w:rsidR="00ED01BB" w:rsidRPr="00484AE9" w:rsidRDefault="00ED01BB" w:rsidP="00B60938">
      <w:pPr>
        <w:pStyle w:val="FooterTableFigure"/>
      </w:pPr>
      <w:r w:rsidRPr="00F76D9A">
        <w:rPr>
          <w:i/>
          <w:iCs/>
          <w:vertAlign w:val="superscript"/>
        </w:rPr>
        <w:t xml:space="preserve">5 </w:t>
      </w:r>
      <w:r w:rsidRPr="00F76D9A">
        <w:rPr>
          <w:i/>
          <w:iCs/>
        </w:rPr>
        <w:t>$35,000 to &lt; $45,000</w:t>
      </w:r>
    </w:p>
    <w:p w14:paraId="1CD8373C" w14:textId="31D93288" w:rsidR="00E22239" w:rsidRPr="00484AE9" w:rsidRDefault="00D23D11" w:rsidP="00F76D9A">
      <w:pPr>
        <w:pStyle w:val="3-BodyText"/>
      </w:pPr>
      <w:bookmarkStart w:id="133" w:name="_Ref144899971"/>
      <w:r w:rsidRPr="00484AE9">
        <w:t xml:space="preserve">The results of key sensitivity analyses </w:t>
      </w:r>
      <w:r w:rsidR="00EC1A74" w:rsidRPr="00484AE9">
        <w:t xml:space="preserve">presented in the submission </w:t>
      </w:r>
      <w:r w:rsidR="00E01270" w:rsidRPr="00484AE9">
        <w:t xml:space="preserve">based on the cohort of patients aged ≥ 70 years </w:t>
      </w:r>
      <w:r w:rsidRPr="00484AE9">
        <w:t xml:space="preserve">are summarised </w:t>
      </w:r>
      <w:r w:rsidR="00E16AD8" w:rsidRPr="00484AE9">
        <w:t xml:space="preserve">in </w:t>
      </w:r>
      <w:r w:rsidR="00E22239" w:rsidRPr="00484AE9">
        <w:fldChar w:fldCharType="begin"/>
      </w:r>
      <w:r w:rsidR="00E22239" w:rsidRPr="00484AE9">
        <w:instrText xml:space="preserve"> REF _Ref150950721 \h </w:instrText>
      </w:r>
      <w:r w:rsidR="00E22239" w:rsidRPr="00484AE9">
        <w:fldChar w:fldCharType="separate"/>
      </w:r>
      <w:r w:rsidR="00872657" w:rsidRPr="00484AE9">
        <w:t xml:space="preserve">Table </w:t>
      </w:r>
      <w:r w:rsidR="00872657">
        <w:rPr>
          <w:noProof/>
        </w:rPr>
        <w:t>21</w:t>
      </w:r>
      <w:r w:rsidR="00E22239" w:rsidRPr="00484AE9">
        <w:fldChar w:fldCharType="end"/>
      </w:r>
      <w:r w:rsidR="00A62B3A" w:rsidRPr="00484AE9">
        <w:t xml:space="preserve">. </w:t>
      </w:r>
      <w:r w:rsidR="00997732" w:rsidRPr="00484AE9">
        <w:t>This analysis is presented as an exemplar. The anal</w:t>
      </w:r>
      <w:r w:rsidR="00A76617" w:rsidRPr="00484AE9">
        <w:t xml:space="preserve">yses for other cohorts are sensitive to the same variables. </w:t>
      </w:r>
      <w:r w:rsidR="00E01270" w:rsidRPr="00484AE9">
        <w:t xml:space="preserve">Additional sensitivity analyses conducted during the evaluation are </w:t>
      </w:r>
      <w:r w:rsidR="008B69D3" w:rsidRPr="00484AE9">
        <w:t xml:space="preserve">shown. </w:t>
      </w:r>
      <w:r w:rsidR="00970B5B" w:rsidRPr="00484AE9">
        <w:t xml:space="preserve">As can be seen, the results of the economic analyses are </w:t>
      </w:r>
      <w:r w:rsidR="00056CE5" w:rsidRPr="00484AE9">
        <w:t xml:space="preserve">particularly </w:t>
      </w:r>
      <w:r w:rsidR="00A26C92" w:rsidRPr="00484AE9">
        <w:t>sensitive to the estimated baseline risk of events</w:t>
      </w:r>
      <w:r w:rsidR="0057191D" w:rsidRPr="00484AE9">
        <w:t xml:space="preserve"> (particularly death)</w:t>
      </w:r>
      <w:r w:rsidR="00A26C92" w:rsidRPr="00484AE9">
        <w:t xml:space="preserve">, </w:t>
      </w:r>
      <w:r w:rsidR="00AA4D5F" w:rsidRPr="00484AE9">
        <w:t>the assumed reduction in risk of events (particularly death) associated with nirmatrelvir and ritonavir</w:t>
      </w:r>
      <w:r w:rsidR="00C9350C" w:rsidRPr="00484AE9">
        <w:t>, and the assumed quality-adjusted life expectancy of patients who die in the acute phase of treatment</w:t>
      </w:r>
      <w:bookmarkStart w:id="134" w:name="_Ref104804865"/>
      <w:bookmarkEnd w:id="133"/>
      <w:r w:rsidR="00A62B3A" w:rsidRPr="00484AE9">
        <w:t xml:space="preserve">. </w:t>
      </w:r>
    </w:p>
    <w:p w14:paraId="3A64F4E7" w14:textId="73DCDE4E" w:rsidR="00D23D11" w:rsidRPr="00484AE9" w:rsidRDefault="00E16AD8" w:rsidP="008B03CB">
      <w:pPr>
        <w:pStyle w:val="Caption"/>
        <w:rPr>
          <w:rStyle w:val="CommentReference"/>
          <w:b/>
          <w:szCs w:val="24"/>
        </w:rPr>
      </w:pPr>
      <w:bookmarkStart w:id="135" w:name="_Ref150950721"/>
      <w:r w:rsidRPr="00484AE9">
        <w:lastRenderedPageBreak/>
        <w:t xml:space="preserve">Table </w:t>
      </w:r>
      <w:fldSimple w:instr=" SEQ Table \* ARABIC ">
        <w:r w:rsidR="00872657">
          <w:rPr>
            <w:noProof/>
          </w:rPr>
          <w:t>21</w:t>
        </w:r>
      </w:fldSimple>
      <w:bookmarkEnd w:id="134"/>
      <w:bookmarkEnd w:id="135"/>
      <w:r w:rsidRPr="00484AE9">
        <w:t>:</w:t>
      </w:r>
      <w:r w:rsidR="00354F64" w:rsidRPr="00484AE9">
        <w:rPr>
          <w:rStyle w:val="CommentReference"/>
          <w:b/>
          <w:szCs w:val="24"/>
        </w:rPr>
        <w:t xml:space="preserve"> </w:t>
      </w:r>
      <w:r w:rsidR="00706FAD" w:rsidRPr="00484AE9">
        <w:rPr>
          <w:rStyle w:val="CommentReference"/>
          <w:b/>
          <w:szCs w:val="24"/>
        </w:rPr>
        <w:t>Results of key s</w:t>
      </w:r>
      <w:r w:rsidR="00D15314" w:rsidRPr="00484AE9">
        <w:rPr>
          <w:rStyle w:val="CommentReference"/>
          <w:b/>
          <w:szCs w:val="24"/>
        </w:rPr>
        <w:t>ensitivity analyses</w:t>
      </w:r>
      <w:r w:rsidR="00706FAD" w:rsidRPr="00484AE9">
        <w:rPr>
          <w:rStyle w:val="CommentReference"/>
          <w:b/>
          <w:szCs w:val="24"/>
        </w:rPr>
        <w:t xml:space="preserve"> (using</w:t>
      </w:r>
      <w:r w:rsidR="0012792C" w:rsidRPr="00484AE9">
        <w:rPr>
          <w:rStyle w:val="CommentReference"/>
          <w:b/>
          <w:szCs w:val="24"/>
        </w:rPr>
        <w:t xml:space="preserve"> the cohort aged ≥ 70 as the exemplar)</w:t>
      </w:r>
      <w:r w:rsidR="00D20DD0" w:rsidRPr="00484AE9">
        <w:rPr>
          <w:rStyle w:val="CommentReference"/>
          <w:b/>
          <w:szCs w:val="24"/>
        </w:rPr>
        <w:t xml:space="preserve"> based on the submission’s base case</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416"/>
        <w:gridCol w:w="1418"/>
        <w:gridCol w:w="1418"/>
        <w:gridCol w:w="1418"/>
      </w:tblGrid>
      <w:tr w:rsidR="008B6130" w:rsidRPr="00484AE9" w14:paraId="4832DD69" w14:textId="390B42CE" w:rsidTr="006A70D3">
        <w:trPr>
          <w:cantSplit/>
          <w:tblHeader/>
        </w:trPr>
        <w:tc>
          <w:tcPr>
            <w:tcW w:w="1873" w:type="pct"/>
          </w:tcPr>
          <w:p w14:paraId="36024DAB" w14:textId="77777777" w:rsidR="000C4CF2" w:rsidRPr="00484AE9" w:rsidRDefault="000C4CF2" w:rsidP="00BB732D">
            <w:pPr>
              <w:pStyle w:val="In-tableHeading"/>
              <w:rPr>
                <w:lang w:val="en-AU"/>
              </w:rPr>
            </w:pPr>
            <w:r w:rsidRPr="00484AE9">
              <w:rPr>
                <w:lang w:val="en-AU"/>
              </w:rPr>
              <w:t>Analyses</w:t>
            </w:r>
          </w:p>
        </w:tc>
        <w:tc>
          <w:tcPr>
            <w:tcW w:w="781" w:type="pct"/>
          </w:tcPr>
          <w:p w14:paraId="116A6840" w14:textId="77777777" w:rsidR="000C4CF2" w:rsidRPr="00484AE9" w:rsidRDefault="000C4CF2" w:rsidP="00BB732D">
            <w:pPr>
              <w:pStyle w:val="In-tableHeading"/>
              <w:jc w:val="center"/>
              <w:rPr>
                <w:lang w:val="en-AU"/>
              </w:rPr>
            </w:pPr>
            <w:r w:rsidRPr="00484AE9">
              <w:rPr>
                <w:lang w:val="en-AU"/>
              </w:rPr>
              <w:t>Incremental cost</w:t>
            </w:r>
          </w:p>
        </w:tc>
        <w:tc>
          <w:tcPr>
            <w:tcW w:w="782" w:type="pct"/>
          </w:tcPr>
          <w:p w14:paraId="3A2E0B89" w14:textId="77777777" w:rsidR="000C4CF2" w:rsidRPr="00484AE9" w:rsidRDefault="000C4CF2" w:rsidP="00BB732D">
            <w:pPr>
              <w:pStyle w:val="In-tableHeading"/>
              <w:jc w:val="center"/>
              <w:rPr>
                <w:lang w:val="en-AU"/>
              </w:rPr>
            </w:pPr>
            <w:r w:rsidRPr="00484AE9">
              <w:rPr>
                <w:lang w:val="en-AU"/>
              </w:rPr>
              <w:t>Incremental QALY</w:t>
            </w:r>
          </w:p>
        </w:tc>
        <w:tc>
          <w:tcPr>
            <w:tcW w:w="782" w:type="pct"/>
          </w:tcPr>
          <w:p w14:paraId="137D47A9" w14:textId="77777777" w:rsidR="000C4CF2" w:rsidRPr="00484AE9" w:rsidRDefault="000C4CF2" w:rsidP="00BB732D">
            <w:pPr>
              <w:pStyle w:val="In-tableHeading"/>
              <w:jc w:val="center"/>
              <w:rPr>
                <w:lang w:val="en-AU"/>
              </w:rPr>
            </w:pPr>
            <w:r w:rsidRPr="00484AE9">
              <w:rPr>
                <w:lang w:val="en-AU"/>
              </w:rPr>
              <w:t>ICER</w:t>
            </w:r>
          </w:p>
        </w:tc>
        <w:tc>
          <w:tcPr>
            <w:tcW w:w="782" w:type="pct"/>
          </w:tcPr>
          <w:p w14:paraId="000EA292" w14:textId="362F99AB" w:rsidR="000C4CF2" w:rsidRPr="00484AE9" w:rsidRDefault="000C4CF2" w:rsidP="00BB732D">
            <w:pPr>
              <w:pStyle w:val="In-tableHeading"/>
              <w:jc w:val="center"/>
              <w:rPr>
                <w:lang w:val="en-AU"/>
              </w:rPr>
            </w:pPr>
            <w:r w:rsidRPr="00484AE9">
              <w:rPr>
                <w:lang w:val="en-AU"/>
              </w:rPr>
              <w:t>% change to ICER</w:t>
            </w:r>
          </w:p>
        </w:tc>
      </w:tr>
      <w:tr w:rsidR="008B6130" w:rsidRPr="00484AE9" w14:paraId="589E440B" w14:textId="4C7F6453" w:rsidTr="006A70D3">
        <w:trPr>
          <w:cantSplit/>
        </w:trPr>
        <w:tc>
          <w:tcPr>
            <w:tcW w:w="1873" w:type="pct"/>
          </w:tcPr>
          <w:p w14:paraId="6264D5C4" w14:textId="19B6F460" w:rsidR="000C4CF2" w:rsidRPr="00484AE9" w:rsidRDefault="000C4CF2" w:rsidP="00BB732D">
            <w:pPr>
              <w:pStyle w:val="TableText0"/>
              <w:rPr>
                <w:b/>
              </w:rPr>
            </w:pPr>
            <w:r w:rsidRPr="00484AE9">
              <w:rPr>
                <w:b/>
              </w:rPr>
              <w:t>Base case</w:t>
            </w:r>
            <w:r w:rsidR="007211CC" w:rsidRPr="00484AE9">
              <w:rPr>
                <w:b/>
              </w:rPr>
              <w:t xml:space="preserve"> for cohort aged ≥ 70</w:t>
            </w:r>
          </w:p>
        </w:tc>
        <w:tc>
          <w:tcPr>
            <w:tcW w:w="781" w:type="pct"/>
          </w:tcPr>
          <w:p w14:paraId="5169AB20" w14:textId="1435F32D" w:rsidR="000C4CF2" w:rsidRPr="00484AE9" w:rsidRDefault="00696519" w:rsidP="00BB732D">
            <w:pPr>
              <w:pStyle w:val="TableText0"/>
              <w:jc w:val="center"/>
              <w:rPr>
                <w:b/>
                <w:highlight w:val="black"/>
              </w:rPr>
            </w:pPr>
            <w:r w:rsidRPr="00696519">
              <w:rPr>
                <w:rFonts w:eastAsia="Calibri"/>
                <w:b/>
                <w:szCs w:val="20"/>
              </w:rPr>
              <w:t xml:space="preserve"> </w:t>
            </w:r>
            <w:r w:rsidRPr="00872657">
              <w:rPr>
                <w:rFonts w:eastAsia="Calibri" w:hint="eastAsia"/>
                <w:b/>
                <w:color w:val="000000"/>
                <w:w w:val="15"/>
                <w:szCs w:val="20"/>
                <w:shd w:val="solid" w:color="000000" w:fill="000000"/>
                <w:fitText w:val="20" w:id="-1032089077"/>
                <w14:textFill>
                  <w14:solidFill>
                    <w14:srgbClr w14:val="000000">
                      <w14:alpha w14:val="100000"/>
                    </w14:srgbClr>
                  </w14:solidFill>
                </w14:textFill>
              </w:rPr>
              <w:t xml:space="preserve">　</w:t>
            </w:r>
            <w:r w:rsidRPr="00872657">
              <w:rPr>
                <w:rFonts w:eastAsia="Calibri"/>
                <w:b/>
                <w:color w:val="000000"/>
                <w:w w:val="15"/>
                <w:szCs w:val="20"/>
                <w:shd w:val="solid" w:color="000000" w:fill="000000"/>
                <w:fitText w:val="20" w:id="-1032089077"/>
                <w14:textFill>
                  <w14:solidFill>
                    <w14:srgbClr w14:val="000000">
                      <w14:alpha w14:val="100000"/>
                    </w14:srgbClr>
                  </w14:solidFill>
                </w14:textFill>
              </w:rPr>
              <w:t>|</w:t>
            </w:r>
            <w:r w:rsidRPr="00872657">
              <w:rPr>
                <w:rFonts w:eastAsia="Calibri" w:hint="eastAsia"/>
                <w:b/>
                <w:color w:val="000000"/>
                <w:spacing w:val="-46"/>
                <w:w w:val="15"/>
                <w:szCs w:val="20"/>
                <w:shd w:val="solid" w:color="000000" w:fill="000000"/>
                <w:fitText w:val="20" w:id="-1032089077"/>
                <w14:textFill>
                  <w14:solidFill>
                    <w14:srgbClr w14:val="000000">
                      <w14:alpha w14:val="100000"/>
                    </w14:srgbClr>
                  </w14:solidFill>
                </w14:textFill>
              </w:rPr>
              <w:t xml:space="preserve">　</w:t>
            </w:r>
            <w:r w:rsidRPr="00696519">
              <w:rPr>
                <w:rFonts w:eastAsia="Calibri"/>
                <w:b/>
                <w:szCs w:val="20"/>
              </w:rPr>
              <w:t xml:space="preserve"> </w:t>
            </w:r>
          </w:p>
        </w:tc>
        <w:tc>
          <w:tcPr>
            <w:tcW w:w="782" w:type="pct"/>
          </w:tcPr>
          <w:p w14:paraId="5DD6CC2E" w14:textId="54CE1D3B" w:rsidR="000C4CF2" w:rsidRPr="00484AE9" w:rsidRDefault="00B82F04" w:rsidP="00BB732D">
            <w:pPr>
              <w:pStyle w:val="TableText0"/>
              <w:jc w:val="center"/>
              <w:rPr>
                <w:b/>
              </w:rPr>
            </w:pPr>
            <w:r w:rsidRPr="00484AE9">
              <w:t>0.1464</w:t>
            </w:r>
          </w:p>
        </w:tc>
        <w:tc>
          <w:tcPr>
            <w:tcW w:w="782" w:type="pct"/>
          </w:tcPr>
          <w:p w14:paraId="1463ED96" w14:textId="282C587A" w:rsidR="000C4CF2" w:rsidRPr="00F76D9A" w:rsidRDefault="00696519" w:rsidP="00BB732D">
            <w:pPr>
              <w:pStyle w:val="TableText0"/>
              <w:jc w:val="center"/>
              <w:rPr>
                <w:b/>
                <w:highlight w:val="darkGray"/>
              </w:rPr>
            </w:pPr>
            <w:r w:rsidRPr="00696519">
              <w:rPr>
                <w:rFonts w:eastAsia="Calibri"/>
                <w:b/>
                <w:szCs w:val="20"/>
              </w:rPr>
              <w:t xml:space="preserve"> </w:t>
            </w:r>
            <w:r w:rsidRPr="00696519">
              <w:rPr>
                <w:rFonts w:eastAsia="Calibri" w:hint="eastAsia"/>
                <w:b/>
                <w:color w:val="000000"/>
                <w:w w:val="15"/>
                <w:szCs w:val="20"/>
                <w:shd w:val="solid" w:color="000000" w:fill="000000"/>
                <w:fitText w:val="40" w:id="-1032089076"/>
                <w14:textFill>
                  <w14:solidFill>
                    <w14:srgbClr w14:val="000000">
                      <w14:alpha w14:val="100000"/>
                    </w14:srgbClr>
                  </w14:solidFill>
                </w14:textFill>
              </w:rPr>
              <w:t xml:space="preserve">　</w:t>
            </w:r>
            <w:r w:rsidRPr="00696519">
              <w:rPr>
                <w:rFonts w:eastAsia="Calibri"/>
                <w:b/>
                <w:color w:val="000000"/>
                <w:w w:val="15"/>
                <w:szCs w:val="20"/>
                <w:shd w:val="solid" w:color="000000" w:fill="000000"/>
                <w:fitText w:val="40" w:id="-1032089076"/>
                <w14:textFill>
                  <w14:solidFill>
                    <w14:srgbClr w14:val="000000">
                      <w14:alpha w14:val="100000"/>
                    </w14:srgbClr>
                  </w14:solidFill>
                </w14:textFill>
              </w:rPr>
              <w:t>|</w:t>
            </w:r>
            <w:r w:rsidRPr="00696519">
              <w:rPr>
                <w:rFonts w:eastAsia="Calibri" w:hint="eastAsia"/>
                <w:b/>
                <w:color w:val="000000"/>
                <w:spacing w:val="-26"/>
                <w:w w:val="15"/>
                <w:szCs w:val="20"/>
                <w:shd w:val="solid" w:color="000000" w:fill="000000"/>
                <w:fitText w:val="40" w:id="-1032089076"/>
                <w14:textFill>
                  <w14:solidFill>
                    <w14:srgbClr w14:val="000000">
                      <w14:alpha w14:val="100000"/>
                    </w14:srgbClr>
                  </w14:solidFill>
                </w14:textFill>
              </w:rPr>
              <w:t xml:space="preserve">　</w:t>
            </w:r>
            <w:r w:rsidR="00F11F0D">
              <w:rPr>
                <w:rFonts w:eastAsia="Calibri"/>
                <w:b/>
                <w:szCs w:val="20"/>
                <w:vertAlign w:val="superscript"/>
              </w:rPr>
              <w:t>1</w:t>
            </w:r>
          </w:p>
        </w:tc>
        <w:tc>
          <w:tcPr>
            <w:tcW w:w="782" w:type="pct"/>
          </w:tcPr>
          <w:p w14:paraId="4E38A137" w14:textId="12B7AE50" w:rsidR="000C4CF2" w:rsidRPr="00484AE9" w:rsidRDefault="000C4CF2" w:rsidP="000C4CF2">
            <w:pPr>
              <w:pStyle w:val="TableText0"/>
              <w:rPr>
                <w:rFonts w:eastAsia="Calibri"/>
                <w:b/>
                <w:szCs w:val="20"/>
              </w:rPr>
            </w:pPr>
          </w:p>
        </w:tc>
      </w:tr>
      <w:tr w:rsidR="008B6130" w:rsidRPr="00484AE9" w14:paraId="42CD3BDB" w14:textId="6D8D9305" w:rsidTr="006A70D3">
        <w:trPr>
          <w:cantSplit/>
        </w:trPr>
        <w:tc>
          <w:tcPr>
            <w:tcW w:w="5000" w:type="pct"/>
            <w:gridSpan w:val="5"/>
          </w:tcPr>
          <w:p w14:paraId="6B4E1110" w14:textId="722B1D9E" w:rsidR="002752FE" w:rsidRPr="00484AE9" w:rsidRDefault="002752FE" w:rsidP="00BB732D">
            <w:pPr>
              <w:pStyle w:val="TableText0"/>
            </w:pPr>
            <w:r w:rsidRPr="00484AE9">
              <w:t>Baseline risk of hospitalisation (base case = 5%)</w:t>
            </w:r>
          </w:p>
        </w:tc>
      </w:tr>
      <w:tr w:rsidR="008B6130" w:rsidRPr="00484AE9" w14:paraId="3B6F2FC0" w14:textId="2CF18288" w:rsidTr="006A70D3">
        <w:trPr>
          <w:cantSplit/>
        </w:trPr>
        <w:tc>
          <w:tcPr>
            <w:tcW w:w="1873" w:type="pct"/>
          </w:tcPr>
          <w:p w14:paraId="567E2689" w14:textId="4BEB44A3" w:rsidR="00C514D3" w:rsidRPr="00484AE9" w:rsidRDefault="00C514D3" w:rsidP="00F22594">
            <w:pPr>
              <w:pStyle w:val="TableText0"/>
              <w:numPr>
                <w:ilvl w:val="0"/>
                <w:numId w:val="11"/>
              </w:numPr>
              <w:ind w:left="308" w:hanging="284"/>
            </w:pPr>
            <w:r w:rsidRPr="00484AE9">
              <w:t>2.5%</w:t>
            </w:r>
          </w:p>
        </w:tc>
        <w:tc>
          <w:tcPr>
            <w:tcW w:w="781" w:type="pct"/>
          </w:tcPr>
          <w:p w14:paraId="409937C7" w14:textId="51803FC3" w:rsidR="00C514D3" w:rsidRPr="00F76D9A" w:rsidRDefault="00696519" w:rsidP="00C514D3">
            <w:pPr>
              <w:pStyle w:val="TableText0"/>
              <w:jc w:val="center"/>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Pr="00696519">
              <w:t xml:space="preserve"> </w:t>
            </w:r>
          </w:p>
        </w:tc>
        <w:tc>
          <w:tcPr>
            <w:tcW w:w="782" w:type="pct"/>
          </w:tcPr>
          <w:p w14:paraId="50FD973F" w14:textId="685F3D90" w:rsidR="00C514D3" w:rsidRPr="00484AE9" w:rsidRDefault="00C514D3" w:rsidP="00C514D3">
            <w:pPr>
              <w:pStyle w:val="TableText0"/>
              <w:jc w:val="center"/>
            </w:pPr>
            <w:r w:rsidRPr="00484AE9">
              <w:t>0.1463</w:t>
            </w:r>
          </w:p>
        </w:tc>
        <w:tc>
          <w:tcPr>
            <w:tcW w:w="782" w:type="pct"/>
          </w:tcPr>
          <w:p w14:paraId="2BA03071" w14:textId="531563A8" w:rsidR="00C514D3" w:rsidRPr="00F76D9A" w:rsidRDefault="00696519" w:rsidP="00C514D3">
            <w:pPr>
              <w:pStyle w:val="TableText0"/>
              <w:jc w:val="center"/>
              <w:rPr>
                <w:highlight w:val="darkGray"/>
              </w:rPr>
            </w:pPr>
            <w:r w:rsidRPr="00696519">
              <w:rPr>
                <w:rFonts w:eastAsia="Calibri"/>
                <w:szCs w:val="20"/>
              </w:rPr>
              <w:t xml:space="preserve"> </w:t>
            </w:r>
            <w:r w:rsidRPr="00696519">
              <w:rPr>
                <w:rFonts w:eastAsia="Calibri"/>
                <w:color w:val="000000"/>
                <w:szCs w:val="20"/>
                <w:shd w:val="solid" w:color="000000" w:fill="000000"/>
                <w14:textFill>
                  <w14:solidFill>
                    <w14:srgbClr w14:val="000000">
                      <w14:alpha w14:val="100000"/>
                    </w14:srgbClr>
                  </w14:solidFill>
                </w14:textFill>
              </w:rPr>
              <w:t>|</w:t>
            </w:r>
            <w:r w:rsidR="00F11F0D">
              <w:rPr>
                <w:rFonts w:eastAsia="Calibri"/>
                <w:b/>
                <w:szCs w:val="20"/>
                <w:vertAlign w:val="superscript"/>
              </w:rPr>
              <w:t>1</w:t>
            </w:r>
          </w:p>
        </w:tc>
        <w:tc>
          <w:tcPr>
            <w:tcW w:w="782" w:type="pct"/>
          </w:tcPr>
          <w:p w14:paraId="48296EA7" w14:textId="04A5E31A" w:rsidR="00C514D3" w:rsidRPr="00484AE9" w:rsidRDefault="00C514D3" w:rsidP="00C514D3">
            <w:pPr>
              <w:pStyle w:val="TableText0"/>
              <w:jc w:val="center"/>
              <w:rPr>
                <w:rFonts w:eastAsia="Calibri"/>
                <w:szCs w:val="20"/>
              </w:rPr>
            </w:pPr>
            <w:r w:rsidRPr="00484AE9">
              <w:rPr>
                <w:rFonts w:eastAsia="Calibri"/>
                <w:szCs w:val="20"/>
              </w:rPr>
              <w:t>↑</w:t>
            </w:r>
            <w:r w:rsidR="00696519" w:rsidRPr="00696519">
              <w:rPr>
                <w:rFonts w:eastAsia="Calibri"/>
                <w:szCs w:val="20"/>
              </w:rPr>
              <w:t xml:space="preserve"> </w:t>
            </w:r>
            <w:r w:rsidR="00696519" w:rsidRPr="00696519">
              <w:rPr>
                <w:rFonts w:eastAsia="Calibri" w:hint="eastAsia"/>
                <w:color w:val="000000"/>
                <w:w w:val="15"/>
                <w:szCs w:val="20"/>
                <w:shd w:val="solid" w:color="000000" w:fill="000000"/>
                <w:fitText w:val="40" w:id="-1032089075"/>
                <w14:textFill>
                  <w14:solidFill>
                    <w14:srgbClr w14:val="000000">
                      <w14:alpha w14:val="100000"/>
                    </w14:srgbClr>
                  </w14:solidFill>
                </w14:textFill>
              </w:rPr>
              <w:t xml:space="preserve">　</w:t>
            </w:r>
            <w:r w:rsidR="00696519" w:rsidRPr="00696519">
              <w:rPr>
                <w:rFonts w:eastAsia="Calibri"/>
                <w:color w:val="000000"/>
                <w:w w:val="15"/>
                <w:szCs w:val="20"/>
                <w:shd w:val="solid" w:color="000000" w:fill="000000"/>
                <w:fitText w:val="40" w:id="-1032089075"/>
                <w14:textFill>
                  <w14:solidFill>
                    <w14:srgbClr w14:val="000000">
                      <w14:alpha w14:val="100000"/>
                    </w14:srgbClr>
                  </w14:solidFill>
                </w14:textFill>
              </w:rPr>
              <w:t>|</w:t>
            </w:r>
            <w:r w:rsidR="00696519" w:rsidRPr="00696519">
              <w:rPr>
                <w:rFonts w:eastAsia="Calibri" w:hint="eastAsia"/>
                <w:color w:val="000000"/>
                <w:spacing w:val="-25"/>
                <w:w w:val="15"/>
                <w:szCs w:val="20"/>
                <w:shd w:val="solid" w:color="000000" w:fill="000000"/>
                <w:fitText w:val="40" w:id="-1032089075"/>
                <w14:textFill>
                  <w14:solidFill>
                    <w14:srgbClr w14:val="000000">
                      <w14:alpha w14:val="100000"/>
                    </w14:srgbClr>
                  </w14:solidFill>
                </w14:textFill>
              </w:rPr>
              <w:t xml:space="preserve">　</w:t>
            </w:r>
          </w:p>
        </w:tc>
      </w:tr>
      <w:tr w:rsidR="008B6130" w:rsidRPr="00484AE9" w14:paraId="1F5CED3E" w14:textId="7886CEF0" w:rsidTr="006A70D3">
        <w:trPr>
          <w:cantSplit/>
          <w:trHeight w:val="283"/>
        </w:trPr>
        <w:tc>
          <w:tcPr>
            <w:tcW w:w="1873" w:type="pct"/>
          </w:tcPr>
          <w:p w14:paraId="3387A447" w14:textId="2EC5550E" w:rsidR="005208AE" w:rsidRPr="00484AE9" w:rsidRDefault="005208AE" w:rsidP="00F22594">
            <w:pPr>
              <w:pStyle w:val="TableText0"/>
              <w:numPr>
                <w:ilvl w:val="0"/>
                <w:numId w:val="11"/>
              </w:numPr>
              <w:ind w:left="308" w:hanging="284"/>
            </w:pPr>
            <w:r w:rsidRPr="00484AE9">
              <w:t>7.5%</w:t>
            </w:r>
          </w:p>
        </w:tc>
        <w:tc>
          <w:tcPr>
            <w:tcW w:w="781" w:type="pct"/>
          </w:tcPr>
          <w:p w14:paraId="75B6153A" w14:textId="527FEAF8" w:rsidR="005208AE" w:rsidRPr="00F76D9A" w:rsidRDefault="00696519" w:rsidP="005208AE">
            <w:pPr>
              <w:pStyle w:val="TableText0"/>
              <w:jc w:val="center"/>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Pr="00696519">
              <w:t xml:space="preserve"> </w:t>
            </w:r>
          </w:p>
        </w:tc>
        <w:tc>
          <w:tcPr>
            <w:tcW w:w="782" w:type="pct"/>
          </w:tcPr>
          <w:p w14:paraId="65593F50" w14:textId="4F7B8FE3" w:rsidR="005208AE" w:rsidRPr="00484AE9" w:rsidRDefault="005208AE" w:rsidP="005208AE">
            <w:pPr>
              <w:pStyle w:val="TableText0"/>
              <w:jc w:val="center"/>
            </w:pPr>
            <w:r w:rsidRPr="00484AE9">
              <w:t>0.1464</w:t>
            </w:r>
          </w:p>
        </w:tc>
        <w:tc>
          <w:tcPr>
            <w:tcW w:w="782" w:type="pct"/>
          </w:tcPr>
          <w:p w14:paraId="2BDED9F9" w14:textId="3D62834D" w:rsidR="005208AE" w:rsidRPr="00F76D9A" w:rsidRDefault="00696519" w:rsidP="005208AE">
            <w:pPr>
              <w:pStyle w:val="TableText0"/>
              <w:jc w:val="center"/>
              <w:rPr>
                <w:highlight w:val="darkGray"/>
              </w:rPr>
            </w:pPr>
            <w:r w:rsidRPr="00696519">
              <w:rPr>
                <w:rFonts w:eastAsia="Calibri"/>
                <w:szCs w:val="20"/>
              </w:rPr>
              <w:t xml:space="preserve"> </w:t>
            </w:r>
            <w:r w:rsidRPr="00696519">
              <w:rPr>
                <w:rFonts w:eastAsia="Calibri"/>
                <w:color w:val="000000"/>
                <w:szCs w:val="20"/>
                <w:shd w:val="solid" w:color="000000" w:fill="000000"/>
                <w14:textFill>
                  <w14:solidFill>
                    <w14:srgbClr w14:val="000000">
                      <w14:alpha w14:val="100000"/>
                    </w14:srgbClr>
                  </w14:solidFill>
                </w14:textFill>
              </w:rPr>
              <w:t>|</w:t>
            </w:r>
            <w:r w:rsidR="00F11F0D">
              <w:rPr>
                <w:rFonts w:eastAsia="Calibri"/>
                <w:b/>
                <w:szCs w:val="20"/>
                <w:vertAlign w:val="superscript"/>
              </w:rPr>
              <w:t>1</w:t>
            </w:r>
          </w:p>
        </w:tc>
        <w:tc>
          <w:tcPr>
            <w:tcW w:w="782" w:type="pct"/>
          </w:tcPr>
          <w:p w14:paraId="66BDB7F5" w14:textId="60CED73A" w:rsidR="005208AE" w:rsidRPr="00484AE9" w:rsidRDefault="005208AE" w:rsidP="005208AE">
            <w:pPr>
              <w:pStyle w:val="TableText0"/>
              <w:jc w:val="center"/>
              <w:rPr>
                <w:rFonts w:eastAsia="Calibri"/>
                <w:szCs w:val="20"/>
              </w:rPr>
            </w:pPr>
            <w:r w:rsidRPr="00484AE9">
              <w:rPr>
                <w:rFonts w:eastAsia="Calibri"/>
                <w:szCs w:val="20"/>
              </w:rPr>
              <w:t>↓</w:t>
            </w:r>
            <w:r w:rsidR="00696519" w:rsidRPr="00696519">
              <w:rPr>
                <w:rFonts w:eastAsia="Calibri"/>
                <w:szCs w:val="20"/>
              </w:rPr>
              <w:t xml:space="preserve"> </w:t>
            </w:r>
            <w:r w:rsidR="00696519" w:rsidRPr="00696519">
              <w:rPr>
                <w:rFonts w:eastAsia="Calibri" w:hint="eastAsia"/>
                <w:color w:val="000000"/>
                <w:w w:val="15"/>
                <w:szCs w:val="20"/>
                <w:shd w:val="solid" w:color="000000" w:fill="000000"/>
                <w:fitText w:val="40" w:id="-1032089074"/>
                <w14:textFill>
                  <w14:solidFill>
                    <w14:srgbClr w14:val="000000">
                      <w14:alpha w14:val="100000"/>
                    </w14:srgbClr>
                  </w14:solidFill>
                </w14:textFill>
              </w:rPr>
              <w:t xml:space="preserve">　</w:t>
            </w:r>
            <w:r w:rsidR="00696519" w:rsidRPr="00696519">
              <w:rPr>
                <w:rFonts w:eastAsia="Calibri"/>
                <w:color w:val="000000"/>
                <w:w w:val="15"/>
                <w:szCs w:val="20"/>
                <w:shd w:val="solid" w:color="000000" w:fill="000000"/>
                <w:fitText w:val="40" w:id="-1032089074"/>
                <w14:textFill>
                  <w14:solidFill>
                    <w14:srgbClr w14:val="000000">
                      <w14:alpha w14:val="100000"/>
                    </w14:srgbClr>
                  </w14:solidFill>
                </w14:textFill>
              </w:rPr>
              <w:t>|</w:t>
            </w:r>
            <w:r w:rsidR="00696519" w:rsidRPr="00696519">
              <w:rPr>
                <w:rFonts w:eastAsia="Calibri" w:hint="eastAsia"/>
                <w:color w:val="000000"/>
                <w:spacing w:val="-25"/>
                <w:w w:val="15"/>
                <w:szCs w:val="20"/>
                <w:shd w:val="solid" w:color="000000" w:fill="000000"/>
                <w:fitText w:val="40" w:id="-1032089074"/>
                <w14:textFill>
                  <w14:solidFill>
                    <w14:srgbClr w14:val="000000">
                      <w14:alpha w14:val="100000"/>
                    </w14:srgbClr>
                  </w14:solidFill>
                </w14:textFill>
              </w:rPr>
              <w:t xml:space="preserve">　</w:t>
            </w:r>
          </w:p>
        </w:tc>
      </w:tr>
      <w:tr w:rsidR="008B6130" w:rsidRPr="00484AE9" w14:paraId="1DD8C750" w14:textId="77777777" w:rsidTr="006A70D3">
        <w:trPr>
          <w:cantSplit/>
          <w:trHeight w:val="283"/>
        </w:trPr>
        <w:tc>
          <w:tcPr>
            <w:tcW w:w="5000" w:type="pct"/>
            <w:gridSpan w:val="5"/>
          </w:tcPr>
          <w:p w14:paraId="504FBB7F" w14:textId="0F19122A" w:rsidR="00354544" w:rsidRPr="00484AE9" w:rsidRDefault="00354544" w:rsidP="008B03CB">
            <w:pPr>
              <w:pStyle w:val="TableText0"/>
              <w:rPr>
                <w:rFonts w:eastAsia="Calibri"/>
                <w:szCs w:val="20"/>
              </w:rPr>
            </w:pPr>
            <w:r w:rsidRPr="00484AE9">
              <w:t>Baseline risk of death (base case</w:t>
            </w:r>
            <w:r w:rsidR="009647A1" w:rsidRPr="00484AE9">
              <w:t xml:space="preserve"> =</w:t>
            </w:r>
            <w:r w:rsidRPr="00484AE9">
              <w:t xml:space="preserve"> </w:t>
            </w:r>
            <w:r w:rsidR="00F84344" w:rsidRPr="00484AE9">
              <w:t>3</w:t>
            </w:r>
            <w:r w:rsidRPr="00484AE9">
              <w:t>%)</w:t>
            </w:r>
          </w:p>
        </w:tc>
      </w:tr>
      <w:tr w:rsidR="008B6130" w:rsidRPr="00484AE9" w14:paraId="0437BCD0" w14:textId="77777777" w:rsidTr="006A70D3">
        <w:trPr>
          <w:cantSplit/>
          <w:trHeight w:val="283"/>
        </w:trPr>
        <w:tc>
          <w:tcPr>
            <w:tcW w:w="1873" w:type="pct"/>
          </w:tcPr>
          <w:p w14:paraId="2063092D" w14:textId="40F06D1C" w:rsidR="007D47FC" w:rsidRPr="00484AE9" w:rsidRDefault="007D47FC" w:rsidP="00F22594">
            <w:pPr>
              <w:pStyle w:val="TableText0"/>
              <w:numPr>
                <w:ilvl w:val="0"/>
                <w:numId w:val="11"/>
              </w:numPr>
              <w:ind w:left="308" w:hanging="284"/>
            </w:pPr>
            <w:r w:rsidRPr="00484AE9">
              <w:t>1.5%</w:t>
            </w:r>
          </w:p>
        </w:tc>
        <w:tc>
          <w:tcPr>
            <w:tcW w:w="781" w:type="pct"/>
          </w:tcPr>
          <w:p w14:paraId="1263D745" w14:textId="147AA07A" w:rsidR="007D47FC" w:rsidRPr="00F14EBF" w:rsidRDefault="00696519" w:rsidP="007D47FC">
            <w:pPr>
              <w:pStyle w:val="TableText0"/>
              <w:jc w:val="center"/>
              <w:rPr>
                <w:rFonts w:eastAsia="Calibri"/>
                <w:szCs w:val="20"/>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Pr="00696519">
              <w:t xml:space="preserve"> </w:t>
            </w:r>
          </w:p>
        </w:tc>
        <w:tc>
          <w:tcPr>
            <w:tcW w:w="782" w:type="pct"/>
          </w:tcPr>
          <w:p w14:paraId="1B463654" w14:textId="08258BCA" w:rsidR="007D47FC" w:rsidRPr="00484AE9" w:rsidRDefault="007D47FC" w:rsidP="007D47FC">
            <w:pPr>
              <w:pStyle w:val="TableText0"/>
              <w:jc w:val="center"/>
              <w:rPr>
                <w:rFonts w:eastAsia="Calibri"/>
                <w:szCs w:val="20"/>
              </w:rPr>
            </w:pPr>
            <w:r w:rsidRPr="00484AE9">
              <w:t>0.0739</w:t>
            </w:r>
          </w:p>
        </w:tc>
        <w:tc>
          <w:tcPr>
            <w:tcW w:w="782" w:type="pct"/>
          </w:tcPr>
          <w:p w14:paraId="6F9EFA32" w14:textId="49BB0EFF" w:rsidR="007D47FC" w:rsidRPr="00F14EBF" w:rsidRDefault="00696519" w:rsidP="007D47FC">
            <w:pPr>
              <w:pStyle w:val="TableText0"/>
              <w:jc w:val="center"/>
              <w:rPr>
                <w:rFonts w:eastAsia="Calibri"/>
                <w:szCs w:val="20"/>
                <w:highlight w:val="darkGray"/>
              </w:rPr>
            </w:pPr>
            <w:r w:rsidRPr="00696519">
              <w:rPr>
                <w:rFonts w:eastAsia="Calibri"/>
                <w:szCs w:val="20"/>
              </w:rPr>
              <w:t xml:space="preserve"> </w:t>
            </w:r>
            <w:r w:rsidRPr="00696519">
              <w:rPr>
                <w:rFonts w:eastAsia="Calibri"/>
                <w:color w:val="000000"/>
                <w:szCs w:val="20"/>
                <w:shd w:val="solid" w:color="000000" w:fill="000000"/>
                <w14:textFill>
                  <w14:solidFill>
                    <w14:srgbClr w14:val="000000">
                      <w14:alpha w14:val="100000"/>
                    </w14:srgbClr>
                  </w14:solidFill>
                </w14:textFill>
              </w:rPr>
              <w:t>|</w:t>
            </w:r>
            <w:r w:rsidR="00F11F0D">
              <w:rPr>
                <w:rFonts w:eastAsia="Calibri"/>
                <w:b/>
                <w:szCs w:val="20"/>
                <w:vertAlign w:val="superscript"/>
              </w:rPr>
              <w:t>2</w:t>
            </w:r>
          </w:p>
        </w:tc>
        <w:tc>
          <w:tcPr>
            <w:tcW w:w="782" w:type="pct"/>
          </w:tcPr>
          <w:p w14:paraId="40F14D85" w14:textId="46445A6F" w:rsidR="007D47FC" w:rsidRPr="00484AE9" w:rsidRDefault="007D47FC" w:rsidP="007D47FC">
            <w:pPr>
              <w:pStyle w:val="TableText0"/>
              <w:jc w:val="center"/>
              <w:rPr>
                <w:rFonts w:eastAsia="Calibri"/>
                <w:szCs w:val="20"/>
              </w:rPr>
            </w:pPr>
            <w:r w:rsidRPr="00484AE9">
              <w:rPr>
                <w:rFonts w:eastAsia="Calibri"/>
                <w:szCs w:val="20"/>
              </w:rPr>
              <w:t>↑</w:t>
            </w:r>
            <w:r w:rsidR="00696519" w:rsidRPr="00696519">
              <w:rPr>
                <w:rFonts w:eastAsia="Calibri"/>
                <w:szCs w:val="20"/>
              </w:rPr>
              <w:t xml:space="preserve"> </w:t>
            </w:r>
            <w:r w:rsidR="00696519" w:rsidRPr="00696519">
              <w:rPr>
                <w:rFonts w:eastAsia="Calibri" w:hint="eastAsia"/>
                <w:color w:val="000000"/>
                <w:w w:val="15"/>
                <w:szCs w:val="20"/>
                <w:shd w:val="solid" w:color="000000" w:fill="000000"/>
                <w:fitText w:val="40" w:id="-1032089073"/>
                <w14:textFill>
                  <w14:solidFill>
                    <w14:srgbClr w14:val="000000">
                      <w14:alpha w14:val="100000"/>
                    </w14:srgbClr>
                  </w14:solidFill>
                </w14:textFill>
              </w:rPr>
              <w:t xml:space="preserve">　</w:t>
            </w:r>
            <w:r w:rsidR="00696519" w:rsidRPr="00696519">
              <w:rPr>
                <w:rFonts w:eastAsia="Calibri"/>
                <w:color w:val="000000"/>
                <w:w w:val="15"/>
                <w:szCs w:val="20"/>
                <w:shd w:val="solid" w:color="000000" w:fill="000000"/>
                <w:fitText w:val="40" w:id="-1032089073"/>
                <w14:textFill>
                  <w14:solidFill>
                    <w14:srgbClr w14:val="000000">
                      <w14:alpha w14:val="100000"/>
                    </w14:srgbClr>
                  </w14:solidFill>
                </w14:textFill>
              </w:rPr>
              <w:t>|</w:t>
            </w:r>
            <w:r w:rsidR="00696519" w:rsidRPr="00696519">
              <w:rPr>
                <w:rFonts w:eastAsia="Calibri" w:hint="eastAsia"/>
                <w:color w:val="000000"/>
                <w:spacing w:val="-25"/>
                <w:w w:val="15"/>
                <w:szCs w:val="20"/>
                <w:shd w:val="solid" w:color="000000" w:fill="000000"/>
                <w:fitText w:val="40" w:id="-1032089073"/>
                <w14:textFill>
                  <w14:solidFill>
                    <w14:srgbClr w14:val="000000">
                      <w14:alpha w14:val="100000"/>
                    </w14:srgbClr>
                  </w14:solidFill>
                </w14:textFill>
              </w:rPr>
              <w:t xml:space="preserve">　</w:t>
            </w:r>
          </w:p>
        </w:tc>
      </w:tr>
      <w:tr w:rsidR="008B6130" w:rsidRPr="00484AE9" w14:paraId="3949DC32" w14:textId="77777777" w:rsidTr="006A70D3">
        <w:trPr>
          <w:cantSplit/>
          <w:trHeight w:val="283"/>
        </w:trPr>
        <w:tc>
          <w:tcPr>
            <w:tcW w:w="1873" w:type="pct"/>
          </w:tcPr>
          <w:p w14:paraId="695334B4" w14:textId="17A5EE9E" w:rsidR="00830499" w:rsidRPr="00484AE9" w:rsidRDefault="00830499" w:rsidP="00F22594">
            <w:pPr>
              <w:pStyle w:val="TableText0"/>
              <w:numPr>
                <w:ilvl w:val="0"/>
                <w:numId w:val="11"/>
              </w:numPr>
              <w:ind w:left="308" w:hanging="284"/>
            </w:pPr>
            <w:r w:rsidRPr="00484AE9">
              <w:t>4.5%</w:t>
            </w:r>
          </w:p>
        </w:tc>
        <w:tc>
          <w:tcPr>
            <w:tcW w:w="781" w:type="pct"/>
          </w:tcPr>
          <w:p w14:paraId="3819BF9F" w14:textId="68FEF594" w:rsidR="00830499" w:rsidRPr="00F76D9A" w:rsidRDefault="00696519" w:rsidP="00830499">
            <w:pPr>
              <w:pStyle w:val="TableText0"/>
              <w:jc w:val="center"/>
              <w:rPr>
                <w:rFonts w:eastAsia="Calibri"/>
                <w:szCs w:val="20"/>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Pr="00696519">
              <w:t xml:space="preserve"> </w:t>
            </w:r>
          </w:p>
        </w:tc>
        <w:tc>
          <w:tcPr>
            <w:tcW w:w="782" w:type="pct"/>
          </w:tcPr>
          <w:p w14:paraId="4ED9159F" w14:textId="5887063C" w:rsidR="00830499" w:rsidRPr="00484AE9" w:rsidRDefault="00830499" w:rsidP="00830499">
            <w:pPr>
              <w:pStyle w:val="TableText0"/>
              <w:jc w:val="center"/>
              <w:rPr>
                <w:rFonts w:eastAsia="Calibri"/>
                <w:szCs w:val="20"/>
              </w:rPr>
            </w:pPr>
            <w:r w:rsidRPr="00484AE9">
              <w:t>0.2188</w:t>
            </w:r>
          </w:p>
        </w:tc>
        <w:tc>
          <w:tcPr>
            <w:tcW w:w="782" w:type="pct"/>
          </w:tcPr>
          <w:p w14:paraId="791F4CF3" w14:textId="5C6F1A6D" w:rsidR="00830499" w:rsidRPr="00F76D9A" w:rsidRDefault="00696519" w:rsidP="00830499">
            <w:pPr>
              <w:pStyle w:val="TableText0"/>
              <w:jc w:val="center"/>
              <w:rPr>
                <w:rFonts w:eastAsia="Calibri"/>
                <w:szCs w:val="20"/>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00F11F0D">
              <w:rPr>
                <w:rFonts w:eastAsia="Calibri"/>
                <w:b/>
                <w:szCs w:val="20"/>
                <w:vertAlign w:val="superscript"/>
              </w:rPr>
              <w:t>1</w:t>
            </w:r>
          </w:p>
        </w:tc>
        <w:tc>
          <w:tcPr>
            <w:tcW w:w="782" w:type="pct"/>
          </w:tcPr>
          <w:p w14:paraId="40D7FE76" w14:textId="1F0E3EC2" w:rsidR="00830499" w:rsidRPr="00484AE9" w:rsidRDefault="00830499" w:rsidP="00830499">
            <w:pPr>
              <w:pStyle w:val="TableText0"/>
              <w:jc w:val="center"/>
              <w:rPr>
                <w:rFonts w:eastAsia="Calibri"/>
                <w:szCs w:val="20"/>
              </w:rPr>
            </w:pPr>
            <w:r w:rsidRPr="00484AE9">
              <w:rPr>
                <w:rFonts w:eastAsia="Calibri"/>
                <w:szCs w:val="20"/>
              </w:rPr>
              <w:t>↓</w:t>
            </w:r>
            <w:r w:rsidR="00696519" w:rsidRPr="00696519">
              <w:rPr>
                <w:rFonts w:eastAsia="Calibri"/>
                <w:szCs w:val="20"/>
              </w:rPr>
              <w:t xml:space="preserve"> </w:t>
            </w:r>
            <w:r w:rsidR="00696519" w:rsidRPr="00696519">
              <w:rPr>
                <w:rFonts w:eastAsia="Calibri" w:hint="eastAsia"/>
                <w:color w:val="000000"/>
                <w:w w:val="15"/>
                <w:szCs w:val="20"/>
                <w:shd w:val="solid" w:color="000000" w:fill="000000"/>
                <w:fitText w:val="40" w:id="-1032089072"/>
                <w14:textFill>
                  <w14:solidFill>
                    <w14:srgbClr w14:val="000000">
                      <w14:alpha w14:val="100000"/>
                    </w14:srgbClr>
                  </w14:solidFill>
                </w14:textFill>
              </w:rPr>
              <w:t xml:space="preserve">　</w:t>
            </w:r>
            <w:r w:rsidR="00696519" w:rsidRPr="00696519">
              <w:rPr>
                <w:rFonts w:eastAsia="Calibri"/>
                <w:color w:val="000000"/>
                <w:w w:val="15"/>
                <w:szCs w:val="20"/>
                <w:shd w:val="solid" w:color="000000" w:fill="000000"/>
                <w:fitText w:val="40" w:id="-1032089072"/>
                <w14:textFill>
                  <w14:solidFill>
                    <w14:srgbClr w14:val="000000">
                      <w14:alpha w14:val="100000"/>
                    </w14:srgbClr>
                  </w14:solidFill>
                </w14:textFill>
              </w:rPr>
              <w:t>|</w:t>
            </w:r>
            <w:r w:rsidR="00696519" w:rsidRPr="00696519">
              <w:rPr>
                <w:rFonts w:eastAsia="Calibri" w:hint="eastAsia"/>
                <w:color w:val="000000"/>
                <w:spacing w:val="-25"/>
                <w:w w:val="15"/>
                <w:szCs w:val="20"/>
                <w:shd w:val="solid" w:color="000000" w:fill="000000"/>
                <w:fitText w:val="40" w:id="-1032089072"/>
                <w14:textFill>
                  <w14:solidFill>
                    <w14:srgbClr w14:val="000000">
                      <w14:alpha w14:val="100000"/>
                    </w14:srgbClr>
                  </w14:solidFill>
                </w14:textFill>
              </w:rPr>
              <w:t xml:space="preserve">　</w:t>
            </w:r>
          </w:p>
        </w:tc>
      </w:tr>
      <w:tr w:rsidR="008B6130" w:rsidRPr="00484AE9" w14:paraId="567571FE" w14:textId="77777777" w:rsidTr="006A70D3">
        <w:trPr>
          <w:cantSplit/>
          <w:trHeight w:val="283"/>
        </w:trPr>
        <w:tc>
          <w:tcPr>
            <w:tcW w:w="5000" w:type="pct"/>
            <w:gridSpan w:val="5"/>
          </w:tcPr>
          <w:p w14:paraId="7BB128C1" w14:textId="68A8B959" w:rsidR="00D3528F" w:rsidRPr="00484AE9" w:rsidRDefault="00F377FE" w:rsidP="008B03CB">
            <w:pPr>
              <w:pStyle w:val="TableText0"/>
              <w:rPr>
                <w:rFonts w:eastAsia="Calibri"/>
                <w:szCs w:val="20"/>
              </w:rPr>
            </w:pPr>
            <w:r w:rsidRPr="00484AE9">
              <w:t>RR</w:t>
            </w:r>
            <w:r w:rsidR="009647A1" w:rsidRPr="00484AE9">
              <w:t xml:space="preserve"> of hospitalisation</w:t>
            </w:r>
            <w:r w:rsidR="008A4D27" w:rsidRPr="00484AE9">
              <w:t xml:space="preserve"> in patients treated with nirmatrelvir</w:t>
            </w:r>
            <w:r w:rsidR="009647A1" w:rsidRPr="00484AE9">
              <w:t xml:space="preserve"> (base case =</w:t>
            </w:r>
            <w:r w:rsidR="008A4D27" w:rsidRPr="00484AE9">
              <w:t xml:space="preserve"> 0.41)</w:t>
            </w:r>
          </w:p>
        </w:tc>
      </w:tr>
      <w:tr w:rsidR="008B6130" w:rsidRPr="00484AE9" w14:paraId="133DF9D1" w14:textId="77777777" w:rsidTr="006A70D3">
        <w:trPr>
          <w:cantSplit/>
          <w:trHeight w:val="283"/>
        </w:trPr>
        <w:tc>
          <w:tcPr>
            <w:tcW w:w="1873" w:type="pct"/>
          </w:tcPr>
          <w:p w14:paraId="72A2FD1B" w14:textId="4BFCA6A7" w:rsidR="00614A5B" w:rsidRPr="00484AE9" w:rsidRDefault="00614A5B" w:rsidP="00F22594">
            <w:pPr>
              <w:pStyle w:val="TableText0"/>
              <w:numPr>
                <w:ilvl w:val="0"/>
                <w:numId w:val="11"/>
              </w:numPr>
              <w:ind w:left="308" w:hanging="284"/>
            </w:pPr>
            <w:r w:rsidRPr="00484AE9">
              <w:t>0.21</w:t>
            </w:r>
          </w:p>
        </w:tc>
        <w:tc>
          <w:tcPr>
            <w:tcW w:w="781" w:type="pct"/>
          </w:tcPr>
          <w:p w14:paraId="71D4DADC" w14:textId="11F152B8" w:rsidR="00614A5B" w:rsidRPr="00F76D9A" w:rsidRDefault="00696519" w:rsidP="00614A5B">
            <w:pPr>
              <w:pStyle w:val="TableText0"/>
              <w:jc w:val="center"/>
              <w:rPr>
                <w:rFonts w:eastAsia="Calibri"/>
                <w:szCs w:val="20"/>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Pr="00696519">
              <w:t xml:space="preserve"> </w:t>
            </w:r>
          </w:p>
        </w:tc>
        <w:tc>
          <w:tcPr>
            <w:tcW w:w="782" w:type="pct"/>
          </w:tcPr>
          <w:p w14:paraId="0DDD130D" w14:textId="316C8343" w:rsidR="00614A5B" w:rsidRPr="00484AE9" w:rsidRDefault="00614A5B" w:rsidP="00614A5B">
            <w:pPr>
              <w:pStyle w:val="TableText0"/>
              <w:jc w:val="center"/>
              <w:rPr>
                <w:rFonts w:eastAsia="Calibri"/>
                <w:szCs w:val="20"/>
              </w:rPr>
            </w:pPr>
            <w:r w:rsidRPr="00484AE9">
              <w:t>0.1464</w:t>
            </w:r>
          </w:p>
        </w:tc>
        <w:tc>
          <w:tcPr>
            <w:tcW w:w="782" w:type="pct"/>
          </w:tcPr>
          <w:p w14:paraId="75308734" w14:textId="437B8B9E" w:rsidR="00614A5B" w:rsidRPr="00F76D9A" w:rsidRDefault="00696519" w:rsidP="00614A5B">
            <w:pPr>
              <w:pStyle w:val="TableText0"/>
              <w:jc w:val="center"/>
              <w:rPr>
                <w:rFonts w:eastAsia="Calibri"/>
                <w:szCs w:val="20"/>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00F11F0D">
              <w:rPr>
                <w:rFonts w:eastAsia="Calibri"/>
                <w:b/>
                <w:szCs w:val="20"/>
                <w:vertAlign w:val="superscript"/>
              </w:rPr>
              <w:t>1</w:t>
            </w:r>
          </w:p>
        </w:tc>
        <w:tc>
          <w:tcPr>
            <w:tcW w:w="782" w:type="pct"/>
          </w:tcPr>
          <w:p w14:paraId="61BFB98B" w14:textId="55E3D20D" w:rsidR="00614A5B" w:rsidRPr="00484AE9" w:rsidRDefault="007A0759" w:rsidP="00614A5B">
            <w:pPr>
              <w:pStyle w:val="TableText0"/>
              <w:jc w:val="center"/>
              <w:rPr>
                <w:rFonts w:eastAsia="Calibri"/>
                <w:szCs w:val="20"/>
              </w:rPr>
            </w:pPr>
            <w:r w:rsidRPr="00484AE9">
              <w:rPr>
                <w:rFonts w:eastAsia="Calibri"/>
                <w:szCs w:val="20"/>
              </w:rPr>
              <w:t>↓</w:t>
            </w:r>
            <w:r w:rsidR="00696519" w:rsidRPr="00696519">
              <w:rPr>
                <w:rFonts w:eastAsia="Calibri"/>
                <w:szCs w:val="20"/>
              </w:rPr>
              <w:t xml:space="preserve"> </w:t>
            </w:r>
            <w:r w:rsidR="00696519" w:rsidRPr="00696519">
              <w:rPr>
                <w:rFonts w:eastAsia="Calibri" w:hint="eastAsia"/>
                <w:color w:val="000000"/>
                <w:w w:val="15"/>
                <w:szCs w:val="20"/>
                <w:shd w:val="solid" w:color="000000" w:fill="000000"/>
                <w:fitText w:val="40" w:id="-1032089088"/>
                <w14:textFill>
                  <w14:solidFill>
                    <w14:srgbClr w14:val="000000">
                      <w14:alpha w14:val="100000"/>
                    </w14:srgbClr>
                  </w14:solidFill>
                </w14:textFill>
              </w:rPr>
              <w:t xml:space="preserve">　</w:t>
            </w:r>
            <w:r w:rsidR="00696519" w:rsidRPr="00696519">
              <w:rPr>
                <w:rFonts w:eastAsia="Calibri"/>
                <w:color w:val="000000"/>
                <w:w w:val="15"/>
                <w:szCs w:val="20"/>
                <w:shd w:val="solid" w:color="000000" w:fill="000000"/>
                <w:fitText w:val="40" w:id="-1032089088"/>
                <w14:textFill>
                  <w14:solidFill>
                    <w14:srgbClr w14:val="000000">
                      <w14:alpha w14:val="100000"/>
                    </w14:srgbClr>
                  </w14:solidFill>
                </w14:textFill>
              </w:rPr>
              <w:t>|</w:t>
            </w:r>
            <w:r w:rsidR="00696519" w:rsidRPr="00696519">
              <w:rPr>
                <w:rFonts w:eastAsia="Calibri" w:hint="eastAsia"/>
                <w:color w:val="000000"/>
                <w:spacing w:val="-25"/>
                <w:w w:val="15"/>
                <w:szCs w:val="20"/>
                <w:shd w:val="solid" w:color="000000" w:fill="000000"/>
                <w:fitText w:val="40" w:id="-1032089088"/>
                <w14:textFill>
                  <w14:solidFill>
                    <w14:srgbClr w14:val="000000">
                      <w14:alpha w14:val="100000"/>
                    </w14:srgbClr>
                  </w14:solidFill>
                </w14:textFill>
              </w:rPr>
              <w:t xml:space="preserve">　</w:t>
            </w:r>
          </w:p>
        </w:tc>
      </w:tr>
      <w:tr w:rsidR="008B6130" w:rsidRPr="00484AE9" w14:paraId="359349FB" w14:textId="77777777" w:rsidTr="006A70D3">
        <w:trPr>
          <w:cantSplit/>
          <w:trHeight w:val="283"/>
        </w:trPr>
        <w:tc>
          <w:tcPr>
            <w:tcW w:w="1873" w:type="pct"/>
          </w:tcPr>
          <w:p w14:paraId="4BA5851E" w14:textId="10A17A69" w:rsidR="0082037D" w:rsidRPr="00484AE9" w:rsidRDefault="0082037D" w:rsidP="00F22594">
            <w:pPr>
              <w:pStyle w:val="TableText0"/>
              <w:numPr>
                <w:ilvl w:val="0"/>
                <w:numId w:val="11"/>
              </w:numPr>
              <w:ind w:left="308" w:hanging="284"/>
            </w:pPr>
            <w:r w:rsidRPr="00484AE9">
              <w:t>0.62</w:t>
            </w:r>
          </w:p>
        </w:tc>
        <w:tc>
          <w:tcPr>
            <w:tcW w:w="781" w:type="pct"/>
          </w:tcPr>
          <w:p w14:paraId="27F0A099" w14:textId="1B729891" w:rsidR="0082037D" w:rsidRPr="00F76D9A" w:rsidRDefault="00696519" w:rsidP="0082037D">
            <w:pPr>
              <w:pStyle w:val="TableText0"/>
              <w:jc w:val="center"/>
              <w:rPr>
                <w:rFonts w:eastAsia="Calibri"/>
                <w:szCs w:val="20"/>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Pr="00696519">
              <w:t xml:space="preserve"> </w:t>
            </w:r>
          </w:p>
        </w:tc>
        <w:tc>
          <w:tcPr>
            <w:tcW w:w="782" w:type="pct"/>
          </w:tcPr>
          <w:p w14:paraId="554DD91C" w14:textId="1A477570" w:rsidR="0082037D" w:rsidRPr="00484AE9" w:rsidRDefault="0082037D" w:rsidP="0082037D">
            <w:pPr>
              <w:pStyle w:val="TableText0"/>
              <w:jc w:val="center"/>
              <w:rPr>
                <w:rFonts w:eastAsia="Calibri"/>
                <w:szCs w:val="20"/>
              </w:rPr>
            </w:pPr>
            <w:r w:rsidRPr="00484AE9">
              <w:t>0.1463</w:t>
            </w:r>
          </w:p>
        </w:tc>
        <w:tc>
          <w:tcPr>
            <w:tcW w:w="782" w:type="pct"/>
          </w:tcPr>
          <w:p w14:paraId="268EE49C" w14:textId="33C65628" w:rsidR="0082037D" w:rsidRPr="00F76D9A" w:rsidRDefault="00696519" w:rsidP="0082037D">
            <w:pPr>
              <w:pStyle w:val="TableText0"/>
              <w:jc w:val="center"/>
              <w:rPr>
                <w:rFonts w:eastAsia="Calibri"/>
                <w:szCs w:val="20"/>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00F11F0D">
              <w:rPr>
                <w:rFonts w:eastAsia="Calibri"/>
                <w:b/>
                <w:szCs w:val="20"/>
                <w:vertAlign w:val="superscript"/>
              </w:rPr>
              <w:t>1</w:t>
            </w:r>
          </w:p>
        </w:tc>
        <w:tc>
          <w:tcPr>
            <w:tcW w:w="782" w:type="pct"/>
          </w:tcPr>
          <w:p w14:paraId="52E4FB8E" w14:textId="73805AC1" w:rsidR="0082037D" w:rsidRPr="00484AE9" w:rsidRDefault="007A0759" w:rsidP="0082037D">
            <w:pPr>
              <w:pStyle w:val="TableText0"/>
              <w:jc w:val="center"/>
              <w:rPr>
                <w:rFonts w:eastAsia="Calibri"/>
                <w:szCs w:val="20"/>
              </w:rPr>
            </w:pPr>
            <w:r w:rsidRPr="00484AE9">
              <w:rPr>
                <w:rFonts w:eastAsia="Calibri"/>
                <w:szCs w:val="20"/>
              </w:rPr>
              <w:t>↑</w:t>
            </w:r>
            <w:r w:rsidR="00696519" w:rsidRPr="00696519">
              <w:rPr>
                <w:rFonts w:eastAsia="Calibri"/>
                <w:szCs w:val="20"/>
              </w:rPr>
              <w:t xml:space="preserve"> </w:t>
            </w:r>
            <w:r w:rsidR="00696519" w:rsidRPr="00696519">
              <w:rPr>
                <w:rFonts w:eastAsia="Calibri" w:hint="eastAsia"/>
                <w:color w:val="000000"/>
                <w:w w:val="15"/>
                <w:szCs w:val="20"/>
                <w:shd w:val="solid" w:color="000000" w:fill="000000"/>
                <w:fitText w:val="40" w:id="-1032089087"/>
                <w14:textFill>
                  <w14:solidFill>
                    <w14:srgbClr w14:val="000000">
                      <w14:alpha w14:val="100000"/>
                    </w14:srgbClr>
                  </w14:solidFill>
                </w14:textFill>
              </w:rPr>
              <w:t xml:space="preserve">　</w:t>
            </w:r>
            <w:r w:rsidR="00696519" w:rsidRPr="00696519">
              <w:rPr>
                <w:rFonts w:eastAsia="Calibri"/>
                <w:color w:val="000000"/>
                <w:w w:val="15"/>
                <w:szCs w:val="20"/>
                <w:shd w:val="solid" w:color="000000" w:fill="000000"/>
                <w:fitText w:val="40" w:id="-1032089087"/>
                <w14:textFill>
                  <w14:solidFill>
                    <w14:srgbClr w14:val="000000">
                      <w14:alpha w14:val="100000"/>
                    </w14:srgbClr>
                  </w14:solidFill>
                </w14:textFill>
              </w:rPr>
              <w:t>|</w:t>
            </w:r>
            <w:r w:rsidR="00696519" w:rsidRPr="00696519">
              <w:rPr>
                <w:rFonts w:eastAsia="Calibri" w:hint="eastAsia"/>
                <w:color w:val="000000"/>
                <w:spacing w:val="-25"/>
                <w:w w:val="15"/>
                <w:szCs w:val="20"/>
                <w:shd w:val="solid" w:color="000000" w:fill="000000"/>
                <w:fitText w:val="40" w:id="-1032089087"/>
                <w14:textFill>
                  <w14:solidFill>
                    <w14:srgbClr w14:val="000000">
                      <w14:alpha w14:val="100000"/>
                    </w14:srgbClr>
                  </w14:solidFill>
                </w14:textFill>
              </w:rPr>
              <w:t xml:space="preserve">　</w:t>
            </w:r>
          </w:p>
        </w:tc>
      </w:tr>
      <w:tr w:rsidR="008B6130" w:rsidRPr="00484AE9" w14:paraId="69DD58FC" w14:textId="77777777" w:rsidTr="006A70D3">
        <w:trPr>
          <w:cantSplit/>
        </w:trPr>
        <w:tc>
          <w:tcPr>
            <w:tcW w:w="5000" w:type="pct"/>
            <w:gridSpan w:val="5"/>
          </w:tcPr>
          <w:p w14:paraId="147BBBB9" w14:textId="7A678522" w:rsidR="006A70D3" w:rsidRPr="00484AE9" w:rsidRDefault="00F377FE" w:rsidP="008B03CB">
            <w:pPr>
              <w:pStyle w:val="TableText0"/>
            </w:pPr>
            <w:r w:rsidRPr="00484AE9">
              <w:t>RR</w:t>
            </w:r>
            <w:r w:rsidR="00232C40" w:rsidRPr="00484AE9">
              <w:t xml:space="preserve"> of death in patients treated with nirmatrelvir (base case = 0.</w:t>
            </w:r>
            <w:r w:rsidR="008E1818" w:rsidRPr="00484AE9">
              <w:t>25</w:t>
            </w:r>
            <w:r w:rsidR="00232C40" w:rsidRPr="00484AE9">
              <w:t>)</w:t>
            </w:r>
          </w:p>
        </w:tc>
      </w:tr>
      <w:tr w:rsidR="008B6130" w:rsidRPr="00484AE9" w14:paraId="273B76FB" w14:textId="77777777" w:rsidTr="006A70D3">
        <w:trPr>
          <w:cantSplit/>
        </w:trPr>
        <w:tc>
          <w:tcPr>
            <w:tcW w:w="1873" w:type="pct"/>
          </w:tcPr>
          <w:p w14:paraId="6BAB9EE6" w14:textId="4BFC44EC" w:rsidR="001B7819" w:rsidRPr="00484AE9" w:rsidRDefault="001B7819" w:rsidP="00F22594">
            <w:pPr>
              <w:pStyle w:val="TableText0"/>
              <w:numPr>
                <w:ilvl w:val="0"/>
                <w:numId w:val="11"/>
              </w:numPr>
              <w:ind w:left="308" w:hanging="284"/>
            </w:pPr>
            <w:r w:rsidRPr="00484AE9">
              <w:t>0.13</w:t>
            </w:r>
          </w:p>
        </w:tc>
        <w:tc>
          <w:tcPr>
            <w:tcW w:w="781" w:type="pct"/>
          </w:tcPr>
          <w:p w14:paraId="31FBD837" w14:textId="3507BADD" w:rsidR="001B7819" w:rsidRPr="00F76D9A" w:rsidRDefault="00696519" w:rsidP="001B7819">
            <w:pPr>
              <w:pStyle w:val="TableText0"/>
              <w:jc w:val="center"/>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Pr="00696519">
              <w:t xml:space="preserve"> </w:t>
            </w:r>
          </w:p>
        </w:tc>
        <w:tc>
          <w:tcPr>
            <w:tcW w:w="782" w:type="pct"/>
          </w:tcPr>
          <w:p w14:paraId="25A276CC" w14:textId="7D757F76" w:rsidR="001B7819" w:rsidRPr="00484AE9" w:rsidRDefault="001B7819" w:rsidP="001B7819">
            <w:pPr>
              <w:pStyle w:val="TableText0"/>
              <w:jc w:val="center"/>
            </w:pPr>
            <w:r w:rsidRPr="00484AE9">
              <w:t>0.1695</w:t>
            </w:r>
          </w:p>
        </w:tc>
        <w:tc>
          <w:tcPr>
            <w:tcW w:w="782" w:type="pct"/>
          </w:tcPr>
          <w:p w14:paraId="64B42827" w14:textId="0FEF011B" w:rsidR="001B7819" w:rsidRPr="00F76D9A" w:rsidRDefault="00696519" w:rsidP="001B7819">
            <w:pPr>
              <w:pStyle w:val="TableText0"/>
              <w:jc w:val="center"/>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00F11F0D">
              <w:rPr>
                <w:rFonts w:eastAsia="Calibri"/>
                <w:b/>
                <w:szCs w:val="20"/>
                <w:vertAlign w:val="superscript"/>
              </w:rPr>
              <w:t>1</w:t>
            </w:r>
          </w:p>
        </w:tc>
        <w:tc>
          <w:tcPr>
            <w:tcW w:w="782" w:type="pct"/>
          </w:tcPr>
          <w:p w14:paraId="6E755B46" w14:textId="483B9647" w:rsidR="001B7819" w:rsidRPr="00484AE9" w:rsidRDefault="007A0759" w:rsidP="001B7819">
            <w:pPr>
              <w:pStyle w:val="TableText0"/>
              <w:jc w:val="center"/>
              <w:rPr>
                <w:rFonts w:eastAsia="Calibri"/>
                <w:szCs w:val="20"/>
              </w:rPr>
            </w:pPr>
            <w:r w:rsidRPr="00484AE9">
              <w:rPr>
                <w:rFonts w:eastAsia="Calibri"/>
                <w:szCs w:val="20"/>
              </w:rPr>
              <w:t>↓</w:t>
            </w:r>
            <w:r w:rsidR="00696519" w:rsidRPr="00696519">
              <w:rPr>
                <w:rFonts w:eastAsia="Calibri"/>
                <w:szCs w:val="20"/>
              </w:rPr>
              <w:t xml:space="preserve"> </w:t>
            </w:r>
            <w:r w:rsidR="00696519" w:rsidRPr="00696519">
              <w:rPr>
                <w:rFonts w:eastAsia="Calibri" w:hint="eastAsia"/>
                <w:color w:val="000000"/>
                <w:w w:val="15"/>
                <w:szCs w:val="20"/>
                <w:shd w:val="solid" w:color="000000" w:fill="000000"/>
                <w:fitText w:val="40" w:id="-1032089086"/>
                <w14:textFill>
                  <w14:solidFill>
                    <w14:srgbClr w14:val="000000">
                      <w14:alpha w14:val="100000"/>
                    </w14:srgbClr>
                  </w14:solidFill>
                </w14:textFill>
              </w:rPr>
              <w:t xml:space="preserve">　</w:t>
            </w:r>
            <w:r w:rsidR="00696519" w:rsidRPr="00696519">
              <w:rPr>
                <w:rFonts w:eastAsia="Calibri"/>
                <w:color w:val="000000"/>
                <w:w w:val="15"/>
                <w:szCs w:val="20"/>
                <w:shd w:val="solid" w:color="000000" w:fill="000000"/>
                <w:fitText w:val="40" w:id="-1032089086"/>
                <w14:textFill>
                  <w14:solidFill>
                    <w14:srgbClr w14:val="000000">
                      <w14:alpha w14:val="100000"/>
                    </w14:srgbClr>
                  </w14:solidFill>
                </w14:textFill>
              </w:rPr>
              <w:t>|</w:t>
            </w:r>
            <w:r w:rsidR="00696519" w:rsidRPr="00696519">
              <w:rPr>
                <w:rFonts w:eastAsia="Calibri" w:hint="eastAsia"/>
                <w:color w:val="000000"/>
                <w:spacing w:val="-25"/>
                <w:w w:val="15"/>
                <w:szCs w:val="20"/>
                <w:shd w:val="solid" w:color="000000" w:fill="000000"/>
                <w:fitText w:val="40" w:id="-1032089086"/>
                <w14:textFill>
                  <w14:solidFill>
                    <w14:srgbClr w14:val="000000">
                      <w14:alpha w14:val="100000"/>
                    </w14:srgbClr>
                  </w14:solidFill>
                </w14:textFill>
              </w:rPr>
              <w:t xml:space="preserve">　</w:t>
            </w:r>
          </w:p>
        </w:tc>
      </w:tr>
      <w:tr w:rsidR="008B6130" w:rsidRPr="00484AE9" w14:paraId="2970FD3E" w14:textId="77777777" w:rsidTr="006A70D3">
        <w:trPr>
          <w:cantSplit/>
          <w:trHeight w:val="283"/>
        </w:trPr>
        <w:tc>
          <w:tcPr>
            <w:tcW w:w="1873" w:type="pct"/>
          </w:tcPr>
          <w:p w14:paraId="2F503A0D" w14:textId="381A34F8" w:rsidR="002365E2" w:rsidRPr="00484AE9" w:rsidRDefault="002365E2" w:rsidP="00F22594">
            <w:pPr>
              <w:pStyle w:val="TableText0"/>
              <w:numPr>
                <w:ilvl w:val="0"/>
                <w:numId w:val="11"/>
              </w:numPr>
              <w:ind w:left="308" w:hanging="284"/>
            </w:pPr>
            <w:r w:rsidRPr="00484AE9">
              <w:t>0.38</w:t>
            </w:r>
          </w:p>
        </w:tc>
        <w:tc>
          <w:tcPr>
            <w:tcW w:w="781" w:type="pct"/>
          </w:tcPr>
          <w:p w14:paraId="33CFC769" w14:textId="3B5E17C4" w:rsidR="002365E2" w:rsidRPr="00F76D9A" w:rsidRDefault="00696519" w:rsidP="002365E2">
            <w:pPr>
              <w:pStyle w:val="TableText0"/>
              <w:jc w:val="center"/>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Pr="00696519">
              <w:t xml:space="preserve"> </w:t>
            </w:r>
          </w:p>
        </w:tc>
        <w:tc>
          <w:tcPr>
            <w:tcW w:w="782" w:type="pct"/>
          </w:tcPr>
          <w:p w14:paraId="4521D3F2" w14:textId="0AE6FE86" w:rsidR="002365E2" w:rsidRPr="00484AE9" w:rsidRDefault="002365E2" w:rsidP="002365E2">
            <w:pPr>
              <w:pStyle w:val="TableText0"/>
              <w:jc w:val="center"/>
            </w:pPr>
            <w:r w:rsidRPr="00484AE9">
              <w:t>0.1212</w:t>
            </w:r>
          </w:p>
        </w:tc>
        <w:tc>
          <w:tcPr>
            <w:tcW w:w="782" w:type="pct"/>
          </w:tcPr>
          <w:p w14:paraId="3DCCCBB9" w14:textId="06ADD7ED" w:rsidR="002365E2" w:rsidRPr="00F76D9A" w:rsidRDefault="00696519" w:rsidP="002365E2">
            <w:pPr>
              <w:pStyle w:val="TableText0"/>
              <w:jc w:val="center"/>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00F11F0D">
              <w:rPr>
                <w:rFonts w:eastAsia="Calibri"/>
                <w:b/>
                <w:szCs w:val="20"/>
                <w:vertAlign w:val="superscript"/>
              </w:rPr>
              <w:t>1</w:t>
            </w:r>
          </w:p>
        </w:tc>
        <w:tc>
          <w:tcPr>
            <w:tcW w:w="782" w:type="pct"/>
          </w:tcPr>
          <w:p w14:paraId="74B045C1" w14:textId="0C9FF497" w:rsidR="002365E2" w:rsidRPr="00484AE9" w:rsidRDefault="007A0759" w:rsidP="002365E2">
            <w:pPr>
              <w:pStyle w:val="TableText0"/>
              <w:jc w:val="center"/>
              <w:rPr>
                <w:rFonts w:eastAsia="Calibri"/>
                <w:szCs w:val="20"/>
              </w:rPr>
            </w:pPr>
            <w:r w:rsidRPr="00484AE9">
              <w:rPr>
                <w:rFonts w:eastAsia="Calibri"/>
                <w:szCs w:val="20"/>
              </w:rPr>
              <w:t>↑</w:t>
            </w:r>
            <w:r w:rsidR="00696519" w:rsidRPr="00696519">
              <w:rPr>
                <w:rFonts w:eastAsia="Calibri"/>
                <w:szCs w:val="20"/>
              </w:rPr>
              <w:t xml:space="preserve"> </w:t>
            </w:r>
            <w:r w:rsidR="00696519" w:rsidRPr="00696519">
              <w:rPr>
                <w:rFonts w:eastAsia="Calibri" w:hint="eastAsia"/>
                <w:color w:val="000000"/>
                <w:w w:val="15"/>
                <w:szCs w:val="20"/>
                <w:shd w:val="solid" w:color="000000" w:fill="000000"/>
                <w:fitText w:val="40" w:id="-1032089085"/>
                <w14:textFill>
                  <w14:solidFill>
                    <w14:srgbClr w14:val="000000">
                      <w14:alpha w14:val="100000"/>
                    </w14:srgbClr>
                  </w14:solidFill>
                </w14:textFill>
              </w:rPr>
              <w:t xml:space="preserve">　</w:t>
            </w:r>
            <w:r w:rsidR="00696519" w:rsidRPr="00696519">
              <w:rPr>
                <w:rFonts w:eastAsia="Calibri"/>
                <w:color w:val="000000"/>
                <w:w w:val="15"/>
                <w:szCs w:val="20"/>
                <w:shd w:val="solid" w:color="000000" w:fill="000000"/>
                <w:fitText w:val="40" w:id="-1032089085"/>
                <w14:textFill>
                  <w14:solidFill>
                    <w14:srgbClr w14:val="000000">
                      <w14:alpha w14:val="100000"/>
                    </w14:srgbClr>
                  </w14:solidFill>
                </w14:textFill>
              </w:rPr>
              <w:t>|</w:t>
            </w:r>
            <w:r w:rsidR="00696519" w:rsidRPr="00696519">
              <w:rPr>
                <w:rFonts w:eastAsia="Calibri" w:hint="eastAsia"/>
                <w:color w:val="000000"/>
                <w:spacing w:val="-25"/>
                <w:w w:val="15"/>
                <w:szCs w:val="20"/>
                <w:shd w:val="solid" w:color="000000" w:fill="000000"/>
                <w:fitText w:val="40" w:id="-1032089085"/>
                <w14:textFill>
                  <w14:solidFill>
                    <w14:srgbClr w14:val="000000">
                      <w14:alpha w14:val="100000"/>
                    </w14:srgbClr>
                  </w14:solidFill>
                </w14:textFill>
              </w:rPr>
              <w:t xml:space="preserve">　</w:t>
            </w:r>
          </w:p>
        </w:tc>
      </w:tr>
      <w:tr w:rsidR="00074BCB" w:rsidRPr="00484AE9" w14:paraId="13277543" w14:textId="77777777">
        <w:trPr>
          <w:cantSplit/>
          <w:trHeight w:val="283"/>
        </w:trPr>
        <w:tc>
          <w:tcPr>
            <w:tcW w:w="5000" w:type="pct"/>
            <w:gridSpan w:val="5"/>
          </w:tcPr>
          <w:p w14:paraId="171B736A" w14:textId="473D1846" w:rsidR="00074BCB" w:rsidRPr="00484AE9" w:rsidRDefault="00074BCB">
            <w:pPr>
              <w:pStyle w:val="TableText0"/>
              <w:rPr>
                <w:rFonts w:eastAsia="Calibri"/>
                <w:szCs w:val="20"/>
              </w:rPr>
            </w:pPr>
            <w:r w:rsidRPr="00484AE9">
              <w:t>Same RR for hospitalisation, ICU and death (base case = 0.</w:t>
            </w:r>
            <w:r w:rsidR="00F14602" w:rsidRPr="00484AE9">
              <w:t xml:space="preserve">41 for hospitalisation, </w:t>
            </w:r>
            <w:r w:rsidR="002F283C" w:rsidRPr="00484AE9">
              <w:t>0.37 for ICU care, 0.</w:t>
            </w:r>
            <w:r w:rsidR="00A42769" w:rsidRPr="00484AE9">
              <w:t>25 for mortality</w:t>
            </w:r>
            <w:r w:rsidRPr="00484AE9">
              <w:t>)</w:t>
            </w:r>
            <w:r w:rsidR="00A977F7" w:rsidRPr="00484AE9">
              <w:rPr>
                <w:vertAlign w:val="superscript"/>
              </w:rPr>
              <w:t>a</w:t>
            </w:r>
          </w:p>
        </w:tc>
      </w:tr>
      <w:tr w:rsidR="00074BCB" w:rsidRPr="00484AE9" w14:paraId="6EB35F19" w14:textId="77777777">
        <w:trPr>
          <w:cantSplit/>
          <w:trHeight w:val="283"/>
        </w:trPr>
        <w:tc>
          <w:tcPr>
            <w:tcW w:w="1873" w:type="pct"/>
          </w:tcPr>
          <w:p w14:paraId="6BCA5751" w14:textId="71CC7AEC" w:rsidR="00074BCB" w:rsidRPr="00484AE9" w:rsidRDefault="00F535B3" w:rsidP="00F22594">
            <w:pPr>
              <w:pStyle w:val="TableText0"/>
              <w:numPr>
                <w:ilvl w:val="0"/>
                <w:numId w:val="11"/>
              </w:numPr>
              <w:ind w:left="308" w:hanging="284"/>
            </w:pPr>
            <w:r w:rsidRPr="00484AE9">
              <w:t>0.25 / 0.25 / 0.25</w:t>
            </w:r>
          </w:p>
        </w:tc>
        <w:tc>
          <w:tcPr>
            <w:tcW w:w="781" w:type="pct"/>
          </w:tcPr>
          <w:p w14:paraId="4C849F4F" w14:textId="1AA13000" w:rsidR="00074BCB" w:rsidRPr="00F14EBF" w:rsidRDefault="00696519">
            <w:pPr>
              <w:pStyle w:val="TableText0"/>
              <w:jc w:val="center"/>
              <w:rPr>
                <w:rFonts w:eastAsia="Calibri"/>
                <w:szCs w:val="20"/>
                <w:highlight w:val="darkGray"/>
              </w:rPr>
            </w:pPr>
            <w:r w:rsidRPr="00696519">
              <w:rPr>
                <w:rFonts w:eastAsia="Calibri"/>
                <w:szCs w:val="20"/>
              </w:rPr>
              <w:t xml:space="preserve"> </w:t>
            </w:r>
            <w:r w:rsidRPr="00696519">
              <w:rPr>
                <w:rFonts w:eastAsia="Calibri"/>
                <w:color w:val="000000"/>
                <w:szCs w:val="20"/>
                <w:shd w:val="solid" w:color="000000" w:fill="000000"/>
                <w14:textFill>
                  <w14:solidFill>
                    <w14:srgbClr w14:val="000000">
                      <w14:alpha w14:val="100000"/>
                    </w14:srgbClr>
                  </w14:solidFill>
                </w14:textFill>
              </w:rPr>
              <w:t>|</w:t>
            </w:r>
            <w:r w:rsidRPr="00696519">
              <w:rPr>
                <w:rFonts w:eastAsia="Calibri"/>
                <w:szCs w:val="20"/>
              </w:rPr>
              <w:t xml:space="preserve"> </w:t>
            </w:r>
          </w:p>
        </w:tc>
        <w:tc>
          <w:tcPr>
            <w:tcW w:w="782" w:type="pct"/>
          </w:tcPr>
          <w:p w14:paraId="16E06E4C" w14:textId="434DE4F4" w:rsidR="00074BCB" w:rsidRPr="00484AE9" w:rsidRDefault="004C2183">
            <w:pPr>
              <w:pStyle w:val="TableText0"/>
              <w:jc w:val="center"/>
              <w:rPr>
                <w:rFonts w:eastAsia="Calibri"/>
                <w:szCs w:val="20"/>
              </w:rPr>
            </w:pPr>
            <w:r w:rsidRPr="00484AE9">
              <w:rPr>
                <w:rFonts w:eastAsia="Calibri"/>
                <w:szCs w:val="20"/>
              </w:rPr>
              <w:t>0.1464</w:t>
            </w:r>
          </w:p>
        </w:tc>
        <w:tc>
          <w:tcPr>
            <w:tcW w:w="782" w:type="pct"/>
          </w:tcPr>
          <w:p w14:paraId="3AF40FDC" w14:textId="5F22A79F" w:rsidR="00074BCB" w:rsidRPr="00F14EBF" w:rsidRDefault="00696519">
            <w:pPr>
              <w:pStyle w:val="TableText0"/>
              <w:jc w:val="center"/>
              <w:rPr>
                <w:rFonts w:eastAsia="Calibri"/>
                <w:szCs w:val="20"/>
                <w:highlight w:val="darkGray"/>
              </w:rPr>
            </w:pPr>
            <w:r w:rsidRPr="00696519">
              <w:rPr>
                <w:rFonts w:eastAsia="Calibri"/>
                <w:szCs w:val="20"/>
              </w:rPr>
              <w:t xml:space="preserve"> </w:t>
            </w:r>
            <w:r w:rsidRPr="00696519">
              <w:rPr>
                <w:rFonts w:eastAsia="Calibri"/>
                <w:color w:val="000000"/>
                <w:szCs w:val="20"/>
                <w:shd w:val="solid" w:color="000000" w:fill="000000"/>
                <w14:textFill>
                  <w14:solidFill>
                    <w14:srgbClr w14:val="000000">
                      <w14:alpha w14:val="100000"/>
                    </w14:srgbClr>
                  </w14:solidFill>
                </w14:textFill>
              </w:rPr>
              <w:t>|</w:t>
            </w:r>
            <w:r w:rsidR="00F11F0D">
              <w:rPr>
                <w:rFonts w:eastAsia="Calibri"/>
                <w:b/>
                <w:szCs w:val="20"/>
                <w:vertAlign w:val="superscript"/>
              </w:rPr>
              <w:t>1</w:t>
            </w:r>
          </w:p>
        </w:tc>
        <w:tc>
          <w:tcPr>
            <w:tcW w:w="782" w:type="pct"/>
          </w:tcPr>
          <w:p w14:paraId="401131E1" w14:textId="41331149" w:rsidR="00074BCB" w:rsidRPr="00484AE9" w:rsidRDefault="009F46FC">
            <w:pPr>
              <w:pStyle w:val="TableText0"/>
              <w:jc w:val="center"/>
              <w:rPr>
                <w:rFonts w:eastAsia="Calibri"/>
                <w:szCs w:val="20"/>
              </w:rPr>
            </w:pPr>
            <w:r w:rsidRPr="00484AE9">
              <w:rPr>
                <w:rFonts w:eastAsia="Calibri"/>
                <w:szCs w:val="20"/>
              </w:rPr>
              <w:t>↓</w:t>
            </w:r>
            <w:r w:rsidR="00696519" w:rsidRPr="00696519">
              <w:rPr>
                <w:rFonts w:eastAsia="Calibri"/>
                <w:szCs w:val="20"/>
              </w:rPr>
              <w:t xml:space="preserve"> </w:t>
            </w:r>
            <w:r w:rsidR="00696519" w:rsidRPr="00696519">
              <w:rPr>
                <w:rFonts w:eastAsia="Calibri" w:hint="eastAsia"/>
                <w:color w:val="000000"/>
                <w:w w:val="15"/>
                <w:szCs w:val="20"/>
                <w:shd w:val="solid" w:color="000000" w:fill="000000"/>
                <w:fitText w:val="40" w:id="-1032089084"/>
                <w14:textFill>
                  <w14:solidFill>
                    <w14:srgbClr w14:val="000000">
                      <w14:alpha w14:val="100000"/>
                    </w14:srgbClr>
                  </w14:solidFill>
                </w14:textFill>
              </w:rPr>
              <w:t xml:space="preserve">　</w:t>
            </w:r>
            <w:r w:rsidR="00696519" w:rsidRPr="00696519">
              <w:rPr>
                <w:rFonts w:eastAsia="Calibri"/>
                <w:color w:val="000000"/>
                <w:w w:val="15"/>
                <w:szCs w:val="20"/>
                <w:shd w:val="solid" w:color="000000" w:fill="000000"/>
                <w:fitText w:val="40" w:id="-1032089084"/>
                <w14:textFill>
                  <w14:solidFill>
                    <w14:srgbClr w14:val="000000">
                      <w14:alpha w14:val="100000"/>
                    </w14:srgbClr>
                  </w14:solidFill>
                </w14:textFill>
              </w:rPr>
              <w:t>|</w:t>
            </w:r>
            <w:r w:rsidR="00696519" w:rsidRPr="00696519">
              <w:rPr>
                <w:rFonts w:eastAsia="Calibri" w:hint="eastAsia"/>
                <w:color w:val="000000"/>
                <w:spacing w:val="-25"/>
                <w:w w:val="15"/>
                <w:szCs w:val="20"/>
                <w:shd w:val="solid" w:color="000000" w:fill="000000"/>
                <w:fitText w:val="40" w:id="-1032089084"/>
                <w14:textFill>
                  <w14:solidFill>
                    <w14:srgbClr w14:val="000000">
                      <w14:alpha w14:val="100000"/>
                    </w14:srgbClr>
                  </w14:solidFill>
                </w14:textFill>
              </w:rPr>
              <w:t xml:space="preserve">　</w:t>
            </w:r>
          </w:p>
        </w:tc>
      </w:tr>
      <w:tr w:rsidR="00A42769" w:rsidRPr="00484AE9" w14:paraId="4DB1FD42" w14:textId="77777777">
        <w:trPr>
          <w:cantSplit/>
          <w:trHeight w:val="283"/>
        </w:trPr>
        <w:tc>
          <w:tcPr>
            <w:tcW w:w="1873" w:type="pct"/>
          </w:tcPr>
          <w:p w14:paraId="6650A06F" w14:textId="726F07DA" w:rsidR="00A42769" w:rsidRPr="00484AE9" w:rsidRDefault="00F535B3" w:rsidP="00F22594">
            <w:pPr>
              <w:pStyle w:val="TableText0"/>
              <w:numPr>
                <w:ilvl w:val="0"/>
                <w:numId w:val="11"/>
              </w:numPr>
              <w:ind w:left="308" w:hanging="284"/>
            </w:pPr>
            <w:r w:rsidRPr="00484AE9">
              <w:t>0.30 / 0.30 / 0.30</w:t>
            </w:r>
          </w:p>
        </w:tc>
        <w:tc>
          <w:tcPr>
            <w:tcW w:w="781" w:type="pct"/>
          </w:tcPr>
          <w:p w14:paraId="3E27B1BE" w14:textId="32709E9F" w:rsidR="00A42769" w:rsidRPr="00F76D9A" w:rsidRDefault="00696519">
            <w:pPr>
              <w:pStyle w:val="TableText0"/>
              <w:jc w:val="center"/>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Pr="00696519">
              <w:t xml:space="preserve"> </w:t>
            </w:r>
          </w:p>
        </w:tc>
        <w:tc>
          <w:tcPr>
            <w:tcW w:w="782" w:type="pct"/>
          </w:tcPr>
          <w:p w14:paraId="13DAA3B0" w14:textId="6D956DF2" w:rsidR="00A42769" w:rsidRPr="00484AE9" w:rsidRDefault="00CC005A">
            <w:pPr>
              <w:pStyle w:val="TableText0"/>
              <w:jc w:val="center"/>
            </w:pPr>
            <w:r w:rsidRPr="00484AE9">
              <w:t>0.1367</w:t>
            </w:r>
          </w:p>
        </w:tc>
        <w:tc>
          <w:tcPr>
            <w:tcW w:w="782" w:type="pct"/>
          </w:tcPr>
          <w:p w14:paraId="45C64C5D" w14:textId="57E7C166" w:rsidR="00A42769" w:rsidRPr="00F76D9A" w:rsidRDefault="00696519">
            <w:pPr>
              <w:pStyle w:val="TableText0"/>
              <w:jc w:val="center"/>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00F11F0D">
              <w:rPr>
                <w:rFonts w:eastAsia="Calibri"/>
                <w:b/>
                <w:szCs w:val="20"/>
                <w:vertAlign w:val="superscript"/>
              </w:rPr>
              <w:t>1</w:t>
            </w:r>
          </w:p>
        </w:tc>
        <w:tc>
          <w:tcPr>
            <w:tcW w:w="782" w:type="pct"/>
          </w:tcPr>
          <w:p w14:paraId="636C52D1" w14:textId="0DD65C4E" w:rsidR="00A42769" w:rsidRPr="00484AE9" w:rsidRDefault="009F46FC">
            <w:pPr>
              <w:pStyle w:val="TableText0"/>
              <w:jc w:val="center"/>
              <w:rPr>
                <w:rFonts w:eastAsia="Calibri"/>
                <w:szCs w:val="20"/>
              </w:rPr>
            </w:pPr>
            <w:r w:rsidRPr="00484AE9">
              <w:rPr>
                <w:rFonts w:eastAsia="Calibri"/>
                <w:szCs w:val="20"/>
              </w:rPr>
              <w:t>↑</w:t>
            </w:r>
            <w:r w:rsidR="00696519" w:rsidRPr="00696519">
              <w:rPr>
                <w:rFonts w:eastAsia="Calibri"/>
                <w:szCs w:val="20"/>
              </w:rPr>
              <w:t xml:space="preserve"> </w:t>
            </w:r>
            <w:r w:rsidR="00696519" w:rsidRPr="00696519">
              <w:rPr>
                <w:rFonts w:eastAsia="Calibri" w:hint="eastAsia"/>
                <w:color w:val="000000"/>
                <w:w w:val="15"/>
                <w:szCs w:val="20"/>
                <w:shd w:val="solid" w:color="000000" w:fill="000000"/>
                <w:fitText w:val="40" w:id="-1032089083"/>
                <w14:textFill>
                  <w14:solidFill>
                    <w14:srgbClr w14:val="000000">
                      <w14:alpha w14:val="100000"/>
                    </w14:srgbClr>
                  </w14:solidFill>
                </w14:textFill>
              </w:rPr>
              <w:t xml:space="preserve">　</w:t>
            </w:r>
            <w:r w:rsidR="00696519" w:rsidRPr="00696519">
              <w:rPr>
                <w:rFonts w:eastAsia="Calibri"/>
                <w:color w:val="000000"/>
                <w:w w:val="15"/>
                <w:szCs w:val="20"/>
                <w:shd w:val="solid" w:color="000000" w:fill="000000"/>
                <w:fitText w:val="40" w:id="-1032089083"/>
                <w14:textFill>
                  <w14:solidFill>
                    <w14:srgbClr w14:val="000000">
                      <w14:alpha w14:val="100000"/>
                    </w14:srgbClr>
                  </w14:solidFill>
                </w14:textFill>
              </w:rPr>
              <w:t>|</w:t>
            </w:r>
            <w:r w:rsidR="00696519" w:rsidRPr="00696519">
              <w:rPr>
                <w:rFonts w:eastAsia="Calibri" w:hint="eastAsia"/>
                <w:color w:val="000000"/>
                <w:spacing w:val="-25"/>
                <w:w w:val="15"/>
                <w:szCs w:val="20"/>
                <w:shd w:val="solid" w:color="000000" w:fill="000000"/>
                <w:fitText w:val="40" w:id="-1032089083"/>
                <w14:textFill>
                  <w14:solidFill>
                    <w14:srgbClr w14:val="000000">
                      <w14:alpha w14:val="100000"/>
                    </w14:srgbClr>
                  </w14:solidFill>
                </w14:textFill>
              </w:rPr>
              <w:t xml:space="preserve">　</w:t>
            </w:r>
          </w:p>
        </w:tc>
      </w:tr>
      <w:tr w:rsidR="00A42769" w:rsidRPr="00484AE9" w14:paraId="3764FA9B" w14:textId="77777777">
        <w:trPr>
          <w:cantSplit/>
          <w:trHeight w:val="283"/>
        </w:trPr>
        <w:tc>
          <w:tcPr>
            <w:tcW w:w="1873" w:type="pct"/>
          </w:tcPr>
          <w:p w14:paraId="2DA801D1" w14:textId="770AF690" w:rsidR="00A42769" w:rsidRPr="00484AE9" w:rsidRDefault="00F535B3" w:rsidP="00F22594">
            <w:pPr>
              <w:pStyle w:val="TableText0"/>
              <w:numPr>
                <w:ilvl w:val="0"/>
                <w:numId w:val="11"/>
              </w:numPr>
              <w:ind w:left="308" w:hanging="284"/>
            </w:pPr>
            <w:r w:rsidRPr="00484AE9">
              <w:t xml:space="preserve">0.35 / 0.35 / </w:t>
            </w:r>
            <w:r w:rsidR="00A7219A" w:rsidRPr="00484AE9">
              <w:t>0</w:t>
            </w:r>
            <w:r w:rsidRPr="00484AE9">
              <w:t>.35</w:t>
            </w:r>
          </w:p>
        </w:tc>
        <w:tc>
          <w:tcPr>
            <w:tcW w:w="781" w:type="pct"/>
          </w:tcPr>
          <w:p w14:paraId="215A7A88" w14:textId="1B7FAEBC" w:rsidR="00A42769" w:rsidRPr="00F76D9A" w:rsidRDefault="00696519">
            <w:pPr>
              <w:pStyle w:val="TableText0"/>
              <w:jc w:val="center"/>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Pr="00696519">
              <w:t xml:space="preserve"> </w:t>
            </w:r>
          </w:p>
        </w:tc>
        <w:tc>
          <w:tcPr>
            <w:tcW w:w="782" w:type="pct"/>
          </w:tcPr>
          <w:p w14:paraId="271B7173" w14:textId="3B580506" w:rsidR="00A42769" w:rsidRPr="00484AE9" w:rsidRDefault="00C834BE">
            <w:pPr>
              <w:pStyle w:val="TableText0"/>
              <w:jc w:val="center"/>
            </w:pPr>
            <w:r w:rsidRPr="00484AE9">
              <w:t>0.1271</w:t>
            </w:r>
          </w:p>
        </w:tc>
        <w:tc>
          <w:tcPr>
            <w:tcW w:w="782" w:type="pct"/>
          </w:tcPr>
          <w:p w14:paraId="62DC0B89" w14:textId="408C5B93" w:rsidR="00A42769" w:rsidRPr="00F76D9A" w:rsidRDefault="00696519">
            <w:pPr>
              <w:pStyle w:val="TableText0"/>
              <w:jc w:val="center"/>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00F11F0D">
              <w:rPr>
                <w:rFonts w:eastAsia="Calibri"/>
                <w:b/>
                <w:szCs w:val="20"/>
                <w:vertAlign w:val="superscript"/>
              </w:rPr>
              <w:t>1</w:t>
            </w:r>
          </w:p>
        </w:tc>
        <w:tc>
          <w:tcPr>
            <w:tcW w:w="782" w:type="pct"/>
          </w:tcPr>
          <w:p w14:paraId="2EB380E7" w14:textId="55C8E6AA" w:rsidR="00A42769" w:rsidRPr="00484AE9" w:rsidRDefault="009F46FC">
            <w:pPr>
              <w:pStyle w:val="TableText0"/>
              <w:jc w:val="center"/>
              <w:rPr>
                <w:rFonts w:eastAsia="Calibri"/>
                <w:szCs w:val="20"/>
              </w:rPr>
            </w:pPr>
            <w:r w:rsidRPr="00484AE9">
              <w:rPr>
                <w:rFonts w:eastAsia="Calibri"/>
                <w:szCs w:val="20"/>
              </w:rPr>
              <w:t>↑</w:t>
            </w:r>
            <w:r w:rsidR="00696519" w:rsidRPr="00696519">
              <w:rPr>
                <w:rFonts w:eastAsia="Calibri"/>
                <w:szCs w:val="20"/>
              </w:rPr>
              <w:t xml:space="preserve"> </w:t>
            </w:r>
            <w:r w:rsidR="00696519" w:rsidRPr="00696519">
              <w:rPr>
                <w:rFonts w:eastAsia="Calibri" w:hint="eastAsia"/>
                <w:color w:val="000000"/>
                <w:w w:val="15"/>
                <w:szCs w:val="20"/>
                <w:shd w:val="solid" w:color="000000" w:fill="000000"/>
                <w:fitText w:val="40" w:id="-1032089082"/>
                <w14:textFill>
                  <w14:solidFill>
                    <w14:srgbClr w14:val="000000">
                      <w14:alpha w14:val="100000"/>
                    </w14:srgbClr>
                  </w14:solidFill>
                </w14:textFill>
              </w:rPr>
              <w:t xml:space="preserve">　</w:t>
            </w:r>
            <w:r w:rsidR="00696519" w:rsidRPr="00696519">
              <w:rPr>
                <w:rFonts w:eastAsia="Calibri"/>
                <w:color w:val="000000"/>
                <w:w w:val="15"/>
                <w:szCs w:val="20"/>
                <w:shd w:val="solid" w:color="000000" w:fill="000000"/>
                <w:fitText w:val="40" w:id="-1032089082"/>
                <w14:textFill>
                  <w14:solidFill>
                    <w14:srgbClr w14:val="000000">
                      <w14:alpha w14:val="100000"/>
                    </w14:srgbClr>
                  </w14:solidFill>
                </w14:textFill>
              </w:rPr>
              <w:t>|</w:t>
            </w:r>
            <w:r w:rsidR="00696519" w:rsidRPr="00696519">
              <w:rPr>
                <w:rFonts w:eastAsia="Calibri" w:hint="eastAsia"/>
                <w:color w:val="000000"/>
                <w:spacing w:val="-25"/>
                <w:w w:val="15"/>
                <w:szCs w:val="20"/>
                <w:shd w:val="solid" w:color="000000" w:fill="000000"/>
                <w:fitText w:val="40" w:id="-1032089082"/>
                <w14:textFill>
                  <w14:solidFill>
                    <w14:srgbClr w14:val="000000">
                      <w14:alpha w14:val="100000"/>
                    </w14:srgbClr>
                  </w14:solidFill>
                </w14:textFill>
              </w:rPr>
              <w:t xml:space="preserve">　</w:t>
            </w:r>
          </w:p>
        </w:tc>
      </w:tr>
      <w:tr w:rsidR="008B6130" w:rsidRPr="00484AE9" w14:paraId="70BE9452" w14:textId="77777777" w:rsidTr="006A70D3">
        <w:trPr>
          <w:cantSplit/>
          <w:trHeight w:val="283"/>
        </w:trPr>
        <w:tc>
          <w:tcPr>
            <w:tcW w:w="5000" w:type="pct"/>
            <w:gridSpan w:val="5"/>
          </w:tcPr>
          <w:p w14:paraId="6EAFFE60" w14:textId="10F5EBE0" w:rsidR="006A70D3" w:rsidRPr="00484AE9" w:rsidRDefault="00F377FE" w:rsidP="008B03CB">
            <w:pPr>
              <w:pStyle w:val="TableText0"/>
              <w:rPr>
                <w:rFonts w:eastAsia="Calibri"/>
                <w:szCs w:val="20"/>
              </w:rPr>
            </w:pPr>
            <w:r w:rsidRPr="00484AE9">
              <w:t>RR</w:t>
            </w:r>
            <w:r w:rsidR="00232C40" w:rsidRPr="00484AE9">
              <w:t xml:space="preserve"> of long COVID in patient</w:t>
            </w:r>
            <w:r w:rsidR="00AD4D42" w:rsidRPr="00484AE9">
              <w:t>s treated with nirmatrelvir (base case = 0.74)</w:t>
            </w:r>
            <w:r w:rsidR="00A977F7" w:rsidRPr="00484AE9">
              <w:rPr>
                <w:vertAlign w:val="superscript"/>
              </w:rPr>
              <w:t>a</w:t>
            </w:r>
          </w:p>
        </w:tc>
      </w:tr>
      <w:tr w:rsidR="008B6130" w:rsidRPr="00484AE9" w14:paraId="492F3D99" w14:textId="77777777" w:rsidTr="006A70D3">
        <w:trPr>
          <w:cantSplit/>
          <w:trHeight w:val="283"/>
        </w:trPr>
        <w:tc>
          <w:tcPr>
            <w:tcW w:w="1873" w:type="pct"/>
          </w:tcPr>
          <w:p w14:paraId="5A4CF9E9" w14:textId="417A8B1F" w:rsidR="00737552" w:rsidRPr="00484AE9" w:rsidRDefault="00737552" w:rsidP="00F22594">
            <w:pPr>
              <w:pStyle w:val="TableText0"/>
              <w:numPr>
                <w:ilvl w:val="0"/>
                <w:numId w:val="11"/>
              </w:numPr>
              <w:ind w:left="308" w:hanging="284"/>
            </w:pPr>
            <w:r w:rsidRPr="00484AE9">
              <w:t>1</w:t>
            </w:r>
          </w:p>
        </w:tc>
        <w:tc>
          <w:tcPr>
            <w:tcW w:w="781" w:type="pct"/>
          </w:tcPr>
          <w:p w14:paraId="561C3DAE" w14:textId="579E64DA" w:rsidR="00737552" w:rsidRPr="00484AE9" w:rsidRDefault="00696519" w:rsidP="00737552">
            <w:pPr>
              <w:pStyle w:val="TableText0"/>
              <w:jc w:val="center"/>
              <w:rPr>
                <w:rFonts w:eastAsia="Calibri"/>
                <w:szCs w:val="20"/>
              </w:rPr>
            </w:pPr>
            <w:r w:rsidRPr="00696519">
              <w:t xml:space="preserve"> </w:t>
            </w:r>
            <w:r w:rsidRPr="00696519">
              <w:rPr>
                <w:color w:val="000000"/>
                <w:shd w:val="solid" w:color="000000" w:fill="000000"/>
                <w14:textFill>
                  <w14:solidFill>
                    <w14:srgbClr w14:val="000000">
                      <w14:alpha w14:val="100000"/>
                    </w14:srgbClr>
                  </w14:solidFill>
                </w14:textFill>
              </w:rPr>
              <w:t>|</w:t>
            </w:r>
            <w:r w:rsidR="005B5702">
              <w:t xml:space="preserve"> </w:t>
            </w:r>
          </w:p>
        </w:tc>
        <w:tc>
          <w:tcPr>
            <w:tcW w:w="782" w:type="pct"/>
          </w:tcPr>
          <w:p w14:paraId="1477147B" w14:textId="09439029" w:rsidR="00737552" w:rsidRPr="00484AE9" w:rsidRDefault="00737552" w:rsidP="00737552">
            <w:pPr>
              <w:pStyle w:val="TableText0"/>
              <w:jc w:val="center"/>
              <w:rPr>
                <w:rFonts w:eastAsia="Calibri"/>
                <w:szCs w:val="20"/>
              </w:rPr>
            </w:pPr>
            <w:r w:rsidRPr="00484AE9">
              <w:t>0.1451</w:t>
            </w:r>
          </w:p>
        </w:tc>
        <w:tc>
          <w:tcPr>
            <w:tcW w:w="782" w:type="pct"/>
          </w:tcPr>
          <w:p w14:paraId="3759651C" w14:textId="6B04E83F" w:rsidR="00737552" w:rsidRPr="00F76D9A" w:rsidRDefault="00696519" w:rsidP="00737552">
            <w:pPr>
              <w:pStyle w:val="TableText0"/>
              <w:jc w:val="center"/>
              <w:rPr>
                <w:rFonts w:eastAsia="Calibri"/>
                <w:szCs w:val="20"/>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00F11F0D">
              <w:rPr>
                <w:rFonts w:eastAsia="Calibri"/>
                <w:b/>
                <w:szCs w:val="20"/>
                <w:vertAlign w:val="superscript"/>
              </w:rPr>
              <w:t>1</w:t>
            </w:r>
          </w:p>
        </w:tc>
        <w:tc>
          <w:tcPr>
            <w:tcW w:w="782" w:type="pct"/>
          </w:tcPr>
          <w:p w14:paraId="7B88C660" w14:textId="6F25F9AA" w:rsidR="00737552" w:rsidRPr="00484AE9" w:rsidRDefault="007A0759" w:rsidP="00737552">
            <w:pPr>
              <w:pStyle w:val="TableText0"/>
              <w:jc w:val="center"/>
              <w:rPr>
                <w:rFonts w:eastAsia="Calibri"/>
                <w:szCs w:val="20"/>
              </w:rPr>
            </w:pPr>
            <w:r w:rsidRPr="00484AE9">
              <w:rPr>
                <w:rFonts w:eastAsia="Calibri"/>
                <w:szCs w:val="20"/>
              </w:rPr>
              <w:t>↑</w:t>
            </w:r>
            <w:r w:rsidR="00696519" w:rsidRPr="00696519">
              <w:rPr>
                <w:rFonts w:eastAsia="Calibri"/>
                <w:szCs w:val="20"/>
              </w:rPr>
              <w:t xml:space="preserve"> </w:t>
            </w:r>
            <w:r w:rsidR="00696519" w:rsidRPr="00696519">
              <w:rPr>
                <w:rFonts w:eastAsia="Calibri" w:hint="eastAsia"/>
                <w:color w:val="000000"/>
                <w:w w:val="15"/>
                <w:szCs w:val="20"/>
                <w:shd w:val="solid" w:color="000000" w:fill="000000"/>
                <w:fitText w:val="40" w:id="-1032089081"/>
                <w14:textFill>
                  <w14:solidFill>
                    <w14:srgbClr w14:val="000000">
                      <w14:alpha w14:val="100000"/>
                    </w14:srgbClr>
                  </w14:solidFill>
                </w14:textFill>
              </w:rPr>
              <w:t xml:space="preserve">　</w:t>
            </w:r>
            <w:r w:rsidR="00696519" w:rsidRPr="00696519">
              <w:rPr>
                <w:rFonts w:eastAsia="Calibri"/>
                <w:color w:val="000000"/>
                <w:w w:val="15"/>
                <w:szCs w:val="20"/>
                <w:shd w:val="solid" w:color="000000" w:fill="000000"/>
                <w:fitText w:val="40" w:id="-1032089081"/>
                <w14:textFill>
                  <w14:solidFill>
                    <w14:srgbClr w14:val="000000">
                      <w14:alpha w14:val="100000"/>
                    </w14:srgbClr>
                  </w14:solidFill>
                </w14:textFill>
              </w:rPr>
              <w:t>|</w:t>
            </w:r>
            <w:r w:rsidR="00696519" w:rsidRPr="00696519">
              <w:rPr>
                <w:rFonts w:eastAsia="Calibri" w:hint="eastAsia"/>
                <w:color w:val="000000"/>
                <w:spacing w:val="-25"/>
                <w:w w:val="15"/>
                <w:szCs w:val="20"/>
                <w:shd w:val="solid" w:color="000000" w:fill="000000"/>
                <w:fitText w:val="40" w:id="-1032089081"/>
                <w14:textFill>
                  <w14:solidFill>
                    <w14:srgbClr w14:val="000000">
                      <w14:alpha w14:val="100000"/>
                    </w14:srgbClr>
                  </w14:solidFill>
                </w14:textFill>
              </w:rPr>
              <w:t xml:space="preserve">　</w:t>
            </w:r>
          </w:p>
        </w:tc>
      </w:tr>
      <w:tr w:rsidR="008B6130" w:rsidRPr="00484AE9" w14:paraId="09DFEB7E" w14:textId="77777777" w:rsidTr="006A70D3">
        <w:trPr>
          <w:cantSplit/>
          <w:trHeight w:val="283"/>
        </w:trPr>
        <w:tc>
          <w:tcPr>
            <w:tcW w:w="5000" w:type="pct"/>
            <w:gridSpan w:val="5"/>
          </w:tcPr>
          <w:p w14:paraId="223D6779" w14:textId="15D3019E" w:rsidR="00352582" w:rsidRPr="00484AE9" w:rsidRDefault="00E55F17" w:rsidP="008B03CB">
            <w:pPr>
              <w:pStyle w:val="TableText0"/>
            </w:pPr>
            <w:r w:rsidRPr="00484AE9">
              <w:t>Multivariate analysis</w:t>
            </w:r>
            <w:r w:rsidR="00DC7565" w:rsidRPr="00484AE9">
              <w:t xml:space="preserve"> varying </w:t>
            </w:r>
            <w:r w:rsidR="00B71FBD" w:rsidRPr="00484AE9">
              <w:t xml:space="preserve">baseline risk of death, </w:t>
            </w:r>
            <w:r w:rsidR="00DC7565" w:rsidRPr="00484AE9">
              <w:t>RR of hospitalisation, RR of death, RR of long COVID</w:t>
            </w:r>
            <w:r w:rsidR="00A977F7" w:rsidRPr="00484AE9">
              <w:rPr>
                <w:vertAlign w:val="superscript"/>
              </w:rPr>
              <w:t>a</w:t>
            </w:r>
          </w:p>
          <w:p w14:paraId="72002031" w14:textId="7B0F12FB" w:rsidR="006A70D3" w:rsidRPr="00484AE9" w:rsidRDefault="00DC7565" w:rsidP="008B03CB">
            <w:pPr>
              <w:pStyle w:val="TableText0"/>
              <w:rPr>
                <w:rFonts w:eastAsia="Calibri"/>
                <w:szCs w:val="20"/>
              </w:rPr>
            </w:pPr>
            <w:r w:rsidRPr="00484AE9">
              <w:t xml:space="preserve">(base case = </w:t>
            </w:r>
            <w:r w:rsidR="00352582" w:rsidRPr="00484AE9">
              <w:t xml:space="preserve">3%/ </w:t>
            </w:r>
            <w:r w:rsidRPr="00484AE9">
              <w:t>0.41 / 0.25 /0.74)</w:t>
            </w:r>
          </w:p>
        </w:tc>
      </w:tr>
      <w:tr w:rsidR="008B6130" w:rsidRPr="00484AE9" w14:paraId="7CC756F3" w14:textId="77777777" w:rsidTr="006A70D3">
        <w:trPr>
          <w:cantSplit/>
          <w:trHeight w:val="283"/>
        </w:trPr>
        <w:tc>
          <w:tcPr>
            <w:tcW w:w="1873" w:type="pct"/>
          </w:tcPr>
          <w:p w14:paraId="6E5A05A1" w14:textId="3EC3BF8E" w:rsidR="004B739B" w:rsidRPr="00484AE9" w:rsidRDefault="004B739B" w:rsidP="00F22594">
            <w:pPr>
              <w:pStyle w:val="TableText0"/>
              <w:numPr>
                <w:ilvl w:val="0"/>
                <w:numId w:val="11"/>
              </w:numPr>
              <w:ind w:left="308" w:hanging="284"/>
            </w:pPr>
            <w:r w:rsidRPr="00484AE9">
              <w:t>3% / 0.15 / 0.15 / 1</w:t>
            </w:r>
          </w:p>
        </w:tc>
        <w:tc>
          <w:tcPr>
            <w:tcW w:w="781" w:type="pct"/>
          </w:tcPr>
          <w:p w14:paraId="0E96EEEC" w14:textId="50AD946C" w:rsidR="004B739B" w:rsidRPr="00F14EBF" w:rsidRDefault="00696519" w:rsidP="004B739B">
            <w:pPr>
              <w:pStyle w:val="TableText0"/>
              <w:jc w:val="center"/>
              <w:rPr>
                <w:rFonts w:eastAsia="Calibri"/>
                <w:szCs w:val="20"/>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Pr="00696519">
              <w:t xml:space="preserve"> </w:t>
            </w:r>
          </w:p>
        </w:tc>
        <w:tc>
          <w:tcPr>
            <w:tcW w:w="782" w:type="pct"/>
          </w:tcPr>
          <w:p w14:paraId="4F5889E8" w14:textId="56C0574A" w:rsidR="004B739B" w:rsidRPr="00484AE9" w:rsidRDefault="004B739B" w:rsidP="004B739B">
            <w:pPr>
              <w:pStyle w:val="TableText0"/>
              <w:jc w:val="center"/>
              <w:rPr>
                <w:rFonts w:eastAsia="Calibri"/>
                <w:szCs w:val="20"/>
              </w:rPr>
            </w:pPr>
            <w:r w:rsidRPr="00484AE9">
              <w:t>0.1645</w:t>
            </w:r>
          </w:p>
        </w:tc>
        <w:tc>
          <w:tcPr>
            <w:tcW w:w="782" w:type="pct"/>
          </w:tcPr>
          <w:p w14:paraId="12AF6FA3" w14:textId="1AAD0F84" w:rsidR="004B739B" w:rsidRPr="00F14EBF" w:rsidRDefault="00696519" w:rsidP="004B739B">
            <w:pPr>
              <w:pStyle w:val="TableText0"/>
              <w:jc w:val="center"/>
              <w:rPr>
                <w:rFonts w:eastAsia="Calibri"/>
                <w:szCs w:val="20"/>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00F11F0D">
              <w:rPr>
                <w:rFonts w:eastAsia="Calibri"/>
                <w:b/>
                <w:szCs w:val="20"/>
                <w:vertAlign w:val="superscript"/>
              </w:rPr>
              <w:t>1</w:t>
            </w:r>
          </w:p>
        </w:tc>
        <w:tc>
          <w:tcPr>
            <w:tcW w:w="782" w:type="pct"/>
          </w:tcPr>
          <w:p w14:paraId="6F5A7855" w14:textId="41DB6FB8" w:rsidR="004B739B" w:rsidRPr="00484AE9" w:rsidRDefault="007A0759" w:rsidP="004B739B">
            <w:pPr>
              <w:pStyle w:val="TableText0"/>
              <w:jc w:val="center"/>
              <w:rPr>
                <w:rFonts w:eastAsia="Calibri"/>
                <w:szCs w:val="20"/>
              </w:rPr>
            </w:pPr>
            <w:r w:rsidRPr="00484AE9">
              <w:rPr>
                <w:rFonts w:eastAsia="Calibri"/>
                <w:szCs w:val="20"/>
              </w:rPr>
              <w:t>↓</w:t>
            </w:r>
            <w:r w:rsidR="00696519" w:rsidRPr="00696519">
              <w:rPr>
                <w:rFonts w:eastAsia="Calibri"/>
                <w:szCs w:val="20"/>
              </w:rPr>
              <w:t xml:space="preserve"> </w:t>
            </w:r>
            <w:r w:rsidR="00696519" w:rsidRPr="00696519">
              <w:rPr>
                <w:rFonts w:eastAsia="Calibri" w:hint="eastAsia"/>
                <w:color w:val="000000"/>
                <w:w w:val="15"/>
                <w:szCs w:val="20"/>
                <w:shd w:val="solid" w:color="000000" w:fill="000000"/>
                <w:fitText w:val="40" w:id="-1032089080"/>
                <w14:textFill>
                  <w14:solidFill>
                    <w14:srgbClr w14:val="000000">
                      <w14:alpha w14:val="100000"/>
                    </w14:srgbClr>
                  </w14:solidFill>
                </w14:textFill>
              </w:rPr>
              <w:t xml:space="preserve">　</w:t>
            </w:r>
            <w:r w:rsidR="00696519" w:rsidRPr="00696519">
              <w:rPr>
                <w:rFonts w:eastAsia="Calibri"/>
                <w:color w:val="000000"/>
                <w:w w:val="15"/>
                <w:szCs w:val="20"/>
                <w:shd w:val="solid" w:color="000000" w:fill="000000"/>
                <w:fitText w:val="40" w:id="-1032089080"/>
                <w14:textFill>
                  <w14:solidFill>
                    <w14:srgbClr w14:val="000000">
                      <w14:alpha w14:val="100000"/>
                    </w14:srgbClr>
                  </w14:solidFill>
                </w14:textFill>
              </w:rPr>
              <w:t>|</w:t>
            </w:r>
            <w:r w:rsidR="00696519" w:rsidRPr="00696519">
              <w:rPr>
                <w:rFonts w:eastAsia="Calibri" w:hint="eastAsia"/>
                <w:color w:val="000000"/>
                <w:spacing w:val="-25"/>
                <w:w w:val="15"/>
                <w:szCs w:val="20"/>
                <w:shd w:val="solid" w:color="000000" w:fill="000000"/>
                <w:fitText w:val="40" w:id="-1032089080"/>
                <w14:textFill>
                  <w14:solidFill>
                    <w14:srgbClr w14:val="000000">
                      <w14:alpha w14:val="100000"/>
                    </w14:srgbClr>
                  </w14:solidFill>
                </w14:textFill>
              </w:rPr>
              <w:t xml:space="preserve">　</w:t>
            </w:r>
          </w:p>
        </w:tc>
      </w:tr>
      <w:tr w:rsidR="008B6130" w:rsidRPr="00484AE9" w14:paraId="4BFEE279" w14:textId="77777777" w:rsidTr="006A70D3">
        <w:trPr>
          <w:cantSplit/>
          <w:trHeight w:val="283"/>
        </w:trPr>
        <w:tc>
          <w:tcPr>
            <w:tcW w:w="1873" w:type="pct"/>
          </w:tcPr>
          <w:p w14:paraId="065FB512" w14:textId="464062AD" w:rsidR="00166D3B" w:rsidRPr="00484AE9" w:rsidRDefault="00166D3B" w:rsidP="00F22594">
            <w:pPr>
              <w:pStyle w:val="TableText0"/>
              <w:numPr>
                <w:ilvl w:val="0"/>
                <w:numId w:val="11"/>
              </w:numPr>
              <w:ind w:left="308" w:hanging="284"/>
            </w:pPr>
            <w:r w:rsidRPr="00484AE9">
              <w:t>1% / 0.5 / 0.5 / 1</w:t>
            </w:r>
          </w:p>
        </w:tc>
        <w:tc>
          <w:tcPr>
            <w:tcW w:w="781" w:type="pct"/>
          </w:tcPr>
          <w:p w14:paraId="20B232B5" w14:textId="0D6D2F8D" w:rsidR="00166D3B" w:rsidRPr="00F76D9A" w:rsidRDefault="00696519" w:rsidP="00166D3B">
            <w:pPr>
              <w:pStyle w:val="TableText0"/>
              <w:jc w:val="center"/>
              <w:rPr>
                <w:rFonts w:eastAsia="Calibri"/>
                <w:szCs w:val="20"/>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Pr="00696519">
              <w:t xml:space="preserve"> </w:t>
            </w:r>
          </w:p>
        </w:tc>
        <w:tc>
          <w:tcPr>
            <w:tcW w:w="782" w:type="pct"/>
          </w:tcPr>
          <w:p w14:paraId="6F5001F3" w14:textId="5160EB2C" w:rsidR="00166D3B" w:rsidRPr="00484AE9" w:rsidRDefault="00166D3B" w:rsidP="00166D3B">
            <w:pPr>
              <w:pStyle w:val="TableText0"/>
              <w:jc w:val="center"/>
              <w:rPr>
                <w:rFonts w:eastAsia="Calibri"/>
                <w:szCs w:val="20"/>
              </w:rPr>
            </w:pPr>
            <w:r w:rsidRPr="00484AE9">
              <w:t>0.0324</w:t>
            </w:r>
          </w:p>
        </w:tc>
        <w:tc>
          <w:tcPr>
            <w:tcW w:w="782" w:type="pct"/>
          </w:tcPr>
          <w:p w14:paraId="6B67A9F5" w14:textId="15CF5570" w:rsidR="00166D3B" w:rsidRPr="00F76D9A" w:rsidRDefault="00696519" w:rsidP="00166D3B">
            <w:pPr>
              <w:pStyle w:val="TableText0"/>
              <w:jc w:val="center"/>
              <w:rPr>
                <w:rFonts w:eastAsia="Calibri"/>
                <w:szCs w:val="20"/>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00F11F0D">
              <w:rPr>
                <w:vertAlign w:val="superscript"/>
              </w:rPr>
              <w:t>3</w:t>
            </w:r>
          </w:p>
        </w:tc>
        <w:tc>
          <w:tcPr>
            <w:tcW w:w="782" w:type="pct"/>
          </w:tcPr>
          <w:p w14:paraId="02EFFE64" w14:textId="7FFBCFAA" w:rsidR="00166D3B" w:rsidRPr="00484AE9" w:rsidRDefault="007A0759" w:rsidP="00166D3B">
            <w:pPr>
              <w:pStyle w:val="TableText0"/>
              <w:jc w:val="center"/>
              <w:rPr>
                <w:rFonts w:eastAsia="Calibri"/>
                <w:szCs w:val="20"/>
              </w:rPr>
            </w:pPr>
            <w:r w:rsidRPr="00484AE9">
              <w:rPr>
                <w:rFonts w:eastAsia="Calibri"/>
                <w:szCs w:val="20"/>
              </w:rPr>
              <w:t>↑</w:t>
            </w:r>
            <w:r w:rsidR="00696519" w:rsidRPr="00696519">
              <w:rPr>
                <w:rFonts w:eastAsia="Calibri"/>
                <w:szCs w:val="20"/>
              </w:rPr>
              <w:t xml:space="preserve"> </w:t>
            </w:r>
            <w:r w:rsidR="00696519" w:rsidRPr="00696519">
              <w:rPr>
                <w:rFonts w:eastAsia="Calibri" w:hint="eastAsia"/>
                <w:color w:val="000000"/>
                <w:w w:val="15"/>
                <w:szCs w:val="20"/>
                <w:shd w:val="solid" w:color="000000" w:fill="000000"/>
                <w:fitText w:val="40" w:id="-1032089079"/>
                <w14:textFill>
                  <w14:solidFill>
                    <w14:srgbClr w14:val="000000">
                      <w14:alpha w14:val="100000"/>
                    </w14:srgbClr>
                  </w14:solidFill>
                </w14:textFill>
              </w:rPr>
              <w:t xml:space="preserve">　</w:t>
            </w:r>
            <w:r w:rsidR="00696519" w:rsidRPr="00696519">
              <w:rPr>
                <w:rFonts w:eastAsia="Calibri"/>
                <w:color w:val="000000"/>
                <w:w w:val="15"/>
                <w:szCs w:val="20"/>
                <w:shd w:val="solid" w:color="000000" w:fill="000000"/>
                <w:fitText w:val="40" w:id="-1032089079"/>
                <w14:textFill>
                  <w14:solidFill>
                    <w14:srgbClr w14:val="000000">
                      <w14:alpha w14:val="100000"/>
                    </w14:srgbClr>
                  </w14:solidFill>
                </w14:textFill>
              </w:rPr>
              <w:t>|</w:t>
            </w:r>
            <w:r w:rsidR="00696519" w:rsidRPr="00696519">
              <w:rPr>
                <w:rFonts w:eastAsia="Calibri" w:hint="eastAsia"/>
                <w:color w:val="000000"/>
                <w:spacing w:val="-25"/>
                <w:w w:val="15"/>
                <w:szCs w:val="20"/>
                <w:shd w:val="solid" w:color="000000" w:fill="000000"/>
                <w:fitText w:val="40" w:id="-1032089079"/>
                <w14:textFill>
                  <w14:solidFill>
                    <w14:srgbClr w14:val="000000">
                      <w14:alpha w14:val="100000"/>
                    </w14:srgbClr>
                  </w14:solidFill>
                </w14:textFill>
              </w:rPr>
              <w:t xml:space="preserve">　</w:t>
            </w:r>
          </w:p>
        </w:tc>
      </w:tr>
      <w:tr w:rsidR="008B6130" w:rsidRPr="00484AE9" w14:paraId="043800D5" w14:textId="77777777" w:rsidTr="006A70D3">
        <w:trPr>
          <w:cantSplit/>
          <w:trHeight w:val="283"/>
        </w:trPr>
        <w:tc>
          <w:tcPr>
            <w:tcW w:w="5000" w:type="pct"/>
            <w:gridSpan w:val="5"/>
          </w:tcPr>
          <w:p w14:paraId="0C4312E1" w14:textId="7B9FFD42" w:rsidR="006A70D3" w:rsidRPr="00484AE9" w:rsidRDefault="00FC2452" w:rsidP="008B03CB">
            <w:pPr>
              <w:pStyle w:val="TableText0"/>
              <w:rPr>
                <w:rFonts w:eastAsia="Calibri"/>
                <w:szCs w:val="20"/>
              </w:rPr>
            </w:pPr>
            <w:r w:rsidRPr="00484AE9">
              <w:t>QALYs lost in patients who die (base case = 6.440)</w:t>
            </w:r>
          </w:p>
        </w:tc>
      </w:tr>
      <w:tr w:rsidR="008B6130" w:rsidRPr="00484AE9" w14:paraId="4BAA028F" w14:textId="77777777" w:rsidTr="006A70D3">
        <w:trPr>
          <w:cantSplit/>
          <w:trHeight w:val="283"/>
        </w:trPr>
        <w:tc>
          <w:tcPr>
            <w:tcW w:w="1873" w:type="pct"/>
          </w:tcPr>
          <w:p w14:paraId="73849C9B" w14:textId="4FD4334E" w:rsidR="005D684B" w:rsidRPr="00484AE9" w:rsidRDefault="005D684B" w:rsidP="00F22594">
            <w:pPr>
              <w:pStyle w:val="TableText0"/>
              <w:numPr>
                <w:ilvl w:val="0"/>
                <w:numId w:val="11"/>
              </w:numPr>
              <w:ind w:left="308" w:hanging="284"/>
            </w:pPr>
            <w:r w:rsidRPr="00484AE9">
              <w:t>3.22</w:t>
            </w:r>
          </w:p>
        </w:tc>
        <w:tc>
          <w:tcPr>
            <w:tcW w:w="781" w:type="pct"/>
          </w:tcPr>
          <w:p w14:paraId="4178CD1C" w14:textId="14CB2606" w:rsidR="005D684B" w:rsidRPr="00F76D9A" w:rsidRDefault="00696519" w:rsidP="005D684B">
            <w:pPr>
              <w:pStyle w:val="TableText0"/>
              <w:jc w:val="center"/>
              <w:rPr>
                <w:rFonts w:eastAsia="Calibri"/>
                <w:szCs w:val="20"/>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Pr="00696519">
              <w:t xml:space="preserve"> </w:t>
            </w:r>
          </w:p>
        </w:tc>
        <w:tc>
          <w:tcPr>
            <w:tcW w:w="782" w:type="pct"/>
          </w:tcPr>
          <w:p w14:paraId="52618D1A" w14:textId="5C731F9F" w:rsidR="005D684B" w:rsidRPr="00484AE9" w:rsidRDefault="005D684B" w:rsidP="005D684B">
            <w:pPr>
              <w:pStyle w:val="TableText0"/>
              <w:jc w:val="center"/>
              <w:rPr>
                <w:rFonts w:eastAsia="Calibri"/>
                <w:szCs w:val="20"/>
              </w:rPr>
            </w:pPr>
            <w:r w:rsidRPr="00484AE9">
              <w:t>0.0739</w:t>
            </w:r>
          </w:p>
        </w:tc>
        <w:tc>
          <w:tcPr>
            <w:tcW w:w="782" w:type="pct"/>
          </w:tcPr>
          <w:p w14:paraId="036F07CC" w14:textId="0AD08A67" w:rsidR="005D684B" w:rsidRPr="00F76D9A" w:rsidRDefault="00696519" w:rsidP="005D684B">
            <w:pPr>
              <w:pStyle w:val="TableText0"/>
              <w:jc w:val="center"/>
              <w:rPr>
                <w:rFonts w:eastAsia="Calibri"/>
                <w:szCs w:val="20"/>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00F11F0D">
              <w:rPr>
                <w:rFonts w:eastAsia="Calibri"/>
                <w:b/>
                <w:szCs w:val="20"/>
                <w:vertAlign w:val="superscript"/>
              </w:rPr>
              <w:t>2</w:t>
            </w:r>
          </w:p>
        </w:tc>
        <w:tc>
          <w:tcPr>
            <w:tcW w:w="782" w:type="pct"/>
          </w:tcPr>
          <w:p w14:paraId="558ADF6C" w14:textId="04A43FF1" w:rsidR="005D684B" w:rsidRPr="00484AE9" w:rsidRDefault="007A0759" w:rsidP="005D684B">
            <w:pPr>
              <w:pStyle w:val="TableText0"/>
              <w:jc w:val="center"/>
              <w:rPr>
                <w:rFonts w:eastAsia="Calibri"/>
                <w:szCs w:val="20"/>
              </w:rPr>
            </w:pPr>
            <w:r w:rsidRPr="00484AE9">
              <w:rPr>
                <w:rFonts w:eastAsia="Calibri"/>
                <w:szCs w:val="20"/>
              </w:rPr>
              <w:t>↑</w:t>
            </w:r>
            <w:r w:rsidR="00696519" w:rsidRPr="00696519">
              <w:rPr>
                <w:rFonts w:eastAsia="Calibri"/>
                <w:szCs w:val="20"/>
              </w:rPr>
              <w:t xml:space="preserve"> </w:t>
            </w:r>
            <w:r w:rsidR="00696519" w:rsidRPr="00696519">
              <w:rPr>
                <w:rFonts w:eastAsia="Calibri" w:hint="eastAsia"/>
                <w:color w:val="000000"/>
                <w:w w:val="15"/>
                <w:szCs w:val="20"/>
                <w:shd w:val="solid" w:color="000000" w:fill="000000"/>
                <w:fitText w:val="40" w:id="-1032089078"/>
                <w14:textFill>
                  <w14:solidFill>
                    <w14:srgbClr w14:val="000000">
                      <w14:alpha w14:val="100000"/>
                    </w14:srgbClr>
                  </w14:solidFill>
                </w14:textFill>
              </w:rPr>
              <w:t xml:space="preserve">　</w:t>
            </w:r>
            <w:r w:rsidR="00696519" w:rsidRPr="00696519">
              <w:rPr>
                <w:rFonts w:eastAsia="Calibri"/>
                <w:color w:val="000000"/>
                <w:w w:val="15"/>
                <w:szCs w:val="20"/>
                <w:shd w:val="solid" w:color="000000" w:fill="000000"/>
                <w:fitText w:val="40" w:id="-1032089078"/>
                <w14:textFill>
                  <w14:solidFill>
                    <w14:srgbClr w14:val="000000">
                      <w14:alpha w14:val="100000"/>
                    </w14:srgbClr>
                  </w14:solidFill>
                </w14:textFill>
              </w:rPr>
              <w:t>|</w:t>
            </w:r>
            <w:r w:rsidR="00696519" w:rsidRPr="00696519">
              <w:rPr>
                <w:rFonts w:eastAsia="Calibri" w:hint="eastAsia"/>
                <w:color w:val="000000"/>
                <w:spacing w:val="-25"/>
                <w:w w:val="15"/>
                <w:szCs w:val="20"/>
                <w:shd w:val="solid" w:color="000000" w:fill="000000"/>
                <w:fitText w:val="40" w:id="-1032089078"/>
                <w14:textFill>
                  <w14:solidFill>
                    <w14:srgbClr w14:val="000000">
                      <w14:alpha w14:val="100000"/>
                    </w14:srgbClr>
                  </w14:solidFill>
                </w14:textFill>
              </w:rPr>
              <w:t xml:space="preserve">　</w:t>
            </w:r>
          </w:p>
        </w:tc>
      </w:tr>
      <w:tr w:rsidR="008B6130" w:rsidRPr="00484AE9" w14:paraId="0217BC61" w14:textId="77777777" w:rsidTr="006A70D3">
        <w:trPr>
          <w:cantSplit/>
          <w:trHeight w:val="283"/>
        </w:trPr>
        <w:tc>
          <w:tcPr>
            <w:tcW w:w="1873" w:type="pct"/>
          </w:tcPr>
          <w:p w14:paraId="5430F6FF" w14:textId="4366740E" w:rsidR="00AF1DDC" w:rsidRPr="00484AE9" w:rsidRDefault="00AF1DDC" w:rsidP="00F22594">
            <w:pPr>
              <w:pStyle w:val="TableText0"/>
              <w:numPr>
                <w:ilvl w:val="0"/>
                <w:numId w:val="11"/>
              </w:numPr>
              <w:ind w:left="308" w:hanging="284"/>
            </w:pPr>
            <w:r w:rsidRPr="00484AE9">
              <w:t>9.66</w:t>
            </w:r>
          </w:p>
        </w:tc>
        <w:tc>
          <w:tcPr>
            <w:tcW w:w="781" w:type="pct"/>
          </w:tcPr>
          <w:p w14:paraId="758086AD" w14:textId="2C4582B5" w:rsidR="00AF1DDC" w:rsidRPr="00F76D9A" w:rsidRDefault="00696519" w:rsidP="00AF1DDC">
            <w:pPr>
              <w:pStyle w:val="TableText0"/>
              <w:jc w:val="center"/>
              <w:rPr>
                <w:rFonts w:eastAsia="Calibri"/>
                <w:szCs w:val="20"/>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Pr="00696519">
              <w:t xml:space="preserve"> </w:t>
            </w:r>
          </w:p>
        </w:tc>
        <w:tc>
          <w:tcPr>
            <w:tcW w:w="782" w:type="pct"/>
          </w:tcPr>
          <w:p w14:paraId="5EBB8638" w14:textId="5EFD79A3" w:rsidR="00AF1DDC" w:rsidRPr="00484AE9" w:rsidRDefault="00AF1DDC" w:rsidP="00AF1DDC">
            <w:pPr>
              <w:pStyle w:val="TableText0"/>
              <w:jc w:val="center"/>
              <w:rPr>
                <w:rFonts w:eastAsia="Calibri"/>
                <w:szCs w:val="20"/>
              </w:rPr>
            </w:pPr>
            <w:r w:rsidRPr="00484AE9">
              <w:t>0.2188</w:t>
            </w:r>
          </w:p>
        </w:tc>
        <w:tc>
          <w:tcPr>
            <w:tcW w:w="782" w:type="pct"/>
          </w:tcPr>
          <w:p w14:paraId="5B18F76C" w14:textId="37FA3F75" w:rsidR="00AF1DDC" w:rsidRPr="00F76D9A" w:rsidRDefault="00696519" w:rsidP="00AF1DDC">
            <w:pPr>
              <w:pStyle w:val="TableText0"/>
              <w:jc w:val="center"/>
              <w:rPr>
                <w:rFonts w:eastAsia="Calibri"/>
                <w:szCs w:val="20"/>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00F11F0D">
              <w:rPr>
                <w:rFonts w:eastAsia="Calibri"/>
                <w:b/>
                <w:szCs w:val="20"/>
                <w:vertAlign w:val="superscript"/>
              </w:rPr>
              <w:t>1</w:t>
            </w:r>
          </w:p>
        </w:tc>
        <w:tc>
          <w:tcPr>
            <w:tcW w:w="782" w:type="pct"/>
          </w:tcPr>
          <w:p w14:paraId="67D8C558" w14:textId="2353C1B3" w:rsidR="00AF1DDC" w:rsidRPr="00484AE9" w:rsidRDefault="007A0759" w:rsidP="00AF1DDC">
            <w:pPr>
              <w:pStyle w:val="TableText0"/>
              <w:jc w:val="center"/>
              <w:rPr>
                <w:rFonts w:eastAsia="Calibri"/>
                <w:szCs w:val="20"/>
              </w:rPr>
            </w:pPr>
            <w:r w:rsidRPr="00484AE9">
              <w:rPr>
                <w:rFonts w:eastAsia="Calibri"/>
                <w:szCs w:val="20"/>
              </w:rPr>
              <w:t>↓</w:t>
            </w:r>
            <w:r w:rsidR="00696519" w:rsidRPr="00696519">
              <w:rPr>
                <w:rFonts w:eastAsia="Calibri"/>
                <w:szCs w:val="20"/>
              </w:rPr>
              <w:t xml:space="preserve"> </w:t>
            </w:r>
            <w:r w:rsidR="00696519" w:rsidRPr="00696519">
              <w:rPr>
                <w:rFonts w:eastAsia="Calibri" w:hint="eastAsia"/>
                <w:color w:val="000000"/>
                <w:w w:val="15"/>
                <w:szCs w:val="20"/>
                <w:shd w:val="solid" w:color="000000" w:fill="000000"/>
                <w:fitText w:val="40" w:id="-1032089077"/>
                <w14:textFill>
                  <w14:solidFill>
                    <w14:srgbClr w14:val="000000">
                      <w14:alpha w14:val="100000"/>
                    </w14:srgbClr>
                  </w14:solidFill>
                </w14:textFill>
              </w:rPr>
              <w:t xml:space="preserve">　</w:t>
            </w:r>
            <w:r w:rsidR="00696519" w:rsidRPr="00696519">
              <w:rPr>
                <w:rFonts w:eastAsia="Calibri"/>
                <w:color w:val="000000"/>
                <w:w w:val="15"/>
                <w:szCs w:val="20"/>
                <w:shd w:val="solid" w:color="000000" w:fill="000000"/>
                <w:fitText w:val="40" w:id="-1032089077"/>
                <w14:textFill>
                  <w14:solidFill>
                    <w14:srgbClr w14:val="000000">
                      <w14:alpha w14:val="100000"/>
                    </w14:srgbClr>
                  </w14:solidFill>
                </w14:textFill>
              </w:rPr>
              <w:t>|</w:t>
            </w:r>
            <w:r w:rsidR="00696519" w:rsidRPr="00696519">
              <w:rPr>
                <w:rFonts w:eastAsia="Calibri" w:hint="eastAsia"/>
                <w:color w:val="000000"/>
                <w:spacing w:val="-25"/>
                <w:w w:val="15"/>
                <w:szCs w:val="20"/>
                <w:shd w:val="solid" w:color="000000" w:fill="000000"/>
                <w:fitText w:val="40" w:id="-1032089077"/>
                <w14:textFill>
                  <w14:solidFill>
                    <w14:srgbClr w14:val="000000">
                      <w14:alpha w14:val="100000"/>
                    </w14:srgbClr>
                  </w14:solidFill>
                </w14:textFill>
              </w:rPr>
              <w:t xml:space="preserve">　</w:t>
            </w:r>
          </w:p>
        </w:tc>
      </w:tr>
    </w:tbl>
    <w:p w14:paraId="0F4C280D" w14:textId="13F2AA71" w:rsidR="00D23D11" w:rsidRPr="00484AE9" w:rsidRDefault="00D23D11" w:rsidP="00BB732D">
      <w:pPr>
        <w:pStyle w:val="FooterTableFigure"/>
      </w:pPr>
      <w:r w:rsidRPr="00484AE9">
        <w:t>Source: Table</w:t>
      </w:r>
      <w:r w:rsidR="00610ABE" w:rsidRPr="00484AE9">
        <w:t xml:space="preserve"> 3.9.2 on p</w:t>
      </w:r>
      <w:r w:rsidR="003B04C3" w:rsidRPr="00484AE9">
        <w:t>197 of the submission and analyses conducted during the evaluation</w:t>
      </w:r>
    </w:p>
    <w:p w14:paraId="5937E983" w14:textId="77777777" w:rsidR="00A977F7" w:rsidRPr="00484AE9" w:rsidRDefault="00A977F7" w:rsidP="00BB732D">
      <w:pPr>
        <w:pStyle w:val="FooterTableFigure"/>
      </w:pPr>
      <w:r w:rsidRPr="00484AE9">
        <w:t>a. analyses conducted during the evaluation</w:t>
      </w:r>
    </w:p>
    <w:p w14:paraId="60EFB137" w14:textId="23ABC992" w:rsidR="009817D7" w:rsidRDefault="00D23D11" w:rsidP="00BB732D">
      <w:pPr>
        <w:pStyle w:val="FooterTableFigure"/>
        <w:rPr>
          <w:rFonts w:eastAsia="Calibri"/>
          <w:szCs w:val="20"/>
        </w:rPr>
      </w:pPr>
      <w:r w:rsidRPr="00484AE9">
        <w:rPr>
          <w:rFonts w:eastAsia="Calibri"/>
          <w:szCs w:val="20"/>
        </w:rPr>
        <w:t>QALY</w:t>
      </w:r>
      <w:r w:rsidR="009A2DCC" w:rsidRPr="00484AE9">
        <w:rPr>
          <w:rFonts w:eastAsia="Calibri"/>
          <w:szCs w:val="20"/>
        </w:rPr>
        <w:t xml:space="preserve"> =</w:t>
      </w:r>
      <w:r w:rsidRPr="00484AE9">
        <w:rPr>
          <w:rFonts w:eastAsia="Calibri"/>
          <w:szCs w:val="20"/>
        </w:rPr>
        <w:t xml:space="preserve"> quality adjusted life year</w:t>
      </w:r>
      <w:r w:rsidR="003E5A83" w:rsidRPr="00484AE9">
        <w:rPr>
          <w:rFonts w:eastAsia="Calibri"/>
          <w:szCs w:val="20"/>
        </w:rPr>
        <w:t>; RR = relative risk</w:t>
      </w:r>
    </w:p>
    <w:p w14:paraId="6516560C" w14:textId="77777777" w:rsidR="005B5702" w:rsidRPr="005B5702" w:rsidRDefault="005B5702" w:rsidP="005B5702">
      <w:pPr>
        <w:pStyle w:val="FooterTableFigure"/>
        <w:rPr>
          <w:rFonts w:eastAsia="Calibri"/>
          <w:i/>
          <w:iCs/>
          <w:szCs w:val="20"/>
        </w:rPr>
      </w:pPr>
      <w:r w:rsidRPr="005B5702">
        <w:rPr>
          <w:rFonts w:eastAsia="Calibri"/>
          <w:i/>
          <w:iCs/>
          <w:szCs w:val="20"/>
        </w:rPr>
        <w:t>The redacted values correspond to the following ranges:</w:t>
      </w:r>
    </w:p>
    <w:p w14:paraId="24F006AB" w14:textId="1CA50336" w:rsidR="005B5702" w:rsidRPr="005B5702" w:rsidRDefault="005B5702" w:rsidP="005B5702">
      <w:pPr>
        <w:pStyle w:val="FooterTableFigure"/>
        <w:rPr>
          <w:rFonts w:eastAsia="Calibri"/>
          <w:i/>
          <w:iCs/>
          <w:szCs w:val="20"/>
        </w:rPr>
      </w:pPr>
      <w:r w:rsidRPr="005B5702">
        <w:rPr>
          <w:rFonts w:eastAsia="Calibri"/>
          <w:i/>
          <w:iCs/>
          <w:szCs w:val="20"/>
          <w:vertAlign w:val="superscript"/>
        </w:rPr>
        <w:t>1</w:t>
      </w:r>
      <w:r w:rsidRPr="005B5702">
        <w:rPr>
          <w:rFonts w:eastAsia="Calibri"/>
          <w:i/>
          <w:iCs/>
          <w:szCs w:val="20"/>
        </w:rPr>
        <w:t xml:space="preserve"> </w:t>
      </w:r>
      <w:r w:rsidR="00F11F0D" w:rsidRPr="005B5702">
        <w:rPr>
          <w:rFonts w:eastAsia="Calibri"/>
          <w:i/>
          <w:iCs/>
          <w:szCs w:val="20"/>
        </w:rPr>
        <w:t xml:space="preserve">$5,000 to &lt; $15,000 </w:t>
      </w:r>
    </w:p>
    <w:p w14:paraId="273C8EB6" w14:textId="267BA0FF" w:rsidR="005B5702" w:rsidRPr="005B5702" w:rsidRDefault="005B5702" w:rsidP="005B5702">
      <w:pPr>
        <w:pStyle w:val="FooterTableFigure"/>
        <w:rPr>
          <w:rFonts w:eastAsia="Calibri"/>
          <w:i/>
          <w:iCs/>
          <w:szCs w:val="20"/>
        </w:rPr>
      </w:pPr>
      <w:r w:rsidRPr="005B5702">
        <w:rPr>
          <w:rFonts w:eastAsia="Calibri"/>
          <w:i/>
          <w:iCs/>
          <w:szCs w:val="20"/>
          <w:vertAlign w:val="superscript"/>
        </w:rPr>
        <w:t>2</w:t>
      </w:r>
      <w:r w:rsidRPr="005B5702">
        <w:rPr>
          <w:rFonts w:eastAsia="Calibri"/>
          <w:i/>
          <w:iCs/>
          <w:szCs w:val="20"/>
        </w:rPr>
        <w:t xml:space="preserve"> </w:t>
      </w:r>
      <w:r w:rsidR="00F11F0D" w:rsidRPr="005B5702">
        <w:rPr>
          <w:rFonts w:eastAsia="Calibri"/>
          <w:i/>
          <w:iCs/>
          <w:szCs w:val="20"/>
        </w:rPr>
        <w:t>$15,000 to &lt; $25,000</w:t>
      </w:r>
    </w:p>
    <w:p w14:paraId="1DE11F13" w14:textId="57C1E264" w:rsidR="005B5702" w:rsidRPr="005B5702" w:rsidRDefault="005B5702" w:rsidP="005B5702">
      <w:pPr>
        <w:pStyle w:val="FooterTableFigure"/>
        <w:rPr>
          <w:rFonts w:eastAsia="Calibri"/>
          <w:i/>
          <w:iCs/>
          <w:szCs w:val="20"/>
        </w:rPr>
      </w:pPr>
      <w:r w:rsidRPr="005B5702">
        <w:rPr>
          <w:rFonts w:eastAsia="Calibri"/>
          <w:i/>
          <w:iCs/>
          <w:szCs w:val="20"/>
          <w:vertAlign w:val="superscript"/>
        </w:rPr>
        <w:t xml:space="preserve">3 </w:t>
      </w:r>
      <w:r w:rsidR="00F11F0D" w:rsidRPr="005B5702">
        <w:rPr>
          <w:rFonts w:eastAsia="Calibri"/>
          <w:i/>
          <w:iCs/>
          <w:szCs w:val="20"/>
        </w:rPr>
        <w:t>$35,000 to &lt; $45,000</w:t>
      </w:r>
    </w:p>
    <w:p w14:paraId="6B7F2F3B" w14:textId="402AF1DC" w:rsidR="00216047" w:rsidRPr="00484AE9" w:rsidRDefault="002C304A" w:rsidP="008B03CB">
      <w:pPr>
        <w:pStyle w:val="3-BodyText"/>
      </w:pPr>
      <w:r w:rsidRPr="00484AE9">
        <w:t xml:space="preserve">The submission also presented scenario analyses as shown in </w:t>
      </w:r>
      <w:r w:rsidR="00794CCC" w:rsidRPr="00484AE9">
        <w:fldChar w:fldCharType="begin"/>
      </w:r>
      <w:r w:rsidR="00794CCC" w:rsidRPr="00484AE9">
        <w:instrText xml:space="preserve"> REF _Ref145246906 \h </w:instrText>
      </w:r>
      <w:r w:rsidR="00794CCC" w:rsidRPr="00484AE9">
        <w:fldChar w:fldCharType="separate"/>
      </w:r>
      <w:r w:rsidR="00872657" w:rsidRPr="00484AE9">
        <w:t xml:space="preserve">Table </w:t>
      </w:r>
      <w:r w:rsidR="00872657">
        <w:rPr>
          <w:noProof/>
        </w:rPr>
        <w:t>22</w:t>
      </w:r>
      <w:r w:rsidR="00794CCC" w:rsidRPr="00484AE9">
        <w:fldChar w:fldCharType="end"/>
      </w:r>
      <w:r w:rsidR="00A62B3A" w:rsidRPr="00484AE9">
        <w:t xml:space="preserve">. </w:t>
      </w:r>
      <w:r w:rsidR="00DA33B1" w:rsidRPr="00484AE9">
        <w:t>This included three scenarios reporting weighted ICERs</w:t>
      </w:r>
      <w:r w:rsidR="000E7401" w:rsidRPr="00484AE9">
        <w:t xml:space="preserve"> </w:t>
      </w:r>
      <w:r w:rsidR="00DA33B1" w:rsidRPr="00484AE9">
        <w:t xml:space="preserve">for the overall population eligible for PBS subsidised </w:t>
      </w:r>
      <w:r w:rsidR="00A02517" w:rsidRPr="00484AE9">
        <w:rPr>
          <w:color w:val="000000" w:themeColor="text1"/>
        </w:rPr>
        <w:t>nirmatrelvir and ritonavir</w:t>
      </w:r>
      <w:r w:rsidR="00216047" w:rsidRPr="00484AE9">
        <w:rPr>
          <w:color w:val="000000" w:themeColor="text1"/>
        </w:rPr>
        <w:t xml:space="preserve">, including one </w:t>
      </w:r>
      <w:r w:rsidR="00F07433" w:rsidRPr="00484AE9">
        <w:rPr>
          <w:color w:val="000000" w:themeColor="text1"/>
        </w:rPr>
        <w:t>scenario representing</w:t>
      </w:r>
      <w:r w:rsidR="00216047" w:rsidRPr="00484AE9">
        <w:rPr>
          <w:color w:val="000000" w:themeColor="text1"/>
        </w:rPr>
        <w:t xml:space="preserve"> the current PBS </w:t>
      </w:r>
      <w:r w:rsidR="00EC5D99" w:rsidRPr="00484AE9">
        <w:rPr>
          <w:color w:val="000000" w:themeColor="text1"/>
        </w:rPr>
        <w:t>restrictions</w:t>
      </w:r>
      <w:r w:rsidR="00216047" w:rsidRPr="00484AE9">
        <w:rPr>
          <w:color w:val="000000" w:themeColor="text1"/>
        </w:rPr>
        <w:t xml:space="preserve"> (Scenario #6) and </w:t>
      </w:r>
      <w:r w:rsidR="002A26E3" w:rsidRPr="00484AE9">
        <w:rPr>
          <w:color w:val="000000" w:themeColor="text1"/>
        </w:rPr>
        <w:t>additional</w:t>
      </w:r>
      <w:r w:rsidR="00216047" w:rsidRPr="00484AE9">
        <w:rPr>
          <w:color w:val="000000" w:themeColor="text1"/>
        </w:rPr>
        <w:t xml:space="preserve"> </w:t>
      </w:r>
      <w:r w:rsidR="00F07433" w:rsidRPr="00484AE9">
        <w:rPr>
          <w:color w:val="000000" w:themeColor="text1"/>
        </w:rPr>
        <w:t xml:space="preserve">scenarios </w:t>
      </w:r>
      <w:r w:rsidR="002A26E3" w:rsidRPr="00484AE9">
        <w:rPr>
          <w:color w:val="000000" w:themeColor="text1"/>
        </w:rPr>
        <w:t xml:space="preserve">to </w:t>
      </w:r>
      <w:r w:rsidR="00216047" w:rsidRPr="00484AE9">
        <w:rPr>
          <w:color w:val="000000" w:themeColor="text1"/>
        </w:rPr>
        <w:t>represent</w:t>
      </w:r>
      <w:r w:rsidR="00F07433" w:rsidRPr="00484AE9">
        <w:rPr>
          <w:color w:val="000000" w:themeColor="text1"/>
        </w:rPr>
        <w:t xml:space="preserve"> </w:t>
      </w:r>
      <w:r w:rsidR="00216047" w:rsidRPr="00484AE9">
        <w:t>the population that was eligible prior to the extension</w:t>
      </w:r>
      <w:r w:rsidR="00EC07C2" w:rsidRPr="00484AE9">
        <w:t>s</w:t>
      </w:r>
      <w:r w:rsidR="00216047" w:rsidRPr="00484AE9">
        <w:t xml:space="preserve"> recommended in June 2023 </w:t>
      </w:r>
      <w:r w:rsidR="00EC07C2" w:rsidRPr="00484AE9">
        <w:t>and February</w:t>
      </w:r>
      <w:r w:rsidR="00F76D9A">
        <w:t xml:space="preserve"> </w:t>
      </w:r>
      <w:r w:rsidR="00EC07C2" w:rsidRPr="00484AE9">
        <w:t xml:space="preserve">2023 </w:t>
      </w:r>
      <w:r w:rsidR="00216047" w:rsidRPr="00484AE9">
        <w:t>(</w:t>
      </w:r>
      <w:r w:rsidR="002A26E3" w:rsidRPr="00484AE9">
        <w:t>Scenario #7</w:t>
      </w:r>
      <w:r w:rsidR="00EC07C2" w:rsidRPr="00484AE9">
        <w:t xml:space="preserve"> and </w:t>
      </w:r>
      <w:r w:rsidR="001B4748" w:rsidRPr="00484AE9">
        <w:t>S</w:t>
      </w:r>
      <w:r w:rsidR="00EC5D99" w:rsidRPr="00484AE9">
        <w:t xml:space="preserve">cenario </w:t>
      </w:r>
      <w:r w:rsidR="001B4748" w:rsidRPr="00484AE9">
        <w:t>#</w:t>
      </w:r>
      <w:r w:rsidR="00EC5D99" w:rsidRPr="00484AE9">
        <w:t>8</w:t>
      </w:r>
      <w:r w:rsidR="00EC07C2" w:rsidRPr="00484AE9">
        <w:t>, respectively</w:t>
      </w:r>
      <w:r w:rsidR="001B4748" w:rsidRPr="00484AE9">
        <w:t>)</w:t>
      </w:r>
      <w:r w:rsidR="00216047" w:rsidRPr="00484AE9">
        <w:t>.</w:t>
      </w:r>
    </w:p>
    <w:p w14:paraId="723657FD" w14:textId="72BFE944" w:rsidR="002C304A" w:rsidRPr="00484AE9" w:rsidRDefault="002C304A" w:rsidP="002C304A">
      <w:pPr>
        <w:pStyle w:val="Caption"/>
      </w:pPr>
      <w:bookmarkStart w:id="136" w:name="_Ref145246906"/>
      <w:r w:rsidRPr="00484AE9">
        <w:lastRenderedPageBreak/>
        <w:t xml:space="preserve">Table </w:t>
      </w:r>
      <w:fldSimple w:instr=" SEQ Table \* ARABIC ">
        <w:r w:rsidR="00872657">
          <w:rPr>
            <w:noProof/>
          </w:rPr>
          <w:t>22</w:t>
        </w:r>
      </w:fldSimple>
      <w:bookmarkEnd w:id="136"/>
      <w:r w:rsidRPr="00484AE9">
        <w:t>:</w:t>
      </w:r>
      <w:r w:rsidR="00A36CFF" w:rsidRPr="00484AE9">
        <w:rPr>
          <w:rStyle w:val="CommentReference"/>
          <w:b/>
          <w:szCs w:val="24"/>
        </w:rPr>
        <w:t xml:space="preserve"> </w:t>
      </w:r>
      <w:r w:rsidR="00A36CFF" w:rsidRPr="00484AE9">
        <w:t>Scenario analyses presented by the submission</w:t>
      </w:r>
    </w:p>
    <w:tbl>
      <w:tblPr>
        <w:tblStyle w:val="TableGrid1"/>
        <w:tblW w:w="9634" w:type="dxa"/>
        <w:shd w:val="clear" w:color="auto" w:fill="FFFFFF" w:themeFill="background1"/>
        <w:tblLayout w:type="fixed"/>
        <w:tblLook w:val="00A0" w:firstRow="1" w:lastRow="0" w:firstColumn="1" w:lastColumn="0" w:noHBand="0" w:noVBand="0"/>
      </w:tblPr>
      <w:tblGrid>
        <w:gridCol w:w="3823"/>
        <w:gridCol w:w="2126"/>
        <w:gridCol w:w="1843"/>
        <w:gridCol w:w="1842"/>
      </w:tblGrid>
      <w:tr w:rsidR="000619CC" w:rsidRPr="00484AE9" w14:paraId="11228396" w14:textId="77777777" w:rsidTr="008B03CB">
        <w:trPr>
          <w:trHeight w:val="442"/>
        </w:trPr>
        <w:tc>
          <w:tcPr>
            <w:tcW w:w="3823" w:type="dxa"/>
            <w:shd w:val="clear" w:color="auto" w:fill="D9D9D9" w:themeFill="background1" w:themeFillShade="D9"/>
            <w:vAlign w:val="center"/>
          </w:tcPr>
          <w:p w14:paraId="04F7A82F" w14:textId="77777777" w:rsidR="000619CC" w:rsidRPr="00484AE9" w:rsidRDefault="000619CC" w:rsidP="008B03CB">
            <w:pPr>
              <w:pStyle w:val="TableText0"/>
              <w:keepLines/>
              <w:jc w:val="center"/>
              <w:rPr>
                <w:b/>
                <w:bCs w:val="0"/>
                <w:szCs w:val="20"/>
                <w:lang w:val="en-AU"/>
              </w:rPr>
            </w:pPr>
            <w:bookmarkStart w:id="137" w:name="_Hlk139451282"/>
            <w:r w:rsidRPr="00484AE9">
              <w:rPr>
                <w:b/>
                <w:szCs w:val="20"/>
                <w:lang w:val="en-AU"/>
              </w:rPr>
              <w:t>Analysis</w:t>
            </w:r>
          </w:p>
        </w:tc>
        <w:tc>
          <w:tcPr>
            <w:tcW w:w="2126" w:type="dxa"/>
            <w:shd w:val="clear" w:color="auto" w:fill="D9D9D9" w:themeFill="background1" w:themeFillShade="D9"/>
            <w:vAlign w:val="center"/>
          </w:tcPr>
          <w:p w14:paraId="2BFBBA6A" w14:textId="77777777" w:rsidR="000619CC" w:rsidRPr="00484AE9" w:rsidRDefault="000619CC" w:rsidP="008B03CB">
            <w:pPr>
              <w:pStyle w:val="TableText0"/>
              <w:keepLines/>
              <w:jc w:val="center"/>
              <w:rPr>
                <w:b/>
                <w:bCs w:val="0"/>
                <w:szCs w:val="20"/>
                <w:lang w:val="en-AU"/>
              </w:rPr>
            </w:pPr>
            <w:r w:rsidRPr="00484AE9">
              <w:rPr>
                <w:b/>
                <w:szCs w:val="20"/>
                <w:lang w:val="en-AU"/>
              </w:rPr>
              <w:t>Parameters</w:t>
            </w:r>
          </w:p>
        </w:tc>
        <w:tc>
          <w:tcPr>
            <w:tcW w:w="1843" w:type="dxa"/>
            <w:shd w:val="clear" w:color="auto" w:fill="D9D9D9" w:themeFill="background1" w:themeFillShade="D9"/>
            <w:vAlign w:val="center"/>
          </w:tcPr>
          <w:p w14:paraId="732B35D8" w14:textId="77777777" w:rsidR="000619CC" w:rsidRPr="00484AE9" w:rsidRDefault="000619CC" w:rsidP="008B03CB">
            <w:pPr>
              <w:pStyle w:val="TableText0"/>
              <w:keepLines/>
              <w:jc w:val="center"/>
              <w:rPr>
                <w:b/>
                <w:bCs w:val="0"/>
                <w:szCs w:val="20"/>
                <w:lang w:val="en-AU"/>
              </w:rPr>
            </w:pPr>
            <w:r w:rsidRPr="00484AE9">
              <w:rPr>
                <w:b/>
                <w:szCs w:val="20"/>
                <w:lang w:val="en-AU"/>
              </w:rPr>
              <w:t>Value</w:t>
            </w:r>
          </w:p>
        </w:tc>
        <w:tc>
          <w:tcPr>
            <w:tcW w:w="1842" w:type="dxa"/>
            <w:shd w:val="clear" w:color="auto" w:fill="D9D9D9" w:themeFill="background1" w:themeFillShade="D9"/>
            <w:vAlign w:val="center"/>
          </w:tcPr>
          <w:p w14:paraId="5BBD884B" w14:textId="77777777" w:rsidR="000619CC" w:rsidRPr="00484AE9" w:rsidRDefault="000619CC" w:rsidP="008B03CB">
            <w:pPr>
              <w:pStyle w:val="TableText0"/>
              <w:keepLines/>
              <w:jc w:val="center"/>
              <w:rPr>
                <w:b/>
                <w:bCs w:val="0"/>
                <w:szCs w:val="20"/>
                <w:lang w:val="en-AU"/>
              </w:rPr>
            </w:pPr>
            <w:r w:rsidRPr="00484AE9">
              <w:rPr>
                <w:b/>
                <w:szCs w:val="20"/>
                <w:lang w:val="en-AU"/>
              </w:rPr>
              <w:t>ICER</w:t>
            </w:r>
          </w:p>
        </w:tc>
      </w:tr>
      <w:tr w:rsidR="000619CC" w:rsidRPr="00484AE9" w14:paraId="4A0AAADD" w14:textId="77777777" w:rsidTr="008B03CB">
        <w:trPr>
          <w:trHeight w:val="227"/>
        </w:trPr>
        <w:tc>
          <w:tcPr>
            <w:tcW w:w="3823" w:type="dxa"/>
            <w:vMerge w:val="restart"/>
            <w:shd w:val="clear" w:color="auto" w:fill="FFFFFF" w:themeFill="background1"/>
          </w:tcPr>
          <w:p w14:paraId="741EB8E7" w14:textId="77777777" w:rsidR="000619CC" w:rsidRPr="00484AE9" w:rsidRDefault="000619CC" w:rsidP="008B03CB">
            <w:pPr>
              <w:pStyle w:val="TableText0"/>
              <w:keepLines/>
              <w:rPr>
                <w:szCs w:val="20"/>
                <w:lang w:val="en-AU"/>
              </w:rPr>
            </w:pPr>
            <w:r w:rsidRPr="00484AE9">
              <w:rPr>
                <w:szCs w:val="20"/>
                <w:lang w:val="en-AU"/>
              </w:rPr>
              <w:t>Collapsed indication #1</w:t>
            </w:r>
          </w:p>
          <w:p w14:paraId="59A86496" w14:textId="77777777" w:rsidR="000619CC" w:rsidRPr="00484AE9" w:rsidRDefault="000619CC" w:rsidP="008B03CB">
            <w:pPr>
              <w:pStyle w:val="TableText0"/>
              <w:keepLines/>
              <w:rPr>
                <w:szCs w:val="20"/>
                <w:lang w:val="en-AU"/>
              </w:rPr>
            </w:pPr>
            <w:r w:rsidRPr="00484AE9">
              <w:rPr>
                <w:szCs w:val="20"/>
                <w:lang w:val="en-AU"/>
              </w:rPr>
              <w:t>Aged 60+ no other risk criteria</w:t>
            </w:r>
          </w:p>
        </w:tc>
        <w:tc>
          <w:tcPr>
            <w:tcW w:w="2126" w:type="dxa"/>
            <w:shd w:val="clear" w:color="auto" w:fill="FFFFFF" w:themeFill="background1"/>
            <w:vAlign w:val="center"/>
          </w:tcPr>
          <w:p w14:paraId="2C27B346" w14:textId="77777777" w:rsidR="000619CC" w:rsidRPr="00484AE9" w:rsidRDefault="000619CC" w:rsidP="008B03CB">
            <w:pPr>
              <w:pStyle w:val="TableText0"/>
              <w:keepLines/>
              <w:rPr>
                <w:szCs w:val="20"/>
                <w:lang w:val="en-AU"/>
              </w:rPr>
            </w:pPr>
            <w:r w:rsidRPr="00484AE9">
              <w:rPr>
                <w:szCs w:val="20"/>
                <w:lang w:val="en-AU"/>
              </w:rPr>
              <w:t>Hospitalisation risk</w:t>
            </w:r>
          </w:p>
        </w:tc>
        <w:tc>
          <w:tcPr>
            <w:tcW w:w="1843" w:type="dxa"/>
            <w:shd w:val="clear" w:color="auto" w:fill="FFFFFF" w:themeFill="background1"/>
            <w:vAlign w:val="center"/>
          </w:tcPr>
          <w:p w14:paraId="0A1543AC" w14:textId="77777777" w:rsidR="000619CC" w:rsidRPr="00484AE9" w:rsidRDefault="000619CC" w:rsidP="008B03CB">
            <w:pPr>
              <w:pStyle w:val="TableText0"/>
              <w:keepLines/>
              <w:jc w:val="center"/>
              <w:rPr>
                <w:szCs w:val="20"/>
                <w:lang w:val="en-AU"/>
              </w:rPr>
            </w:pPr>
            <w:r w:rsidRPr="00484AE9">
              <w:rPr>
                <w:szCs w:val="20"/>
                <w:lang w:val="en-AU"/>
              </w:rPr>
              <w:t>3.5%</w:t>
            </w:r>
          </w:p>
        </w:tc>
        <w:tc>
          <w:tcPr>
            <w:tcW w:w="1842" w:type="dxa"/>
            <w:vMerge w:val="restart"/>
            <w:shd w:val="clear" w:color="auto" w:fill="FFFFFF" w:themeFill="background1"/>
            <w:vAlign w:val="center"/>
          </w:tcPr>
          <w:p w14:paraId="6CD1DCA6" w14:textId="1406712A" w:rsidR="000619CC" w:rsidRPr="00F76D9A" w:rsidRDefault="00696519" w:rsidP="008B03CB">
            <w:pPr>
              <w:pStyle w:val="TableText0"/>
              <w:keepLines/>
              <w:jc w:val="center"/>
              <w:rPr>
                <w:szCs w:val="20"/>
                <w:highlight w:val="darkGray"/>
                <w:lang w:val="en-AU"/>
              </w:rPr>
            </w:pPr>
            <w:r w:rsidRPr="00696519">
              <w:rPr>
                <w:szCs w:val="20"/>
              </w:rPr>
              <w:t xml:space="preserve"> </w:t>
            </w:r>
            <w:r w:rsidRPr="00696519">
              <w:rPr>
                <w:color w:val="000000"/>
                <w:szCs w:val="20"/>
                <w:shd w:val="solid" w:color="000000" w:fill="000000"/>
                <w14:textFill>
                  <w14:solidFill>
                    <w14:srgbClr w14:val="000000">
                      <w14:alpha w14:val="100000"/>
                    </w14:srgbClr>
                  </w14:solidFill>
                </w14:textFill>
              </w:rPr>
              <w:t>|</w:t>
            </w:r>
            <w:r w:rsidR="00A03123" w:rsidRPr="00F76D9A">
              <w:rPr>
                <w:szCs w:val="20"/>
                <w:vertAlign w:val="superscript"/>
              </w:rPr>
              <w:t>1</w:t>
            </w:r>
          </w:p>
        </w:tc>
      </w:tr>
      <w:tr w:rsidR="000619CC" w:rsidRPr="00484AE9" w14:paraId="6BCD171A" w14:textId="77777777" w:rsidTr="008B03CB">
        <w:trPr>
          <w:trHeight w:val="227"/>
        </w:trPr>
        <w:tc>
          <w:tcPr>
            <w:tcW w:w="3823" w:type="dxa"/>
            <w:vMerge/>
            <w:shd w:val="clear" w:color="auto" w:fill="FFFFFF" w:themeFill="background1"/>
          </w:tcPr>
          <w:p w14:paraId="1649C31E" w14:textId="77777777" w:rsidR="000619CC" w:rsidRPr="00484AE9" w:rsidRDefault="000619CC" w:rsidP="008B03CB">
            <w:pPr>
              <w:pStyle w:val="TableText0"/>
              <w:keepLines/>
              <w:rPr>
                <w:szCs w:val="20"/>
                <w:lang w:val="en-AU"/>
              </w:rPr>
            </w:pPr>
          </w:p>
        </w:tc>
        <w:tc>
          <w:tcPr>
            <w:tcW w:w="2126" w:type="dxa"/>
            <w:shd w:val="clear" w:color="auto" w:fill="FFFFFF" w:themeFill="background1"/>
          </w:tcPr>
          <w:p w14:paraId="26CF1FC8" w14:textId="77777777" w:rsidR="000619CC" w:rsidRPr="00484AE9" w:rsidRDefault="000619CC" w:rsidP="008B03CB">
            <w:pPr>
              <w:pStyle w:val="TableText0"/>
              <w:keepLines/>
              <w:rPr>
                <w:szCs w:val="20"/>
                <w:lang w:val="en-AU"/>
              </w:rPr>
            </w:pPr>
            <w:r w:rsidRPr="00484AE9">
              <w:rPr>
                <w:szCs w:val="20"/>
                <w:lang w:val="en-AU"/>
              </w:rPr>
              <w:t>ICU admission risk</w:t>
            </w:r>
          </w:p>
        </w:tc>
        <w:tc>
          <w:tcPr>
            <w:tcW w:w="1843" w:type="dxa"/>
            <w:shd w:val="clear" w:color="auto" w:fill="FFFFFF" w:themeFill="background1"/>
            <w:vAlign w:val="center"/>
          </w:tcPr>
          <w:p w14:paraId="7302F2E0" w14:textId="77777777" w:rsidR="000619CC" w:rsidRPr="00484AE9" w:rsidRDefault="000619CC" w:rsidP="008B03CB">
            <w:pPr>
              <w:pStyle w:val="TableText0"/>
              <w:keepLines/>
              <w:jc w:val="center"/>
              <w:rPr>
                <w:szCs w:val="20"/>
                <w:lang w:val="en-AU"/>
              </w:rPr>
            </w:pPr>
            <w:r w:rsidRPr="00484AE9">
              <w:rPr>
                <w:szCs w:val="20"/>
                <w:lang w:val="en-AU"/>
              </w:rPr>
              <w:t>7.5%</w:t>
            </w:r>
          </w:p>
        </w:tc>
        <w:tc>
          <w:tcPr>
            <w:tcW w:w="1842" w:type="dxa"/>
            <w:vMerge/>
            <w:shd w:val="clear" w:color="auto" w:fill="FFFFFF" w:themeFill="background1"/>
            <w:vAlign w:val="center"/>
          </w:tcPr>
          <w:p w14:paraId="532C768E" w14:textId="77777777" w:rsidR="000619CC" w:rsidRPr="00F76D9A" w:rsidRDefault="000619CC" w:rsidP="008B03CB">
            <w:pPr>
              <w:pStyle w:val="TableText0"/>
              <w:keepLines/>
              <w:jc w:val="center"/>
              <w:rPr>
                <w:szCs w:val="20"/>
                <w:highlight w:val="darkGray"/>
                <w:lang w:val="en-AU"/>
              </w:rPr>
            </w:pPr>
          </w:p>
        </w:tc>
      </w:tr>
      <w:tr w:rsidR="000619CC" w:rsidRPr="00484AE9" w14:paraId="63A1AFC1" w14:textId="77777777" w:rsidTr="008B03CB">
        <w:trPr>
          <w:trHeight w:val="227"/>
        </w:trPr>
        <w:tc>
          <w:tcPr>
            <w:tcW w:w="3823" w:type="dxa"/>
            <w:vMerge/>
            <w:shd w:val="clear" w:color="auto" w:fill="FFFFFF" w:themeFill="background1"/>
          </w:tcPr>
          <w:p w14:paraId="35FC2167" w14:textId="77777777" w:rsidR="000619CC" w:rsidRPr="00484AE9" w:rsidRDefault="000619CC" w:rsidP="008B03CB">
            <w:pPr>
              <w:pStyle w:val="TableText0"/>
              <w:keepLines/>
              <w:rPr>
                <w:szCs w:val="20"/>
                <w:lang w:val="en-AU"/>
              </w:rPr>
            </w:pPr>
          </w:p>
        </w:tc>
        <w:tc>
          <w:tcPr>
            <w:tcW w:w="2126" w:type="dxa"/>
            <w:shd w:val="clear" w:color="auto" w:fill="FFFFFF" w:themeFill="background1"/>
          </w:tcPr>
          <w:p w14:paraId="249A480F" w14:textId="77777777" w:rsidR="000619CC" w:rsidRPr="00484AE9" w:rsidRDefault="000619CC" w:rsidP="008B03CB">
            <w:pPr>
              <w:pStyle w:val="TableText0"/>
              <w:keepLines/>
              <w:rPr>
                <w:szCs w:val="20"/>
                <w:lang w:val="en-AU"/>
              </w:rPr>
            </w:pPr>
            <w:r w:rsidRPr="00484AE9">
              <w:rPr>
                <w:szCs w:val="20"/>
                <w:lang w:val="en-AU"/>
              </w:rPr>
              <w:t>Mortality risk</w:t>
            </w:r>
          </w:p>
        </w:tc>
        <w:tc>
          <w:tcPr>
            <w:tcW w:w="1843" w:type="dxa"/>
            <w:shd w:val="clear" w:color="auto" w:fill="FFFFFF" w:themeFill="background1"/>
            <w:vAlign w:val="center"/>
          </w:tcPr>
          <w:p w14:paraId="4DCB208B" w14:textId="77777777" w:rsidR="000619CC" w:rsidRPr="00484AE9" w:rsidRDefault="000619CC" w:rsidP="008B03CB">
            <w:pPr>
              <w:pStyle w:val="TableText0"/>
              <w:keepLines/>
              <w:jc w:val="center"/>
              <w:rPr>
                <w:szCs w:val="20"/>
                <w:lang w:val="en-AU"/>
              </w:rPr>
            </w:pPr>
            <w:r w:rsidRPr="00484AE9">
              <w:rPr>
                <w:szCs w:val="20"/>
                <w:lang w:val="en-AU"/>
              </w:rPr>
              <w:t>2.0%</w:t>
            </w:r>
          </w:p>
        </w:tc>
        <w:tc>
          <w:tcPr>
            <w:tcW w:w="1842" w:type="dxa"/>
            <w:vMerge/>
            <w:shd w:val="clear" w:color="auto" w:fill="FFFFFF" w:themeFill="background1"/>
            <w:vAlign w:val="center"/>
          </w:tcPr>
          <w:p w14:paraId="04AC5E13" w14:textId="77777777" w:rsidR="000619CC" w:rsidRPr="00F76D9A" w:rsidRDefault="000619CC" w:rsidP="008B03CB">
            <w:pPr>
              <w:pStyle w:val="TableText0"/>
              <w:keepLines/>
              <w:jc w:val="center"/>
              <w:rPr>
                <w:szCs w:val="20"/>
                <w:highlight w:val="darkGray"/>
                <w:lang w:val="en-AU"/>
              </w:rPr>
            </w:pPr>
          </w:p>
        </w:tc>
      </w:tr>
      <w:tr w:rsidR="000619CC" w:rsidRPr="00484AE9" w14:paraId="52002F14" w14:textId="77777777" w:rsidTr="008B03CB">
        <w:trPr>
          <w:trHeight w:val="227"/>
        </w:trPr>
        <w:tc>
          <w:tcPr>
            <w:tcW w:w="3823" w:type="dxa"/>
            <w:vMerge/>
            <w:shd w:val="clear" w:color="auto" w:fill="FFFFFF" w:themeFill="background1"/>
          </w:tcPr>
          <w:p w14:paraId="4CE06970" w14:textId="77777777" w:rsidR="000619CC" w:rsidRPr="00484AE9" w:rsidRDefault="000619CC" w:rsidP="008B03CB">
            <w:pPr>
              <w:pStyle w:val="TableText0"/>
              <w:keepLines/>
              <w:rPr>
                <w:szCs w:val="20"/>
                <w:lang w:val="en-AU"/>
              </w:rPr>
            </w:pPr>
          </w:p>
        </w:tc>
        <w:tc>
          <w:tcPr>
            <w:tcW w:w="2126" w:type="dxa"/>
            <w:shd w:val="clear" w:color="auto" w:fill="FFFFFF" w:themeFill="background1"/>
          </w:tcPr>
          <w:p w14:paraId="5839BDDC" w14:textId="77777777" w:rsidR="000619CC" w:rsidRPr="00484AE9" w:rsidRDefault="000619CC" w:rsidP="008B03CB">
            <w:pPr>
              <w:pStyle w:val="TableText0"/>
              <w:keepLines/>
              <w:rPr>
                <w:szCs w:val="20"/>
                <w:lang w:val="en-AU"/>
              </w:rPr>
            </w:pPr>
            <w:r w:rsidRPr="00484AE9">
              <w:rPr>
                <w:szCs w:val="20"/>
                <w:lang w:val="en-AU"/>
              </w:rPr>
              <w:t>PACS risk</w:t>
            </w:r>
          </w:p>
        </w:tc>
        <w:tc>
          <w:tcPr>
            <w:tcW w:w="1843" w:type="dxa"/>
            <w:shd w:val="clear" w:color="auto" w:fill="FFFFFF" w:themeFill="background1"/>
            <w:vAlign w:val="center"/>
          </w:tcPr>
          <w:p w14:paraId="3A358866" w14:textId="77777777" w:rsidR="000619CC" w:rsidRPr="00484AE9" w:rsidRDefault="000619CC" w:rsidP="008B03CB">
            <w:pPr>
              <w:pStyle w:val="TableText0"/>
              <w:keepLines/>
              <w:jc w:val="center"/>
              <w:rPr>
                <w:szCs w:val="20"/>
                <w:lang w:val="en-AU"/>
              </w:rPr>
            </w:pPr>
            <w:r w:rsidRPr="00484AE9">
              <w:rPr>
                <w:szCs w:val="20"/>
                <w:lang w:val="en-AU"/>
              </w:rPr>
              <w:t>10%</w:t>
            </w:r>
          </w:p>
        </w:tc>
        <w:tc>
          <w:tcPr>
            <w:tcW w:w="1842" w:type="dxa"/>
            <w:vMerge/>
            <w:shd w:val="clear" w:color="auto" w:fill="FFFFFF" w:themeFill="background1"/>
            <w:vAlign w:val="center"/>
          </w:tcPr>
          <w:p w14:paraId="32BE84FA" w14:textId="77777777" w:rsidR="000619CC" w:rsidRPr="00F76D9A" w:rsidRDefault="000619CC" w:rsidP="008B03CB">
            <w:pPr>
              <w:pStyle w:val="TableText0"/>
              <w:keepLines/>
              <w:jc w:val="center"/>
              <w:rPr>
                <w:szCs w:val="20"/>
                <w:highlight w:val="darkGray"/>
                <w:lang w:val="en-AU"/>
              </w:rPr>
            </w:pPr>
          </w:p>
        </w:tc>
      </w:tr>
      <w:tr w:rsidR="000619CC" w:rsidRPr="00484AE9" w14:paraId="0920C64D" w14:textId="77777777" w:rsidTr="008B03CB">
        <w:trPr>
          <w:trHeight w:val="227"/>
        </w:trPr>
        <w:tc>
          <w:tcPr>
            <w:tcW w:w="3823" w:type="dxa"/>
            <w:vMerge/>
            <w:shd w:val="clear" w:color="auto" w:fill="FFFFFF" w:themeFill="background1"/>
          </w:tcPr>
          <w:p w14:paraId="6C1AFE4F" w14:textId="77777777" w:rsidR="000619CC" w:rsidRPr="00484AE9" w:rsidRDefault="000619CC" w:rsidP="008B03CB">
            <w:pPr>
              <w:pStyle w:val="TableText0"/>
              <w:keepLines/>
              <w:rPr>
                <w:szCs w:val="20"/>
                <w:lang w:val="en-AU"/>
              </w:rPr>
            </w:pPr>
          </w:p>
        </w:tc>
        <w:tc>
          <w:tcPr>
            <w:tcW w:w="2126" w:type="dxa"/>
            <w:shd w:val="clear" w:color="auto" w:fill="FFFFFF" w:themeFill="background1"/>
          </w:tcPr>
          <w:p w14:paraId="629B1A0D" w14:textId="77777777" w:rsidR="000619CC" w:rsidRPr="00484AE9" w:rsidRDefault="000619CC" w:rsidP="008B03CB">
            <w:pPr>
              <w:pStyle w:val="TableText0"/>
              <w:keepLines/>
              <w:rPr>
                <w:szCs w:val="20"/>
                <w:lang w:val="en-AU"/>
              </w:rPr>
            </w:pPr>
            <w:r w:rsidRPr="00484AE9">
              <w:rPr>
                <w:szCs w:val="20"/>
                <w:lang w:val="en-AU"/>
              </w:rPr>
              <w:t>dQALE tariff</w:t>
            </w:r>
          </w:p>
        </w:tc>
        <w:tc>
          <w:tcPr>
            <w:tcW w:w="1843" w:type="dxa"/>
            <w:shd w:val="clear" w:color="auto" w:fill="FFFFFF" w:themeFill="background1"/>
            <w:vAlign w:val="center"/>
          </w:tcPr>
          <w:p w14:paraId="73436094" w14:textId="77777777" w:rsidR="000619CC" w:rsidRPr="00484AE9" w:rsidRDefault="000619CC" w:rsidP="008B03CB">
            <w:pPr>
              <w:pStyle w:val="TableText0"/>
              <w:keepLines/>
              <w:jc w:val="center"/>
              <w:rPr>
                <w:szCs w:val="20"/>
                <w:lang w:val="en-AU"/>
              </w:rPr>
            </w:pPr>
            <w:r w:rsidRPr="00484AE9">
              <w:rPr>
                <w:szCs w:val="20"/>
                <w:lang w:val="en-AU"/>
              </w:rPr>
              <w:t>7.03</w:t>
            </w:r>
          </w:p>
        </w:tc>
        <w:tc>
          <w:tcPr>
            <w:tcW w:w="1842" w:type="dxa"/>
            <w:vMerge/>
            <w:shd w:val="clear" w:color="auto" w:fill="FFFFFF" w:themeFill="background1"/>
            <w:vAlign w:val="center"/>
          </w:tcPr>
          <w:p w14:paraId="7ADCF144" w14:textId="77777777" w:rsidR="000619CC" w:rsidRPr="00F76D9A" w:rsidRDefault="000619CC" w:rsidP="008B03CB">
            <w:pPr>
              <w:pStyle w:val="TableText0"/>
              <w:keepLines/>
              <w:jc w:val="center"/>
              <w:rPr>
                <w:szCs w:val="20"/>
                <w:highlight w:val="darkGray"/>
                <w:lang w:val="en-AU"/>
              </w:rPr>
            </w:pPr>
          </w:p>
        </w:tc>
      </w:tr>
      <w:tr w:rsidR="000619CC" w:rsidRPr="00484AE9" w14:paraId="5554681B" w14:textId="77777777" w:rsidTr="008B03CB">
        <w:trPr>
          <w:trHeight w:val="227"/>
        </w:trPr>
        <w:tc>
          <w:tcPr>
            <w:tcW w:w="3823" w:type="dxa"/>
            <w:vMerge w:val="restart"/>
            <w:shd w:val="clear" w:color="auto" w:fill="FFFFFF" w:themeFill="background1"/>
          </w:tcPr>
          <w:p w14:paraId="4964308B" w14:textId="77777777" w:rsidR="000619CC" w:rsidRPr="00484AE9" w:rsidRDefault="000619CC" w:rsidP="008B03CB">
            <w:pPr>
              <w:pStyle w:val="TableText0"/>
              <w:keepLines/>
              <w:rPr>
                <w:szCs w:val="20"/>
                <w:lang w:val="en-AU"/>
              </w:rPr>
            </w:pPr>
            <w:r w:rsidRPr="00484AE9">
              <w:rPr>
                <w:szCs w:val="20"/>
                <w:lang w:val="en-AU"/>
              </w:rPr>
              <w:t>Scenario #2</w:t>
            </w:r>
          </w:p>
          <w:p w14:paraId="23A723A8" w14:textId="77777777" w:rsidR="000619CC" w:rsidRPr="00484AE9" w:rsidRDefault="000619CC" w:rsidP="008B03CB">
            <w:pPr>
              <w:pStyle w:val="TableText0"/>
              <w:keepLines/>
              <w:rPr>
                <w:szCs w:val="20"/>
                <w:lang w:val="en-AU"/>
              </w:rPr>
            </w:pPr>
            <w:r w:rsidRPr="00484AE9">
              <w:rPr>
                <w:szCs w:val="20"/>
                <w:lang w:val="en-AU"/>
              </w:rPr>
              <w:t>Aged 50-59 with 2 other risk factors</w:t>
            </w:r>
          </w:p>
        </w:tc>
        <w:tc>
          <w:tcPr>
            <w:tcW w:w="2126" w:type="dxa"/>
            <w:shd w:val="clear" w:color="auto" w:fill="FFFFFF" w:themeFill="background1"/>
            <w:vAlign w:val="center"/>
          </w:tcPr>
          <w:p w14:paraId="5E0FB1BB" w14:textId="77777777" w:rsidR="000619CC" w:rsidRPr="00484AE9" w:rsidRDefault="000619CC" w:rsidP="008B03CB">
            <w:pPr>
              <w:pStyle w:val="TableText0"/>
              <w:keepLines/>
              <w:rPr>
                <w:szCs w:val="20"/>
                <w:lang w:val="en-AU"/>
              </w:rPr>
            </w:pPr>
            <w:r w:rsidRPr="00484AE9">
              <w:rPr>
                <w:szCs w:val="20"/>
                <w:lang w:val="en-AU"/>
              </w:rPr>
              <w:t>Hospitalisation risk</w:t>
            </w:r>
          </w:p>
        </w:tc>
        <w:tc>
          <w:tcPr>
            <w:tcW w:w="1843" w:type="dxa"/>
            <w:shd w:val="clear" w:color="auto" w:fill="FFFFFF" w:themeFill="background1"/>
            <w:vAlign w:val="center"/>
          </w:tcPr>
          <w:p w14:paraId="1B223AA3" w14:textId="77777777" w:rsidR="000619CC" w:rsidRPr="00484AE9" w:rsidRDefault="000619CC" w:rsidP="008B03CB">
            <w:pPr>
              <w:pStyle w:val="TableText0"/>
              <w:keepLines/>
              <w:jc w:val="center"/>
              <w:rPr>
                <w:szCs w:val="20"/>
                <w:lang w:val="en-AU"/>
              </w:rPr>
            </w:pPr>
            <w:r w:rsidRPr="00484AE9">
              <w:rPr>
                <w:szCs w:val="20"/>
                <w:lang w:val="en-AU"/>
              </w:rPr>
              <w:t>2.0%</w:t>
            </w:r>
          </w:p>
        </w:tc>
        <w:tc>
          <w:tcPr>
            <w:tcW w:w="1842" w:type="dxa"/>
            <w:vMerge w:val="restart"/>
            <w:shd w:val="clear" w:color="auto" w:fill="FFFFFF" w:themeFill="background1"/>
            <w:vAlign w:val="center"/>
          </w:tcPr>
          <w:p w14:paraId="0B3041AE" w14:textId="5471ECBE" w:rsidR="000619CC" w:rsidRPr="00F76D9A" w:rsidRDefault="00696519" w:rsidP="008B03CB">
            <w:pPr>
              <w:pStyle w:val="TableText0"/>
              <w:keepLines/>
              <w:jc w:val="center"/>
              <w:rPr>
                <w:szCs w:val="20"/>
                <w:highlight w:val="darkGray"/>
                <w:lang w:val="en-AU"/>
              </w:rPr>
            </w:pPr>
            <w:r w:rsidRPr="00696519">
              <w:rPr>
                <w:szCs w:val="20"/>
              </w:rPr>
              <w:t xml:space="preserve"> </w:t>
            </w:r>
            <w:r w:rsidRPr="00696519">
              <w:rPr>
                <w:color w:val="000000"/>
                <w:szCs w:val="20"/>
                <w:shd w:val="solid" w:color="000000" w:fill="000000"/>
                <w14:textFill>
                  <w14:solidFill>
                    <w14:srgbClr w14:val="000000">
                      <w14:alpha w14:val="100000"/>
                    </w14:srgbClr>
                  </w14:solidFill>
                </w14:textFill>
              </w:rPr>
              <w:t>|</w:t>
            </w:r>
            <w:r w:rsidR="00A03123" w:rsidRPr="00F76D9A">
              <w:rPr>
                <w:szCs w:val="20"/>
                <w:vertAlign w:val="superscript"/>
              </w:rPr>
              <w:t>2</w:t>
            </w:r>
          </w:p>
        </w:tc>
      </w:tr>
      <w:tr w:rsidR="000619CC" w:rsidRPr="00484AE9" w14:paraId="76E2EA6B" w14:textId="77777777" w:rsidTr="008B03CB">
        <w:trPr>
          <w:trHeight w:val="70"/>
        </w:trPr>
        <w:tc>
          <w:tcPr>
            <w:tcW w:w="3823" w:type="dxa"/>
            <w:vMerge/>
            <w:shd w:val="clear" w:color="auto" w:fill="FFFFFF" w:themeFill="background1"/>
          </w:tcPr>
          <w:p w14:paraId="222AC0FB" w14:textId="77777777" w:rsidR="000619CC" w:rsidRPr="00484AE9" w:rsidRDefault="000619CC" w:rsidP="008B03CB">
            <w:pPr>
              <w:pStyle w:val="TableText0"/>
              <w:keepLines/>
              <w:rPr>
                <w:szCs w:val="20"/>
                <w:lang w:val="en-AU"/>
              </w:rPr>
            </w:pPr>
          </w:p>
        </w:tc>
        <w:tc>
          <w:tcPr>
            <w:tcW w:w="2126" w:type="dxa"/>
            <w:shd w:val="clear" w:color="auto" w:fill="FFFFFF" w:themeFill="background1"/>
          </w:tcPr>
          <w:p w14:paraId="5D3A299C" w14:textId="77777777" w:rsidR="000619CC" w:rsidRPr="00484AE9" w:rsidRDefault="000619CC" w:rsidP="008B03CB">
            <w:pPr>
              <w:pStyle w:val="TableText0"/>
              <w:keepLines/>
              <w:rPr>
                <w:szCs w:val="20"/>
                <w:lang w:val="en-AU"/>
              </w:rPr>
            </w:pPr>
            <w:r w:rsidRPr="00484AE9">
              <w:rPr>
                <w:szCs w:val="20"/>
                <w:lang w:val="en-AU"/>
              </w:rPr>
              <w:t>ICU admission risk</w:t>
            </w:r>
          </w:p>
        </w:tc>
        <w:tc>
          <w:tcPr>
            <w:tcW w:w="1843" w:type="dxa"/>
            <w:shd w:val="clear" w:color="auto" w:fill="FFFFFF" w:themeFill="background1"/>
            <w:vAlign w:val="center"/>
          </w:tcPr>
          <w:p w14:paraId="1B5B2A01" w14:textId="77777777" w:rsidR="000619CC" w:rsidRPr="00484AE9" w:rsidRDefault="000619CC" w:rsidP="008B03CB">
            <w:pPr>
              <w:pStyle w:val="TableText0"/>
              <w:keepLines/>
              <w:jc w:val="center"/>
              <w:rPr>
                <w:szCs w:val="20"/>
                <w:lang w:val="en-AU"/>
              </w:rPr>
            </w:pPr>
            <w:r w:rsidRPr="00484AE9">
              <w:rPr>
                <w:szCs w:val="20"/>
                <w:lang w:val="en-AU"/>
              </w:rPr>
              <w:t>5.0%</w:t>
            </w:r>
          </w:p>
        </w:tc>
        <w:tc>
          <w:tcPr>
            <w:tcW w:w="1842" w:type="dxa"/>
            <w:vMerge/>
            <w:shd w:val="clear" w:color="auto" w:fill="FFFFFF" w:themeFill="background1"/>
            <w:vAlign w:val="center"/>
          </w:tcPr>
          <w:p w14:paraId="13672429" w14:textId="77777777" w:rsidR="000619CC" w:rsidRPr="00F76D9A" w:rsidRDefault="000619CC" w:rsidP="008B03CB">
            <w:pPr>
              <w:pStyle w:val="TableText0"/>
              <w:keepLines/>
              <w:jc w:val="center"/>
              <w:rPr>
                <w:szCs w:val="20"/>
                <w:highlight w:val="darkGray"/>
                <w:lang w:val="en-AU"/>
              </w:rPr>
            </w:pPr>
          </w:p>
        </w:tc>
      </w:tr>
      <w:tr w:rsidR="000619CC" w:rsidRPr="00484AE9" w14:paraId="6E7C2B46" w14:textId="77777777" w:rsidTr="008B03CB">
        <w:trPr>
          <w:trHeight w:val="227"/>
        </w:trPr>
        <w:tc>
          <w:tcPr>
            <w:tcW w:w="3823" w:type="dxa"/>
            <w:vMerge/>
            <w:shd w:val="clear" w:color="auto" w:fill="FFFFFF" w:themeFill="background1"/>
          </w:tcPr>
          <w:p w14:paraId="7A480D8B" w14:textId="77777777" w:rsidR="000619CC" w:rsidRPr="00484AE9" w:rsidRDefault="000619CC" w:rsidP="008B03CB">
            <w:pPr>
              <w:pStyle w:val="TableText0"/>
              <w:keepLines/>
              <w:rPr>
                <w:szCs w:val="20"/>
                <w:lang w:val="en-AU"/>
              </w:rPr>
            </w:pPr>
          </w:p>
        </w:tc>
        <w:tc>
          <w:tcPr>
            <w:tcW w:w="2126" w:type="dxa"/>
            <w:shd w:val="clear" w:color="auto" w:fill="FFFFFF" w:themeFill="background1"/>
          </w:tcPr>
          <w:p w14:paraId="393C854F" w14:textId="77777777" w:rsidR="000619CC" w:rsidRPr="00484AE9" w:rsidRDefault="000619CC" w:rsidP="008B03CB">
            <w:pPr>
              <w:pStyle w:val="TableText0"/>
              <w:keepLines/>
              <w:rPr>
                <w:szCs w:val="20"/>
                <w:lang w:val="en-AU"/>
              </w:rPr>
            </w:pPr>
            <w:r w:rsidRPr="00484AE9">
              <w:rPr>
                <w:szCs w:val="20"/>
                <w:lang w:val="en-AU"/>
              </w:rPr>
              <w:t>Mortality risk</w:t>
            </w:r>
          </w:p>
        </w:tc>
        <w:tc>
          <w:tcPr>
            <w:tcW w:w="1843" w:type="dxa"/>
            <w:shd w:val="clear" w:color="auto" w:fill="FFFFFF" w:themeFill="background1"/>
            <w:vAlign w:val="center"/>
          </w:tcPr>
          <w:p w14:paraId="61D2EC42" w14:textId="77777777" w:rsidR="000619CC" w:rsidRPr="00484AE9" w:rsidRDefault="000619CC" w:rsidP="008B03CB">
            <w:pPr>
              <w:pStyle w:val="TableText0"/>
              <w:keepLines/>
              <w:jc w:val="center"/>
              <w:rPr>
                <w:szCs w:val="20"/>
                <w:lang w:val="en-AU"/>
              </w:rPr>
            </w:pPr>
            <w:r w:rsidRPr="00484AE9">
              <w:rPr>
                <w:szCs w:val="20"/>
                <w:lang w:val="en-AU"/>
              </w:rPr>
              <w:t>1.0%</w:t>
            </w:r>
          </w:p>
        </w:tc>
        <w:tc>
          <w:tcPr>
            <w:tcW w:w="1842" w:type="dxa"/>
            <w:vMerge/>
            <w:shd w:val="clear" w:color="auto" w:fill="FFFFFF" w:themeFill="background1"/>
            <w:vAlign w:val="center"/>
          </w:tcPr>
          <w:p w14:paraId="73BE8188" w14:textId="77777777" w:rsidR="000619CC" w:rsidRPr="00F76D9A" w:rsidRDefault="000619CC" w:rsidP="008B03CB">
            <w:pPr>
              <w:pStyle w:val="TableText0"/>
              <w:keepLines/>
              <w:jc w:val="center"/>
              <w:rPr>
                <w:szCs w:val="20"/>
                <w:highlight w:val="darkGray"/>
                <w:lang w:val="en-AU"/>
              </w:rPr>
            </w:pPr>
          </w:p>
        </w:tc>
      </w:tr>
      <w:tr w:rsidR="000619CC" w:rsidRPr="00484AE9" w14:paraId="21423524" w14:textId="77777777" w:rsidTr="008B03CB">
        <w:trPr>
          <w:trHeight w:val="227"/>
        </w:trPr>
        <w:tc>
          <w:tcPr>
            <w:tcW w:w="3823" w:type="dxa"/>
            <w:vMerge/>
            <w:shd w:val="clear" w:color="auto" w:fill="FFFFFF" w:themeFill="background1"/>
          </w:tcPr>
          <w:p w14:paraId="2C9519C9" w14:textId="77777777" w:rsidR="000619CC" w:rsidRPr="00484AE9" w:rsidRDefault="000619CC" w:rsidP="008B03CB">
            <w:pPr>
              <w:pStyle w:val="TableText0"/>
              <w:keepLines/>
              <w:rPr>
                <w:szCs w:val="20"/>
                <w:lang w:val="en-AU"/>
              </w:rPr>
            </w:pPr>
          </w:p>
        </w:tc>
        <w:tc>
          <w:tcPr>
            <w:tcW w:w="2126" w:type="dxa"/>
            <w:shd w:val="clear" w:color="auto" w:fill="FFFFFF" w:themeFill="background1"/>
          </w:tcPr>
          <w:p w14:paraId="6F0B0983" w14:textId="77777777" w:rsidR="000619CC" w:rsidRPr="00484AE9" w:rsidRDefault="000619CC" w:rsidP="008B03CB">
            <w:pPr>
              <w:pStyle w:val="TableText0"/>
              <w:keepLines/>
              <w:rPr>
                <w:szCs w:val="20"/>
                <w:lang w:val="en-AU"/>
              </w:rPr>
            </w:pPr>
            <w:r w:rsidRPr="00484AE9">
              <w:rPr>
                <w:szCs w:val="20"/>
                <w:lang w:val="en-AU"/>
              </w:rPr>
              <w:t>PACS risk</w:t>
            </w:r>
          </w:p>
        </w:tc>
        <w:tc>
          <w:tcPr>
            <w:tcW w:w="1843" w:type="dxa"/>
            <w:shd w:val="clear" w:color="auto" w:fill="FFFFFF" w:themeFill="background1"/>
            <w:vAlign w:val="center"/>
          </w:tcPr>
          <w:p w14:paraId="1578CA19" w14:textId="77777777" w:rsidR="000619CC" w:rsidRPr="00484AE9" w:rsidRDefault="000619CC" w:rsidP="008B03CB">
            <w:pPr>
              <w:pStyle w:val="TableText0"/>
              <w:keepLines/>
              <w:jc w:val="center"/>
              <w:rPr>
                <w:szCs w:val="20"/>
                <w:lang w:val="en-AU"/>
              </w:rPr>
            </w:pPr>
            <w:r w:rsidRPr="00484AE9">
              <w:rPr>
                <w:szCs w:val="20"/>
                <w:lang w:val="en-AU"/>
              </w:rPr>
              <w:t>10%</w:t>
            </w:r>
          </w:p>
        </w:tc>
        <w:tc>
          <w:tcPr>
            <w:tcW w:w="1842" w:type="dxa"/>
            <w:vMerge/>
            <w:shd w:val="clear" w:color="auto" w:fill="FFFFFF" w:themeFill="background1"/>
            <w:vAlign w:val="center"/>
          </w:tcPr>
          <w:p w14:paraId="55EDDCF3" w14:textId="77777777" w:rsidR="000619CC" w:rsidRPr="00F76D9A" w:rsidRDefault="000619CC" w:rsidP="008B03CB">
            <w:pPr>
              <w:pStyle w:val="TableText0"/>
              <w:keepLines/>
              <w:jc w:val="center"/>
              <w:rPr>
                <w:szCs w:val="20"/>
                <w:highlight w:val="darkGray"/>
                <w:lang w:val="en-AU"/>
              </w:rPr>
            </w:pPr>
          </w:p>
        </w:tc>
      </w:tr>
      <w:tr w:rsidR="000619CC" w:rsidRPr="00484AE9" w14:paraId="08200B83" w14:textId="77777777" w:rsidTr="008B03CB">
        <w:trPr>
          <w:trHeight w:val="227"/>
        </w:trPr>
        <w:tc>
          <w:tcPr>
            <w:tcW w:w="3823" w:type="dxa"/>
            <w:vMerge/>
            <w:shd w:val="clear" w:color="auto" w:fill="FFFFFF" w:themeFill="background1"/>
          </w:tcPr>
          <w:p w14:paraId="03FD57E9" w14:textId="77777777" w:rsidR="000619CC" w:rsidRPr="00484AE9" w:rsidRDefault="000619CC" w:rsidP="008B03CB">
            <w:pPr>
              <w:pStyle w:val="TableText0"/>
              <w:keepLines/>
              <w:rPr>
                <w:szCs w:val="20"/>
                <w:lang w:val="en-AU"/>
              </w:rPr>
            </w:pPr>
          </w:p>
        </w:tc>
        <w:tc>
          <w:tcPr>
            <w:tcW w:w="2126" w:type="dxa"/>
            <w:shd w:val="clear" w:color="auto" w:fill="FFFFFF" w:themeFill="background1"/>
          </w:tcPr>
          <w:p w14:paraId="2922311B" w14:textId="77777777" w:rsidR="000619CC" w:rsidRPr="00484AE9" w:rsidRDefault="000619CC" w:rsidP="008B03CB">
            <w:pPr>
              <w:pStyle w:val="TableText0"/>
              <w:keepLines/>
              <w:rPr>
                <w:szCs w:val="20"/>
                <w:lang w:val="en-AU"/>
              </w:rPr>
            </w:pPr>
            <w:r w:rsidRPr="00484AE9">
              <w:rPr>
                <w:szCs w:val="20"/>
                <w:lang w:val="en-AU"/>
              </w:rPr>
              <w:t>dQALE tariff</w:t>
            </w:r>
          </w:p>
        </w:tc>
        <w:tc>
          <w:tcPr>
            <w:tcW w:w="1843" w:type="dxa"/>
            <w:shd w:val="clear" w:color="auto" w:fill="FFFFFF" w:themeFill="background1"/>
            <w:vAlign w:val="center"/>
          </w:tcPr>
          <w:p w14:paraId="1FC299C6" w14:textId="77777777" w:rsidR="000619CC" w:rsidRPr="00484AE9" w:rsidRDefault="000619CC" w:rsidP="008B03CB">
            <w:pPr>
              <w:pStyle w:val="TableText0"/>
              <w:keepLines/>
              <w:jc w:val="center"/>
              <w:rPr>
                <w:szCs w:val="20"/>
                <w:lang w:val="en-AU"/>
              </w:rPr>
            </w:pPr>
            <w:r w:rsidRPr="00484AE9">
              <w:rPr>
                <w:szCs w:val="20"/>
                <w:lang w:val="en-AU"/>
              </w:rPr>
              <w:t>12.18</w:t>
            </w:r>
          </w:p>
        </w:tc>
        <w:tc>
          <w:tcPr>
            <w:tcW w:w="1842" w:type="dxa"/>
            <w:vMerge/>
            <w:shd w:val="clear" w:color="auto" w:fill="FFFFFF" w:themeFill="background1"/>
            <w:vAlign w:val="center"/>
          </w:tcPr>
          <w:p w14:paraId="079206EB" w14:textId="77777777" w:rsidR="000619CC" w:rsidRPr="00F76D9A" w:rsidRDefault="000619CC" w:rsidP="008B03CB">
            <w:pPr>
              <w:pStyle w:val="TableText0"/>
              <w:keepLines/>
              <w:jc w:val="center"/>
              <w:rPr>
                <w:szCs w:val="20"/>
                <w:highlight w:val="darkGray"/>
                <w:lang w:val="en-AU"/>
              </w:rPr>
            </w:pPr>
          </w:p>
        </w:tc>
      </w:tr>
      <w:tr w:rsidR="000619CC" w:rsidRPr="00484AE9" w14:paraId="4EE7A251" w14:textId="77777777" w:rsidTr="008B03CB">
        <w:trPr>
          <w:trHeight w:val="227"/>
        </w:trPr>
        <w:tc>
          <w:tcPr>
            <w:tcW w:w="3823" w:type="dxa"/>
            <w:vMerge w:val="restart"/>
            <w:shd w:val="clear" w:color="auto" w:fill="FFFFFF" w:themeFill="background1"/>
          </w:tcPr>
          <w:p w14:paraId="50666586" w14:textId="77777777" w:rsidR="000619CC" w:rsidRPr="00484AE9" w:rsidRDefault="000619CC" w:rsidP="008B03CB">
            <w:pPr>
              <w:pStyle w:val="TableText0"/>
              <w:keepLines/>
              <w:rPr>
                <w:szCs w:val="20"/>
                <w:lang w:val="en-AU"/>
              </w:rPr>
            </w:pPr>
            <w:r w:rsidRPr="00484AE9">
              <w:rPr>
                <w:szCs w:val="20"/>
                <w:lang w:val="en-AU"/>
              </w:rPr>
              <w:t>Scenario #3</w:t>
            </w:r>
          </w:p>
          <w:p w14:paraId="0351A3B8" w14:textId="77777777" w:rsidR="000619CC" w:rsidRPr="00484AE9" w:rsidRDefault="000619CC" w:rsidP="008B03CB">
            <w:pPr>
              <w:pStyle w:val="TableText0"/>
              <w:keepLines/>
              <w:rPr>
                <w:szCs w:val="20"/>
                <w:lang w:val="en-AU"/>
              </w:rPr>
            </w:pPr>
            <w:r w:rsidRPr="00484AE9">
              <w:rPr>
                <w:szCs w:val="20"/>
                <w:lang w:val="en-AU"/>
              </w:rPr>
              <w:t>Aged 60-69 with 2 other risk factors</w:t>
            </w:r>
          </w:p>
        </w:tc>
        <w:tc>
          <w:tcPr>
            <w:tcW w:w="2126" w:type="dxa"/>
            <w:shd w:val="clear" w:color="auto" w:fill="FFFFFF" w:themeFill="background1"/>
            <w:vAlign w:val="center"/>
          </w:tcPr>
          <w:p w14:paraId="6E027BBE" w14:textId="77777777" w:rsidR="000619CC" w:rsidRPr="00484AE9" w:rsidRDefault="000619CC" w:rsidP="008B03CB">
            <w:pPr>
              <w:pStyle w:val="TableText0"/>
              <w:keepLines/>
              <w:rPr>
                <w:szCs w:val="20"/>
                <w:lang w:val="en-AU"/>
              </w:rPr>
            </w:pPr>
            <w:r w:rsidRPr="00484AE9">
              <w:rPr>
                <w:szCs w:val="20"/>
                <w:lang w:val="en-AU"/>
              </w:rPr>
              <w:t>Hospitalisation risk</w:t>
            </w:r>
          </w:p>
        </w:tc>
        <w:tc>
          <w:tcPr>
            <w:tcW w:w="1843" w:type="dxa"/>
            <w:shd w:val="clear" w:color="auto" w:fill="FFFFFF" w:themeFill="background1"/>
            <w:vAlign w:val="center"/>
          </w:tcPr>
          <w:p w14:paraId="7052272D" w14:textId="77777777" w:rsidR="000619CC" w:rsidRPr="00484AE9" w:rsidRDefault="000619CC" w:rsidP="008B03CB">
            <w:pPr>
              <w:pStyle w:val="TableText0"/>
              <w:keepLines/>
              <w:jc w:val="center"/>
              <w:rPr>
                <w:szCs w:val="20"/>
                <w:lang w:val="en-AU"/>
              </w:rPr>
            </w:pPr>
            <w:r w:rsidRPr="00484AE9">
              <w:rPr>
                <w:szCs w:val="20"/>
                <w:lang w:val="en-AU"/>
              </w:rPr>
              <w:t>2.5%</w:t>
            </w:r>
          </w:p>
        </w:tc>
        <w:tc>
          <w:tcPr>
            <w:tcW w:w="1842" w:type="dxa"/>
            <w:vMerge w:val="restart"/>
            <w:shd w:val="clear" w:color="auto" w:fill="FFFFFF" w:themeFill="background1"/>
            <w:vAlign w:val="center"/>
          </w:tcPr>
          <w:p w14:paraId="1AB5E38F" w14:textId="4A325448" w:rsidR="000619CC" w:rsidRPr="00F76D9A" w:rsidRDefault="00696519" w:rsidP="008B03CB">
            <w:pPr>
              <w:pStyle w:val="TableText0"/>
              <w:keepLines/>
              <w:jc w:val="center"/>
              <w:rPr>
                <w:szCs w:val="20"/>
                <w:highlight w:val="darkGray"/>
                <w:lang w:val="en-AU"/>
              </w:rPr>
            </w:pPr>
            <w:r w:rsidRPr="00696519">
              <w:rPr>
                <w:szCs w:val="20"/>
              </w:rPr>
              <w:t xml:space="preserve"> </w:t>
            </w:r>
            <w:r w:rsidRPr="00696519">
              <w:rPr>
                <w:color w:val="000000"/>
                <w:szCs w:val="20"/>
                <w:shd w:val="solid" w:color="000000" w:fill="000000"/>
                <w14:textFill>
                  <w14:solidFill>
                    <w14:srgbClr w14:val="000000">
                      <w14:alpha w14:val="100000"/>
                    </w14:srgbClr>
                  </w14:solidFill>
                </w14:textFill>
              </w:rPr>
              <w:t>|</w:t>
            </w:r>
            <w:r w:rsidR="00A03123" w:rsidRPr="00D95954">
              <w:rPr>
                <w:szCs w:val="20"/>
                <w:vertAlign w:val="superscript"/>
                <w:lang w:val="en-AU"/>
              </w:rPr>
              <w:t>1</w:t>
            </w:r>
          </w:p>
        </w:tc>
      </w:tr>
      <w:tr w:rsidR="000619CC" w:rsidRPr="00484AE9" w14:paraId="19849D91" w14:textId="77777777" w:rsidTr="008B03CB">
        <w:trPr>
          <w:trHeight w:val="227"/>
        </w:trPr>
        <w:tc>
          <w:tcPr>
            <w:tcW w:w="3823" w:type="dxa"/>
            <w:vMerge/>
            <w:shd w:val="clear" w:color="auto" w:fill="FFFFFF" w:themeFill="background1"/>
          </w:tcPr>
          <w:p w14:paraId="274ACE33" w14:textId="77777777" w:rsidR="000619CC" w:rsidRPr="00484AE9" w:rsidRDefault="000619CC" w:rsidP="008B03CB">
            <w:pPr>
              <w:pStyle w:val="TableText0"/>
              <w:keepLines/>
              <w:rPr>
                <w:szCs w:val="20"/>
                <w:lang w:val="en-AU"/>
              </w:rPr>
            </w:pPr>
          </w:p>
        </w:tc>
        <w:tc>
          <w:tcPr>
            <w:tcW w:w="2126" w:type="dxa"/>
            <w:shd w:val="clear" w:color="auto" w:fill="FFFFFF" w:themeFill="background1"/>
          </w:tcPr>
          <w:p w14:paraId="7BD54D05" w14:textId="77777777" w:rsidR="000619CC" w:rsidRPr="00484AE9" w:rsidRDefault="000619CC" w:rsidP="008B03CB">
            <w:pPr>
              <w:pStyle w:val="TableText0"/>
              <w:keepLines/>
              <w:rPr>
                <w:szCs w:val="20"/>
                <w:lang w:val="en-AU"/>
              </w:rPr>
            </w:pPr>
            <w:r w:rsidRPr="00484AE9">
              <w:rPr>
                <w:szCs w:val="20"/>
                <w:lang w:val="en-AU"/>
              </w:rPr>
              <w:t>ICU admission risk</w:t>
            </w:r>
          </w:p>
        </w:tc>
        <w:tc>
          <w:tcPr>
            <w:tcW w:w="1843" w:type="dxa"/>
            <w:shd w:val="clear" w:color="auto" w:fill="FFFFFF" w:themeFill="background1"/>
            <w:vAlign w:val="center"/>
          </w:tcPr>
          <w:p w14:paraId="40F8B87F" w14:textId="77777777" w:rsidR="000619CC" w:rsidRPr="00484AE9" w:rsidRDefault="000619CC" w:rsidP="008B03CB">
            <w:pPr>
              <w:pStyle w:val="TableText0"/>
              <w:keepLines/>
              <w:jc w:val="center"/>
              <w:rPr>
                <w:szCs w:val="20"/>
                <w:lang w:val="en-AU"/>
              </w:rPr>
            </w:pPr>
            <w:r w:rsidRPr="00484AE9">
              <w:rPr>
                <w:szCs w:val="20"/>
                <w:lang w:val="en-AU"/>
              </w:rPr>
              <w:t>5.0%</w:t>
            </w:r>
          </w:p>
        </w:tc>
        <w:tc>
          <w:tcPr>
            <w:tcW w:w="1842" w:type="dxa"/>
            <w:vMerge/>
            <w:shd w:val="clear" w:color="auto" w:fill="FFFFFF" w:themeFill="background1"/>
            <w:vAlign w:val="center"/>
          </w:tcPr>
          <w:p w14:paraId="20CAA765" w14:textId="77777777" w:rsidR="000619CC" w:rsidRPr="00F76D9A" w:rsidRDefault="000619CC" w:rsidP="008B03CB">
            <w:pPr>
              <w:pStyle w:val="TableText0"/>
              <w:keepLines/>
              <w:jc w:val="center"/>
              <w:rPr>
                <w:szCs w:val="20"/>
                <w:highlight w:val="darkGray"/>
                <w:lang w:val="en-AU"/>
              </w:rPr>
            </w:pPr>
          </w:p>
        </w:tc>
      </w:tr>
      <w:tr w:rsidR="000619CC" w:rsidRPr="00484AE9" w14:paraId="31822B5B" w14:textId="77777777" w:rsidTr="008B03CB">
        <w:trPr>
          <w:trHeight w:val="227"/>
        </w:trPr>
        <w:tc>
          <w:tcPr>
            <w:tcW w:w="3823" w:type="dxa"/>
            <w:vMerge/>
            <w:shd w:val="clear" w:color="auto" w:fill="FFFFFF" w:themeFill="background1"/>
          </w:tcPr>
          <w:p w14:paraId="0F9D8F48" w14:textId="77777777" w:rsidR="000619CC" w:rsidRPr="00484AE9" w:rsidRDefault="000619CC" w:rsidP="008B03CB">
            <w:pPr>
              <w:pStyle w:val="TableText0"/>
              <w:keepLines/>
              <w:rPr>
                <w:szCs w:val="20"/>
                <w:lang w:val="en-AU"/>
              </w:rPr>
            </w:pPr>
          </w:p>
        </w:tc>
        <w:tc>
          <w:tcPr>
            <w:tcW w:w="2126" w:type="dxa"/>
            <w:shd w:val="clear" w:color="auto" w:fill="FFFFFF" w:themeFill="background1"/>
          </w:tcPr>
          <w:p w14:paraId="2A8E7B33" w14:textId="77777777" w:rsidR="000619CC" w:rsidRPr="00484AE9" w:rsidRDefault="000619CC" w:rsidP="008B03CB">
            <w:pPr>
              <w:pStyle w:val="TableText0"/>
              <w:keepLines/>
              <w:rPr>
                <w:szCs w:val="20"/>
                <w:lang w:val="en-AU"/>
              </w:rPr>
            </w:pPr>
            <w:r w:rsidRPr="00484AE9">
              <w:rPr>
                <w:szCs w:val="20"/>
                <w:lang w:val="en-AU"/>
              </w:rPr>
              <w:t>Mortality risk</w:t>
            </w:r>
          </w:p>
        </w:tc>
        <w:tc>
          <w:tcPr>
            <w:tcW w:w="1843" w:type="dxa"/>
            <w:shd w:val="clear" w:color="auto" w:fill="FFFFFF" w:themeFill="background1"/>
            <w:vAlign w:val="center"/>
          </w:tcPr>
          <w:p w14:paraId="3719164A" w14:textId="77777777" w:rsidR="000619CC" w:rsidRPr="00484AE9" w:rsidRDefault="000619CC" w:rsidP="008B03CB">
            <w:pPr>
              <w:pStyle w:val="TableText0"/>
              <w:keepLines/>
              <w:jc w:val="center"/>
              <w:rPr>
                <w:szCs w:val="20"/>
                <w:lang w:val="en-AU"/>
              </w:rPr>
            </w:pPr>
            <w:r w:rsidRPr="00484AE9">
              <w:rPr>
                <w:szCs w:val="20"/>
                <w:lang w:val="en-AU"/>
              </w:rPr>
              <w:t>1.5%</w:t>
            </w:r>
          </w:p>
        </w:tc>
        <w:tc>
          <w:tcPr>
            <w:tcW w:w="1842" w:type="dxa"/>
            <w:vMerge/>
            <w:shd w:val="clear" w:color="auto" w:fill="FFFFFF" w:themeFill="background1"/>
            <w:vAlign w:val="center"/>
          </w:tcPr>
          <w:p w14:paraId="5878E8A7" w14:textId="77777777" w:rsidR="000619CC" w:rsidRPr="00F76D9A" w:rsidRDefault="000619CC" w:rsidP="008B03CB">
            <w:pPr>
              <w:pStyle w:val="TableText0"/>
              <w:keepLines/>
              <w:jc w:val="center"/>
              <w:rPr>
                <w:szCs w:val="20"/>
                <w:highlight w:val="darkGray"/>
                <w:lang w:val="en-AU"/>
              </w:rPr>
            </w:pPr>
          </w:p>
        </w:tc>
      </w:tr>
      <w:tr w:rsidR="000619CC" w:rsidRPr="00484AE9" w14:paraId="122A9B9F" w14:textId="77777777" w:rsidTr="008B03CB">
        <w:trPr>
          <w:trHeight w:val="227"/>
        </w:trPr>
        <w:tc>
          <w:tcPr>
            <w:tcW w:w="3823" w:type="dxa"/>
            <w:vMerge/>
            <w:shd w:val="clear" w:color="auto" w:fill="FFFFFF" w:themeFill="background1"/>
          </w:tcPr>
          <w:p w14:paraId="69C60FFB" w14:textId="77777777" w:rsidR="000619CC" w:rsidRPr="00484AE9" w:rsidRDefault="000619CC" w:rsidP="008B03CB">
            <w:pPr>
              <w:pStyle w:val="TableText0"/>
              <w:keepLines/>
              <w:rPr>
                <w:szCs w:val="20"/>
                <w:lang w:val="en-AU"/>
              </w:rPr>
            </w:pPr>
          </w:p>
        </w:tc>
        <w:tc>
          <w:tcPr>
            <w:tcW w:w="2126" w:type="dxa"/>
            <w:shd w:val="clear" w:color="auto" w:fill="FFFFFF" w:themeFill="background1"/>
          </w:tcPr>
          <w:p w14:paraId="6E600CC9" w14:textId="77777777" w:rsidR="000619CC" w:rsidRPr="00484AE9" w:rsidRDefault="000619CC" w:rsidP="008B03CB">
            <w:pPr>
              <w:pStyle w:val="TableText0"/>
              <w:keepLines/>
              <w:rPr>
                <w:szCs w:val="20"/>
                <w:lang w:val="en-AU"/>
              </w:rPr>
            </w:pPr>
            <w:r w:rsidRPr="00484AE9">
              <w:rPr>
                <w:szCs w:val="20"/>
                <w:lang w:val="en-AU"/>
              </w:rPr>
              <w:t>PACS risk</w:t>
            </w:r>
          </w:p>
        </w:tc>
        <w:tc>
          <w:tcPr>
            <w:tcW w:w="1843" w:type="dxa"/>
            <w:shd w:val="clear" w:color="auto" w:fill="FFFFFF" w:themeFill="background1"/>
            <w:vAlign w:val="center"/>
          </w:tcPr>
          <w:p w14:paraId="75D77DD7" w14:textId="77777777" w:rsidR="000619CC" w:rsidRPr="00484AE9" w:rsidRDefault="000619CC" w:rsidP="008B03CB">
            <w:pPr>
              <w:pStyle w:val="TableText0"/>
              <w:keepLines/>
              <w:jc w:val="center"/>
              <w:rPr>
                <w:szCs w:val="20"/>
                <w:lang w:val="en-AU"/>
              </w:rPr>
            </w:pPr>
            <w:r w:rsidRPr="00484AE9">
              <w:rPr>
                <w:szCs w:val="20"/>
                <w:lang w:val="en-AU"/>
              </w:rPr>
              <w:t>10.0%</w:t>
            </w:r>
          </w:p>
        </w:tc>
        <w:tc>
          <w:tcPr>
            <w:tcW w:w="1842" w:type="dxa"/>
            <w:vMerge/>
            <w:shd w:val="clear" w:color="auto" w:fill="FFFFFF" w:themeFill="background1"/>
            <w:vAlign w:val="center"/>
          </w:tcPr>
          <w:p w14:paraId="6703A700" w14:textId="77777777" w:rsidR="000619CC" w:rsidRPr="00F76D9A" w:rsidRDefault="000619CC" w:rsidP="008B03CB">
            <w:pPr>
              <w:pStyle w:val="TableText0"/>
              <w:keepLines/>
              <w:jc w:val="center"/>
              <w:rPr>
                <w:szCs w:val="20"/>
                <w:highlight w:val="darkGray"/>
                <w:lang w:val="en-AU"/>
              </w:rPr>
            </w:pPr>
          </w:p>
        </w:tc>
      </w:tr>
      <w:tr w:rsidR="000619CC" w:rsidRPr="00484AE9" w14:paraId="60ED9A2D" w14:textId="77777777" w:rsidTr="008B03CB">
        <w:trPr>
          <w:trHeight w:val="274"/>
        </w:trPr>
        <w:tc>
          <w:tcPr>
            <w:tcW w:w="3823" w:type="dxa"/>
            <w:vMerge w:val="restart"/>
            <w:shd w:val="clear" w:color="auto" w:fill="FFFFFF" w:themeFill="background1"/>
          </w:tcPr>
          <w:p w14:paraId="07A0D677" w14:textId="77777777" w:rsidR="000619CC" w:rsidRPr="00484AE9" w:rsidRDefault="000619CC" w:rsidP="008B03CB">
            <w:pPr>
              <w:pStyle w:val="TableText0"/>
              <w:keepLines/>
              <w:rPr>
                <w:szCs w:val="20"/>
                <w:lang w:val="en-AU"/>
              </w:rPr>
            </w:pPr>
            <w:r w:rsidRPr="00484AE9">
              <w:rPr>
                <w:szCs w:val="20"/>
                <w:lang w:val="en-AU"/>
              </w:rPr>
              <w:t>Scenario #4</w:t>
            </w:r>
          </w:p>
          <w:p w14:paraId="40505372" w14:textId="77777777" w:rsidR="000619CC" w:rsidRPr="00484AE9" w:rsidRDefault="000619CC" w:rsidP="008B03CB">
            <w:pPr>
              <w:pStyle w:val="TableText0"/>
              <w:keepLines/>
              <w:rPr>
                <w:szCs w:val="20"/>
                <w:lang w:val="en-AU"/>
              </w:rPr>
            </w:pPr>
            <w:r w:rsidRPr="00484AE9">
              <w:rPr>
                <w:szCs w:val="20"/>
                <w:lang w:val="en-AU"/>
              </w:rPr>
              <w:t>Aged 50-59 with 1 other risk factors</w:t>
            </w:r>
          </w:p>
          <w:p w14:paraId="649E0970" w14:textId="77777777" w:rsidR="000619CC" w:rsidRPr="00484AE9" w:rsidRDefault="000619CC" w:rsidP="008B03CB">
            <w:pPr>
              <w:pStyle w:val="TableText0"/>
              <w:keepLines/>
              <w:rPr>
                <w:szCs w:val="20"/>
                <w:lang w:val="en-AU"/>
              </w:rPr>
            </w:pPr>
          </w:p>
        </w:tc>
        <w:tc>
          <w:tcPr>
            <w:tcW w:w="2126" w:type="dxa"/>
            <w:shd w:val="clear" w:color="auto" w:fill="FFFFFF" w:themeFill="background1"/>
            <w:vAlign w:val="center"/>
          </w:tcPr>
          <w:p w14:paraId="1DDD0367" w14:textId="77777777" w:rsidR="000619CC" w:rsidRPr="00484AE9" w:rsidRDefault="000619CC" w:rsidP="008B03CB">
            <w:pPr>
              <w:pStyle w:val="TableText0"/>
              <w:keepLines/>
              <w:rPr>
                <w:szCs w:val="20"/>
                <w:lang w:val="en-AU"/>
              </w:rPr>
            </w:pPr>
            <w:r w:rsidRPr="00484AE9">
              <w:rPr>
                <w:szCs w:val="20"/>
                <w:lang w:val="en-AU"/>
              </w:rPr>
              <w:t>Hospitalisation risk</w:t>
            </w:r>
          </w:p>
        </w:tc>
        <w:tc>
          <w:tcPr>
            <w:tcW w:w="1843" w:type="dxa"/>
            <w:shd w:val="clear" w:color="auto" w:fill="FFFFFF" w:themeFill="background1"/>
            <w:vAlign w:val="center"/>
          </w:tcPr>
          <w:p w14:paraId="42D8479B" w14:textId="77777777" w:rsidR="000619CC" w:rsidRPr="00484AE9" w:rsidRDefault="000619CC" w:rsidP="008B03CB">
            <w:pPr>
              <w:pStyle w:val="TableText0"/>
              <w:keepLines/>
              <w:jc w:val="center"/>
              <w:rPr>
                <w:szCs w:val="20"/>
                <w:lang w:val="en-AU"/>
              </w:rPr>
            </w:pPr>
            <w:r w:rsidRPr="00484AE9">
              <w:rPr>
                <w:szCs w:val="20"/>
                <w:lang w:val="en-AU"/>
              </w:rPr>
              <w:t>1%</w:t>
            </w:r>
          </w:p>
        </w:tc>
        <w:tc>
          <w:tcPr>
            <w:tcW w:w="1842" w:type="dxa"/>
            <w:vMerge w:val="restart"/>
            <w:shd w:val="clear" w:color="auto" w:fill="FFFFFF" w:themeFill="background1"/>
            <w:vAlign w:val="center"/>
          </w:tcPr>
          <w:p w14:paraId="7388C4AA" w14:textId="367150EF" w:rsidR="000619CC" w:rsidRPr="00F76D9A" w:rsidRDefault="00696519" w:rsidP="008B03CB">
            <w:pPr>
              <w:pStyle w:val="TableText0"/>
              <w:keepLines/>
              <w:jc w:val="center"/>
              <w:rPr>
                <w:szCs w:val="20"/>
                <w:highlight w:val="darkGray"/>
                <w:lang w:val="en-AU"/>
              </w:rPr>
            </w:pPr>
            <w:r w:rsidRPr="00696519">
              <w:rPr>
                <w:szCs w:val="20"/>
              </w:rPr>
              <w:t xml:space="preserve"> </w:t>
            </w:r>
            <w:r w:rsidRPr="00696519">
              <w:rPr>
                <w:color w:val="000000"/>
                <w:szCs w:val="20"/>
                <w:shd w:val="solid" w:color="000000" w:fill="000000"/>
                <w14:textFill>
                  <w14:solidFill>
                    <w14:srgbClr w14:val="000000">
                      <w14:alpha w14:val="100000"/>
                    </w14:srgbClr>
                  </w14:solidFill>
                </w14:textFill>
              </w:rPr>
              <w:t>|</w:t>
            </w:r>
            <w:r w:rsidR="00903280" w:rsidRPr="00F76D9A">
              <w:rPr>
                <w:szCs w:val="20"/>
                <w:vertAlign w:val="superscript"/>
              </w:rPr>
              <w:t>3</w:t>
            </w:r>
          </w:p>
        </w:tc>
      </w:tr>
      <w:tr w:rsidR="000619CC" w:rsidRPr="00484AE9" w14:paraId="358681D1" w14:textId="77777777" w:rsidTr="008B03CB">
        <w:trPr>
          <w:trHeight w:val="227"/>
        </w:trPr>
        <w:tc>
          <w:tcPr>
            <w:tcW w:w="3823" w:type="dxa"/>
            <w:vMerge/>
            <w:shd w:val="clear" w:color="auto" w:fill="FFFFFF" w:themeFill="background1"/>
          </w:tcPr>
          <w:p w14:paraId="1640AA42" w14:textId="77777777" w:rsidR="000619CC" w:rsidRPr="00484AE9" w:rsidRDefault="000619CC" w:rsidP="008B03CB">
            <w:pPr>
              <w:pStyle w:val="TableText0"/>
              <w:keepLines/>
              <w:rPr>
                <w:szCs w:val="20"/>
                <w:lang w:val="en-AU"/>
              </w:rPr>
            </w:pPr>
          </w:p>
        </w:tc>
        <w:tc>
          <w:tcPr>
            <w:tcW w:w="2126" w:type="dxa"/>
            <w:shd w:val="clear" w:color="auto" w:fill="FFFFFF" w:themeFill="background1"/>
          </w:tcPr>
          <w:p w14:paraId="49D06DC2" w14:textId="77777777" w:rsidR="000619CC" w:rsidRPr="00484AE9" w:rsidRDefault="000619CC" w:rsidP="008B03CB">
            <w:pPr>
              <w:pStyle w:val="TableText0"/>
              <w:keepLines/>
              <w:rPr>
                <w:szCs w:val="20"/>
                <w:lang w:val="en-AU"/>
              </w:rPr>
            </w:pPr>
            <w:r w:rsidRPr="00484AE9">
              <w:rPr>
                <w:szCs w:val="20"/>
                <w:lang w:val="en-AU"/>
              </w:rPr>
              <w:t>ICU admission risk</w:t>
            </w:r>
          </w:p>
        </w:tc>
        <w:tc>
          <w:tcPr>
            <w:tcW w:w="1843" w:type="dxa"/>
            <w:shd w:val="clear" w:color="auto" w:fill="FFFFFF" w:themeFill="background1"/>
            <w:vAlign w:val="center"/>
          </w:tcPr>
          <w:p w14:paraId="5C0F85C4" w14:textId="77777777" w:rsidR="000619CC" w:rsidRPr="00484AE9" w:rsidRDefault="000619CC" w:rsidP="008B03CB">
            <w:pPr>
              <w:pStyle w:val="TableText0"/>
              <w:keepLines/>
              <w:jc w:val="center"/>
              <w:rPr>
                <w:szCs w:val="20"/>
                <w:lang w:val="en-AU"/>
              </w:rPr>
            </w:pPr>
            <w:r w:rsidRPr="00484AE9">
              <w:rPr>
                <w:szCs w:val="20"/>
                <w:lang w:val="en-AU"/>
              </w:rPr>
              <w:t>5%</w:t>
            </w:r>
          </w:p>
        </w:tc>
        <w:tc>
          <w:tcPr>
            <w:tcW w:w="1842" w:type="dxa"/>
            <w:vMerge/>
            <w:shd w:val="clear" w:color="auto" w:fill="FFFFFF" w:themeFill="background1"/>
            <w:vAlign w:val="center"/>
          </w:tcPr>
          <w:p w14:paraId="5A8B8552" w14:textId="77777777" w:rsidR="000619CC" w:rsidRPr="00F76D9A" w:rsidRDefault="000619CC" w:rsidP="008B03CB">
            <w:pPr>
              <w:pStyle w:val="TableText0"/>
              <w:keepLines/>
              <w:jc w:val="center"/>
              <w:rPr>
                <w:szCs w:val="20"/>
                <w:highlight w:val="darkGray"/>
                <w:lang w:val="en-AU"/>
              </w:rPr>
            </w:pPr>
          </w:p>
        </w:tc>
      </w:tr>
      <w:tr w:rsidR="000619CC" w:rsidRPr="00484AE9" w14:paraId="15382998" w14:textId="77777777" w:rsidTr="008B03CB">
        <w:trPr>
          <w:trHeight w:val="227"/>
        </w:trPr>
        <w:tc>
          <w:tcPr>
            <w:tcW w:w="3823" w:type="dxa"/>
            <w:vMerge/>
            <w:shd w:val="clear" w:color="auto" w:fill="FFFFFF" w:themeFill="background1"/>
          </w:tcPr>
          <w:p w14:paraId="042EFF67" w14:textId="77777777" w:rsidR="000619CC" w:rsidRPr="00484AE9" w:rsidRDefault="000619CC" w:rsidP="008B03CB">
            <w:pPr>
              <w:pStyle w:val="TableText0"/>
              <w:keepLines/>
              <w:rPr>
                <w:szCs w:val="20"/>
                <w:lang w:val="en-AU"/>
              </w:rPr>
            </w:pPr>
          </w:p>
        </w:tc>
        <w:tc>
          <w:tcPr>
            <w:tcW w:w="2126" w:type="dxa"/>
            <w:shd w:val="clear" w:color="auto" w:fill="FFFFFF" w:themeFill="background1"/>
          </w:tcPr>
          <w:p w14:paraId="1A08C90B" w14:textId="77777777" w:rsidR="000619CC" w:rsidRPr="00484AE9" w:rsidRDefault="000619CC" w:rsidP="008B03CB">
            <w:pPr>
              <w:pStyle w:val="TableText0"/>
              <w:keepLines/>
              <w:rPr>
                <w:szCs w:val="20"/>
                <w:lang w:val="en-AU"/>
              </w:rPr>
            </w:pPr>
            <w:r w:rsidRPr="00484AE9">
              <w:rPr>
                <w:szCs w:val="20"/>
                <w:lang w:val="en-AU"/>
              </w:rPr>
              <w:t>Mortality risk</w:t>
            </w:r>
          </w:p>
        </w:tc>
        <w:tc>
          <w:tcPr>
            <w:tcW w:w="1843" w:type="dxa"/>
            <w:shd w:val="clear" w:color="auto" w:fill="FFFFFF" w:themeFill="background1"/>
            <w:vAlign w:val="center"/>
          </w:tcPr>
          <w:p w14:paraId="5E156E6E" w14:textId="77777777" w:rsidR="000619CC" w:rsidRPr="00484AE9" w:rsidRDefault="000619CC" w:rsidP="008B03CB">
            <w:pPr>
              <w:pStyle w:val="TableText0"/>
              <w:keepLines/>
              <w:jc w:val="center"/>
              <w:rPr>
                <w:szCs w:val="20"/>
                <w:lang w:val="en-AU"/>
              </w:rPr>
            </w:pPr>
            <w:r w:rsidRPr="00484AE9">
              <w:rPr>
                <w:szCs w:val="20"/>
                <w:lang w:val="en-AU"/>
              </w:rPr>
              <w:t>0.5%</w:t>
            </w:r>
          </w:p>
        </w:tc>
        <w:tc>
          <w:tcPr>
            <w:tcW w:w="1842" w:type="dxa"/>
            <w:vMerge/>
            <w:shd w:val="clear" w:color="auto" w:fill="FFFFFF" w:themeFill="background1"/>
            <w:vAlign w:val="center"/>
          </w:tcPr>
          <w:p w14:paraId="773A5E14" w14:textId="77777777" w:rsidR="000619CC" w:rsidRPr="00F76D9A" w:rsidRDefault="000619CC" w:rsidP="008B03CB">
            <w:pPr>
              <w:pStyle w:val="TableText0"/>
              <w:keepLines/>
              <w:jc w:val="center"/>
              <w:rPr>
                <w:szCs w:val="20"/>
                <w:highlight w:val="darkGray"/>
                <w:lang w:val="en-AU"/>
              </w:rPr>
            </w:pPr>
          </w:p>
        </w:tc>
      </w:tr>
      <w:tr w:rsidR="000619CC" w:rsidRPr="00484AE9" w14:paraId="48A7B390" w14:textId="77777777" w:rsidTr="008B03CB">
        <w:trPr>
          <w:trHeight w:val="227"/>
        </w:trPr>
        <w:tc>
          <w:tcPr>
            <w:tcW w:w="3823" w:type="dxa"/>
            <w:vMerge/>
            <w:shd w:val="clear" w:color="auto" w:fill="FFFFFF" w:themeFill="background1"/>
          </w:tcPr>
          <w:p w14:paraId="26A0574E" w14:textId="77777777" w:rsidR="000619CC" w:rsidRPr="00484AE9" w:rsidRDefault="000619CC" w:rsidP="008B03CB">
            <w:pPr>
              <w:pStyle w:val="TableText0"/>
              <w:keepLines/>
              <w:rPr>
                <w:szCs w:val="20"/>
                <w:lang w:val="en-AU"/>
              </w:rPr>
            </w:pPr>
          </w:p>
        </w:tc>
        <w:tc>
          <w:tcPr>
            <w:tcW w:w="2126" w:type="dxa"/>
            <w:shd w:val="clear" w:color="auto" w:fill="FFFFFF" w:themeFill="background1"/>
          </w:tcPr>
          <w:p w14:paraId="70420FD1" w14:textId="77777777" w:rsidR="000619CC" w:rsidRPr="00484AE9" w:rsidRDefault="000619CC" w:rsidP="008B03CB">
            <w:pPr>
              <w:pStyle w:val="TableText0"/>
              <w:keepLines/>
              <w:rPr>
                <w:szCs w:val="20"/>
                <w:lang w:val="en-AU"/>
              </w:rPr>
            </w:pPr>
            <w:r w:rsidRPr="00484AE9">
              <w:rPr>
                <w:szCs w:val="20"/>
                <w:lang w:val="en-AU"/>
              </w:rPr>
              <w:t>PACS risk</w:t>
            </w:r>
          </w:p>
        </w:tc>
        <w:tc>
          <w:tcPr>
            <w:tcW w:w="1843" w:type="dxa"/>
            <w:shd w:val="clear" w:color="auto" w:fill="FFFFFF" w:themeFill="background1"/>
            <w:vAlign w:val="center"/>
          </w:tcPr>
          <w:p w14:paraId="3165C5E1" w14:textId="77777777" w:rsidR="000619CC" w:rsidRPr="00484AE9" w:rsidRDefault="000619CC" w:rsidP="008B03CB">
            <w:pPr>
              <w:pStyle w:val="TableText0"/>
              <w:keepLines/>
              <w:jc w:val="center"/>
              <w:rPr>
                <w:szCs w:val="20"/>
                <w:lang w:val="en-AU"/>
              </w:rPr>
            </w:pPr>
            <w:r w:rsidRPr="00484AE9">
              <w:rPr>
                <w:szCs w:val="20"/>
                <w:lang w:val="en-AU"/>
              </w:rPr>
              <w:t>10%</w:t>
            </w:r>
          </w:p>
        </w:tc>
        <w:tc>
          <w:tcPr>
            <w:tcW w:w="1842" w:type="dxa"/>
            <w:vMerge/>
            <w:shd w:val="clear" w:color="auto" w:fill="FFFFFF" w:themeFill="background1"/>
            <w:vAlign w:val="center"/>
          </w:tcPr>
          <w:p w14:paraId="28651372" w14:textId="77777777" w:rsidR="000619CC" w:rsidRPr="00F76D9A" w:rsidRDefault="000619CC" w:rsidP="008B03CB">
            <w:pPr>
              <w:pStyle w:val="TableText0"/>
              <w:keepLines/>
              <w:jc w:val="center"/>
              <w:rPr>
                <w:szCs w:val="20"/>
                <w:highlight w:val="darkGray"/>
                <w:lang w:val="en-AU"/>
              </w:rPr>
            </w:pPr>
          </w:p>
        </w:tc>
      </w:tr>
      <w:tr w:rsidR="000619CC" w:rsidRPr="00484AE9" w14:paraId="1252E95F" w14:textId="77777777" w:rsidTr="008B03CB">
        <w:trPr>
          <w:trHeight w:val="227"/>
        </w:trPr>
        <w:tc>
          <w:tcPr>
            <w:tcW w:w="3823" w:type="dxa"/>
            <w:vMerge/>
            <w:shd w:val="clear" w:color="auto" w:fill="FFFFFF" w:themeFill="background1"/>
          </w:tcPr>
          <w:p w14:paraId="64A06929" w14:textId="77777777" w:rsidR="000619CC" w:rsidRPr="00484AE9" w:rsidRDefault="000619CC" w:rsidP="008B03CB">
            <w:pPr>
              <w:pStyle w:val="TableText0"/>
              <w:keepLines/>
              <w:rPr>
                <w:szCs w:val="20"/>
                <w:lang w:val="en-AU"/>
              </w:rPr>
            </w:pPr>
          </w:p>
        </w:tc>
        <w:tc>
          <w:tcPr>
            <w:tcW w:w="2126" w:type="dxa"/>
            <w:shd w:val="clear" w:color="auto" w:fill="FFFFFF" w:themeFill="background1"/>
          </w:tcPr>
          <w:p w14:paraId="78EF3F87" w14:textId="77777777" w:rsidR="000619CC" w:rsidRPr="00484AE9" w:rsidRDefault="000619CC" w:rsidP="008B03CB">
            <w:pPr>
              <w:pStyle w:val="TableText0"/>
              <w:keepLines/>
              <w:rPr>
                <w:szCs w:val="20"/>
                <w:lang w:val="en-AU"/>
              </w:rPr>
            </w:pPr>
            <w:r w:rsidRPr="00484AE9">
              <w:rPr>
                <w:szCs w:val="20"/>
                <w:lang w:val="en-AU"/>
              </w:rPr>
              <w:t>dQALE tariff</w:t>
            </w:r>
          </w:p>
        </w:tc>
        <w:tc>
          <w:tcPr>
            <w:tcW w:w="1843" w:type="dxa"/>
            <w:shd w:val="clear" w:color="auto" w:fill="FFFFFF" w:themeFill="background1"/>
            <w:vAlign w:val="center"/>
          </w:tcPr>
          <w:p w14:paraId="0D6524FE" w14:textId="77777777" w:rsidR="000619CC" w:rsidRPr="00484AE9" w:rsidRDefault="000619CC" w:rsidP="008B03CB">
            <w:pPr>
              <w:pStyle w:val="TableText0"/>
              <w:keepLines/>
              <w:jc w:val="center"/>
              <w:rPr>
                <w:szCs w:val="20"/>
                <w:lang w:val="en-AU"/>
              </w:rPr>
            </w:pPr>
            <w:r w:rsidRPr="00484AE9">
              <w:rPr>
                <w:szCs w:val="20"/>
                <w:lang w:val="en-AU"/>
              </w:rPr>
              <w:t>12.18</w:t>
            </w:r>
          </w:p>
        </w:tc>
        <w:tc>
          <w:tcPr>
            <w:tcW w:w="1842" w:type="dxa"/>
            <w:vMerge/>
            <w:shd w:val="clear" w:color="auto" w:fill="FFFFFF" w:themeFill="background1"/>
            <w:vAlign w:val="center"/>
          </w:tcPr>
          <w:p w14:paraId="7C48DCFE" w14:textId="77777777" w:rsidR="000619CC" w:rsidRPr="00F76D9A" w:rsidRDefault="000619CC" w:rsidP="008B03CB">
            <w:pPr>
              <w:pStyle w:val="TableText0"/>
              <w:keepLines/>
              <w:jc w:val="center"/>
              <w:rPr>
                <w:szCs w:val="20"/>
                <w:highlight w:val="darkGray"/>
                <w:lang w:val="en-AU"/>
              </w:rPr>
            </w:pPr>
          </w:p>
        </w:tc>
      </w:tr>
      <w:tr w:rsidR="000619CC" w:rsidRPr="00484AE9" w14:paraId="2CC768C6" w14:textId="77777777" w:rsidTr="008B03CB">
        <w:trPr>
          <w:trHeight w:val="227"/>
        </w:trPr>
        <w:tc>
          <w:tcPr>
            <w:tcW w:w="3823" w:type="dxa"/>
            <w:vMerge w:val="restart"/>
            <w:shd w:val="clear" w:color="auto" w:fill="FFFFFF" w:themeFill="background1"/>
          </w:tcPr>
          <w:p w14:paraId="11CFA6F9" w14:textId="77777777" w:rsidR="000619CC" w:rsidRPr="00484AE9" w:rsidRDefault="000619CC" w:rsidP="008B03CB">
            <w:pPr>
              <w:pStyle w:val="TableText0"/>
              <w:keepLines/>
              <w:rPr>
                <w:szCs w:val="20"/>
                <w:lang w:val="en-AU"/>
              </w:rPr>
            </w:pPr>
            <w:r w:rsidRPr="00484AE9">
              <w:rPr>
                <w:szCs w:val="20"/>
                <w:lang w:val="en-AU"/>
              </w:rPr>
              <w:t>Scenario #5</w:t>
            </w:r>
          </w:p>
          <w:p w14:paraId="6645608B" w14:textId="77777777" w:rsidR="000619CC" w:rsidRPr="00484AE9" w:rsidRDefault="000619CC" w:rsidP="008B03CB">
            <w:pPr>
              <w:pStyle w:val="TableText0"/>
              <w:keepLines/>
              <w:rPr>
                <w:szCs w:val="20"/>
                <w:lang w:val="en-AU"/>
              </w:rPr>
            </w:pPr>
            <w:r w:rsidRPr="00484AE9">
              <w:rPr>
                <w:szCs w:val="20"/>
                <w:lang w:val="en-AU"/>
              </w:rPr>
              <w:t>Aged 60-69 with 1 other risk factors</w:t>
            </w:r>
          </w:p>
        </w:tc>
        <w:tc>
          <w:tcPr>
            <w:tcW w:w="2126" w:type="dxa"/>
            <w:shd w:val="clear" w:color="auto" w:fill="FFFFFF" w:themeFill="background1"/>
            <w:vAlign w:val="center"/>
          </w:tcPr>
          <w:p w14:paraId="0E959648" w14:textId="77777777" w:rsidR="000619CC" w:rsidRPr="00484AE9" w:rsidRDefault="000619CC" w:rsidP="008B03CB">
            <w:pPr>
              <w:pStyle w:val="TableText0"/>
              <w:keepLines/>
              <w:rPr>
                <w:szCs w:val="20"/>
                <w:lang w:val="en-AU"/>
              </w:rPr>
            </w:pPr>
            <w:r w:rsidRPr="00484AE9">
              <w:rPr>
                <w:szCs w:val="20"/>
                <w:lang w:val="en-AU"/>
              </w:rPr>
              <w:t>Hospitalisation risk</w:t>
            </w:r>
          </w:p>
        </w:tc>
        <w:tc>
          <w:tcPr>
            <w:tcW w:w="1843" w:type="dxa"/>
            <w:shd w:val="clear" w:color="auto" w:fill="FFFFFF" w:themeFill="background1"/>
            <w:vAlign w:val="center"/>
          </w:tcPr>
          <w:p w14:paraId="1BB2FD35" w14:textId="77777777" w:rsidR="000619CC" w:rsidRPr="00484AE9" w:rsidRDefault="000619CC" w:rsidP="008B03CB">
            <w:pPr>
              <w:pStyle w:val="TableText0"/>
              <w:keepLines/>
              <w:jc w:val="center"/>
              <w:rPr>
                <w:szCs w:val="20"/>
                <w:lang w:val="en-AU"/>
              </w:rPr>
            </w:pPr>
            <w:r w:rsidRPr="00484AE9">
              <w:rPr>
                <w:szCs w:val="20"/>
                <w:lang w:val="en-AU"/>
              </w:rPr>
              <w:t>2%</w:t>
            </w:r>
          </w:p>
        </w:tc>
        <w:tc>
          <w:tcPr>
            <w:tcW w:w="1842" w:type="dxa"/>
            <w:vMerge w:val="restart"/>
            <w:shd w:val="clear" w:color="auto" w:fill="FFFFFF" w:themeFill="background1"/>
            <w:vAlign w:val="center"/>
          </w:tcPr>
          <w:p w14:paraId="3CA8A4CF" w14:textId="0F18E1EA" w:rsidR="000619CC" w:rsidRPr="00F76D9A" w:rsidRDefault="00696519" w:rsidP="008B03CB">
            <w:pPr>
              <w:pStyle w:val="TableText0"/>
              <w:keepLines/>
              <w:jc w:val="center"/>
              <w:rPr>
                <w:szCs w:val="20"/>
                <w:highlight w:val="darkGray"/>
                <w:lang w:val="en-AU"/>
              </w:rPr>
            </w:pPr>
            <w:r w:rsidRPr="00696519">
              <w:rPr>
                <w:szCs w:val="20"/>
              </w:rPr>
              <w:t xml:space="preserve"> </w:t>
            </w:r>
            <w:r w:rsidRPr="00696519">
              <w:rPr>
                <w:color w:val="000000"/>
                <w:szCs w:val="20"/>
                <w:shd w:val="solid" w:color="000000" w:fill="000000"/>
                <w14:textFill>
                  <w14:solidFill>
                    <w14:srgbClr w14:val="000000">
                      <w14:alpha w14:val="100000"/>
                    </w14:srgbClr>
                  </w14:solidFill>
                </w14:textFill>
              </w:rPr>
              <w:t>|</w:t>
            </w:r>
            <w:r w:rsidR="00A03123" w:rsidRPr="00D95954">
              <w:rPr>
                <w:szCs w:val="20"/>
                <w:vertAlign w:val="superscript"/>
                <w:lang w:val="en-AU"/>
              </w:rPr>
              <w:t>2</w:t>
            </w:r>
          </w:p>
        </w:tc>
      </w:tr>
      <w:tr w:rsidR="000619CC" w:rsidRPr="00484AE9" w14:paraId="468EFF14" w14:textId="77777777" w:rsidTr="008B03CB">
        <w:trPr>
          <w:trHeight w:val="227"/>
        </w:trPr>
        <w:tc>
          <w:tcPr>
            <w:tcW w:w="3823" w:type="dxa"/>
            <w:vMerge/>
            <w:shd w:val="clear" w:color="auto" w:fill="FFFFFF" w:themeFill="background1"/>
          </w:tcPr>
          <w:p w14:paraId="790B4A05" w14:textId="77777777" w:rsidR="000619CC" w:rsidRPr="00484AE9" w:rsidRDefault="000619CC" w:rsidP="008B03CB">
            <w:pPr>
              <w:pStyle w:val="TableText0"/>
              <w:keepLines/>
              <w:rPr>
                <w:szCs w:val="20"/>
                <w:lang w:val="en-AU"/>
              </w:rPr>
            </w:pPr>
          </w:p>
        </w:tc>
        <w:tc>
          <w:tcPr>
            <w:tcW w:w="2126" w:type="dxa"/>
            <w:shd w:val="clear" w:color="auto" w:fill="FFFFFF" w:themeFill="background1"/>
          </w:tcPr>
          <w:p w14:paraId="412396B4" w14:textId="77777777" w:rsidR="000619CC" w:rsidRPr="00484AE9" w:rsidRDefault="000619CC" w:rsidP="008B03CB">
            <w:pPr>
              <w:pStyle w:val="TableText0"/>
              <w:keepLines/>
              <w:rPr>
                <w:szCs w:val="20"/>
                <w:lang w:val="en-AU"/>
              </w:rPr>
            </w:pPr>
            <w:r w:rsidRPr="00484AE9">
              <w:rPr>
                <w:szCs w:val="20"/>
                <w:lang w:val="en-AU"/>
              </w:rPr>
              <w:t>ICU admission risk</w:t>
            </w:r>
          </w:p>
        </w:tc>
        <w:tc>
          <w:tcPr>
            <w:tcW w:w="1843" w:type="dxa"/>
            <w:shd w:val="clear" w:color="auto" w:fill="FFFFFF" w:themeFill="background1"/>
            <w:vAlign w:val="center"/>
          </w:tcPr>
          <w:p w14:paraId="0D595F05" w14:textId="77777777" w:rsidR="000619CC" w:rsidRPr="00484AE9" w:rsidRDefault="000619CC" w:rsidP="008B03CB">
            <w:pPr>
              <w:pStyle w:val="TableText0"/>
              <w:keepLines/>
              <w:jc w:val="center"/>
              <w:rPr>
                <w:szCs w:val="20"/>
                <w:lang w:val="en-AU"/>
              </w:rPr>
            </w:pPr>
            <w:r w:rsidRPr="00484AE9">
              <w:rPr>
                <w:szCs w:val="20"/>
                <w:lang w:val="en-AU"/>
              </w:rPr>
              <w:t>5%</w:t>
            </w:r>
          </w:p>
        </w:tc>
        <w:tc>
          <w:tcPr>
            <w:tcW w:w="1842" w:type="dxa"/>
            <w:vMerge/>
            <w:shd w:val="clear" w:color="auto" w:fill="FFFFFF" w:themeFill="background1"/>
            <w:vAlign w:val="center"/>
          </w:tcPr>
          <w:p w14:paraId="389EFE4F" w14:textId="77777777" w:rsidR="000619CC" w:rsidRPr="00484AE9" w:rsidRDefault="000619CC" w:rsidP="008B03CB">
            <w:pPr>
              <w:pStyle w:val="TableText0"/>
              <w:keepLines/>
              <w:jc w:val="center"/>
              <w:rPr>
                <w:szCs w:val="20"/>
                <w:lang w:val="en-AU"/>
              </w:rPr>
            </w:pPr>
          </w:p>
        </w:tc>
      </w:tr>
      <w:tr w:rsidR="000619CC" w:rsidRPr="00484AE9" w14:paraId="745FBFFC" w14:textId="77777777" w:rsidTr="008B03CB">
        <w:trPr>
          <w:trHeight w:val="227"/>
        </w:trPr>
        <w:tc>
          <w:tcPr>
            <w:tcW w:w="3823" w:type="dxa"/>
            <w:vMerge/>
            <w:shd w:val="clear" w:color="auto" w:fill="FFFFFF" w:themeFill="background1"/>
          </w:tcPr>
          <w:p w14:paraId="76DC8F0F" w14:textId="77777777" w:rsidR="000619CC" w:rsidRPr="00484AE9" w:rsidRDefault="000619CC" w:rsidP="008B03CB">
            <w:pPr>
              <w:pStyle w:val="TableText0"/>
              <w:keepLines/>
              <w:rPr>
                <w:szCs w:val="20"/>
                <w:lang w:val="en-AU"/>
              </w:rPr>
            </w:pPr>
          </w:p>
        </w:tc>
        <w:tc>
          <w:tcPr>
            <w:tcW w:w="2126" w:type="dxa"/>
            <w:shd w:val="clear" w:color="auto" w:fill="FFFFFF" w:themeFill="background1"/>
          </w:tcPr>
          <w:p w14:paraId="066928C4" w14:textId="77777777" w:rsidR="000619CC" w:rsidRPr="00484AE9" w:rsidRDefault="000619CC" w:rsidP="008B03CB">
            <w:pPr>
              <w:pStyle w:val="TableText0"/>
              <w:keepLines/>
              <w:rPr>
                <w:szCs w:val="20"/>
                <w:lang w:val="en-AU"/>
              </w:rPr>
            </w:pPr>
            <w:r w:rsidRPr="00484AE9">
              <w:rPr>
                <w:szCs w:val="20"/>
                <w:lang w:val="en-AU"/>
              </w:rPr>
              <w:t>Mortality risk</w:t>
            </w:r>
          </w:p>
        </w:tc>
        <w:tc>
          <w:tcPr>
            <w:tcW w:w="1843" w:type="dxa"/>
            <w:shd w:val="clear" w:color="auto" w:fill="FFFFFF" w:themeFill="background1"/>
            <w:vAlign w:val="center"/>
          </w:tcPr>
          <w:p w14:paraId="0B4D937D" w14:textId="77777777" w:rsidR="000619CC" w:rsidRPr="00484AE9" w:rsidRDefault="000619CC" w:rsidP="008B03CB">
            <w:pPr>
              <w:pStyle w:val="TableText0"/>
              <w:keepLines/>
              <w:jc w:val="center"/>
              <w:rPr>
                <w:szCs w:val="20"/>
                <w:lang w:val="en-AU"/>
              </w:rPr>
            </w:pPr>
            <w:r w:rsidRPr="00484AE9">
              <w:rPr>
                <w:szCs w:val="20"/>
                <w:lang w:val="en-AU"/>
              </w:rPr>
              <w:t>1%</w:t>
            </w:r>
          </w:p>
        </w:tc>
        <w:tc>
          <w:tcPr>
            <w:tcW w:w="1842" w:type="dxa"/>
            <w:vMerge/>
            <w:shd w:val="clear" w:color="auto" w:fill="FFFFFF" w:themeFill="background1"/>
            <w:vAlign w:val="center"/>
          </w:tcPr>
          <w:p w14:paraId="3A1FE34C" w14:textId="77777777" w:rsidR="000619CC" w:rsidRPr="00484AE9" w:rsidRDefault="000619CC" w:rsidP="008B03CB">
            <w:pPr>
              <w:pStyle w:val="TableText0"/>
              <w:keepLines/>
              <w:jc w:val="center"/>
              <w:rPr>
                <w:szCs w:val="20"/>
                <w:lang w:val="en-AU"/>
              </w:rPr>
            </w:pPr>
          </w:p>
        </w:tc>
      </w:tr>
      <w:tr w:rsidR="000619CC" w:rsidRPr="00484AE9" w14:paraId="4928B723" w14:textId="77777777" w:rsidTr="008B03CB">
        <w:trPr>
          <w:trHeight w:val="227"/>
        </w:trPr>
        <w:tc>
          <w:tcPr>
            <w:tcW w:w="3823" w:type="dxa"/>
            <w:vMerge/>
            <w:shd w:val="clear" w:color="auto" w:fill="FFFFFF" w:themeFill="background1"/>
          </w:tcPr>
          <w:p w14:paraId="18551D89" w14:textId="77777777" w:rsidR="000619CC" w:rsidRPr="00484AE9" w:rsidRDefault="000619CC" w:rsidP="008B03CB">
            <w:pPr>
              <w:pStyle w:val="TableText0"/>
              <w:keepLines/>
              <w:rPr>
                <w:szCs w:val="20"/>
                <w:lang w:val="en-AU"/>
              </w:rPr>
            </w:pPr>
          </w:p>
        </w:tc>
        <w:tc>
          <w:tcPr>
            <w:tcW w:w="2126" w:type="dxa"/>
            <w:shd w:val="clear" w:color="auto" w:fill="FFFFFF" w:themeFill="background1"/>
          </w:tcPr>
          <w:p w14:paraId="145AD555" w14:textId="77777777" w:rsidR="000619CC" w:rsidRPr="00484AE9" w:rsidRDefault="000619CC" w:rsidP="008B03CB">
            <w:pPr>
              <w:pStyle w:val="TableText0"/>
              <w:keepLines/>
              <w:rPr>
                <w:szCs w:val="20"/>
                <w:lang w:val="en-AU"/>
              </w:rPr>
            </w:pPr>
            <w:r w:rsidRPr="00484AE9">
              <w:rPr>
                <w:szCs w:val="20"/>
                <w:lang w:val="en-AU"/>
              </w:rPr>
              <w:t>PACS risk</w:t>
            </w:r>
          </w:p>
        </w:tc>
        <w:tc>
          <w:tcPr>
            <w:tcW w:w="1843" w:type="dxa"/>
            <w:shd w:val="clear" w:color="auto" w:fill="FFFFFF" w:themeFill="background1"/>
            <w:vAlign w:val="center"/>
          </w:tcPr>
          <w:p w14:paraId="7BB6D912" w14:textId="77777777" w:rsidR="000619CC" w:rsidRPr="00484AE9" w:rsidRDefault="000619CC" w:rsidP="008B03CB">
            <w:pPr>
              <w:pStyle w:val="TableText0"/>
              <w:keepLines/>
              <w:jc w:val="center"/>
              <w:rPr>
                <w:szCs w:val="20"/>
                <w:lang w:val="en-AU"/>
              </w:rPr>
            </w:pPr>
            <w:r w:rsidRPr="00484AE9">
              <w:rPr>
                <w:szCs w:val="20"/>
                <w:lang w:val="en-AU"/>
              </w:rPr>
              <w:t>10%</w:t>
            </w:r>
          </w:p>
        </w:tc>
        <w:tc>
          <w:tcPr>
            <w:tcW w:w="1842" w:type="dxa"/>
            <w:vMerge/>
            <w:shd w:val="clear" w:color="auto" w:fill="FFFFFF" w:themeFill="background1"/>
            <w:vAlign w:val="center"/>
          </w:tcPr>
          <w:p w14:paraId="30B27469" w14:textId="77777777" w:rsidR="000619CC" w:rsidRPr="00484AE9" w:rsidRDefault="000619CC" w:rsidP="008B03CB">
            <w:pPr>
              <w:pStyle w:val="TableText0"/>
              <w:keepLines/>
              <w:jc w:val="center"/>
              <w:rPr>
                <w:szCs w:val="20"/>
                <w:lang w:val="en-AU"/>
              </w:rPr>
            </w:pPr>
          </w:p>
        </w:tc>
      </w:tr>
      <w:tr w:rsidR="000619CC" w:rsidRPr="00484AE9" w14:paraId="26BF44DC" w14:textId="77777777" w:rsidTr="008B03CB">
        <w:trPr>
          <w:trHeight w:val="227"/>
        </w:trPr>
        <w:tc>
          <w:tcPr>
            <w:tcW w:w="3823" w:type="dxa"/>
            <w:vMerge/>
            <w:shd w:val="clear" w:color="auto" w:fill="FFFFFF" w:themeFill="background1"/>
          </w:tcPr>
          <w:p w14:paraId="3A068F22" w14:textId="77777777" w:rsidR="000619CC" w:rsidRPr="00484AE9" w:rsidRDefault="000619CC" w:rsidP="008B03CB">
            <w:pPr>
              <w:pStyle w:val="TableText0"/>
              <w:keepLines/>
              <w:rPr>
                <w:szCs w:val="20"/>
                <w:lang w:val="en-AU"/>
              </w:rPr>
            </w:pPr>
          </w:p>
        </w:tc>
        <w:tc>
          <w:tcPr>
            <w:tcW w:w="2126" w:type="dxa"/>
            <w:shd w:val="clear" w:color="auto" w:fill="FFFFFF" w:themeFill="background1"/>
          </w:tcPr>
          <w:p w14:paraId="28ADE7E4" w14:textId="77777777" w:rsidR="000619CC" w:rsidRPr="00484AE9" w:rsidRDefault="000619CC" w:rsidP="008B03CB">
            <w:pPr>
              <w:pStyle w:val="TableText0"/>
              <w:keepLines/>
              <w:rPr>
                <w:szCs w:val="20"/>
                <w:lang w:val="en-AU"/>
              </w:rPr>
            </w:pPr>
            <w:r w:rsidRPr="00484AE9">
              <w:rPr>
                <w:szCs w:val="20"/>
                <w:lang w:val="en-AU"/>
              </w:rPr>
              <w:t>dQALE tariff</w:t>
            </w:r>
          </w:p>
        </w:tc>
        <w:tc>
          <w:tcPr>
            <w:tcW w:w="1843" w:type="dxa"/>
            <w:shd w:val="clear" w:color="auto" w:fill="FFFFFF" w:themeFill="background1"/>
            <w:vAlign w:val="center"/>
          </w:tcPr>
          <w:p w14:paraId="32A5D5D1" w14:textId="77777777" w:rsidR="000619CC" w:rsidRPr="00484AE9" w:rsidRDefault="000619CC" w:rsidP="008B03CB">
            <w:pPr>
              <w:pStyle w:val="TableText0"/>
              <w:keepLines/>
              <w:jc w:val="center"/>
              <w:rPr>
                <w:szCs w:val="20"/>
                <w:lang w:val="en-AU"/>
              </w:rPr>
            </w:pPr>
            <w:r w:rsidRPr="00484AE9">
              <w:rPr>
                <w:szCs w:val="20"/>
                <w:lang w:val="en-AU"/>
              </w:rPr>
              <w:t>10.65</w:t>
            </w:r>
          </w:p>
        </w:tc>
        <w:tc>
          <w:tcPr>
            <w:tcW w:w="1842" w:type="dxa"/>
            <w:vMerge/>
            <w:shd w:val="clear" w:color="auto" w:fill="FFFFFF" w:themeFill="background1"/>
            <w:vAlign w:val="center"/>
          </w:tcPr>
          <w:p w14:paraId="1F08916A" w14:textId="77777777" w:rsidR="000619CC" w:rsidRPr="00484AE9" w:rsidRDefault="000619CC" w:rsidP="008B03CB">
            <w:pPr>
              <w:pStyle w:val="TableText0"/>
              <w:keepLines/>
              <w:jc w:val="center"/>
              <w:rPr>
                <w:szCs w:val="20"/>
                <w:lang w:val="en-AU"/>
              </w:rPr>
            </w:pPr>
          </w:p>
        </w:tc>
      </w:tr>
      <w:tr w:rsidR="000619CC" w:rsidRPr="00484AE9" w14:paraId="5B86F5EE" w14:textId="77777777" w:rsidTr="008B03CB">
        <w:trPr>
          <w:trHeight w:val="227"/>
        </w:trPr>
        <w:tc>
          <w:tcPr>
            <w:tcW w:w="3823" w:type="dxa"/>
            <w:vMerge w:val="restart"/>
            <w:shd w:val="clear" w:color="auto" w:fill="FFFFFF" w:themeFill="background1"/>
          </w:tcPr>
          <w:p w14:paraId="12C16BFD" w14:textId="77777777" w:rsidR="000619CC" w:rsidRPr="00484AE9" w:rsidRDefault="000619CC" w:rsidP="008B03CB">
            <w:pPr>
              <w:pStyle w:val="TableText0"/>
              <w:keepLines/>
              <w:rPr>
                <w:szCs w:val="20"/>
                <w:lang w:val="en-AU"/>
              </w:rPr>
            </w:pPr>
            <w:r w:rsidRPr="00484AE9">
              <w:rPr>
                <w:szCs w:val="20"/>
                <w:lang w:val="en-AU"/>
              </w:rPr>
              <w:t>Scenario #6</w:t>
            </w:r>
          </w:p>
          <w:p w14:paraId="21588801" w14:textId="77777777" w:rsidR="000619CC" w:rsidRPr="00484AE9" w:rsidRDefault="000619CC" w:rsidP="008B03CB">
            <w:pPr>
              <w:pStyle w:val="TableText0"/>
              <w:keepLines/>
              <w:rPr>
                <w:szCs w:val="20"/>
                <w:lang w:val="en-AU"/>
              </w:rPr>
            </w:pPr>
            <w:r w:rsidRPr="00484AE9">
              <w:rPr>
                <w:szCs w:val="20"/>
                <w:lang w:val="en-AU"/>
              </w:rPr>
              <w:t>Overall high-risk population currently eligible</w:t>
            </w:r>
          </w:p>
          <w:p w14:paraId="5C663F97" w14:textId="77777777" w:rsidR="000619CC" w:rsidRPr="00484AE9" w:rsidRDefault="000619CC" w:rsidP="008B03CB">
            <w:pPr>
              <w:pStyle w:val="TableText0"/>
              <w:keepLines/>
              <w:rPr>
                <w:szCs w:val="20"/>
                <w:lang w:val="en-AU"/>
              </w:rPr>
            </w:pPr>
            <w:r w:rsidRPr="00484AE9">
              <w:rPr>
                <w:szCs w:val="20"/>
                <w:lang w:val="en-AU"/>
              </w:rPr>
              <w:t>(50-59 1 RF and 60-69 1 RF)</w:t>
            </w:r>
          </w:p>
        </w:tc>
        <w:tc>
          <w:tcPr>
            <w:tcW w:w="2126" w:type="dxa"/>
            <w:shd w:val="clear" w:color="auto" w:fill="FFFFFF" w:themeFill="background1"/>
          </w:tcPr>
          <w:p w14:paraId="59A26AA8" w14:textId="77777777" w:rsidR="000619CC" w:rsidRPr="00484AE9" w:rsidRDefault="000619CC" w:rsidP="008B03CB">
            <w:pPr>
              <w:pStyle w:val="TableText0"/>
              <w:keepLines/>
              <w:rPr>
                <w:szCs w:val="20"/>
                <w:lang w:val="en-AU"/>
              </w:rPr>
            </w:pPr>
            <w:r w:rsidRPr="00484AE9">
              <w:rPr>
                <w:szCs w:val="20"/>
                <w:lang w:val="en-AU"/>
              </w:rPr>
              <w:t>Aged 70+</w:t>
            </w:r>
          </w:p>
        </w:tc>
        <w:tc>
          <w:tcPr>
            <w:tcW w:w="1843" w:type="dxa"/>
            <w:shd w:val="clear" w:color="auto" w:fill="FFFFFF" w:themeFill="background1"/>
            <w:vAlign w:val="center"/>
          </w:tcPr>
          <w:p w14:paraId="46E290F6" w14:textId="77777777" w:rsidR="000619CC" w:rsidRPr="00484AE9" w:rsidRDefault="000619CC" w:rsidP="008B03CB">
            <w:pPr>
              <w:pStyle w:val="TableText0"/>
              <w:keepLines/>
              <w:jc w:val="center"/>
              <w:rPr>
                <w:szCs w:val="20"/>
                <w:lang w:val="en-AU"/>
              </w:rPr>
            </w:pPr>
            <w:r w:rsidRPr="00484AE9">
              <w:rPr>
                <w:szCs w:val="20"/>
                <w:lang w:val="en-AU"/>
              </w:rPr>
              <w:t>50%</w:t>
            </w:r>
          </w:p>
        </w:tc>
        <w:tc>
          <w:tcPr>
            <w:tcW w:w="1842" w:type="dxa"/>
            <w:vMerge w:val="restart"/>
            <w:shd w:val="clear" w:color="auto" w:fill="FFFFFF" w:themeFill="background1"/>
            <w:vAlign w:val="center"/>
          </w:tcPr>
          <w:p w14:paraId="3BD45328" w14:textId="28695C24" w:rsidR="000619CC" w:rsidRPr="00F76D9A" w:rsidRDefault="00696519" w:rsidP="008B03CB">
            <w:pPr>
              <w:pStyle w:val="TableText0"/>
              <w:keepLines/>
              <w:jc w:val="center"/>
              <w:rPr>
                <w:szCs w:val="20"/>
                <w:highlight w:val="darkGray"/>
                <w:lang w:val="en-AU"/>
              </w:rPr>
            </w:pPr>
            <w:r w:rsidRPr="00696519">
              <w:rPr>
                <w:szCs w:val="20"/>
              </w:rPr>
              <w:t xml:space="preserve"> </w:t>
            </w:r>
            <w:r w:rsidRPr="00696519">
              <w:rPr>
                <w:color w:val="000000"/>
                <w:szCs w:val="20"/>
                <w:shd w:val="solid" w:color="000000" w:fill="000000"/>
                <w14:textFill>
                  <w14:solidFill>
                    <w14:srgbClr w14:val="000000">
                      <w14:alpha w14:val="100000"/>
                    </w14:srgbClr>
                  </w14:solidFill>
                </w14:textFill>
              </w:rPr>
              <w:t>|</w:t>
            </w:r>
            <w:r w:rsidR="00A03123" w:rsidRPr="00D95954">
              <w:rPr>
                <w:szCs w:val="20"/>
                <w:vertAlign w:val="superscript"/>
                <w:lang w:val="en-AU"/>
              </w:rPr>
              <w:t>1</w:t>
            </w:r>
          </w:p>
        </w:tc>
      </w:tr>
      <w:tr w:rsidR="000619CC" w:rsidRPr="00484AE9" w14:paraId="4C22F57C" w14:textId="77777777" w:rsidTr="008B03CB">
        <w:trPr>
          <w:trHeight w:val="227"/>
        </w:trPr>
        <w:tc>
          <w:tcPr>
            <w:tcW w:w="3823" w:type="dxa"/>
            <w:vMerge/>
            <w:shd w:val="clear" w:color="auto" w:fill="FFFFFF" w:themeFill="background1"/>
          </w:tcPr>
          <w:p w14:paraId="6395817A" w14:textId="77777777" w:rsidR="000619CC" w:rsidRPr="00484AE9" w:rsidRDefault="000619CC" w:rsidP="008B03CB">
            <w:pPr>
              <w:pStyle w:val="TableText0"/>
              <w:keepLines/>
              <w:rPr>
                <w:szCs w:val="20"/>
                <w:lang w:val="en-AU"/>
              </w:rPr>
            </w:pPr>
          </w:p>
        </w:tc>
        <w:tc>
          <w:tcPr>
            <w:tcW w:w="2126" w:type="dxa"/>
            <w:shd w:val="clear" w:color="auto" w:fill="FFFFFF" w:themeFill="background1"/>
          </w:tcPr>
          <w:p w14:paraId="7995133D" w14:textId="77777777" w:rsidR="000619CC" w:rsidRPr="00484AE9" w:rsidRDefault="000619CC" w:rsidP="008B03CB">
            <w:pPr>
              <w:pStyle w:val="TableText0"/>
              <w:keepLines/>
              <w:rPr>
                <w:szCs w:val="20"/>
                <w:lang w:val="en-AU"/>
              </w:rPr>
            </w:pPr>
            <w:r w:rsidRPr="00484AE9">
              <w:rPr>
                <w:szCs w:val="20"/>
                <w:lang w:val="en-AU"/>
              </w:rPr>
              <w:t>Aged 18+ IC</w:t>
            </w:r>
          </w:p>
        </w:tc>
        <w:tc>
          <w:tcPr>
            <w:tcW w:w="1843" w:type="dxa"/>
            <w:shd w:val="clear" w:color="auto" w:fill="FFFFFF" w:themeFill="background1"/>
            <w:vAlign w:val="center"/>
          </w:tcPr>
          <w:p w14:paraId="670FF6E8" w14:textId="77777777" w:rsidR="000619CC" w:rsidRPr="00484AE9" w:rsidRDefault="000619CC" w:rsidP="008B03CB">
            <w:pPr>
              <w:pStyle w:val="TableText0"/>
              <w:keepLines/>
              <w:jc w:val="center"/>
              <w:rPr>
                <w:szCs w:val="20"/>
                <w:lang w:val="en-AU"/>
              </w:rPr>
            </w:pPr>
            <w:r w:rsidRPr="00484AE9">
              <w:rPr>
                <w:szCs w:val="20"/>
                <w:lang w:val="en-AU"/>
              </w:rPr>
              <w:t>15%</w:t>
            </w:r>
          </w:p>
        </w:tc>
        <w:tc>
          <w:tcPr>
            <w:tcW w:w="1842" w:type="dxa"/>
            <w:vMerge/>
            <w:shd w:val="clear" w:color="auto" w:fill="FFFFFF" w:themeFill="background1"/>
            <w:vAlign w:val="center"/>
          </w:tcPr>
          <w:p w14:paraId="6A8003E9" w14:textId="77777777" w:rsidR="000619CC" w:rsidRPr="00F76D9A" w:rsidRDefault="000619CC" w:rsidP="008B03CB">
            <w:pPr>
              <w:pStyle w:val="TableText0"/>
              <w:keepLines/>
              <w:jc w:val="center"/>
              <w:rPr>
                <w:szCs w:val="20"/>
                <w:highlight w:val="darkGray"/>
                <w:lang w:val="en-AU"/>
              </w:rPr>
            </w:pPr>
          </w:p>
        </w:tc>
      </w:tr>
      <w:tr w:rsidR="000619CC" w:rsidRPr="00484AE9" w14:paraId="3FB4F5B9" w14:textId="77777777" w:rsidTr="008B03CB">
        <w:trPr>
          <w:trHeight w:val="227"/>
        </w:trPr>
        <w:tc>
          <w:tcPr>
            <w:tcW w:w="3823" w:type="dxa"/>
            <w:vMerge/>
            <w:shd w:val="clear" w:color="auto" w:fill="FFFFFF" w:themeFill="background1"/>
          </w:tcPr>
          <w:p w14:paraId="743068D7" w14:textId="77777777" w:rsidR="000619CC" w:rsidRPr="00484AE9" w:rsidRDefault="000619CC" w:rsidP="008B03CB">
            <w:pPr>
              <w:pStyle w:val="TableText0"/>
              <w:keepLines/>
              <w:rPr>
                <w:szCs w:val="20"/>
                <w:lang w:val="en-AU"/>
              </w:rPr>
            </w:pPr>
          </w:p>
        </w:tc>
        <w:tc>
          <w:tcPr>
            <w:tcW w:w="2126" w:type="dxa"/>
            <w:shd w:val="clear" w:color="auto" w:fill="FFFFFF" w:themeFill="background1"/>
          </w:tcPr>
          <w:p w14:paraId="0032F54C" w14:textId="77777777" w:rsidR="000619CC" w:rsidRPr="00484AE9" w:rsidRDefault="000619CC" w:rsidP="008B03CB">
            <w:pPr>
              <w:pStyle w:val="TableText0"/>
              <w:keepLines/>
              <w:rPr>
                <w:szCs w:val="20"/>
                <w:lang w:val="en-AU"/>
              </w:rPr>
            </w:pPr>
            <w:r w:rsidRPr="00484AE9">
              <w:rPr>
                <w:szCs w:val="20"/>
                <w:lang w:val="en-AU"/>
              </w:rPr>
              <w:t>Aged 30+ ATSI HR1</w:t>
            </w:r>
          </w:p>
        </w:tc>
        <w:tc>
          <w:tcPr>
            <w:tcW w:w="1843" w:type="dxa"/>
            <w:shd w:val="clear" w:color="auto" w:fill="FFFFFF" w:themeFill="background1"/>
            <w:vAlign w:val="center"/>
          </w:tcPr>
          <w:p w14:paraId="3DF91B62" w14:textId="77777777" w:rsidR="000619CC" w:rsidRPr="00484AE9" w:rsidRDefault="000619CC" w:rsidP="008B03CB">
            <w:pPr>
              <w:pStyle w:val="TableText0"/>
              <w:keepLines/>
              <w:jc w:val="center"/>
              <w:rPr>
                <w:szCs w:val="20"/>
                <w:lang w:val="en-AU"/>
              </w:rPr>
            </w:pPr>
            <w:r w:rsidRPr="00484AE9">
              <w:rPr>
                <w:szCs w:val="20"/>
                <w:lang w:val="en-AU"/>
              </w:rPr>
              <w:t>5%</w:t>
            </w:r>
          </w:p>
        </w:tc>
        <w:tc>
          <w:tcPr>
            <w:tcW w:w="1842" w:type="dxa"/>
            <w:vMerge/>
            <w:shd w:val="clear" w:color="auto" w:fill="FFFFFF" w:themeFill="background1"/>
            <w:vAlign w:val="center"/>
          </w:tcPr>
          <w:p w14:paraId="189C4FFA" w14:textId="77777777" w:rsidR="000619CC" w:rsidRPr="00F76D9A" w:rsidRDefault="000619CC" w:rsidP="008B03CB">
            <w:pPr>
              <w:pStyle w:val="TableText0"/>
              <w:keepLines/>
              <w:jc w:val="center"/>
              <w:rPr>
                <w:szCs w:val="20"/>
                <w:highlight w:val="darkGray"/>
                <w:lang w:val="en-AU"/>
              </w:rPr>
            </w:pPr>
          </w:p>
        </w:tc>
      </w:tr>
      <w:tr w:rsidR="000619CC" w:rsidRPr="00484AE9" w14:paraId="1231D7DE" w14:textId="77777777" w:rsidTr="008B03CB">
        <w:trPr>
          <w:trHeight w:val="227"/>
        </w:trPr>
        <w:tc>
          <w:tcPr>
            <w:tcW w:w="3823" w:type="dxa"/>
            <w:vMerge/>
            <w:shd w:val="clear" w:color="auto" w:fill="FFFFFF" w:themeFill="background1"/>
          </w:tcPr>
          <w:p w14:paraId="1C439420" w14:textId="77777777" w:rsidR="000619CC" w:rsidRPr="00484AE9" w:rsidRDefault="000619CC" w:rsidP="008B03CB">
            <w:pPr>
              <w:pStyle w:val="TableText0"/>
              <w:keepLines/>
              <w:rPr>
                <w:szCs w:val="20"/>
                <w:lang w:val="en-AU"/>
              </w:rPr>
            </w:pPr>
          </w:p>
        </w:tc>
        <w:tc>
          <w:tcPr>
            <w:tcW w:w="2126" w:type="dxa"/>
            <w:shd w:val="clear" w:color="auto" w:fill="FFFFFF" w:themeFill="background1"/>
          </w:tcPr>
          <w:p w14:paraId="679641E6" w14:textId="77777777" w:rsidR="000619CC" w:rsidRPr="00484AE9" w:rsidRDefault="000619CC" w:rsidP="008B03CB">
            <w:pPr>
              <w:pStyle w:val="TableText0"/>
              <w:keepLines/>
              <w:rPr>
                <w:szCs w:val="20"/>
                <w:lang w:val="en-AU"/>
              </w:rPr>
            </w:pPr>
            <w:r w:rsidRPr="00484AE9">
              <w:rPr>
                <w:szCs w:val="20"/>
                <w:lang w:val="en-AU"/>
              </w:rPr>
              <w:t>Aged 50-69 HR1</w:t>
            </w:r>
          </w:p>
        </w:tc>
        <w:tc>
          <w:tcPr>
            <w:tcW w:w="1843" w:type="dxa"/>
            <w:shd w:val="clear" w:color="auto" w:fill="FFFFFF" w:themeFill="background1"/>
            <w:vAlign w:val="center"/>
          </w:tcPr>
          <w:p w14:paraId="0A6B1031" w14:textId="77777777" w:rsidR="000619CC" w:rsidRPr="00484AE9" w:rsidRDefault="000619CC" w:rsidP="008B03CB">
            <w:pPr>
              <w:pStyle w:val="TableText0"/>
              <w:keepLines/>
              <w:jc w:val="center"/>
              <w:rPr>
                <w:szCs w:val="20"/>
                <w:lang w:val="en-AU"/>
              </w:rPr>
            </w:pPr>
            <w:r w:rsidRPr="00484AE9">
              <w:rPr>
                <w:szCs w:val="20"/>
                <w:lang w:val="en-AU"/>
              </w:rPr>
              <w:t>30%</w:t>
            </w:r>
          </w:p>
        </w:tc>
        <w:tc>
          <w:tcPr>
            <w:tcW w:w="1842" w:type="dxa"/>
            <w:vMerge/>
            <w:shd w:val="clear" w:color="auto" w:fill="FFFFFF" w:themeFill="background1"/>
            <w:vAlign w:val="center"/>
          </w:tcPr>
          <w:p w14:paraId="4858D009" w14:textId="77777777" w:rsidR="000619CC" w:rsidRPr="00F76D9A" w:rsidRDefault="000619CC" w:rsidP="008B03CB">
            <w:pPr>
              <w:pStyle w:val="TableText0"/>
              <w:keepLines/>
              <w:jc w:val="center"/>
              <w:rPr>
                <w:szCs w:val="20"/>
                <w:highlight w:val="darkGray"/>
                <w:lang w:val="en-AU"/>
              </w:rPr>
            </w:pPr>
          </w:p>
        </w:tc>
      </w:tr>
      <w:tr w:rsidR="000619CC" w:rsidRPr="00484AE9" w14:paraId="7530EE66" w14:textId="77777777" w:rsidTr="008B03CB">
        <w:trPr>
          <w:trHeight w:val="227"/>
        </w:trPr>
        <w:tc>
          <w:tcPr>
            <w:tcW w:w="3823" w:type="dxa"/>
            <w:vMerge w:val="restart"/>
            <w:shd w:val="clear" w:color="auto" w:fill="FFFFFF" w:themeFill="background1"/>
          </w:tcPr>
          <w:p w14:paraId="1D331706" w14:textId="77777777" w:rsidR="000619CC" w:rsidRPr="00484AE9" w:rsidRDefault="000619CC" w:rsidP="008B03CB">
            <w:pPr>
              <w:pStyle w:val="TableText0"/>
              <w:keepLines/>
              <w:rPr>
                <w:szCs w:val="20"/>
                <w:lang w:val="en-AU"/>
              </w:rPr>
            </w:pPr>
            <w:r w:rsidRPr="00484AE9">
              <w:rPr>
                <w:szCs w:val="20"/>
                <w:lang w:val="en-AU"/>
              </w:rPr>
              <w:t>Scenario #7</w:t>
            </w:r>
          </w:p>
          <w:p w14:paraId="4C06FD92" w14:textId="77777777" w:rsidR="000619CC" w:rsidRPr="00484AE9" w:rsidRDefault="000619CC" w:rsidP="008B03CB">
            <w:pPr>
              <w:pStyle w:val="TableText0"/>
              <w:keepLines/>
              <w:rPr>
                <w:szCs w:val="20"/>
                <w:lang w:val="en-AU"/>
              </w:rPr>
            </w:pPr>
            <w:r w:rsidRPr="00484AE9">
              <w:rPr>
                <w:szCs w:val="20"/>
                <w:lang w:val="en-AU"/>
              </w:rPr>
              <w:t xml:space="preserve">Overall high-risk population prior to 1 July 2023 </w:t>
            </w:r>
          </w:p>
          <w:p w14:paraId="433AB350" w14:textId="77777777" w:rsidR="000619CC" w:rsidRPr="00484AE9" w:rsidRDefault="000619CC" w:rsidP="008B03CB">
            <w:pPr>
              <w:pStyle w:val="TableText0"/>
              <w:keepLines/>
              <w:rPr>
                <w:szCs w:val="20"/>
                <w:lang w:val="en-AU"/>
              </w:rPr>
            </w:pPr>
            <w:r w:rsidRPr="00484AE9">
              <w:rPr>
                <w:szCs w:val="20"/>
                <w:lang w:val="en-AU"/>
              </w:rPr>
              <w:t>(50-59 2 RF and 60-69 1 RF)</w:t>
            </w:r>
          </w:p>
        </w:tc>
        <w:tc>
          <w:tcPr>
            <w:tcW w:w="2126" w:type="dxa"/>
            <w:shd w:val="clear" w:color="auto" w:fill="FFFFFF" w:themeFill="background1"/>
          </w:tcPr>
          <w:p w14:paraId="3DFDE5C5" w14:textId="77777777" w:rsidR="000619CC" w:rsidRPr="00484AE9" w:rsidRDefault="000619CC" w:rsidP="008B03CB">
            <w:pPr>
              <w:pStyle w:val="TableText0"/>
              <w:keepLines/>
              <w:rPr>
                <w:szCs w:val="20"/>
                <w:lang w:val="en-AU"/>
              </w:rPr>
            </w:pPr>
            <w:r w:rsidRPr="00484AE9">
              <w:rPr>
                <w:szCs w:val="20"/>
                <w:lang w:val="en-AU"/>
              </w:rPr>
              <w:t>Aged 70+</w:t>
            </w:r>
          </w:p>
        </w:tc>
        <w:tc>
          <w:tcPr>
            <w:tcW w:w="1843" w:type="dxa"/>
            <w:shd w:val="clear" w:color="auto" w:fill="FFFFFF" w:themeFill="background1"/>
            <w:vAlign w:val="center"/>
          </w:tcPr>
          <w:p w14:paraId="50648B03" w14:textId="77777777" w:rsidR="000619CC" w:rsidRPr="00484AE9" w:rsidRDefault="000619CC" w:rsidP="008B03CB">
            <w:pPr>
              <w:pStyle w:val="TableText0"/>
              <w:keepLines/>
              <w:jc w:val="center"/>
              <w:rPr>
                <w:szCs w:val="20"/>
                <w:lang w:val="en-AU"/>
              </w:rPr>
            </w:pPr>
            <w:r w:rsidRPr="00484AE9">
              <w:rPr>
                <w:szCs w:val="20"/>
                <w:lang w:val="en-AU"/>
              </w:rPr>
              <w:t>50%</w:t>
            </w:r>
          </w:p>
        </w:tc>
        <w:tc>
          <w:tcPr>
            <w:tcW w:w="1842" w:type="dxa"/>
            <w:vMerge w:val="restart"/>
            <w:shd w:val="clear" w:color="auto" w:fill="FFFFFF" w:themeFill="background1"/>
            <w:vAlign w:val="center"/>
          </w:tcPr>
          <w:p w14:paraId="3C35C0C4" w14:textId="04081040" w:rsidR="000619CC" w:rsidRPr="00F76D9A" w:rsidRDefault="00696519" w:rsidP="008B03CB">
            <w:pPr>
              <w:pStyle w:val="TableText0"/>
              <w:keepLines/>
              <w:jc w:val="center"/>
              <w:rPr>
                <w:szCs w:val="20"/>
                <w:highlight w:val="darkGray"/>
                <w:lang w:val="en-AU"/>
              </w:rPr>
            </w:pPr>
            <w:r w:rsidRPr="00696519">
              <w:rPr>
                <w:szCs w:val="20"/>
              </w:rPr>
              <w:t xml:space="preserve"> </w:t>
            </w:r>
            <w:r w:rsidRPr="00696519">
              <w:rPr>
                <w:color w:val="000000"/>
                <w:szCs w:val="20"/>
                <w:shd w:val="solid" w:color="000000" w:fill="000000"/>
                <w14:textFill>
                  <w14:solidFill>
                    <w14:srgbClr w14:val="000000">
                      <w14:alpha w14:val="100000"/>
                    </w14:srgbClr>
                  </w14:solidFill>
                </w14:textFill>
              </w:rPr>
              <w:t>|</w:t>
            </w:r>
            <w:r w:rsidR="00A03123" w:rsidRPr="00D95954">
              <w:rPr>
                <w:szCs w:val="20"/>
                <w:vertAlign w:val="superscript"/>
                <w:lang w:val="en-AU"/>
              </w:rPr>
              <w:t>1</w:t>
            </w:r>
          </w:p>
        </w:tc>
      </w:tr>
      <w:tr w:rsidR="000619CC" w:rsidRPr="00484AE9" w14:paraId="289DE55E" w14:textId="77777777" w:rsidTr="008B03CB">
        <w:trPr>
          <w:trHeight w:val="227"/>
        </w:trPr>
        <w:tc>
          <w:tcPr>
            <w:tcW w:w="3823" w:type="dxa"/>
            <w:vMerge/>
            <w:shd w:val="clear" w:color="auto" w:fill="FFFFFF" w:themeFill="background1"/>
          </w:tcPr>
          <w:p w14:paraId="7136BF08" w14:textId="77777777" w:rsidR="000619CC" w:rsidRPr="00484AE9" w:rsidRDefault="000619CC" w:rsidP="008B03CB">
            <w:pPr>
              <w:pStyle w:val="TableText0"/>
              <w:keepLines/>
              <w:rPr>
                <w:szCs w:val="20"/>
                <w:lang w:val="en-AU"/>
              </w:rPr>
            </w:pPr>
          </w:p>
        </w:tc>
        <w:tc>
          <w:tcPr>
            <w:tcW w:w="2126" w:type="dxa"/>
            <w:shd w:val="clear" w:color="auto" w:fill="FFFFFF" w:themeFill="background1"/>
          </w:tcPr>
          <w:p w14:paraId="5C4B7909" w14:textId="77777777" w:rsidR="000619CC" w:rsidRPr="00484AE9" w:rsidRDefault="000619CC" w:rsidP="008B03CB">
            <w:pPr>
              <w:pStyle w:val="TableText0"/>
              <w:keepLines/>
              <w:rPr>
                <w:szCs w:val="20"/>
                <w:lang w:val="en-AU"/>
              </w:rPr>
            </w:pPr>
            <w:r w:rsidRPr="00484AE9">
              <w:rPr>
                <w:szCs w:val="20"/>
                <w:lang w:val="en-AU"/>
              </w:rPr>
              <w:t>Aged 18+ IC</w:t>
            </w:r>
          </w:p>
        </w:tc>
        <w:tc>
          <w:tcPr>
            <w:tcW w:w="1843" w:type="dxa"/>
            <w:shd w:val="clear" w:color="auto" w:fill="FFFFFF" w:themeFill="background1"/>
            <w:vAlign w:val="center"/>
          </w:tcPr>
          <w:p w14:paraId="566F3419" w14:textId="77777777" w:rsidR="000619CC" w:rsidRPr="00484AE9" w:rsidRDefault="000619CC" w:rsidP="008B03CB">
            <w:pPr>
              <w:pStyle w:val="TableText0"/>
              <w:keepLines/>
              <w:jc w:val="center"/>
              <w:rPr>
                <w:szCs w:val="20"/>
                <w:lang w:val="en-AU"/>
              </w:rPr>
            </w:pPr>
            <w:r w:rsidRPr="00484AE9">
              <w:rPr>
                <w:szCs w:val="20"/>
                <w:lang w:val="en-AU"/>
              </w:rPr>
              <w:t>15%</w:t>
            </w:r>
          </w:p>
        </w:tc>
        <w:tc>
          <w:tcPr>
            <w:tcW w:w="1842" w:type="dxa"/>
            <w:vMerge/>
            <w:shd w:val="clear" w:color="auto" w:fill="FFFFFF" w:themeFill="background1"/>
            <w:vAlign w:val="center"/>
          </w:tcPr>
          <w:p w14:paraId="032E7728" w14:textId="77777777" w:rsidR="000619CC" w:rsidRPr="00F76D9A" w:rsidRDefault="000619CC" w:rsidP="008B03CB">
            <w:pPr>
              <w:pStyle w:val="TableText0"/>
              <w:keepLines/>
              <w:jc w:val="center"/>
              <w:rPr>
                <w:szCs w:val="20"/>
                <w:highlight w:val="darkGray"/>
                <w:lang w:val="en-AU"/>
              </w:rPr>
            </w:pPr>
          </w:p>
        </w:tc>
      </w:tr>
      <w:tr w:rsidR="000619CC" w:rsidRPr="00484AE9" w14:paraId="26BF5DA7" w14:textId="77777777" w:rsidTr="008B03CB">
        <w:trPr>
          <w:trHeight w:val="227"/>
        </w:trPr>
        <w:tc>
          <w:tcPr>
            <w:tcW w:w="3823" w:type="dxa"/>
            <w:vMerge/>
            <w:shd w:val="clear" w:color="auto" w:fill="FFFFFF" w:themeFill="background1"/>
          </w:tcPr>
          <w:p w14:paraId="4C750497" w14:textId="77777777" w:rsidR="000619CC" w:rsidRPr="00484AE9" w:rsidRDefault="000619CC" w:rsidP="008B03CB">
            <w:pPr>
              <w:pStyle w:val="TableText0"/>
              <w:keepLines/>
              <w:rPr>
                <w:szCs w:val="20"/>
                <w:lang w:val="en-AU"/>
              </w:rPr>
            </w:pPr>
          </w:p>
        </w:tc>
        <w:tc>
          <w:tcPr>
            <w:tcW w:w="2126" w:type="dxa"/>
            <w:shd w:val="clear" w:color="auto" w:fill="FFFFFF" w:themeFill="background1"/>
          </w:tcPr>
          <w:p w14:paraId="403E039A" w14:textId="77777777" w:rsidR="000619CC" w:rsidRPr="00484AE9" w:rsidRDefault="000619CC" w:rsidP="008B03CB">
            <w:pPr>
              <w:pStyle w:val="TableText0"/>
              <w:keepLines/>
              <w:rPr>
                <w:szCs w:val="20"/>
                <w:lang w:val="en-AU"/>
              </w:rPr>
            </w:pPr>
            <w:r w:rsidRPr="00484AE9">
              <w:rPr>
                <w:szCs w:val="20"/>
                <w:lang w:val="en-AU"/>
              </w:rPr>
              <w:t>Aged 30+ ATSI HR1</w:t>
            </w:r>
          </w:p>
        </w:tc>
        <w:tc>
          <w:tcPr>
            <w:tcW w:w="1843" w:type="dxa"/>
            <w:shd w:val="clear" w:color="auto" w:fill="FFFFFF" w:themeFill="background1"/>
            <w:vAlign w:val="center"/>
          </w:tcPr>
          <w:p w14:paraId="261CF042" w14:textId="77777777" w:rsidR="000619CC" w:rsidRPr="00484AE9" w:rsidRDefault="000619CC" w:rsidP="008B03CB">
            <w:pPr>
              <w:pStyle w:val="TableText0"/>
              <w:keepLines/>
              <w:jc w:val="center"/>
              <w:rPr>
                <w:szCs w:val="20"/>
                <w:lang w:val="en-AU"/>
              </w:rPr>
            </w:pPr>
            <w:r w:rsidRPr="00484AE9">
              <w:rPr>
                <w:szCs w:val="20"/>
                <w:lang w:val="en-AU"/>
              </w:rPr>
              <w:t>5%</w:t>
            </w:r>
          </w:p>
        </w:tc>
        <w:tc>
          <w:tcPr>
            <w:tcW w:w="1842" w:type="dxa"/>
            <w:vMerge/>
            <w:shd w:val="clear" w:color="auto" w:fill="FFFFFF" w:themeFill="background1"/>
            <w:vAlign w:val="center"/>
          </w:tcPr>
          <w:p w14:paraId="3F39C821" w14:textId="77777777" w:rsidR="000619CC" w:rsidRPr="00F76D9A" w:rsidRDefault="000619CC" w:rsidP="008B03CB">
            <w:pPr>
              <w:pStyle w:val="TableText0"/>
              <w:keepLines/>
              <w:jc w:val="center"/>
              <w:rPr>
                <w:szCs w:val="20"/>
                <w:highlight w:val="darkGray"/>
                <w:lang w:val="en-AU"/>
              </w:rPr>
            </w:pPr>
          </w:p>
        </w:tc>
      </w:tr>
      <w:tr w:rsidR="000619CC" w:rsidRPr="00484AE9" w14:paraId="2D8483F7" w14:textId="77777777" w:rsidTr="008B03CB">
        <w:trPr>
          <w:trHeight w:val="186"/>
        </w:trPr>
        <w:tc>
          <w:tcPr>
            <w:tcW w:w="3823" w:type="dxa"/>
            <w:vMerge/>
            <w:shd w:val="clear" w:color="auto" w:fill="FFFFFF" w:themeFill="background1"/>
          </w:tcPr>
          <w:p w14:paraId="167883F9" w14:textId="77777777" w:rsidR="000619CC" w:rsidRPr="00484AE9" w:rsidRDefault="000619CC" w:rsidP="008B03CB">
            <w:pPr>
              <w:pStyle w:val="TableText0"/>
              <w:keepLines/>
              <w:rPr>
                <w:szCs w:val="20"/>
                <w:lang w:val="en-AU"/>
              </w:rPr>
            </w:pPr>
          </w:p>
        </w:tc>
        <w:tc>
          <w:tcPr>
            <w:tcW w:w="2126" w:type="dxa"/>
            <w:shd w:val="clear" w:color="auto" w:fill="FFFFFF" w:themeFill="background1"/>
          </w:tcPr>
          <w:p w14:paraId="286B92B1" w14:textId="77777777" w:rsidR="000619CC" w:rsidRPr="00484AE9" w:rsidRDefault="000619CC" w:rsidP="008B03CB">
            <w:pPr>
              <w:pStyle w:val="TableText0"/>
              <w:keepLines/>
              <w:rPr>
                <w:szCs w:val="20"/>
                <w:lang w:val="en-AU"/>
              </w:rPr>
            </w:pPr>
            <w:r w:rsidRPr="00484AE9">
              <w:rPr>
                <w:szCs w:val="20"/>
                <w:lang w:val="en-AU"/>
              </w:rPr>
              <w:t>Aged 50+ HR2</w:t>
            </w:r>
          </w:p>
        </w:tc>
        <w:tc>
          <w:tcPr>
            <w:tcW w:w="1843" w:type="dxa"/>
            <w:shd w:val="clear" w:color="auto" w:fill="FFFFFF" w:themeFill="background1"/>
            <w:vAlign w:val="center"/>
          </w:tcPr>
          <w:p w14:paraId="41E762B9" w14:textId="77777777" w:rsidR="000619CC" w:rsidRPr="00484AE9" w:rsidRDefault="000619CC" w:rsidP="008B03CB">
            <w:pPr>
              <w:pStyle w:val="TableText0"/>
              <w:keepLines/>
              <w:jc w:val="center"/>
              <w:rPr>
                <w:szCs w:val="20"/>
                <w:lang w:val="en-AU"/>
              </w:rPr>
            </w:pPr>
            <w:r w:rsidRPr="00484AE9">
              <w:rPr>
                <w:szCs w:val="20"/>
                <w:lang w:val="en-AU"/>
              </w:rPr>
              <w:t>15%</w:t>
            </w:r>
          </w:p>
        </w:tc>
        <w:tc>
          <w:tcPr>
            <w:tcW w:w="1842" w:type="dxa"/>
            <w:vMerge/>
            <w:shd w:val="clear" w:color="auto" w:fill="FFFFFF" w:themeFill="background1"/>
            <w:vAlign w:val="center"/>
          </w:tcPr>
          <w:p w14:paraId="64C3258D" w14:textId="77777777" w:rsidR="000619CC" w:rsidRPr="00F76D9A" w:rsidRDefault="000619CC" w:rsidP="008B03CB">
            <w:pPr>
              <w:pStyle w:val="TableText0"/>
              <w:keepLines/>
              <w:jc w:val="center"/>
              <w:rPr>
                <w:szCs w:val="20"/>
                <w:highlight w:val="darkGray"/>
                <w:lang w:val="en-AU"/>
              </w:rPr>
            </w:pPr>
          </w:p>
        </w:tc>
      </w:tr>
      <w:tr w:rsidR="000619CC" w:rsidRPr="00484AE9" w14:paraId="7A9D1EF8" w14:textId="77777777" w:rsidTr="008B03CB">
        <w:trPr>
          <w:trHeight w:val="227"/>
        </w:trPr>
        <w:tc>
          <w:tcPr>
            <w:tcW w:w="3823" w:type="dxa"/>
            <w:vMerge/>
            <w:shd w:val="clear" w:color="auto" w:fill="FFFFFF" w:themeFill="background1"/>
          </w:tcPr>
          <w:p w14:paraId="4FC76A3B" w14:textId="77777777" w:rsidR="000619CC" w:rsidRPr="00484AE9" w:rsidRDefault="000619CC" w:rsidP="008B03CB">
            <w:pPr>
              <w:pStyle w:val="TableText0"/>
              <w:keepLines/>
              <w:rPr>
                <w:szCs w:val="20"/>
                <w:lang w:val="en-AU"/>
              </w:rPr>
            </w:pPr>
          </w:p>
        </w:tc>
        <w:tc>
          <w:tcPr>
            <w:tcW w:w="2126" w:type="dxa"/>
            <w:shd w:val="clear" w:color="auto" w:fill="FFFFFF" w:themeFill="background1"/>
          </w:tcPr>
          <w:p w14:paraId="3043288F" w14:textId="77777777" w:rsidR="000619CC" w:rsidRPr="00484AE9" w:rsidRDefault="000619CC" w:rsidP="008B03CB">
            <w:pPr>
              <w:pStyle w:val="TableText0"/>
              <w:keepLines/>
              <w:rPr>
                <w:szCs w:val="20"/>
                <w:lang w:val="en-AU"/>
              </w:rPr>
            </w:pPr>
            <w:r w:rsidRPr="00484AE9">
              <w:rPr>
                <w:szCs w:val="20"/>
                <w:lang w:val="en-AU"/>
              </w:rPr>
              <w:t>Aged 60+ HR1</w:t>
            </w:r>
          </w:p>
        </w:tc>
        <w:tc>
          <w:tcPr>
            <w:tcW w:w="1843" w:type="dxa"/>
            <w:shd w:val="clear" w:color="auto" w:fill="FFFFFF" w:themeFill="background1"/>
            <w:vAlign w:val="center"/>
          </w:tcPr>
          <w:p w14:paraId="1B77C899" w14:textId="77777777" w:rsidR="000619CC" w:rsidRPr="00484AE9" w:rsidRDefault="000619CC" w:rsidP="008B03CB">
            <w:pPr>
              <w:pStyle w:val="TableText0"/>
              <w:keepLines/>
              <w:jc w:val="center"/>
              <w:rPr>
                <w:szCs w:val="20"/>
                <w:lang w:val="en-AU"/>
              </w:rPr>
            </w:pPr>
            <w:r w:rsidRPr="00484AE9">
              <w:rPr>
                <w:szCs w:val="20"/>
                <w:lang w:val="en-AU"/>
              </w:rPr>
              <w:t>15%</w:t>
            </w:r>
          </w:p>
        </w:tc>
        <w:tc>
          <w:tcPr>
            <w:tcW w:w="1842" w:type="dxa"/>
            <w:vMerge/>
            <w:shd w:val="clear" w:color="auto" w:fill="FFFFFF" w:themeFill="background1"/>
            <w:vAlign w:val="center"/>
          </w:tcPr>
          <w:p w14:paraId="5D575678" w14:textId="77777777" w:rsidR="000619CC" w:rsidRPr="00F76D9A" w:rsidRDefault="000619CC" w:rsidP="008B03CB">
            <w:pPr>
              <w:pStyle w:val="TableText0"/>
              <w:keepLines/>
              <w:jc w:val="center"/>
              <w:rPr>
                <w:szCs w:val="20"/>
                <w:highlight w:val="darkGray"/>
                <w:lang w:val="en-AU"/>
              </w:rPr>
            </w:pPr>
          </w:p>
        </w:tc>
      </w:tr>
      <w:tr w:rsidR="000619CC" w:rsidRPr="00484AE9" w14:paraId="0E63C3EA" w14:textId="77777777" w:rsidTr="008B03CB">
        <w:trPr>
          <w:trHeight w:val="227"/>
        </w:trPr>
        <w:tc>
          <w:tcPr>
            <w:tcW w:w="3823" w:type="dxa"/>
            <w:vMerge w:val="restart"/>
            <w:shd w:val="clear" w:color="auto" w:fill="FFFFFF" w:themeFill="background1"/>
          </w:tcPr>
          <w:p w14:paraId="78BA0714" w14:textId="77777777" w:rsidR="000619CC" w:rsidRPr="00484AE9" w:rsidRDefault="000619CC" w:rsidP="008B03CB">
            <w:pPr>
              <w:pStyle w:val="TableText0"/>
              <w:keepLines/>
              <w:rPr>
                <w:szCs w:val="20"/>
                <w:lang w:val="en-AU"/>
              </w:rPr>
            </w:pPr>
            <w:r w:rsidRPr="00484AE9">
              <w:rPr>
                <w:szCs w:val="20"/>
                <w:lang w:val="en-AU"/>
              </w:rPr>
              <w:t>Scenario #8</w:t>
            </w:r>
          </w:p>
          <w:p w14:paraId="13AE7531" w14:textId="77777777" w:rsidR="000619CC" w:rsidRPr="00484AE9" w:rsidRDefault="000619CC" w:rsidP="008B03CB">
            <w:pPr>
              <w:pStyle w:val="TableText0"/>
              <w:keepLines/>
              <w:rPr>
                <w:szCs w:val="20"/>
                <w:lang w:val="en-AU"/>
              </w:rPr>
            </w:pPr>
            <w:r w:rsidRPr="00484AE9">
              <w:rPr>
                <w:szCs w:val="20"/>
                <w:lang w:val="en-AU"/>
              </w:rPr>
              <w:t xml:space="preserve">Overall high-risk population - criteria prior to 1 April and 1 July changes </w:t>
            </w:r>
          </w:p>
          <w:p w14:paraId="26D29412" w14:textId="40EB2879" w:rsidR="000619CC" w:rsidRPr="00484AE9" w:rsidRDefault="000619CC" w:rsidP="008B03CB">
            <w:pPr>
              <w:pStyle w:val="TableText0"/>
              <w:keepLines/>
              <w:rPr>
                <w:szCs w:val="20"/>
                <w:lang w:val="en-AU"/>
              </w:rPr>
            </w:pPr>
            <w:r w:rsidRPr="00484AE9">
              <w:rPr>
                <w:szCs w:val="20"/>
                <w:lang w:val="en-AU"/>
              </w:rPr>
              <w:t>(50-59 2</w:t>
            </w:r>
            <w:r w:rsidR="00523E50" w:rsidRPr="00484AE9">
              <w:rPr>
                <w:szCs w:val="20"/>
                <w:lang w:val="en-AU"/>
              </w:rPr>
              <w:t xml:space="preserve"> </w:t>
            </w:r>
            <w:r w:rsidRPr="00484AE9">
              <w:rPr>
                <w:szCs w:val="20"/>
                <w:lang w:val="en-AU"/>
              </w:rPr>
              <w:t>RF and 60-69 2</w:t>
            </w:r>
            <w:r w:rsidR="00523E50" w:rsidRPr="00484AE9">
              <w:rPr>
                <w:szCs w:val="20"/>
                <w:lang w:val="en-AU"/>
              </w:rPr>
              <w:t xml:space="preserve"> </w:t>
            </w:r>
            <w:r w:rsidRPr="00484AE9">
              <w:rPr>
                <w:szCs w:val="20"/>
                <w:lang w:val="en-AU"/>
              </w:rPr>
              <w:t>RF)</w:t>
            </w:r>
          </w:p>
        </w:tc>
        <w:tc>
          <w:tcPr>
            <w:tcW w:w="2126" w:type="dxa"/>
            <w:shd w:val="clear" w:color="auto" w:fill="FFFFFF" w:themeFill="background1"/>
          </w:tcPr>
          <w:p w14:paraId="77874403" w14:textId="77777777" w:rsidR="000619CC" w:rsidRPr="00484AE9" w:rsidRDefault="000619CC" w:rsidP="008B03CB">
            <w:pPr>
              <w:pStyle w:val="TableText0"/>
              <w:keepLines/>
              <w:rPr>
                <w:szCs w:val="20"/>
                <w:lang w:val="en-AU"/>
              </w:rPr>
            </w:pPr>
            <w:r w:rsidRPr="00484AE9">
              <w:rPr>
                <w:szCs w:val="20"/>
                <w:lang w:val="en-AU"/>
              </w:rPr>
              <w:t>Aged 70+</w:t>
            </w:r>
          </w:p>
        </w:tc>
        <w:tc>
          <w:tcPr>
            <w:tcW w:w="1843" w:type="dxa"/>
            <w:shd w:val="clear" w:color="auto" w:fill="FFFFFF" w:themeFill="background1"/>
            <w:vAlign w:val="center"/>
          </w:tcPr>
          <w:p w14:paraId="1B492040" w14:textId="77777777" w:rsidR="000619CC" w:rsidRPr="00484AE9" w:rsidRDefault="000619CC" w:rsidP="008B03CB">
            <w:pPr>
              <w:pStyle w:val="TableText0"/>
              <w:keepLines/>
              <w:jc w:val="center"/>
              <w:rPr>
                <w:szCs w:val="20"/>
                <w:lang w:val="en-AU"/>
              </w:rPr>
            </w:pPr>
            <w:r w:rsidRPr="00484AE9">
              <w:rPr>
                <w:szCs w:val="20"/>
                <w:lang w:val="en-AU"/>
              </w:rPr>
              <w:t>50%</w:t>
            </w:r>
          </w:p>
        </w:tc>
        <w:tc>
          <w:tcPr>
            <w:tcW w:w="1842" w:type="dxa"/>
            <w:vMerge w:val="restart"/>
            <w:shd w:val="clear" w:color="auto" w:fill="FFFFFF" w:themeFill="background1"/>
            <w:vAlign w:val="center"/>
          </w:tcPr>
          <w:p w14:paraId="5F670626" w14:textId="3466109B" w:rsidR="000619CC" w:rsidRPr="00F76D9A" w:rsidRDefault="00696519" w:rsidP="008B03CB">
            <w:pPr>
              <w:pStyle w:val="TableText0"/>
              <w:keepLines/>
              <w:jc w:val="center"/>
              <w:rPr>
                <w:szCs w:val="20"/>
                <w:highlight w:val="darkGray"/>
                <w:lang w:val="en-AU"/>
              </w:rPr>
            </w:pPr>
            <w:r w:rsidRPr="00696519">
              <w:rPr>
                <w:szCs w:val="20"/>
              </w:rPr>
              <w:t xml:space="preserve"> </w:t>
            </w:r>
            <w:r w:rsidRPr="00696519">
              <w:rPr>
                <w:color w:val="000000"/>
                <w:szCs w:val="20"/>
                <w:shd w:val="solid" w:color="000000" w:fill="000000"/>
                <w14:textFill>
                  <w14:solidFill>
                    <w14:srgbClr w14:val="000000">
                      <w14:alpha w14:val="100000"/>
                    </w14:srgbClr>
                  </w14:solidFill>
                </w14:textFill>
              </w:rPr>
              <w:t>|</w:t>
            </w:r>
            <w:r w:rsidR="00A03123" w:rsidRPr="00D95954">
              <w:rPr>
                <w:szCs w:val="20"/>
                <w:vertAlign w:val="superscript"/>
                <w:lang w:val="en-AU"/>
              </w:rPr>
              <w:t>1</w:t>
            </w:r>
          </w:p>
        </w:tc>
      </w:tr>
      <w:tr w:rsidR="000619CC" w:rsidRPr="00484AE9" w14:paraId="3DE3D871" w14:textId="77777777" w:rsidTr="008B03CB">
        <w:trPr>
          <w:trHeight w:val="227"/>
        </w:trPr>
        <w:tc>
          <w:tcPr>
            <w:tcW w:w="3823" w:type="dxa"/>
            <w:vMerge/>
            <w:shd w:val="clear" w:color="auto" w:fill="FFFFFF" w:themeFill="background1"/>
          </w:tcPr>
          <w:p w14:paraId="245F8EE6" w14:textId="77777777" w:rsidR="000619CC" w:rsidRPr="00484AE9" w:rsidRDefault="000619CC" w:rsidP="008B03CB">
            <w:pPr>
              <w:pStyle w:val="TableText0"/>
              <w:keepLines/>
              <w:rPr>
                <w:szCs w:val="20"/>
                <w:lang w:val="en-AU"/>
              </w:rPr>
            </w:pPr>
          </w:p>
        </w:tc>
        <w:tc>
          <w:tcPr>
            <w:tcW w:w="2126" w:type="dxa"/>
            <w:shd w:val="clear" w:color="auto" w:fill="FFFFFF" w:themeFill="background1"/>
          </w:tcPr>
          <w:p w14:paraId="00F9CB73" w14:textId="77777777" w:rsidR="000619CC" w:rsidRPr="00484AE9" w:rsidRDefault="000619CC" w:rsidP="008B03CB">
            <w:pPr>
              <w:pStyle w:val="TableText0"/>
              <w:keepLines/>
              <w:rPr>
                <w:szCs w:val="20"/>
                <w:lang w:val="en-AU"/>
              </w:rPr>
            </w:pPr>
            <w:r w:rsidRPr="00484AE9">
              <w:rPr>
                <w:szCs w:val="20"/>
                <w:lang w:val="en-AU"/>
              </w:rPr>
              <w:t>Aged 18+ IC</w:t>
            </w:r>
          </w:p>
        </w:tc>
        <w:tc>
          <w:tcPr>
            <w:tcW w:w="1843" w:type="dxa"/>
            <w:shd w:val="clear" w:color="auto" w:fill="FFFFFF" w:themeFill="background1"/>
            <w:vAlign w:val="center"/>
          </w:tcPr>
          <w:p w14:paraId="09FEAF9B" w14:textId="77777777" w:rsidR="000619CC" w:rsidRPr="00484AE9" w:rsidRDefault="000619CC" w:rsidP="008B03CB">
            <w:pPr>
              <w:pStyle w:val="TableText0"/>
              <w:keepLines/>
              <w:jc w:val="center"/>
              <w:rPr>
                <w:szCs w:val="20"/>
                <w:lang w:val="en-AU"/>
              </w:rPr>
            </w:pPr>
            <w:r w:rsidRPr="00484AE9">
              <w:rPr>
                <w:szCs w:val="20"/>
                <w:lang w:val="en-AU"/>
              </w:rPr>
              <w:t>15%</w:t>
            </w:r>
          </w:p>
        </w:tc>
        <w:tc>
          <w:tcPr>
            <w:tcW w:w="1842" w:type="dxa"/>
            <w:vMerge/>
            <w:shd w:val="clear" w:color="auto" w:fill="FFFFFF" w:themeFill="background1"/>
          </w:tcPr>
          <w:p w14:paraId="0AA382F6" w14:textId="77777777" w:rsidR="000619CC" w:rsidRPr="00484AE9" w:rsidRDefault="000619CC" w:rsidP="008B03CB">
            <w:pPr>
              <w:pStyle w:val="TableText0"/>
              <w:keepLines/>
              <w:jc w:val="center"/>
              <w:rPr>
                <w:szCs w:val="20"/>
                <w:lang w:val="en-AU"/>
              </w:rPr>
            </w:pPr>
          </w:p>
        </w:tc>
      </w:tr>
      <w:tr w:rsidR="000619CC" w:rsidRPr="00484AE9" w14:paraId="3BDFA664" w14:textId="77777777" w:rsidTr="008B03CB">
        <w:trPr>
          <w:trHeight w:val="227"/>
        </w:trPr>
        <w:tc>
          <w:tcPr>
            <w:tcW w:w="3823" w:type="dxa"/>
            <w:vMerge/>
            <w:shd w:val="clear" w:color="auto" w:fill="FFFFFF" w:themeFill="background1"/>
          </w:tcPr>
          <w:p w14:paraId="68F34AAA" w14:textId="77777777" w:rsidR="000619CC" w:rsidRPr="00484AE9" w:rsidRDefault="000619CC" w:rsidP="008B03CB">
            <w:pPr>
              <w:pStyle w:val="TableText0"/>
              <w:keepLines/>
              <w:rPr>
                <w:szCs w:val="20"/>
                <w:lang w:val="en-AU"/>
              </w:rPr>
            </w:pPr>
          </w:p>
        </w:tc>
        <w:tc>
          <w:tcPr>
            <w:tcW w:w="2126" w:type="dxa"/>
            <w:shd w:val="clear" w:color="auto" w:fill="FFFFFF" w:themeFill="background1"/>
          </w:tcPr>
          <w:p w14:paraId="58845B96" w14:textId="77777777" w:rsidR="000619CC" w:rsidRPr="00484AE9" w:rsidRDefault="000619CC" w:rsidP="008B03CB">
            <w:pPr>
              <w:pStyle w:val="TableText0"/>
              <w:keepLines/>
              <w:rPr>
                <w:szCs w:val="20"/>
                <w:lang w:val="en-AU"/>
              </w:rPr>
            </w:pPr>
            <w:r w:rsidRPr="00484AE9">
              <w:rPr>
                <w:szCs w:val="20"/>
                <w:lang w:val="en-AU"/>
              </w:rPr>
              <w:t>Aged 30+ ATSI HR1</w:t>
            </w:r>
          </w:p>
        </w:tc>
        <w:tc>
          <w:tcPr>
            <w:tcW w:w="1843" w:type="dxa"/>
            <w:shd w:val="clear" w:color="auto" w:fill="FFFFFF" w:themeFill="background1"/>
            <w:vAlign w:val="center"/>
          </w:tcPr>
          <w:p w14:paraId="68BA5EAF" w14:textId="77777777" w:rsidR="000619CC" w:rsidRPr="00484AE9" w:rsidRDefault="000619CC" w:rsidP="008B03CB">
            <w:pPr>
              <w:pStyle w:val="TableText0"/>
              <w:keepLines/>
              <w:jc w:val="center"/>
              <w:rPr>
                <w:szCs w:val="20"/>
                <w:lang w:val="en-AU"/>
              </w:rPr>
            </w:pPr>
            <w:r w:rsidRPr="00484AE9">
              <w:rPr>
                <w:szCs w:val="20"/>
                <w:lang w:val="en-AU"/>
              </w:rPr>
              <w:t>5%</w:t>
            </w:r>
          </w:p>
        </w:tc>
        <w:tc>
          <w:tcPr>
            <w:tcW w:w="1842" w:type="dxa"/>
            <w:vMerge/>
            <w:shd w:val="clear" w:color="auto" w:fill="FFFFFF" w:themeFill="background1"/>
          </w:tcPr>
          <w:p w14:paraId="50CF4D91" w14:textId="77777777" w:rsidR="000619CC" w:rsidRPr="00484AE9" w:rsidRDefault="000619CC" w:rsidP="008B03CB">
            <w:pPr>
              <w:pStyle w:val="TableText0"/>
              <w:keepLines/>
              <w:jc w:val="center"/>
              <w:rPr>
                <w:szCs w:val="20"/>
                <w:lang w:val="en-AU"/>
              </w:rPr>
            </w:pPr>
          </w:p>
        </w:tc>
      </w:tr>
      <w:tr w:rsidR="000619CC" w:rsidRPr="00484AE9" w14:paraId="0F95AD26" w14:textId="77777777" w:rsidTr="008B03CB">
        <w:trPr>
          <w:trHeight w:val="345"/>
        </w:trPr>
        <w:tc>
          <w:tcPr>
            <w:tcW w:w="3823" w:type="dxa"/>
            <w:vMerge/>
            <w:shd w:val="clear" w:color="auto" w:fill="FFFFFF" w:themeFill="background1"/>
          </w:tcPr>
          <w:p w14:paraId="0DFF27B1" w14:textId="77777777" w:rsidR="000619CC" w:rsidRPr="00484AE9" w:rsidRDefault="000619CC" w:rsidP="008B03CB">
            <w:pPr>
              <w:pStyle w:val="TableText0"/>
              <w:keepLines/>
              <w:rPr>
                <w:szCs w:val="20"/>
                <w:lang w:val="en-AU"/>
              </w:rPr>
            </w:pPr>
          </w:p>
        </w:tc>
        <w:tc>
          <w:tcPr>
            <w:tcW w:w="2126" w:type="dxa"/>
            <w:shd w:val="clear" w:color="auto" w:fill="FFFFFF" w:themeFill="background1"/>
          </w:tcPr>
          <w:p w14:paraId="10A27138" w14:textId="77777777" w:rsidR="000619CC" w:rsidRPr="00484AE9" w:rsidRDefault="000619CC" w:rsidP="008B03CB">
            <w:pPr>
              <w:pStyle w:val="TableText0"/>
              <w:keepLines/>
              <w:rPr>
                <w:szCs w:val="20"/>
                <w:lang w:val="en-AU"/>
              </w:rPr>
            </w:pPr>
            <w:r w:rsidRPr="00484AE9">
              <w:rPr>
                <w:szCs w:val="20"/>
                <w:lang w:val="en-AU"/>
              </w:rPr>
              <w:t>Aged 50-69 HR2</w:t>
            </w:r>
          </w:p>
        </w:tc>
        <w:tc>
          <w:tcPr>
            <w:tcW w:w="1843" w:type="dxa"/>
            <w:shd w:val="clear" w:color="auto" w:fill="FFFFFF" w:themeFill="background1"/>
            <w:vAlign w:val="center"/>
          </w:tcPr>
          <w:p w14:paraId="42DE227F" w14:textId="77777777" w:rsidR="000619CC" w:rsidRPr="00484AE9" w:rsidRDefault="000619CC" w:rsidP="008B03CB">
            <w:pPr>
              <w:pStyle w:val="TableText0"/>
              <w:keepLines/>
              <w:jc w:val="center"/>
              <w:rPr>
                <w:szCs w:val="20"/>
                <w:lang w:val="en-AU"/>
              </w:rPr>
            </w:pPr>
            <w:r w:rsidRPr="00484AE9">
              <w:rPr>
                <w:szCs w:val="20"/>
                <w:lang w:val="en-AU"/>
              </w:rPr>
              <w:t>30%</w:t>
            </w:r>
          </w:p>
        </w:tc>
        <w:tc>
          <w:tcPr>
            <w:tcW w:w="1842" w:type="dxa"/>
            <w:vMerge/>
            <w:shd w:val="clear" w:color="auto" w:fill="FFFFFF" w:themeFill="background1"/>
          </w:tcPr>
          <w:p w14:paraId="5EDE41F8" w14:textId="77777777" w:rsidR="000619CC" w:rsidRPr="00484AE9" w:rsidRDefault="000619CC" w:rsidP="008B03CB">
            <w:pPr>
              <w:pStyle w:val="TableText0"/>
              <w:keepLines/>
              <w:jc w:val="center"/>
              <w:rPr>
                <w:szCs w:val="20"/>
                <w:lang w:val="en-AU"/>
              </w:rPr>
            </w:pPr>
          </w:p>
        </w:tc>
      </w:tr>
    </w:tbl>
    <w:bookmarkEnd w:id="137"/>
    <w:p w14:paraId="0CCAC7A2" w14:textId="57A858D7" w:rsidR="00B909F1" w:rsidRDefault="000619CC" w:rsidP="00BB732D">
      <w:pPr>
        <w:pStyle w:val="FooterTableFigure"/>
        <w:rPr>
          <w:rFonts w:eastAsia="Calibri"/>
          <w:szCs w:val="20"/>
        </w:rPr>
      </w:pPr>
      <w:r w:rsidRPr="00484AE9">
        <w:t>Source: Table 3.9.</w:t>
      </w:r>
      <w:r w:rsidR="00637696" w:rsidRPr="00484AE9">
        <w:t>7</w:t>
      </w:r>
      <w:r w:rsidRPr="00484AE9">
        <w:t xml:space="preserve"> on p</w:t>
      </w:r>
      <w:r w:rsidR="00365629" w:rsidRPr="00484AE9">
        <w:t>202</w:t>
      </w:r>
      <w:r w:rsidRPr="00484AE9">
        <w:t xml:space="preserve"> of the submission</w:t>
      </w:r>
      <w:r w:rsidR="00365629" w:rsidRPr="00484AE9">
        <w:t>.</w:t>
      </w:r>
      <w:r w:rsidR="008215FB" w:rsidRPr="00484AE9">
        <w:rPr>
          <w:rFonts w:eastAsia="Calibri"/>
          <w:szCs w:val="20"/>
        </w:rPr>
        <w:t xml:space="preserve"> </w:t>
      </w:r>
    </w:p>
    <w:p w14:paraId="3DA390FB" w14:textId="77777777" w:rsidR="00A03123" w:rsidRPr="00A03123" w:rsidRDefault="00A03123" w:rsidP="00A03123">
      <w:pPr>
        <w:pStyle w:val="FooterTableFigure"/>
        <w:rPr>
          <w:rFonts w:eastAsia="Calibri"/>
          <w:i/>
          <w:iCs/>
          <w:szCs w:val="20"/>
        </w:rPr>
      </w:pPr>
      <w:r w:rsidRPr="00A03123">
        <w:rPr>
          <w:rFonts w:eastAsia="Calibri"/>
          <w:i/>
          <w:iCs/>
          <w:szCs w:val="20"/>
        </w:rPr>
        <w:t>The redacted values correspond to the following ranges:</w:t>
      </w:r>
    </w:p>
    <w:p w14:paraId="10F9E0A8" w14:textId="7483EF04" w:rsidR="00A03123" w:rsidRPr="00A03123" w:rsidRDefault="00A03123" w:rsidP="00A03123">
      <w:pPr>
        <w:pStyle w:val="FooterTableFigure"/>
        <w:rPr>
          <w:rFonts w:eastAsia="Calibri"/>
          <w:i/>
          <w:iCs/>
          <w:szCs w:val="20"/>
        </w:rPr>
      </w:pPr>
      <w:r>
        <w:rPr>
          <w:rFonts w:eastAsia="Calibri"/>
          <w:i/>
          <w:iCs/>
          <w:szCs w:val="20"/>
          <w:vertAlign w:val="superscript"/>
        </w:rPr>
        <w:t>1</w:t>
      </w:r>
      <w:r w:rsidRPr="00A03123">
        <w:rPr>
          <w:rFonts w:eastAsia="Calibri"/>
          <w:i/>
          <w:iCs/>
          <w:szCs w:val="20"/>
        </w:rPr>
        <w:t xml:space="preserve"> $5,000 to &lt; $15,000 </w:t>
      </w:r>
    </w:p>
    <w:p w14:paraId="5D2C46B9" w14:textId="09CB63AA" w:rsidR="00A03123" w:rsidRDefault="00A03123" w:rsidP="00A03123">
      <w:pPr>
        <w:pStyle w:val="FooterTableFigure"/>
        <w:rPr>
          <w:rFonts w:eastAsia="Calibri"/>
          <w:i/>
          <w:iCs/>
          <w:szCs w:val="20"/>
        </w:rPr>
      </w:pPr>
      <w:r>
        <w:rPr>
          <w:rFonts w:eastAsia="Calibri"/>
          <w:i/>
          <w:iCs/>
          <w:szCs w:val="20"/>
          <w:vertAlign w:val="superscript"/>
        </w:rPr>
        <w:t xml:space="preserve">2 </w:t>
      </w:r>
      <w:r w:rsidRPr="00A03123">
        <w:rPr>
          <w:rFonts w:eastAsia="Calibri"/>
          <w:i/>
          <w:iCs/>
          <w:szCs w:val="20"/>
        </w:rPr>
        <w:t>$15,000 to &lt; $25,000</w:t>
      </w:r>
    </w:p>
    <w:p w14:paraId="706506F2" w14:textId="07098516" w:rsidR="00A03123" w:rsidRPr="00484AE9" w:rsidRDefault="00903280" w:rsidP="00BB732D">
      <w:pPr>
        <w:pStyle w:val="FooterTableFigure"/>
        <w:rPr>
          <w:rFonts w:eastAsia="Calibri"/>
          <w:szCs w:val="20"/>
        </w:rPr>
      </w:pPr>
      <w:r w:rsidRPr="00F76D9A">
        <w:rPr>
          <w:rFonts w:eastAsia="Calibri"/>
          <w:i/>
          <w:iCs/>
          <w:szCs w:val="20"/>
          <w:vertAlign w:val="superscript"/>
        </w:rPr>
        <w:t xml:space="preserve">3 </w:t>
      </w:r>
      <w:r w:rsidR="00A03123" w:rsidRPr="00A03123">
        <w:rPr>
          <w:rFonts w:eastAsia="Calibri"/>
          <w:i/>
          <w:iCs/>
          <w:szCs w:val="20"/>
        </w:rPr>
        <w:t>$25,000 to &lt; $35,000</w:t>
      </w:r>
    </w:p>
    <w:p w14:paraId="1873FD91" w14:textId="78579EC4" w:rsidR="00946059" w:rsidRPr="00484AE9" w:rsidRDefault="00946059" w:rsidP="008B03CB">
      <w:pPr>
        <w:pStyle w:val="3-BodyText"/>
        <w:rPr>
          <w:iCs/>
        </w:rPr>
      </w:pPr>
      <w:r w:rsidRPr="00484AE9">
        <w:rPr>
          <w:iCs/>
        </w:rPr>
        <w:t xml:space="preserve">The PSCR acknowledged the variation in estimates of treatment effect across the various studies. Results of sensitivity analyses around the respecified analysis (i.e., with mortality rates set at 1% and no treatment effect on long COVID) but applying the point estimate (0.252), upper (0.768) and lower (0.083) confidence limits from </w:t>
      </w:r>
      <w:r w:rsidR="00904BCC" w:rsidRPr="00484AE9">
        <w:rPr>
          <w:iCs/>
        </w:rPr>
        <w:t>a</w:t>
      </w:r>
      <w:r w:rsidRPr="00484AE9">
        <w:rPr>
          <w:iCs/>
        </w:rPr>
        <w:t xml:space="preserve"> meta-analysis of the EPIC trials </w:t>
      </w:r>
      <w:r w:rsidR="00904BCC" w:rsidRPr="00484AE9">
        <w:rPr>
          <w:iCs/>
        </w:rPr>
        <w:t>(</w:t>
      </w:r>
      <w:r w:rsidR="00904BCC" w:rsidRPr="00484AE9">
        <w:rPr>
          <w:iCs/>
        </w:rPr>
        <w:fldChar w:fldCharType="begin"/>
      </w:r>
      <w:r w:rsidR="00904BCC" w:rsidRPr="00484AE9">
        <w:rPr>
          <w:iCs/>
        </w:rPr>
        <w:instrText xml:space="preserve"> REF _Ref148447861 \h  \* MERGEFORMAT </w:instrText>
      </w:r>
      <w:r w:rsidR="00904BCC" w:rsidRPr="00484AE9">
        <w:rPr>
          <w:iCs/>
        </w:rPr>
      </w:r>
      <w:r w:rsidR="00904BCC" w:rsidRPr="00484AE9">
        <w:rPr>
          <w:iCs/>
        </w:rPr>
        <w:fldChar w:fldCharType="separate"/>
      </w:r>
      <w:r w:rsidR="00872657" w:rsidRPr="00872657">
        <w:rPr>
          <w:iCs/>
        </w:rPr>
        <w:t>Figure 4</w:t>
      </w:r>
      <w:r w:rsidR="00904BCC" w:rsidRPr="00484AE9">
        <w:rPr>
          <w:iCs/>
        </w:rPr>
        <w:fldChar w:fldCharType="end"/>
      </w:r>
      <w:r w:rsidR="00904BCC" w:rsidRPr="00484AE9">
        <w:rPr>
          <w:iCs/>
        </w:rPr>
        <w:t xml:space="preserve">) </w:t>
      </w:r>
      <w:r w:rsidRPr="00484AE9">
        <w:rPr>
          <w:iCs/>
        </w:rPr>
        <w:t xml:space="preserve">are provided in the following table for the exemplar of patients aged </w:t>
      </w:r>
      <w:r w:rsidRPr="00484AE9">
        <w:rPr>
          <w:rFonts w:cstheme="minorHAnsi"/>
          <w:iCs/>
        </w:rPr>
        <w:t>≥</w:t>
      </w:r>
      <w:r w:rsidRPr="00484AE9">
        <w:rPr>
          <w:iCs/>
        </w:rPr>
        <w:t xml:space="preserve"> 70 years. As can be seen, there are modest decreases in </w:t>
      </w:r>
      <w:r w:rsidRPr="00484AE9">
        <w:rPr>
          <w:iCs/>
        </w:rPr>
        <w:lastRenderedPageBreak/>
        <w:t>the ICER if lower relative risks are applied but the ICER is very sensitive to increases in the assumed relative risks (indicating reduced treatment effect) associated with nirmatrelvir and ritonavir compared with placebo.</w:t>
      </w:r>
    </w:p>
    <w:p w14:paraId="3B4A69F0" w14:textId="6A883825" w:rsidR="00946059" w:rsidRPr="00484AE9" w:rsidRDefault="00946059" w:rsidP="00946059">
      <w:pPr>
        <w:pStyle w:val="Caption"/>
      </w:pPr>
      <w:bookmarkStart w:id="138" w:name="_Ref148173572"/>
      <w:r w:rsidRPr="00484AE9">
        <w:t xml:space="preserve">Table </w:t>
      </w:r>
      <w:fldSimple w:instr=" SEQ Table \* ARABIC ">
        <w:r w:rsidR="00872657">
          <w:rPr>
            <w:noProof/>
          </w:rPr>
          <w:t>23</w:t>
        </w:r>
      </w:fldSimple>
      <w:bookmarkEnd w:id="138"/>
      <w:r w:rsidRPr="00484AE9">
        <w:t>:</w:t>
      </w:r>
      <w:r w:rsidRPr="00484AE9">
        <w:rPr>
          <w:rStyle w:val="CommentReference"/>
          <w:b/>
          <w:szCs w:val="24"/>
        </w:rPr>
        <w:t xml:space="preserve"> </w:t>
      </w:r>
      <w:r w:rsidRPr="00484AE9">
        <w:t>Sensitivity analyses on treatment effect</w:t>
      </w:r>
      <w:r w:rsidRPr="00484AE9">
        <w:rPr>
          <w:vertAlign w:val="superscript"/>
        </w:rPr>
        <w:t>a</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404"/>
        <w:gridCol w:w="2410"/>
        <w:gridCol w:w="2394"/>
        <w:gridCol w:w="1859"/>
      </w:tblGrid>
      <w:tr w:rsidR="00946059" w:rsidRPr="00484AE9" w14:paraId="359ACDCB" w14:textId="77777777" w:rsidTr="008B03CB">
        <w:trPr>
          <w:cantSplit/>
          <w:tblHeader/>
        </w:trPr>
        <w:tc>
          <w:tcPr>
            <w:tcW w:w="1326" w:type="pct"/>
            <w:shd w:val="clear" w:color="auto" w:fill="FFFFFF"/>
            <w:vAlign w:val="center"/>
          </w:tcPr>
          <w:p w14:paraId="34D36397" w14:textId="77777777" w:rsidR="00946059" w:rsidRPr="00484AE9" w:rsidRDefault="00946059" w:rsidP="008B03CB">
            <w:pPr>
              <w:pStyle w:val="In-tableHeading"/>
              <w:rPr>
                <w:lang w:val="en-AU"/>
              </w:rPr>
            </w:pPr>
          </w:p>
        </w:tc>
        <w:tc>
          <w:tcPr>
            <w:tcW w:w="1329" w:type="pct"/>
            <w:shd w:val="clear" w:color="auto" w:fill="FFFFFF"/>
          </w:tcPr>
          <w:p w14:paraId="2CA06F60" w14:textId="77777777" w:rsidR="00946059" w:rsidRPr="00484AE9" w:rsidRDefault="00946059" w:rsidP="008B03CB">
            <w:pPr>
              <w:pStyle w:val="In-tableHeading"/>
              <w:jc w:val="center"/>
              <w:rPr>
                <w:lang w:val="en-AU"/>
              </w:rPr>
            </w:pPr>
            <w:r w:rsidRPr="00484AE9">
              <w:rPr>
                <w:lang w:val="en-AU"/>
              </w:rPr>
              <w:t>Incremental costs</w:t>
            </w:r>
          </w:p>
        </w:tc>
        <w:tc>
          <w:tcPr>
            <w:tcW w:w="1320" w:type="pct"/>
            <w:shd w:val="clear" w:color="auto" w:fill="FFFFFF"/>
            <w:vAlign w:val="center"/>
          </w:tcPr>
          <w:p w14:paraId="21DD6F59" w14:textId="77777777" w:rsidR="00946059" w:rsidRPr="00484AE9" w:rsidRDefault="00946059" w:rsidP="008B03CB">
            <w:pPr>
              <w:pStyle w:val="In-tableHeading"/>
              <w:jc w:val="center"/>
              <w:rPr>
                <w:lang w:val="en-AU"/>
              </w:rPr>
            </w:pPr>
            <w:r w:rsidRPr="00484AE9">
              <w:rPr>
                <w:lang w:val="en-AU"/>
              </w:rPr>
              <w:t>Incremental QALYs</w:t>
            </w:r>
          </w:p>
        </w:tc>
        <w:tc>
          <w:tcPr>
            <w:tcW w:w="1025" w:type="pct"/>
            <w:shd w:val="clear" w:color="auto" w:fill="FFFFFF"/>
            <w:vAlign w:val="center"/>
          </w:tcPr>
          <w:p w14:paraId="47056905" w14:textId="77777777" w:rsidR="00946059" w:rsidRPr="00484AE9" w:rsidRDefault="00946059" w:rsidP="008B03CB">
            <w:pPr>
              <w:pStyle w:val="In-tableHeading"/>
              <w:jc w:val="center"/>
              <w:rPr>
                <w:lang w:val="en-AU"/>
              </w:rPr>
            </w:pPr>
            <w:r w:rsidRPr="00484AE9">
              <w:rPr>
                <w:lang w:val="en-AU"/>
              </w:rPr>
              <w:t>ICER</w:t>
            </w:r>
          </w:p>
        </w:tc>
      </w:tr>
      <w:tr w:rsidR="00946059" w:rsidRPr="00484AE9" w14:paraId="35FDD4B2" w14:textId="77777777" w:rsidTr="001270B6">
        <w:trPr>
          <w:cantSplit/>
          <w:tblHeader/>
        </w:trPr>
        <w:tc>
          <w:tcPr>
            <w:tcW w:w="5000" w:type="pct"/>
            <w:gridSpan w:val="4"/>
            <w:shd w:val="clear" w:color="auto" w:fill="auto"/>
            <w:vAlign w:val="center"/>
          </w:tcPr>
          <w:p w14:paraId="0ED5AA95" w14:textId="77777777" w:rsidR="00946059" w:rsidRPr="00484AE9" w:rsidRDefault="00946059" w:rsidP="008B03CB">
            <w:pPr>
              <w:pStyle w:val="In-tableHeading"/>
              <w:rPr>
                <w:lang w:val="en-AU"/>
              </w:rPr>
            </w:pPr>
            <w:r w:rsidRPr="00484AE9">
              <w:rPr>
                <w:lang w:val="en-AU"/>
              </w:rPr>
              <w:t>Cohort: Respecified base case for cohort aged ≥ 70 – RR = 0.30</w:t>
            </w:r>
          </w:p>
        </w:tc>
      </w:tr>
      <w:tr w:rsidR="00946059" w:rsidRPr="00484AE9" w14:paraId="76D61BA7" w14:textId="77777777" w:rsidTr="001270B6">
        <w:trPr>
          <w:cantSplit/>
          <w:tblHeader/>
        </w:trPr>
        <w:tc>
          <w:tcPr>
            <w:tcW w:w="1326" w:type="pct"/>
            <w:shd w:val="clear" w:color="auto" w:fill="auto"/>
            <w:vAlign w:val="center"/>
          </w:tcPr>
          <w:p w14:paraId="65D57DD7" w14:textId="77777777" w:rsidR="00946059" w:rsidRPr="00484AE9" w:rsidRDefault="00946059" w:rsidP="008B03CB">
            <w:pPr>
              <w:pStyle w:val="In-tableHeading"/>
              <w:rPr>
                <w:lang w:val="en-AU"/>
              </w:rPr>
            </w:pPr>
          </w:p>
        </w:tc>
        <w:tc>
          <w:tcPr>
            <w:tcW w:w="1329" w:type="pct"/>
            <w:shd w:val="clear" w:color="auto" w:fill="auto"/>
            <w:vAlign w:val="center"/>
          </w:tcPr>
          <w:p w14:paraId="4A497E64" w14:textId="41D05C5A" w:rsidR="00946059" w:rsidRPr="00484AE9" w:rsidRDefault="00696519" w:rsidP="008B03CB">
            <w:pPr>
              <w:pStyle w:val="In-tableHeading"/>
              <w:jc w:val="center"/>
              <w:rPr>
                <w:lang w:val="en-AU"/>
              </w:rPr>
            </w:pPr>
            <w:r w:rsidRPr="00696519">
              <w:rPr>
                <w:lang w:val="en-AU"/>
              </w:rPr>
              <w:t xml:space="preserve"> </w:t>
            </w:r>
            <w:r w:rsidRPr="00696519">
              <w:rPr>
                <w:color w:val="000000"/>
                <w:shd w:val="solid" w:color="000000" w:fill="000000"/>
                <w:lang w:val="en-AU"/>
                <w14:textFill>
                  <w14:solidFill>
                    <w14:srgbClr w14:val="000000">
                      <w14:alpha w14:val="100000"/>
                    </w14:srgbClr>
                  </w14:solidFill>
                </w14:textFill>
              </w:rPr>
              <w:t>|</w:t>
            </w:r>
            <w:r w:rsidR="008F704C">
              <w:rPr>
                <w:lang w:val="en-AU"/>
              </w:rPr>
              <w:t xml:space="preserve"> </w:t>
            </w:r>
          </w:p>
        </w:tc>
        <w:tc>
          <w:tcPr>
            <w:tcW w:w="1320" w:type="pct"/>
            <w:shd w:val="clear" w:color="auto" w:fill="auto"/>
            <w:vAlign w:val="center"/>
          </w:tcPr>
          <w:p w14:paraId="0082A1A4" w14:textId="77777777" w:rsidR="00946059" w:rsidRPr="00484AE9" w:rsidRDefault="00946059" w:rsidP="008B03CB">
            <w:pPr>
              <w:pStyle w:val="In-tableHeading"/>
              <w:jc w:val="center"/>
              <w:rPr>
                <w:lang w:val="en-AU"/>
              </w:rPr>
            </w:pPr>
            <w:r w:rsidRPr="00484AE9">
              <w:rPr>
                <w:lang w:val="en-AU"/>
              </w:rPr>
              <w:t>0.0453</w:t>
            </w:r>
          </w:p>
        </w:tc>
        <w:tc>
          <w:tcPr>
            <w:tcW w:w="1025" w:type="pct"/>
            <w:shd w:val="clear" w:color="auto" w:fill="auto"/>
            <w:vAlign w:val="center"/>
          </w:tcPr>
          <w:p w14:paraId="2E7FC5DB" w14:textId="599B9DC2" w:rsidR="00946059" w:rsidRPr="00484AE9" w:rsidRDefault="00696519" w:rsidP="008B03CB">
            <w:pPr>
              <w:pStyle w:val="In-tableHeading"/>
              <w:jc w:val="center"/>
              <w:rPr>
                <w:lang w:val="en-AU"/>
              </w:rPr>
            </w:pPr>
            <w:r w:rsidRPr="00696519">
              <w:rPr>
                <w:lang w:val="en-AU"/>
              </w:rPr>
              <w:t xml:space="preserve"> </w:t>
            </w:r>
            <w:r w:rsidRPr="00696519">
              <w:rPr>
                <w:color w:val="000000"/>
                <w:shd w:val="solid" w:color="000000" w:fill="000000"/>
                <w:lang w:val="en-AU"/>
                <w14:textFill>
                  <w14:solidFill>
                    <w14:srgbClr w14:val="000000">
                      <w14:alpha w14:val="100000"/>
                    </w14:srgbClr>
                  </w14:solidFill>
                </w14:textFill>
              </w:rPr>
              <w:t>|</w:t>
            </w:r>
            <w:r w:rsidR="00F11F0D">
              <w:rPr>
                <w:vertAlign w:val="superscript"/>
                <w:lang w:val="en-AU"/>
              </w:rPr>
              <w:t>1</w:t>
            </w:r>
          </w:p>
        </w:tc>
      </w:tr>
      <w:tr w:rsidR="00946059" w:rsidRPr="00484AE9" w14:paraId="2041C101" w14:textId="77777777" w:rsidTr="008B03CB">
        <w:trPr>
          <w:cantSplit/>
          <w:tblHeader/>
        </w:trPr>
        <w:tc>
          <w:tcPr>
            <w:tcW w:w="5000" w:type="pct"/>
            <w:gridSpan w:val="4"/>
            <w:shd w:val="clear" w:color="auto" w:fill="FFFFFF"/>
            <w:vAlign w:val="center"/>
          </w:tcPr>
          <w:p w14:paraId="0EEFCABF" w14:textId="12C0CA6D" w:rsidR="00946059" w:rsidRPr="00484AE9" w:rsidRDefault="00946059" w:rsidP="008B03CB">
            <w:pPr>
              <w:pStyle w:val="In-tableHeading"/>
              <w:rPr>
                <w:b w:val="0"/>
                <w:bCs/>
                <w:lang w:val="en-AU"/>
              </w:rPr>
            </w:pPr>
            <w:r w:rsidRPr="00484AE9">
              <w:rPr>
                <w:lang w:val="en-AU"/>
              </w:rPr>
              <w:t>Point estimate of meta-analysis of RCTs (0.252)</w:t>
            </w:r>
          </w:p>
        </w:tc>
      </w:tr>
      <w:tr w:rsidR="00946059" w:rsidRPr="00484AE9" w14:paraId="56EF0872" w14:textId="77777777" w:rsidTr="008B03CB">
        <w:trPr>
          <w:cantSplit/>
        </w:trPr>
        <w:tc>
          <w:tcPr>
            <w:tcW w:w="1326" w:type="pct"/>
            <w:shd w:val="clear" w:color="auto" w:fill="auto"/>
            <w:vAlign w:val="center"/>
          </w:tcPr>
          <w:p w14:paraId="1595FF02" w14:textId="77777777" w:rsidR="00946059" w:rsidRPr="00484AE9" w:rsidRDefault="00946059" w:rsidP="008B03CB">
            <w:pPr>
              <w:pStyle w:val="TableText0"/>
            </w:pPr>
          </w:p>
        </w:tc>
        <w:tc>
          <w:tcPr>
            <w:tcW w:w="1329" w:type="pct"/>
            <w:shd w:val="clear" w:color="auto" w:fill="auto"/>
          </w:tcPr>
          <w:p w14:paraId="3664B9AF" w14:textId="2382B2B8" w:rsidR="00946059" w:rsidRPr="00484AE9" w:rsidRDefault="00696519" w:rsidP="008B03CB">
            <w:pPr>
              <w:pStyle w:val="TableText0"/>
              <w:jc w:val="center"/>
            </w:pPr>
            <w:r w:rsidRPr="00696519">
              <w:t xml:space="preserve"> </w:t>
            </w:r>
            <w:r w:rsidRPr="00696519">
              <w:rPr>
                <w:color w:val="000000"/>
                <w:shd w:val="solid" w:color="000000" w:fill="000000"/>
                <w14:textFill>
                  <w14:solidFill>
                    <w14:srgbClr w14:val="000000">
                      <w14:alpha w14:val="100000"/>
                    </w14:srgbClr>
                  </w14:solidFill>
                </w14:textFill>
              </w:rPr>
              <w:t>|</w:t>
            </w:r>
            <w:r w:rsidR="008F704C">
              <w:t xml:space="preserve"> </w:t>
            </w:r>
          </w:p>
        </w:tc>
        <w:tc>
          <w:tcPr>
            <w:tcW w:w="1320" w:type="pct"/>
            <w:shd w:val="clear" w:color="auto" w:fill="auto"/>
          </w:tcPr>
          <w:p w14:paraId="51342CC4" w14:textId="77777777" w:rsidR="00946059" w:rsidRPr="00484AE9" w:rsidRDefault="00946059" w:rsidP="008B03CB">
            <w:pPr>
              <w:pStyle w:val="TableText0"/>
              <w:jc w:val="center"/>
            </w:pPr>
            <w:r w:rsidRPr="00484AE9">
              <w:t>0.0484</w:t>
            </w:r>
          </w:p>
        </w:tc>
        <w:tc>
          <w:tcPr>
            <w:tcW w:w="1025" w:type="pct"/>
            <w:shd w:val="clear" w:color="auto" w:fill="auto"/>
            <w:vAlign w:val="center"/>
          </w:tcPr>
          <w:p w14:paraId="59A62BE6" w14:textId="13F6192A" w:rsidR="00946059" w:rsidRPr="00484AE9" w:rsidRDefault="00696519" w:rsidP="008B03CB">
            <w:pPr>
              <w:pStyle w:val="TableText0"/>
              <w:jc w:val="center"/>
            </w:pPr>
            <w:r w:rsidRPr="00696519">
              <w:t xml:space="preserve"> </w:t>
            </w:r>
            <w:r w:rsidRPr="00696519">
              <w:rPr>
                <w:color w:val="000000"/>
                <w:shd w:val="solid" w:color="000000" w:fill="000000"/>
                <w14:textFill>
                  <w14:solidFill>
                    <w14:srgbClr w14:val="000000">
                      <w14:alpha w14:val="100000"/>
                    </w14:srgbClr>
                  </w14:solidFill>
                </w14:textFill>
              </w:rPr>
              <w:t>|</w:t>
            </w:r>
            <w:r w:rsidR="00F11F0D">
              <w:rPr>
                <w:vertAlign w:val="superscript"/>
              </w:rPr>
              <w:t>1</w:t>
            </w:r>
          </w:p>
        </w:tc>
      </w:tr>
      <w:tr w:rsidR="00946059" w:rsidRPr="00484AE9" w14:paraId="198FA415" w14:textId="77777777" w:rsidTr="008B03CB">
        <w:trPr>
          <w:cantSplit/>
          <w:tblHeader/>
        </w:trPr>
        <w:tc>
          <w:tcPr>
            <w:tcW w:w="5000" w:type="pct"/>
            <w:gridSpan w:val="4"/>
            <w:shd w:val="clear" w:color="auto" w:fill="FFFFFF"/>
            <w:vAlign w:val="center"/>
          </w:tcPr>
          <w:p w14:paraId="2B23DADA" w14:textId="77777777" w:rsidR="00946059" w:rsidRPr="00484AE9" w:rsidRDefault="00946059" w:rsidP="008B03CB">
            <w:pPr>
              <w:pStyle w:val="In-tableHeading"/>
              <w:rPr>
                <w:b w:val="0"/>
                <w:bCs/>
                <w:lang w:val="en-AU"/>
              </w:rPr>
            </w:pPr>
            <w:r w:rsidRPr="00484AE9">
              <w:rPr>
                <w:lang w:val="en-AU"/>
              </w:rPr>
              <w:t>Lower confidence limit around point estimate from meta-analysis of RCTs (0.083)</w:t>
            </w:r>
          </w:p>
        </w:tc>
      </w:tr>
      <w:tr w:rsidR="00946059" w:rsidRPr="00484AE9" w14:paraId="35E0E502" w14:textId="77777777" w:rsidTr="008B03CB">
        <w:trPr>
          <w:cantSplit/>
          <w:trHeight w:val="213"/>
        </w:trPr>
        <w:tc>
          <w:tcPr>
            <w:tcW w:w="1326" w:type="pct"/>
            <w:shd w:val="clear" w:color="auto" w:fill="auto"/>
            <w:vAlign w:val="center"/>
          </w:tcPr>
          <w:p w14:paraId="369666A9" w14:textId="77777777" w:rsidR="00946059" w:rsidRPr="00484AE9" w:rsidRDefault="00946059" w:rsidP="008B03CB">
            <w:pPr>
              <w:pStyle w:val="TableText0"/>
            </w:pPr>
          </w:p>
        </w:tc>
        <w:tc>
          <w:tcPr>
            <w:tcW w:w="1329" w:type="pct"/>
            <w:shd w:val="clear" w:color="auto" w:fill="auto"/>
          </w:tcPr>
          <w:p w14:paraId="42ED419A" w14:textId="4303CF11" w:rsidR="00946059" w:rsidRPr="00484AE9" w:rsidRDefault="00696519" w:rsidP="008B03CB">
            <w:pPr>
              <w:pStyle w:val="TableText0"/>
              <w:jc w:val="center"/>
            </w:pPr>
            <w:r w:rsidRPr="00696519">
              <w:t xml:space="preserve"> </w:t>
            </w:r>
            <w:r w:rsidRPr="00696519">
              <w:rPr>
                <w:color w:val="000000"/>
                <w:shd w:val="solid" w:color="000000" w:fill="000000"/>
                <w14:textFill>
                  <w14:solidFill>
                    <w14:srgbClr w14:val="000000">
                      <w14:alpha w14:val="100000"/>
                    </w14:srgbClr>
                  </w14:solidFill>
                </w14:textFill>
              </w:rPr>
              <w:t>|</w:t>
            </w:r>
            <w:r w:rsidR="008F704C">
              <w:t xml:space="preserve"> </w:t>
            </w:r>
          </w:p>
        </w:tc>
        <w:tc>
          <w:tcPr>
            <w:tcW w:w="1320" w:type="pct"/>
            <w:shd w:val="clear" w:color="auto" w:fill="auto"/>
          </w:tcPr>
          <w:p w14:paraId="22FA937A" w14:textId="77777777" w:rsidR="00946059" w:rsidRPr="00484AE9" w:rsidRDefault="00946059" w:rsidP="008B03CB">
            <w:pPr>
              <w:pStyle w:val="TableText0"/>
              <w:jc w:val="center"/>
            </w:pPr>
            <w:r w:rsidRPr="00484AE9">
              <w:t>0.0593</w:t>
            </w:r>
          </w:p>
        </w:tc>
        <w:tc>
          <w:tcPr>
            <w:tcW w:w="1025" w:type="pct"/>
            <w:shd w:val="clear" w:color="auto" w:fill="auto"/>
            <w:vAlign w:val="center"/>
          </w:tcPr>
          <w:p w14:paraId="01F883B2" w14:textId="450694A1" w:rsidR="00946059" w:rsidRPr="00484AE9" w:rsidRDefault="00696519" w:rsidP="008B03CB">
            <w:pPr>
              <w:pStyle w:val="TableText0"/>
              <w:jc w:val="center"/>
            </w:pPr>
            <w:r w:rsidRPr="00696519">
              <w:t xml:space="preserve"> </w:t>
            </w:r>
            <w:r w:rsidRPr="00696519">
              <w:rPr>
                <w:color w:val="000000"/>
                <w:shd w:val="solid" w:color="000000" w:fill="000000"/>
                <w14:textFill>
                  <w14:solidFill>
                    <w14:srgbClr w14:val="000000">
                      <w14:alpha w14:val="100000"/>
                    </w14:srgbClr>
                  </w14:solidFill>
                </w14:textFill>
              </w:rPr>
              <w:t>|</w:t>
            </w:r>
            <w:r w:rsidR="008F704C" w:rsidRPr="00F76D9A">
              <w:rPr>
                <w:vertAlign w:val="superscript"/>
              </w:rPr>
              <w:t xml:space="preserve">2 </w:t>
            </w:r>
          </w:p>
        </w:tc>
      </w:tr>
      <w:tr w:rsidR="00946059" w:rsidRPr="00484AE9" w14:paraId="1338299B" w14:textId="77777777" w:rsidTr="008B03CB">
        <w:trPr>
          <w:cantSplit/>
          <w:tblHeader/>
        </w:trPr>
        <w:tc>
          <w:tcPr>
            <w:tcW w:w="5000" w:type="pct"/>
            <w:gridSpan w:val="4"/>
            <w:shd w:val="clear" w:color="auto" w:fill="FFFFFF"/>
            <w:vAlign w:val="center"/>
          </w:tcPr>
          <w:p w14:paraId="0FBE510D" w14:textId="77777777" w:rsidR="00946059" w:rsidRPr="00484AE9" w:rsidRDefault="00946059" w:rsidP="008B03CB">
            <w:pPr>
              <w:pStyle w:val="In-tableHeading"/>
              <w:rPr>
                <w:lang w:val="en-AU"/>
              </w:rPr>
            </w:pPr>
            <w:r w:rsidRPr="00484AE9">
              <w:rPr>
                <w:lang w:val="en-AU"/>
              </w:rPr>
              <w:t>Upper confidence limit around point estimate from meta-analysis of RCTs (0.768)</w:t>
            </w:r>
          </w:p>
        </w:tc>
      </w:tr>
      <w:tr w:rsidR="00946059" w:rsidRPr="00484AE9" w14:paraId="657C341D" w14:textId="77777777" w:rsidTr="008B03CB">
        <w:trPr>
          <w:cantSplit/>
        </w:trPr>
        <w:tc>
          <w:tcPr>
            <w:tcW w:w="1326" w:type="pct"/>
            <w:shd w:val="clear" w:color="auto" w:fill="auto"/>
            <w:vAlign w:val="center"/>
          </w:tcPr>
          <w:p w14:paraId="6CA0D687" w14:textId="77777777" w:rsidR="00946059" w:rsidRPr="00484AE9" w:rsidRDefault="00946059" w:rsidP="008B03CB">
            <w:pPr>
              <w:pStyle w:val="TableText0"/>
            </w:pPr>
          </w:p>
        </w:tc>
        <w:tc>
          <w:tcPr>
            <w:tcW w:w="1329" w:type="pct"/>
            <w:shd w:val="clear" w:color="auto" w:fill="auto"/>
          </w:tcPr>
          <w:p w14:paraId="7152F439" w14:textId="527B6689" w:rsidR="00946059" w:rsidRPr="00484AE9" w:rsidRDefault="00696519" w:rsidP="008B03CB">
            <w:pPr>
              <w:pStyle w:val="TableText0"/>
              <w:jc w:val="center"/>
            </w:pPr>
            <w:r w:rsidRPr="00696519">
              <w:t xml:space="preserve"> </w:t>
            </w:r>
            <w:r w:rsidRPr="00696519">
              <w:rPr>
                <w:color w:val="000000"/>
                <w:shd w:val="solid" w:color="000000" w:fill="000000"/>
                <w14:textFill>
                  <w14:solidFill>
                    <w14:srgbClr w14:val="000000">
                      <w14:alpha w14:val="100000"/>
                    </w14:srgbClr>
                  </w14:solidFill>
                </w14:textFill>
              </w:rPr>
              <w:t>|</w:t>
            </w:r>
            <w:r w:rsidR="008F704C">
              <w:t xml:space="preserve"> </w:t>
            </w:r>
          </w:p>
        </w:tc>
        <w:tc>
          <w:tcPr>
            <w:tcW w:w="1320" w:type="pct"/>
            <w:shd w:val="clear" w:color="auto" w:fill="auto"/>
          </w:tcPr>
          <w:p w14:paraId="1670203A" w14:textId="77777777" w:rsidR="00946059" w:rsidRPr="00484AE9" w:rsidRDefault="00946059" w:rsidP="008B03CB">
            <w:pPr>
              <w:pStyle w:val="TableText0"/>
              <w:jc w:val="center"/>
            </w:pPr>
            <w:r w:rsidRPr="00484AE9">
              <w:t>0.0150</w:t>
            </w:r>
          </w:p>
        </w:tc>
        <w:tc>
          <w:tcPr>
            <w:tcW w:w="1025" w:type="pct"/>
            <w:shd w:val="clear" w:color="auto" w:fill="auto"/>
            <w:vAlign w:val="center"/>
          </w:tcPr>
          <w:p w14:paraId="66910BBD" w14:textId="1AAB0D9D" w:rsidR="00946059" w:rsidRPr="00484AE9" w:rsidRDefault="00696519" w:rsidP="008B03CB">
            <w:pPr>
              <w:pStyle w:val="TableText0"/>
              <w:jc w:val="center"/>
            </w:pPr>
            <w:r w:rsidRPr="00696519">
              <w:t xml:space="preserve"> </w:t>
            </w:r>
            <w:r w:rsidRPr="00696519">
              <w:rPr>
                <w:color w:val="000000"/>
                <w:shd w:val="solid" w:color="000000" w:fill="000000"/>
                <w14:textFill>
                  <w14:solidFill>
                    <w14:srgbClr w14:val="000000">
                      <w14:alpha w14:val="100000"/>
                    </w14:srgbClr>
                  </w14:solidFill>
                </w14:textFill>
              </w:rPr>
              <w:t>|</w:t>
            </w:r>
            <w:r w:rsidR="00F11F0D">
              <w:rPr>
                <w:vertAlign w:val="superscript"/>
              </w:rPr>
              <w:t>3</w:t>
            </w:r>
          </w:p>
        </w:tc>
      </w:tr>
    </w:tbl>
    <w:p w14:paraId="5771D84E" w14:textId="47FCA915" w:rsidR="0069127E" w:rsidRDefault="0069127E" w:rsidP="00BB732D">
      <w:pPr>
        <w:pStyle w:val="FooterTableFigure"/>
        <w:rPr>
          <w:rFonts w:eastAsia="Calibri"/>
          <w:szCs w:val="20"/>
        </w:rPr>
      </w:pPr>
      <w:r w:rsidRPr="00484AE9">
        <w:rPr>
          <w:rFonts w:eastAsia="Calibri"/>
          <w:szCs w:val="20"/>
        </w:rPr>
        <w:t xml:space="preserve">a. Meta-analysis </w:t>
      </w:r>
      <w:r w:rsidR="00F675ED" w:rsidRPr="00484AE9">
        <w:rPr>
          <w:rFonts w:eastAsia="Calibri"/>
          <w:szCs w:val="20"/>
        </w:rPr>
        <w:t>(</w:t>
      </w:r>
      <w:r w:rsidR="00F675ED" w:rsidRPr="00484AE9">
        <w:rPr>
          <w:rFonts w:eastAsia="Calibri"/>
          <w:i/>
          <w:szCs w:val="20"/>
        </w:rPr>
        <w:fldChar w:fldCharType="begin"/>
      </w:r>
      <w:r w:rsidR="00F675ED" w:rsidRPr="00484AE9">
        <w:rPr>
          <w:rFonts w:eastAsia="Calibri"/>
          <w:i/>
          <w:szCs w:val="20"/>
        </w:rPr>
        <w:instrText xml:space="preserve"> REF _Ref148447861 \h </w:instrText>
      </w:r>
      <w:r w:rsidR="00F675ED" w:rsidRPr="00484AE9">
        <w:rPr>
          <w:rFonts w:eastAsia="Calibri"/>
          <w:i/>
          <w:szCs w:val="20"/>
        </w:rPr>
      </w:r>
      <w:r w:rsidR="00F675ED" w:rsidRPr="00484AE9">
        <w:rPr>
          <w:rFonts w:eastAsia="Calibri"/>
          <w:i/>
          <w:szCs w:val="20"/>
        </w:rPr>
        <w:fldChar w:fldCharType="separate"/>
      </w:r>
      <w:r w:rsidR="00872657" w:rsidRPr="00484AE9">
        <w:t xml:space="preserve">Figure </w:t>
      </w:r>
      <w:r w:rsidR="00872657">
        <w:rPr>
          <w:noProof/>
        </w:rPr>
        <w:t>4</w:t>
      </w:r>
      <w:r w:rsidR="00F675ED" w:rsidRPr="00484AE9">
        <w:rPr>
          <w:rFonts w:eastAsia="Calibri"/>
          <w:i/>
          <w:szCs w:val="20"/>
        </w:rPr>
        <w:fldChar w:fldCharType="end"/>
      </w:r>
      <w:r w:rsidR="00F675ED" w:rsidRPr="00484AE9">
        <w:rPr>
          <w:rFonts w:eastAsia="Calibri"/>
          <w:szCs w:val="20"/>
        </w:rPr>
        <w:t>) of</w:t>
      </w:r>
      <w:r w:rsidRPr="00484AE9">
        <w:rPr>
          <w:rFonts w:eastAsia="Calibri"/>
          <w:szCs w:val="20"/>
        </w:rPr>
        <w:t xml:space="preserve"> EPIC-HR, EPIC-SR (mITT1): RR nirmatrelvir and ritonavir vs placebo (95% CI)</w:t>
      </w:r>
      <w:r w:rsidR="009279F9" w:rsidRPr="00484AE9">
        <w:rPr>
          <w:rFonts w:eastAsia="Calibri"/>
          <w:szCs w:val="20"/>
        </w:rPr>
        <w:t xml:space="preserve"> </w:t>
      </w:r>
      <w:r w:rsidRPr="00484AE9">
        <w:rPr>
          <w:rFonts w:eastAsia="Calibri"/>
          <w:szCs w:val="20"/>
        </w:rPr>
        <w:t>0.252 (0.083,</w:t>
      </w:r>
      <w:r w:rsidR="001270B6" w:rsidRPr="00484AE9">
        <w:rPr>
          <w:rFonts w:eastAsia="Calibri"/>
          <w:szCs w:val="20"/>
        </w:rPr>
        <w:t> </w:t>
      </w:r>
      <w:r w:rsidRPr="00484AE9">
        <w:rPr>
          <w:rFonts w:eastAsia="Calibri"/>
          <w:szCs w:val="20"/>
        </w:rPr>
        <w:t>0.768)</w:t>
      </w:r>
      <w:r w:rsidR="001270B6" w:rsidRPr="00484AE9">
        <w:rPr>
          <w:rFonts w:eastAsia="Calibri"/>
          <w:szCs w:val="20"/>
        </w:rPr>
        <w:t>,</w:t>
      </w:r>
    </w:p>
    <w:p w14:paraId="1582646C" w14:textId="77777777" w:rsidR="008F704C" w:rsidRPr="008F704C" w:rsidRDefault="008F704C" w:rsidP="008F704C">
      <w:pPr>
        <w:pStyle w:val="FooterTableFigure"/>
        <w:rPr>
          <w:rFonts w:eastAsia="Calibri"/>
          <w:i/>
          <w:iCs/>
          <w:szCs w:val="20"/>
        </w:rPr>
      </w:pPr>
      <w:r w:rsidRPr="008F704C">
        <w:rPr>
          <w:rFonts w:eastAsia="Calibri"/>
          <w:i/>
          <w:iCs/>
          <w:szCs w:val="20"/>
        </w:rPr>
        <w:t>The redacted values correspond to the following ranges:</w:t>
      </w:r>
    </w:p>
    <w:p w14:paraId="465340E6" w14:textId="069534CF" w:rsidR="008F704C" w:rsidRPr="008F704C" w:rsidRDefault="008F704C" w:rsidP="008F704C">
      <w:pPr>
        <w:pStyle w:val="FooterTableFigure"/>
        <w:rPr>
          <w:rFonts w:eastAsia="Calibri"/>
          <w:i/>
          <w:iCs/>
          <w:szCs w:val="20"/>
        </w:rPr>
      </w:pPr>
      <w:r w:rsidRPr="008F704C">
        <w:rPr>
          <w:rFonts w:eastAsia="Calibri"/>
          <w:i/>
          <w:iCs/>
          <w:szCs w:val="20"/>
          <w:vertAlign w:val="superscript"/>
        </w:rPr>
        <w:t>1</w:t>
      </w:r>
      <w:r w:rsidRPr="008F704C">
        <w:rPr>
          <w:rFonts w:eastAsia="Calibri"/>
          <w:i/>
          <w:iCs/>
          <w:szCs w:val="20"/>
        </w:rPr>
        <w:t xml:space="preserve"> </w:t>
      </w:r>
      <w:r w:rsidR="00F11F0D" w:rsidRPr="008F704C">
        <w:rPr>
          <w:rFonts w:eastAsia="Calibri"/>
          <w:i/>
          <w:iCs/>
          <w:szCs w:val="20"/>
        </w:rPr>
        <w:t>$25,000 to &lt; $35,000</w:t>
      </w:r>
    </w:p>
    <w:p w14:paraId="02EDA434" w14:textId="77777777" w:rsidR="008F704C" w:rsidRPr="008F704C" w:rsidRDefault="008F704C" w:rsidP="008F704C">
      <w:pPr>
        <w:pStyle w:val="FooterTableFigure"/>
        <w:rPr>
          <w:rFonts w:eastAsia="Calibri"/>
          <w:i/>
          <w:iCs/>
          <w:szCs w:val="20"/>
        </w:rPr>
      </w:pPr>
      <w:r w:rsidRPr="008F704C">
        <w:rPr>
          <w:rFonts w:eastAsia="Calibri"/>
          <w:i/>
          <w:iCs/>
          <w:szCs w:val="20"/>
          <w:vertAlign w:val="superscript"/>
        </w:rPr>
        <w:t xml:space="preserve">2 </w:t>
      </w:r>
      <w:r w:rsidRPr="008F704C">
        <w:rPr>
          <w:rFonts w:eastAsia="Calibri"/>
          <w:i/>
          <w:iCs/>
          <w:szCs w:val="20"/>
        </w:rPr>
        <w:t>$15,000 to &lt; $25,000</w:t>
      </w:r>
    </w:p>
    <w:p w14:paraId="086F81DD" w14:textId="6BB6BDED" w:rsidR="008F704C" w:rsidRPr="00484AE9" w:rsidRDefault="008F704C" w:rsidP="00BB732D">
      <w:pPr>
        <w:pStyle w:val="FooterTableFigure"/>
        <w:rPr>
          <w:rFonts w:eastAsia="Calibri"/>
          <w:szCs w:val="20"/>
        </w:rPr>
      </w:pPr>
      <w:r w:rsidRPr="008F704C">
        <w:rPr>
          <w:rFonts w:eastAsia="Calibri"/>
          <w:i/>
          <w:iCs/>
          <w:szCs w:val="20"/>
          <w:vertAlign w:val="superscript"/>
        </w:rPr>
        <w:t xml:space="preserve">3 </w:t>
      </w:r>
      <w:r w:rsidRPr="008F704C">
        <w:rPr>
          <w:rFonts w:eastAsia="Calibri"/>
          <w:i/>
          <w:iCs/>
          <w:szCs w:val="20"/>
        </w:rPr>
        <w:t xml:space="preserve">$95,000 to &lt; $115,000 </w:t>
      </w:r>
    </w:p>
    <w:p w14:paraId="747C0EE7" w14:textId="39C8C177" w:rsidR="00F1452A" w:rsidRPr="00484AE9" w:rsidRDefault="001A764C" w:rsidP="00F1452A">
      <w:pPr>
        <w:pStyle w:val="3-BodyText"/>
        <w:rPr>
          <w:color w:val="000000" w:themeColor="text1"/>
        </w:rPr>
      </w:pPr>
      <w:bookmarkStart w:id="139" w:name="_Ref151037622"/>
      <w:bookmarkStart w:id="140" w:name="_Ref148090141"/>
      <w:r w:rsidRPr="00484AE9">
        <w:rPr>
          <w:iCs/>
        </w:rPr>
        <w:t xml:space="preserve">The ESC advised that baseline risks of death applied in the </w:t>
      </w:r>
      <w:r w:rsidR="00914A97" w:rsidRPr="00484AE9">
        <w:rPr>
          <w:iCs/>
        </w:rPr>
        <w:t xml:space="preserve">submission’s </w:t>
      </w:r>
      <w:r w:rsidRPr="00484AE9">
        <w:rPr>
          <w:iCs/>
        </w:rPr>
        <w:t>economic analysis appear to have been overestimated</w:t>
      </w:r>
      <w:r w:rsidR="00753E03" w:rsidRPr="00484AE9">
        <w:rPr>
          <w:iCs/>
        </w:rPr>
        <w:t xml:space="preserve"> and had poor face validity</w:t>
      </w:r>
      <w:r w:rsidRPr="00484AE9">
        <w:rPr>
          <w:iCs/>
        </w:rPr>
        <w:t>.</w:t>
      </w:r>
      <w:bookmarkEnd w:id="139"/>
      <w:r w:rsidRPr="00484AE9">
        <w:rPr>
          <w:iCs/>
        </w:rPr>
        <w:t xml:space="preserve"> </w:t>
      </w:r>
    </w:p>
    <w:p w14:paraId="2C2961BE" w14:textId="64F11BBA" w:rsidR="00F1452A" w:rsidRPr="00484AE9" w:rsidRDefault="003E793F" w:rsidP="00914A97">
      <w:pPr>
        <w:pStyle w:val="3-BodyText"/>
        <w:rPr>
          <w:color w:val="000000" w:themeColor="text1"/>
        </w:rPr>
      </w:pPr>
      <w:r w:rsidRPr="00484AE9">
        <w:rPr>
          <w:color w:val="000000" w:themeColor="text1"/>
        </w:rPr>
        <w:t>The ESC noted t</w:t>
      </w:r>
      <w:r w:rsidR="00914A97" w:rsidRPr="00484AE9">
        <w:rPr>
          <w:color w:val="000000" w:themeColor="text1"/>
        </w:rPr>
        <w:t xml:space="preserve">he </w:t>
      </w:r>
      <w:r w:rsidR="00914A97" w:rsidRPr="00484AE9">
        <w:rPr>
          <w:iCs/>
        </w:rPr>
        <w:t>COVID-19 mortality estimates from CoRiCal (COVID</w:t>
      </w:r>
      <w:r w:rsidR="00914A97" w:rsidRPr="00484AE9">
        <w:rPr>
          <w:iCs/>
        </w:rPr>
        <w:noBreakHyphen/>
        <w:t>19 Risk Calculator</w:t>
      </w:r>
      <w:r w:rsidR="00914A97" w:rsidRPr="00484AE9">
        <w:rPr>
          <w:color w:val="000000" w:themeColor="text1"/>
        </w:rPr>
        <w:t xml:space="preserve">) are shown in </w:t>
      </w:r>
      <w:r w:rsidR="00914A97" w:rsidRPr="00484AE9">
        <w:rPr>
          <w:color w:val="000000" w:themeColor="text1"/>
        </w:rPr>
        <w:fldChar w:fldCharType="begin"/>
      </w:r>
      <w:r w:rsidR="00914A97" w:rsidRPr="00484AE9">
        <w:rPr>
          <w:color w:val="000000" w:themeColor="text1"/>
        </w:rPr>
        <w:instrText xml:space="preserve"> REF _Ref150925400 \h </w:instrText>
      </w:r>
      <w:r w:rsidR="00914A97" w:rsidRPr="00484AE9">
        <w:rPr>
          <w:color w:val="000000" w:themeColor="text1"/>
        </w:rPr>
      </w:r>
      <w:r w:rsidR="00914A97" w:rsidRPr="00484AE9">
        <w:rPr>
          <w:color w:val="000000" w:themeColor="text1"/>
        </w:rPr>
        <w:fldChar w:fldCharType="separate"/>
      </w:r>
      <w:r w:rsidR="00872657" w:rsidRPr="00484AE9">
        <w:rPr>
          <w:iCs/>
        </w:rPr>
        <w:t xml:space="preserve">Figure </w:t>
      </w:r>
      <w:r w:rsidR="00872657">
        <w:rPr>
          <w:iCs/>
          <w:noProof/>
        </w:rPr>
        <w:t>9</w:t>
      </w:r>
      <w:r w:rsidR="00914A97" w:rsidRPr="00484AE9">
        <w:rPr>
          <w:color w:val="000000" w:themeColor="text1"/>
        </w:rPr>
        <w:fldChar w:fldCharType="end"/>
      </w:r>
      <w:r w:rsidR="00A46EBF" w:rsidRPr="00484AE9">
        <w:rPr>
          <w:color w:val="000000" w:themeColor="text1"/>
        </w:rPr>
        <w:t xml:space="preserve">, </w:t>
      </w:r>
      <w:r w:rsidRPr="00484AE9">
        <w:rPr>
          <w:color w:val="000000" w:themeColor="text1"/>
        </w:rPr>
        <w:t>and considered the estimates</w:t>
      </w:r>
      <w:r w:rsidR="00994276" w:rsidRPr="00484AE9">
        <w:rPr>
          <w:color w:val="000000" w:themeColor="text1"/>
        </w:rPr>
        <w:t xml:space="preserve"> in the submission in the context of </w:t>
      </w:r>
      <w:r w:rsidR="00F1452A" w:rsidRPr="00484AE9">
        <w:rPr>
          <w:color w:val="000000" w:themeColor="text1"/>
        </w:rPr>
        <w:t>the CORiCal estimates (</w:t>
      </w:r>
      <w:r w:rsidR="00F1452A" w:rsidRPr="00484AE9">
        <w:rPr>
          <w:color w:val="000000" w:themeColor="text1"/>
        </w:rPr>
        <w:fldChar w:fldCharType="begin"/>
      </w:r>
      <w:r w:rsidR="00F1452A" w:rsidRPr="00484AE9">
        <w:rPr>
          <w:color w:val="000000" w:themeColor="text1"/>
        </w:rPr>
        <w:instrText xml:space="preserve"> REF _Ref150925400 \h </w:instrText>
      </w:r>
      <w:r w:rsidR="00F1452A" w:rsidRPr="00484AE9">
        <w:rPr>
          <w:color w:val="000000" w:themeColor="text1"/>
        </w:rPr>
      </w:r>
      <w:r w:rsidR="00F1452A" w:rsidRPr="00484AE9">
        <w:rPr>
          <w:color w:val="000000" w:themeColor="text1"/>
        </w:rPr>
        <w:fldChar w:fldCharType="separate"/>
      </w:r>
      <w:r w:rsidR="00872657" w:rsidRPr="00484AE9">
        <w:rPr>
          <w:iCs/>
        </w:rPr>
        <w:t xml:space="preserve">Figure </w:t>
      </w:r>
      <w:r w:rsidR="00872657">
        <w:rPr>
          <w:iCs/>
          <w:noProof/>
        </w:rPr>
        <w:t>9</w:t>
      </w:r>
      <w:r w:rsidR="00F1452A" w:rsidRPr="00484AE9">
        <w:rPr>
          <w:color w:val="000000" w:themeColor="text1"/>
        </w:rPr>
        <w:fldChar w:fldCharType="end"/>
      </w:r>
      <w:r w:rsidR="00F1452A" w:rsidRPr="00484AE9">
        <w:rPr>
          <w:color w:val="000000" w:themeColor="text1"/>
        </w:rPr>
        <w:t>).</w:t>
      </w:r>
    </w:p>
    <w:p w14:paraId="7666D0EE" w14:textId="3F52D4D2" w:rsidR="00914A97" w:rsidRPr="00484AE9" w:rsidRDefault="00914A97" w:rsidP="00914A97">
      <w:pPr>
        <w:pStyle w:val="Caption"/>
        <w:rPr>
          <w:iCs/>
        </w:rPr>
      </w:pPr>
      <w:bookmarkStart w:id="141" w:name="_Ref150925400"/>
      <w:r w:rsidRPr="00484AE9">
        <w:rPr>
          <w:iCs/>
        </w:rPr>
        <w:t xml:space="preserve">Figure </w:t>
      </w:r>
      <w:r w:rsidRPr="00484AE9">
        <w:rPr>
          <w:b w:val="0"/>
          <w:bCs w:val="0"/>
          <w:iCs/>
        </w:rPr>
        <w:fldChar w:fldCharType="begin"/>
      </w:r>
      <w:r w:rsidRPr="00484AE9">
        <w:rPr>
          <w:iCs/>
        </w:rPr>
        <w:instrText xml:space="preserve"> SEQ Figure \* ARABIC </w:instrText>
      </w:r>
      <w:r w:rsidRPr="00484AE9">
        <w:rPr>
          <w:b w:val="0"/>
          <w:bCs w:val="0"/>
          <w:iCs/>
        </w:rPr>
        <w:fldChar w:fldCharType="separate"/>
      </w:r>
      <w:r w:rsidR="00872657">
        <w:rPr>
          <w:iCs/>
          <w:noProof/>
        </w:rPr>
        <w:t>9</w:t>
      </w:r>
      <w:r w:rsidRPr="00484AE9">
        <w:rPr>
          <w:b w:val="0"/>
          <w:bCs w:val="0"/>
          <w:iCs/>
        </w:rPr>
        <w:fldChar w:fldCharType="end"/>
      </w:r>
      <w:bookmarkEnd w:id="141"/>
      <w:r w:rsidRPr="00484AE9">
        <w:rPr>
          <w:iCs/>
        </w:rPr>
        <w:t>: COVID-19 mortality estimates from CoRiCal (COVID</w:t>
      </w:r>
      <w:r w:rsidRPr="00484AE9">
        <w:rPr>
          <w:iCs/>
        </w:rPr>
        <w:noBreakHyphen/>
        <w:t>19 Risk Calculator)</w:t>
      </w:r>
    </w:p>
    <w:p w14:paraId="40C9FAFE" w14:textId="6F4BB639" w:rsidR="00914A97" w:rsidRPr="00445429" w:rsidRDefault="00914A97" w:rsidP="00445429">
      <w:pPr>
        <w:pStyle w:val="3-BodyText"/>
        <w:numPr>
          <w:ilvl w:val="0"/>
          <w:numId w:val="0"/>
        </w:numPr>
        <w:rPr>
          <w:iCs/>
        </w:rPr>
      </w:pPr>
      <w:r w:rsidRPr="00484AE9">
        <w:rPr>
          <w:b/>
          <w:iCs/>
          <w:noProof/>
          <w:sz w:val="32"/>
          <w:szCs w:val="32"/>
        </w:rPr>
        <w:drawing>
          <wp:inline distT="0" distB="0" distL="0" distR="0" wp14:anchorId="1FAEAF27" wp14:editId="42E14B37">
            <wp:extent cx="5389200" cy="3236400"/>
            <wp:effectExtent l="0" t="0" r="2540" b="2540"/>
            <wp:docPr id="7" name="Picture 7" descr="Figure 9: COVID-19 mortality estimates from CoRiCal (COVID 19 Risk Calc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igure 9: COVID-19 mortality estimates from CoRiCal (COVID 19 Risk Calculator)"/>
                    <pic:cNvPicPr/>
                  </pic:nvPicPr>
                  <pic:blipFill>
                    <a:blip r:embed="rId18"/>
                    <a:stretch>
                      <a:fillRect/>
                    </a:stretch>
                  </pic:blipFill>
                  <pic:spPr>
                    <a:xfrm>
                      <a:off x="0" y="0"/>
                      <a:ext cx="5389200" cy="3236400"/>
                    </a:xfrm>
                    <a:prstGeom prst="rect">
                      <a:avLst/>
                    </a:prstGeom>
                  </pic:spPr>
                </pic:pic>
              </a:graphicData>
            </a:graphic>
          </wp:inline>
        </w:drawing>
      </w:r>
    </w:p>
    <w:p w14:paraId="60E0CEA1" w14:textId="51B8C9CC" w:rsidR="00E22239" w:rsidRPr="00484AE9" w:rsidRDefault="006A0E07" w:rsidP="008E3562">
      <w:pPr>
        <w:pStyle w:val="3-BodyText"/>
        <w:rPr>
          <w:iCs/>
        </w:rPr>
      </w:pPr>
      <w:r w:rsidRPr="00484AE9">
        <w:rPr>
          <w:iCs/>
        </w:rPr>
        <w:t xml:space="preserve">The </w:t>
      </w:r>
      <w:r w:rsidR="00F94D96" w:rsidRPr="00484AE9">
        <w:rPr>
          <w:iCs/>
        </w:rPr>
        <w:t xml:space="preserve">ESC advised that a more appropriate base case may be as conducted during the evaluation with respect to baseline mortality risks, and no treatment effect on long </w:t>
      </w:r>
      <w:r w:rsidR="00F94D96" w:rsidRPr="00484AE9">
        <w:rPr>
          <w:iCs/>
        </w:rPr>
        <w:lastRenderedPageBreak/>
        <w:t>COVID. Further, the ESC noted that the sensitivity analyses applying pooled estimates of treatment effects from a meta-analysis of RCTs were informative (</w:t>
      </w:r>
      <w:r w:rsidR="00F94D96" w:rsidRPr="00484AE9">
        <w:rPr>
          <w:iCs/>
        </w:rPr>
        <w:fldChar w:fldCharType="begin"/>
      </w:r>
      <w:r w:rsidR="00F94D96" w:rsidRPr="00484AE9">
        <w:rPr>
          <w:iCs/>
        </w:rPr>
        <w:instrText xml:space="preserve"> REF _Ref148173572 \h  \* MERGEFORMAT </w:instrText>
      </w:r>
      <w:r w:rsidR="00F94D96" w:rsidRPr="00484AE9">
        <w:rPr>
          <w:iCs/>
        </w:rPr>
      </w:r>
      <w:r w:rsidR="00F94D96" w:rsidRPr="00484AE9">
        <w:rPr>
          <w:iCs/>
        </w:rPr>
        <w:fldChar w:fldCharType="separate"/>
      </w:r>
      <w:r w:rsidR="00872657" w:rsidRPr="00872657">
        <w:rPr>
          <w:iCs/>
        </w:rPr>
        <w:t>Table 23</w:t>
      </w:r>
      <w:r w:rsidR="00F94D96" w:rsidRPr="00484AE9">
        <w:rPr>
          <w:iCs/>
        </w:rPr>
        <w:fldChar w:fldCharType="end"/>
      </w:r>
      <w:r w:rsidR="00F94D96" w:rsidRPr="00484AE9">
        <w:rPr>
          <w:iCs/>
        </w:rPr>
        <w:t>).</w:t>
      </w:r>
    </w:p>
    <w:p w14:paraId="2680AEF5" w14:textId="43880DC0" w:rsidR="00E22239" w:rsidRPr="00484AE9" w:rsidRDefault="003317EE" w:rsidP="003317EE">
      <w:pPr>
        <w:pStyle w:val="3-BodyText"/>
        <w:rPr>
          <w:iCs/>
        </w:rPr>
      </w:pPr>
      <w:bookmarkStart w:id="142" w:name="_Ref151037631"/>
      <w:r w:rsidRPr="00484AE9">
        <w:rPr>
          <w:iCs/>
        </w:rPr>
        <w:t>The ESC advised it was not</w:t>
      </w:r>
      <w:r w:rsidR="00F94D96" w:rsidRPr="00484AE9">
        <w:rPr>
          <w:iCs/>
        </w:rPr>
        <w:t xml:space="preserve"> appropriate to use observational studies to derive differential estimates of treatment effect to be applied in the economic analysis.</w:t>
      </w:r>
      <w:bookmarkEnd w:id="140"/>
      <w:bookmarkEnd w:id="142"/>
    </w:p>
    <w:p w14:paraId="7A3BA195" w14:textId="23FB6AD7" w:rsidR="00125B4D" w:rsidRPr="00484AE9" w:rsidRDefault="00125B4D" w:rsidP="0002308C">
      <w:pPr>
        <w:pStyle w:val="3-BodyText"/>
        <w:rPr>
          <w:color w:val="000000" w:themeColor="text1"/>
        </w:rPr>
      </w:pPr>
      <w:r w:rsidRPr="00484AE9">
        <w:rPr>
          <w:color w:val="000000" w:themeColor="text1"/>
        </w:rPr>
        <w:t>The pre-PBAC response applied the costs of a longer telehealth consultation lasting at least 6 minutes (MBS item 91891 Fee $41.20) to the respecified base case. The analysis showed that the model was not highly sensitive to the increase in MBS costs (ICER increase of $</w:t>
      </w:r>
      <w:r w:rsidR="008F704C" w:rsidRPr="008F704C">
        <w:rPr>
          <w:color w:val="000000" w:themeColor="text1"/>
        </w:rPr>
        <w:t>0 to &lt; $5,000</w:t>
      </w:r>
      <w:r w:rsidRPr="00484AE9">
        <w:rPr>
          <w:color w:val="000000" w:themeColor="text1"/>
        </w:rPr>
        <w:t>, $</w:t>
      </w:r>
      <w:r w:rsidR="008F704C" w:rsidRPr="008F704C">
        <w:rPr>
          <w:color w:val="000000" w:themeColor="text1"/>
        </w:rPr>
        <w:t>0 to &lt; $5,000</w:t>
      </w:r>
      <w:r w:rsidRPr="00484AE9">
        <w:rPr>
          <w:color w:val="000000" w:themeColor="text1"/>
        </w:rPr>
        <w:t>, $</w:t>
      </w:r>
      <w:r w:rsidR="008F704C" w:rsidRPr="008F704C">
        <w:rPr>
          <w:color w:val="000000" w:themeColor="text1"/>
        </w:rPr>
        <w:t>0 to &lt; $5,000</w:t>
      </w:r>
      <w:r w:rsidRPr="00484AE9">
        <w:rPr>
          <w:color w:val="000000" w:themeColor="text1"/>
        </w:rPr>
        <w:t>, $</w:t>
      </w:r>
      <w:r w:rsidR="004D673E" w:rsidRPr="004D673E">
        <w:rPr>
          <w:color w:val="000000" w:themeColor="text1"/>
        </w:rPr>
        <w:t>0 to &lt; $5,000</w:t>
      </w:r>
      <w:r w:rsidR="004D673E">
        <w:rPr>
          <w:color w:val="000000" w:themeColor="text1"/>
        </w:rPr>
        <w:t xml:space="preserve"> </w:t>
      </w:r>
      <w:r w:rsidRPr="00484AE9">
        <w:rPr>
          <w:color w:val="000000" w:themeColor="text1"/>
        </w:rPr>
        <w:t xml:space="preserve">for </w:t>
      </w:r>
      <w:r w:rsidR="00226F1D" w:rsidRPr="00484AE9">
        <w:rPr>
          <w:color w:val="000000" w:themeColor="text1"/>
        </w:rPr>
        <w:t>≥</w:t>
      </w:r>
      <w:r w:rsidR="00226F1D">
        <w:rPr>
          <w:color w:val="000000" w:themeColor="text1"/>
        </w:rPr>
        <w:t> </w:t>
      </w:r>
      <w:r w:rsidRPr="00484AE9">
        <w:rPr>
          <w:color w:val="000000" w:themeColor="text1"/>
        </w:rPr>
        <w:t>18 immunocompromised, ≥</w:t>
      </w:r>
      <w:r w:rsidR="00226F1D">
        <w:rPr>
          <w:color w:val="000000" w:themeColor="text1"/>
        </w:rPr>
        <w:t> </w:t>
      </w:r>
      <w:r w:rsidRPr="00484AE9">
        <w:rPr>
          <w:color w:val="000000" w:themeColor="text1"/>
        </w:rPr>
        <w:t>30 ATSI, ≥70 and 50-69 with at least 2 risk factors, respectively) even when this cost is conservatively applied for all patients</w:t>
      </w:r>
      <w:r w:rsidR="00437858" w:rsidRPr="00484AE9">
        <w:rPr>
          <w:color w:val="000000" w:themeColor="text1"/>
        </w:rPr>
        <w:t xml:space="preserve"> (results not verified)</w:t>
      </w:r>
      <w:r w:rsidRPr="00484AE9">
        <w:rPr>
          <w:color w:val="000000" w:themeColor="text1"/>
        </w:rPr>
        <w:t>.</w:t>
      </w:r>
    </w:p>
    <w:p w14:paraId="36B25736" w14:textId="77777777" w:rsidR="00437858" w:rsidRPr="00484AE9" w:rsidRDefault="00437858" w:rsidP="00437858">
      <w:pPr>
        <w:pStyle w:val="3-BodyText"/>
        <w:rPr>
          <w:color w:val="000000" w:themeColor="text1"/>
        </w:rPr>
      </w:pPr>
      <w:bookmarkStart w:id="143" w:name="_Ref151933256"/>
      <w:r w:rsidRPr="00484AE9">
        <w:rPr>
          <w:color w:val="000000" w:themeColor="text1"/>
        </w:rPr>
        <w:t>The pre-PBAC response noted the respecified base case conducted during the evaluation included a 66% reduction in the baseline mortality rate and stated that a 50% reduction in the baseline mortality rate would be a more reasonable assumption.</w:t>
      </w:r>
      <w:bookmarkEnd w:id="143"/>
      <w:r w:rsidRPr="00484AE9">
        <w:rPr>
          <w:color w:val="000000" w:themeColor="text1"/>
        </w:rPr>
        <w:t xml:space="preserve"> </w:t>
      </w:r>
    </w:p>
    <w:p w14:paraId="679D84D0" w14:textId="5B3A0541" w:rsidR="00437858" w:rsidRPr="00484AE9" w:rsidRDefault="00437858" w:rsidP="00437858">
      <w:pPr>
        <w:pStyle w:val="3-BodyText"/>
        <w:rPr>
          <w:color w:val="000000" w:themeColor="text1"/>
        </w:rPr>
      </w:pPr>
      <w:r w:rsidRPr="00484AE9">
        <w:rPr>
          <w:color w:val="000000" w:themeColor="text1"/>
        </w:rPr>
        <w:t xml:space="preserve">The response offered a revised price of AEMP </w:t>
      </w:r>
      <w:r w:rsidR="00696519" w:rsidRPr="00696519">
        <w:rPr>
          <w:color w:val="000000" w:themeColor="text1"/>
        </w:rPr>
        <w:t>$</w:t>
      </w:r>
      <w:r w:rsidR="00696519" w:rsidRPr="00822E49">
        <w:rPr>
          <w:color w:val="000000" w:themeColor="text1"/>
          <w:spacing w:val="6"/>
          <w:w w:val="60"/>
          <w:shd w:val="solid" w:color="000000" w:fill="000000"/>
          <w:fitText w:val="470" w:id="-1032089076"/>
          <w14:textFill>
            <w14:solidFill>
              <w14:schemeClr w14:val="tx1">
                <w14:alpha w14:val="100000"/>
              </w14:schemeClr>
            </w14:solidFill>
          </w14:textFill>
        </w:rPr>
        <w:t>||| ||</w:t>
      </w:r>
      <w:r w:rsidR="00696519" w:rsidRPr="00822E49">
        <w:rPr>
          <w:color w:val="000000" w:themeColor="text1"/>
          <w:spacing w:val="4"/>
          <w:w w:val="60"/>
          <w:shd w:val="solid" w:color="000000" w:fill="000000"/>
          <w:fitText w:val="470" w:id="-1032089076"/>
          <w14:textFill>
            <w14:solidFill>
              <w14:schemeClr w14:val="tx1">
                <w14:alpha w14:val="100000"/>
              </w14:schemeClr>
            </w14:solidFill>
          </w14:textFill>
        </w:rPr>
        <w:t>|</w:t>
      </w:r>
      <w:r w:rsidRPr="00484AE9">
        <w:rPr>
          <w:color w:val="000000" w:themeColor="text1"/>
        </w:rPr>
        <w:t>. At this price, applying a flat relative risk of 0.3 for hospitalisation, no treatment effect for long COVID and a 50% reduction in baseline mortality, Paxlovid is highly cost-effective in all four subgroups, with ICERs of $</w:t>
      </w:r>
      <w:r w:rsidR="004D673E" w:rsidRPr="004D673E">
        <w:rPr>
          <w:color w:val="000000" w:themeColor="text1"/>
        </w:rPr>
        <w:t>5,000 to &lt; $15,000</w:t>
      </w:r>
      <w:r w:rsidRPr="00484AE9">
        <w:rPr>
          <w:color w:val="000000" w:themeColor="text1"/>
        </w:rPr>
        <w:t>/QALY, $</w:t>
      </w:r>
      <w:r w:rsidR="004D673E" w:rsidRPr="004D673E">
        <w:rPr>
          <w:color w:val="000000" w:themeColor="text1"/>
        </w:rPr>
        <w:t>5,000 to &lt; $15,000</w:t>
      </w:r>
      <w:r w:rsidRPr="00484AE9">
        <w:rPr>
          <w:color w:val="000000" w:themeColor="text1"/>
        </w:rPr>
        <w:t>/QALY, $</w:t>
      </w:r>
      <w:r w:rsidR="004D673E" w:rsidRPr="004D673E">
        <w:rPr>
          <w:color w:val="000000" w:themeColor="text1"/>
        </w:rPr>
        <w:t>5,000 to &lt; $15,000</w:t>
      </w:r>
      <w:r w:rsidRPr="00484AE9">
        <w:rPr>
          <w:color w:val="000000" w:themeColor="text1"/>
        </w:rPr>
        <w:t>/QALY and $</w:t>
      </w:r>
      <w:r w:rsidR="004D673E" w:rsidRPr="004D673E">
        <w:rPr>
          <w:color w:val="000000" w:themeColor="text1"/>
        </w:rPr>
        <w:t>15,000 to &lt; $25,000</w:t>
      </w:r>
      <w:r w:rsidRPr="00484AE9">
        <w:rPr>
          <w:color w:val="000000" w:themeColor="text1"/>
        </w:rPr>
        <w:t>/QALY for people aged 70+, 18+ moderately or severely immunocompromised, 30+ ATSI with at least one additional risk factor and people 50-69 with at least two additional risk factors, respectively. Based on subgroup weightings of 50%, 15%, 5% and 30%, respectively, the weighted ICER for the overall population is estimated to be $</w:t>
      </w:r>
      <w:r w:rsidR="004D673E" w:rsidRPr="004D673E">
        <w:rPr>
          <w:color w:val="000000" w:themeColor="text1"/>
        </w:rPr>
        <w:t>5,000 to &lt; $15,000</w:t>
      </w:r>
      <w:r w:rsidRPr="00484AE9">
        <w:rPr>
          <w:color w:val="000000" w:themeColor="text1"/>
        </w:rPr>
        <w:t>/QALY (results not verified).</w:t>
      </w:r>
    </w:p>
    <w:p w14:paraId="0DBB429A" w14:textId="77777777" w:rsidR="00E85E43" w:rsidRPr="00484AE9" w:rsidRDefault="00E85E43" w:rsidP="00E85E43">
      <w:pPr>
        <w:pStyle w:val="4-SubsectionHeading"/>
      </w:pPr>
      <w:r w:rsidRPr="00484AE9">
        <w:t>Revised economic analysis</w:t>
      </w:r>
    </w:p>
    <w:p w14:paraId="63F6C158" w14:textId="4CE4FD65" w:rsidR="00E85E43" w:rsidRPr="00484AE9" w:rsidRDefault="00E85E43" w:rsidP="00E85E43">
      <w:pPr>
        <w:pStyle w:val="3-BodyText"/>
        <w:rPr>
          <w:iCs/>
        </w:rPr>
      </w:pPr>
      <w:r w:rsidRPr="00484AE9">
        <w:rPr>
          <w:iCs/>
        </w:rPr>
        <w:t xml:space="preserve">At the request of the ESC, a simplified revised model focussed on the key drivers of cost-effectiveness of the antivirals used to treat </w:t>
      </w:r>
      <w:r w:rsidRPr="00484AE9">
        <w:rPr>
          <w:rStyle w:val="normaltextrun"/>
          <w:iCs/>
        </w:rPr>
        <w:t>COVID</w:t>
      </w:r>
      <w:r w:rsidRPr="00484AE9">
        <w:rPr>
          <w:rStyle w:val="normaltextrun"/>
          <w:iCs/>
        </w:rPr>
        <w:noBreakHyphen/>
        <w:t xml:space="preserve">19 was developed. The simplified model </w:t>
      </w:r>
      <w:r w:rsidRPr="00484AE9">
        <w:rPr>
          <w:iCs/>
          <w:color w:val="000000" w:themeColor="text1"/>
        </w:rPr>
        <w:t>allows both of the antiviral products to be assessed under the same conditions</w:t>
      </w:r>
      <w:r w:rsidR="00A62B3A" w:rsidRPr="00484AE9">
        <w:rPr>
          <w:iCs/>
          <w:color w:val="000000" w:themeColor="text1"/>
        </w:rPr>
        <w:t xml:space="preserve">. </w:t>
      </w:r>
      <w:r w:rsidR="00237241" w:rsidRPr="00484AE9">
        <w:rPr>
          <w:iCs/>
          <w:color w:val="000000" w:themeColor="text1"/>
        </w:rPr>
        <w:t>The specifications of the common model are provided below in sufficient detail to allow the results to be reproduced by the sponsor.</w:t>
      </w:r>
    </w:p>
    <w:p w14:paraId="211449E6" w14:textId="7883CBB9" w:rsidR="00E85E43" w:rsidRPr="00484AE9" w:rsidRDefault="00E85E43" w:rsidP="00E85E43">
      <w:pPr>
        <w:pStyle w:val="3-BodyText"/>
        <w:rPr>
          <w:iCs/>
        </w:rPr>
      </w:pPr>
      <w:r w:rsidRPr="00484AE9">
        <w:rPr>
          <w:iCs/>
          <w:color w:val="000000" w:themeColor="text1"/>
        </w:rPr>
        <w:t xml:space="preserve">The structure of the common model is shown in </w:t>
      </w:r>
      <w:r w:rsidRPr="00484AE9">
        <w:rPr>
          <w:i/>
          <w:iCs/>
          <w:color w:val="000000" w:themeColor="text1"/>
        </w:rPr>
        <w:fldChar w:fldCharType="begin"/>
      </w:r>
      <w:r w:rsidRPr="00484AE9">
        <w:rPr>
          <w:i/>
          <w:iCs/>
          <w:color w:val="000000" w:themeColor="text1"/>
        </w:rPr>
        <w:instrText xml:space="preserve"> REF _Ref148527875 \h  \* MERGEFORMAT </w:instrText>
      </w:r>
      <w:r w:rsidRPr="00484AE9">
        <w:rPr>
          <w:i/>
          <w:iCs/>
          <w:color w:val="000000" w:themeColor="text1"/>
        </w:rPr>
      </w:r>
      <w:r w:rsidRPr="00484AE9">
        <w:rPr>
          <w:i/>
          <w:iCs/>
          <w:color w:val="000000" w:themeColor="text1"/>
        </w:rPr>
        <w:fldChar w:fldCharType="separate"/>
      </w:r>
      <w:r w:rsidR="00872657" w:rsidRPr="00484AE9">
        <w:t xml:space="preserve">Figure </w:t>
      </w:r>
      <w:r w:rsidR="00872657">
        <w:t>10</w:t>
      </w:r>
      <w:r w:rsidRPr="00484AE9">
        <w:rPr>
          <w:i/>
          <w:iCs/>
          <w:color w:val="000000" w:themeColor="text1"/>
        </w:rPr>
        <w:fldChar w:fldCharType="end"/>
      </w:r>
      <w:r w:rsidRPr="00484AE9">
        <w:rPr>
          <w:iCs/>
          <w:color w:val="000000" w:themeColor="text1"/>
        </w:rPr>
        <w:t xml:space="preserve">. The common model does not include any impact of long COVID on patients. The only outcome captured by this model is QALYs gained by averting deaths due to </w:t>
      </w:r>
      <w:r w:rsidRPr="00484AE9">
        <w:rPr>
          <w:rStyle w:val="normaltextrun"/>
          <w:iCs/>
          <w:color w:val="000000" w:themeColor="text1"/>
        </w:rPr>
        <w:t>COVID</w:t>
      </w:r>
      <w:r w:rsidRPr="00484AE9">
        <w:rPr>
          <w:rStyle w:val="normaltextrun"/>
          <w:iCs/>
          <w:color w:val="000000" w:themeColor="text1"/>
        </w:rPr>
        <w:noBreakHyphen/>
        <w:t>19. The only costs included in this economic evaluation are drug treatment costs and hospitalisation costs.</w:t>
      </w:r>
    </w:p>
    <w:p w14:paraId="2263BF51" w14:textId="4C3FADB6" w:rsidR="00E85E43" w:rsidRPr="00484AE9" w:rsidRDefault="00E85E43" w:rsidP="00E85E43">
      <w:pPr>
        <w:pStyle w:val="Caption"/>
        <w:rPr>
          <w:iCs/>
        </w:rPr>
      </w:pPr>
      <w:bookmarkStart w:id="144" w:name="_Ref148527875"/>
      <w:r w:rsidRPr="00484AE9">
        <w:lastRenderedPageBreak/>
        <w:t xml:space="preserve">Figure </w:t>
      </w:r>
      <w:fldSimple w:instr=" SEQ Figure \* ARABIC ">
        <w:r w:rsidR="00872657">
          <w:rPr>
            <w:noProof/>
          </w:rPr>
          <w:t>10</w:t>
        </w:r>
      </w:fldSimple>
      <w:bookmarkEnd w:id="144"/>
      <w:r w:rsidRPr="00484AE9">
        <w:rPr>
          <w:iCs/>
        </w:rPr>
        <w:t>: Structure of the common model</w:t>
      </w:r>
    </w:p>
    <w:p w14:paraId="67AF5A32" w14:textId="77777777" w:rsidR="00E85E43" w:rsidRPr="00484AE9" w:rsidRDefault="00E85E43" w:rsidP="00E85E43">
      <w:pPr>
        <w:spacing w:after="120"/>
        <w:rPr>
          <w:iCs/>
        </w:rPr>
      </w:pPr>
      <w:r w:rsidRPr="00484AE9">
        <w:rPr>
          <w:iCs/>
          <w:noProof/>
        </w:rPr>
        <w:drawing>
          <wp:inline distT="0" distB="0" distL="0" distR="0" wp14:anchorId="5CB5DC81" wp14:editId="0A71CFC1">
            <wp:extent cx="5732145" cy="1803400"/>
            <wp:effectExtent l="0" t="0" r="1905" b="6350"/>
            <wp:docPr id="8" name="Picture 8" descr="Figure 10: Structure of the common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10: Structure of the common model"/>
                    <pic:cNvPicPr/>
                  </pic:nvPicPr>
                  <pic:blipFill>
                    <a:blip r:embed="rId19"/>
                    <a:stretch>
                      <a:fillRect/>
                    </a:stretch>
                  </pic:blipFill>
                  <pic:spPr>
                    <a:xfrm>
                      <a:off x="0" y="0"/>
                      <a:ext cx="5732145" cy="1803400"/>
                    </a:xfrm>
                    <a:prstGeom prst="rect">
                      <a:avLst/>
                    </a:prstGeom>
                  </pic:spPr>
                </pic:pic>
              </a:graphicData>
            </a:graphic>
          </wp:inline>
        </w:drawing>
      </w:r>
    </w:p>
    <w:p w14:paraId="4D240CDA" w14:textId="0112FDFD" w:rsidR="00E85E43" w:rsidRPr="00484AE9" w:rsidRDefault="00E85E43" w:rsidP="005D7D85">
      <w:pPr>
        <w:pStyle w:val="3-BodyText"/>
        <w:rPr>
          <w:iCs/>
        </w:rPr>
      </w:pPr>
      <w:r w:rsidRPr="00484AE9">
        <w:rPr>
          <w:iCs/>
        </w:rPr>
        <w:t>The key inputs applied in the sponsor’s model and the common model are summarised in</w:t>
      </w:r>
      <w:r w:rsidR="0010218B" w:rsidRPr="00484AE9">
        <w:rPr>
          <w:iCs/>
        </w:rPr>
        <w:t xml:space="preserve"> </w:t>
      </w:r>
      <w:r w:rsidR="0010218B" w:rsidRPr="00484AE9">
        <w:rPr>
          <w:iCs/>
        </w:rPr>
        <w:fldChar w:fldCharType="begin"/>
      </w:r>
      <w:r w:rsidR="0010218B" w:rsidRPr="00484AE9">
        <w:rPr>
          <w:iCs/>
        </w:rPr>
        <w:instrText xml:space="preserve"> REF _Ref151898047 \h </w:instrText>
      </w:r>
      <w:r w:rsidR="00404C10" w:rsidRPr="00484AE9">
        <w:rPr>
          <w:iCs/>
        </w:rPr>
        <w:instrText xml:space="preserve"> \* MERGEFORMAT </w:instrText>
      </w:r>
      <w:r w:rsidR="0010218B" w:rsidRPr="00484AE9">
        <w:rPr>
          <w:iCs/>
        </w:rPr>
      </w:r>
      <w:r w:rsidR="0010218B" w:rsidRPr="00484AE9">
        <w:rPr>
          <w:iCs/>
        </w:rPr>
        <w:fldChar w:fldCharType="separate"/>
      </w:r>
      <w:r w:rsidR="00872657" w:rsidRPr="00484AE9">
        <w:rPr>
          <w:iCs/>
        </w:rPr>
        <w:t xml:space="preserve">Table </w:t>
      </w:r>
      <w:r w:rsidR="00872657">
        <w:rPr>
          <w:iCs/>
        </w:rPr>
        <w:t>24</w:t>
      </w:r>
      <w:r w:rsidR="0010218B" w:rsidRPr="00484AE9">
        <w:rPr>
          <w:iCs/>
        </w:rPr>
        <w:fldChar w:fldCharType="end"/>
      </w:r>
      <w:r w:rsidR="0010218B" w:rsidRPr="00484AE9">
        <w:rPr>
          <w:iCs/>
        </w:rPr>
        <w:t xml:space="preserve">. </w:t>
      </w:r>
      <w:r w:rsidR="00BD249D" w:rsidRPr="00484AE9">
        <w:t xml:space="preserve">The inputs applied in the common model reflect ESC advice regarding the most appropriate estimates, </w:t>
      </w:r>
      <w:r w:rsidR="009F5B66" w:rsidRPr="00484AE9">
        <w:t xml:space="preserve">that were supported </w:t>
      </w:r>
      <w:r w:rsidR="00BD249D" w:rsidRPr="00484AE9">
        <w:t>based on review of the inputs provided in the sponsor submissions and evaluations for both OAVs.</w:t>
      </w:r>
      <w:r w:rsidR="00F76D9A">
        <w:t xml:space="preserve"> </w:t>
      </w:r>
      <w:r w:rsidRPr="00484AE9">
        <w:rPr>
          <w:iCs/>
        </w:rPr>
        <w:t>An alternative set of inputs is also presented as a sensitivity analysis.</w:t>
      </w:r>
    </w:p>
    <w:p w14:paraId="7B0DD51E" w14:textId="3AA83D05" w:rsidR="00E85E43" w:rsidRPr="00484AE9" w:rsidRDefault="00E85E43" w:rsidP="00E85E43">
      <w:pPr>
        <w:pStyle w:val="Caption"/>
        <w:rPr>
          <w:iCs/>
        </w:rPr>
      </w:pPr>
      <w:bookmarkStart w:id="145" w:name="_Ref151898047"/>
      <w:r w:rsidRPr="00484AE9">
        <w:rPr>
          <w:iCs/>
        </w:rPr>
        <w:t xml:space="preserve">Table </w:t>
      </w:r>
      <w:r w:rsidRPr="00484AE9">
        <w:rPr>
          <w:iCs/>
        </w:rPr>
        <w:fldChar w:fldCharType="begin"/>
      </w:r>
      <w:r w:rsidRPr="00484AE9">
        <w:rPr>
          <w:iCs/>
        </w:rPr>
        <w:instrText xml:space="preserve"> SEQ Table \* ARABIC </w:instrText>
      </w:r>
      <w:r w:rsidRPr="00484AE9">
        <w:rPr>
          <w:iCs/>
        </w:rPr>
        <w:fldChar w:fldCharType="separate"/>
      </w:r>
      <w:r w:rsidR="00872657">
        <w:rPr>
          <w:iCs/>
          <w:noProof/>
        </w:rPr>
        <w:t>24</w:t>
      </w:r>
      <w:r w:rsidRPr="00484AE9">
        <w:rPr>
          <w:iCs/>
        </w:rPr>
        <w:fldChar w:fldCharType="end"/>
      </w:r>
      <w:bookmarkEnd w:id="145"/>
      <w:r w:rsidRPr="00484AE9">
        <w:rPr>
          <w:iCs/>
        </w:rPr>
        <w:t>:</w:t>
      </w:r>
      <w:r w:rsidRPr="00484AE9">
        <w:rPr>
          <w:iCs/>
        </w:rPr>
        <w:tab/>
        <w:t>Comparison of key inputs applied in the common model with those applied in the submission’s model</w:t>
      </w:r>
    </w:p>
    <w:tbl>
      <w:tblPr>
        <w:tblStyle w:val="TableGrid"/>
        <w:tblW w:w="5000" w:type="pct"/>
        <w:tblLook w:val="0620" w:firstRow="1" w:lastRow="0" w:firstColumn="0" w:lastColumn="0" w:noHBand="1" w:noVBand="1"/>
      </w:tblPr>
      <w:tblGrid>
        <w:gridCol w:w="3980"/>
        <w:gridCol w:w="2518"/>
        <w:gridCol w:w="2519"/>
      </w:tblGrid>
      <w:tr w:rsidR="00E85E43" w:rsidRPr="00484AE9" w14:paraId="3CC67CEE" w14:textId="77777777" w:rsidTr="00E46E44">
        <w:trPr>
          <w:tblHeader/>
        </w:trPr>
        <w:tc>
          <w:tcPr>
            <w:tcW w:w="2207" w:type="pct"/>
            <w:tcBorders>
              <w:bottom w:val="single" w:sz="4" w:space="0" w:color="auto"/>
            </w:tcBorders>
            <w:vAlign w:val="center"/>
            <w:hideMark/>
          </w:tcPr>
          <w:p w14:paraId="627A6017" w14:textId="77777777" w:rsidR="00E85E43" w:rsidRPr="00484AE9" w:rsidRDefault="00E85E43" w:rsidP="00F1122F">
            <w:pPr>
              <w:pStyle w:val="Tabletext"/>
              <w:keepNext/>
              <w:rPr>
                <w:rFonts w:eastAsia="SimSun"/>
                <w:b/>
                <w:bCs/>
                <w:i/>
                <w:iCs/>
                <w:highlight w:val="yellow"/>
              </w:rPr>
            </w:pPr>
            <w:r w:rsidRPr="00484AE9">
              <w:rPr>
                <w:rFonts w:eastAsia="SimSun"/>
                <w:b/>
                <w:bCs/>
                <w:iCs/>
              </w:rPr>
              <w:t>Parameter</w:t>
            </w:r>
          </w:p>
        </w:tc>
        <w:tc>
          <w:tcPr>
            <w:tcW w:w="1396" w:type="pct"/>
            <w:tcBorders>
              <w:bottom w:val="single" w:sz="4" w:space="0" w:color="auto"/>
            </w:tcBorders>
            <w:vAlign w:val="center"/>
          </w:tcPr>
          <w:p w14:paraId="0BC54B5E" w14:textId="77777777" w:rsidR="00E85E43" w:rsidRPr="00484AE9" w:rsidRDefault="00E85E43" w:rsidP="00F1122F">
            <w:pPr>
              <w:pStyle w:val="Tabletext"/>
              <w:keepNext/>
              <w:jc w:val="center"/>
              <w:rPr>
                <w:rFonts w:eastAsia="SimSun"/>
                <w:b/>
                <w:bCs/>
                <w:i/>
                <w:iCs/>
                <w:highlight w:val="yellow"/>
              </w:rPr>
            </w:pPr>
            <w:r w:rsidRPr="00484AE9">
              <w:rPr>
                <w:rFonts w:eastAsia="SimSun"/>
                <w:b/>
                <w:bCs/>
                <w:iCs/>
              </w:rPr>
              <w:t>Common model</w:t>
            </w:r>
          </w:p>
        </w:tc>
        <w:tc>
          <w:tcPr>
            <w:tcW w:w="1397" w:type="pct"/>
            <w:tcBorders>
              <w:bottom w:val="single" w:sz="4" w:space="0" w:color="auto"/>
            </w:tcBorders>
            <w:vAlign w:val="center"/>
          </w:tcPr>
          <w:p w14:paraId="2AE9160A" w14:textId="77777777" w:rsidR="00E85E43" w:rsidRPr="00484AE9" w:rsidRDefault="00E85E43" w:rsidP="00F1122F">
            <w:pPr>
              <w:pStyle w:val="Tabletext"/>
              <w:keepNext/>
              <w:jc w:val="center"/>
              <w:rPr>
                <w:rFonts w:eastAsia="SimSun"/>
                <w:b/>
                <w:bCs/>
                <w:i/>
                <w:iCs/>
                <w:highlight w:val="yellow"/>
              </w:rPr>
            </w:pPr>
            <w:r w:rsidRPr="00484AE9">
              <w:rPr>
                <w:rFonts w:eastAsia="SimSun"/>
                <w:b/>
                <w:bCs/>
                <w:iCs/>
              </w:rPr>
              <w:t>Nirmatrelvir &amp; ritonavir submission</w:t>
            </w:r>
          </w:p>
        </w:tc>
      </w:tr>
      <w:tr w:rsidR="00E85E43" w:rsidRPr="00484AE9" w14:paraId="34B00BA3" w14:textId="77777777" w:rsidTr="00E46E44">
        <w:tc>
          <w:tcPr>
            <w:tcW w:w="2207" w:type="pct"/>
            <w:tcBorders>
              <w:bottom w:val="nil"/>
            </w:tcBorders>
          </w:tcPr>
          <w:p w14:paraId="25B37B06" w14:textId="77777777" w:rsidR="00E85E43" w:rsidRPr="00484AE9" w:rsidRDefault="00E85E43" w:rsidP="00F1122F">
            <w:pPr>
              <w:pStyle w:val="Tabletext"/>
              <w:keepNext/>
              <w:rPr>
                <w:rFonts w:eastAsia="SimSun"/>
                <w:i/>
                <w:iCs/>
                <w:highlight w:val="yellow"/>
              </w:rPr>
            </w:pPr>
            <w:r w:rsidRPr="00484AE9">
              <w:rPr>
                <w:rFonts w:eastAsia="SimSun"/>
                <w:iCs/>
              </w:rPr>
              <w:t>Baseline risk of hospitalisation</w:t>
            </w:r>
          </w:p>
        </w:tc>
        <w:tc>
          <w:tcPr>
            <w:tcW w:w="1396" w:type="pct"/>
            <w:tcBorders>
              <w:bottom w:val="nil"/>
            </w:tcBorders>
            <w:vAlign w:val="center"/>
          </w:tcPr>
          <w:p w14:paraId="7183505F" w14:textId="77777777" w:rsidR="00E85E43" w:rsidRPr="00484AE9" w:rsidRDefault="00E85E43" w:rsidP="00F1122F">
            <w:pPr>
              <w:pStyle w:val="Tabletext"/>
              <w:keepNext/>
              <w:jc w:val="center"/>
              <w:rPr>
                <w:rFonts w:eastAsia="SimSun"/>
                <w:i/>
                <w:iCs/>
                <w:highlight w:val="yellow"/>
              </w:rPr>
            </w:pPr>
          </w:p>
        </w:tc>
        <w:tc>
          <w:tcPr>
            <w:tcW w:w="1397" w:type="pct"/>
            <w:tcBorders>
              <w:bottom w:val="nil"/>
            </w:tcBorders>
            <w:vAlign w:val="center"/>
          </w:tcPr>
          <w:p w14:paraId="55AF3962" w14:textId="77777777" w:rsidR="00E85E43" w:rsidRPr="00484AE9" w:rsidRDefault="00E85E43" w:rsidP="00F1122F">
            <w:pPr>
              <w:pStyle w:val="Tabletext"/>
              <w:keepNext/>
              <w:jc w:val="center"/>
              <w:rPr>
                <w:rFonts w:eastAsia="SimSun"/>
                <w:i/>
                <w:iCs/>
                <w:highlight w:val="yellow"/>
              </w:rPr>
            </w:pPr>
          </w:p>
        </w:tc>
      </w:tr>
      <w:tr w:rsidR="00E85E43" w:rsidRPr="00484AE9" w14:paraId="79C66B68" w14:textId="77777777" w:rsidTr="00E46E44">
        <w:tc>
          <w:tcPr>
            <w:tcW w:w="2207" w:type="pct"/>
            <w:tcBorders>
              <w:top w:val="nil"/>
              <w:bottom w:val="nil"/>
            </w:tcBorders>
          </w:tcPr>
          <w:p w14:paraId="60BB48C0" w14:textId="77777777" w:rsidR="00E85E43" w:rsidRPr="00484AE9" w:rsidRDefault="00E85E43" w:rsidP="00F1122F">
            <w:pPr>
              <w:pStyle w:val="Tabletext"/>
              <w:keepNext/>
              <w:ind w:left="306"/>
              <w:rPr>
                <w:rFonts w:eastAsia="SimSun"/>
                <w:i/>
                <w:iCs/>
                <w:highlight w:val="yellow"/>
              </w:rPr>
            </w:pPr>
            <w:r w:rsidRPr="00484AE9">
              <w:rPr>
                <w:rFonts w:eastAsia="SimSun"/>
                <w:iCs/>
              </w:rPr>
              <w:t xml:space="preserve">70+ </w:t>
            </w:r>
          </w:p>
        </w:tc>
        <w:tc>
          <w:tcPr>
            <w:tcW w:w="1396" w:type="pct"/>
            <w:tcBorders>
              <w:top w:val="nil"/>
              <w:bottom w:val="nil"/>
            </w:tcBorders>
            <w:vAlign w:val="center"/>
          </w:tcPr>
          <w:p w14:paraId="0BE2D41B" w14:textId="77777777" w:rsidR="00E85E43" w:rsidRPr="00484AE9" w:rsidRDefault="00E85E43" w:rsidP="00F1122F">
            <w:pPr>
              <w:pStyle w:val="Tabletext"/>
              <w:keepNext/>
              <w:jc w:val="center"/>
              <w:rPr>
                <w:rFonts w:eastAsia="SimSun"/>
                <w:i/>
                <w:iCs/>
                <w:highlight w:val="yellow"/>
              </w:rPr>
            </w:pPr>
            <w:r w:rsidRPr="00484AE9">
              <w:rPr>
                <w:rFonts w:eastAsia="SimSun"/>
                <w:iCs/>
              </w:rPr>
              <w:t>5%</w:t>
            </w:r>
          </w:p>
        </w:tc>
        <w:tc>
          <w:tcPr>
            <w:tcW w:w="1397" w:type="pct"/>
            <w:tcBorders>
              <w:top w:val="nil"/>
              <w:bottom w:val="nil"/>
            </w:tcBorders>
            <w:vAlign w:val="center"/>
          </w:tcPr>
          <w:p w14:paraId="17EFC7EF" w14:textId="77777777" w:rsidR="00E85E43" w:rsidRPr="00484AE9" w:rsidRDefault="00E85E43" w:rsidP="00F1122F">
            <w:pPr>
              <w:pStyle w:val="Tabletext"/>
              <w:keepNext/>
              <w:jc w:val="center"/>
              <w:rPr>
                <w:rFonts w:eastAsia="SimSun"/>
                <w:i/>
                <w:iCs/>
                <w:highlight w:val="yellow"/>
              </w:rPr>
            </w:pPr>
            <w:r w:rsidRPr="00484AE9">
              <w:rPr>
                <w:rFonts w:eastAsia="SimSun"/>
                <w:iCs/>
              </w:rPr>
              <w:t>5%</w:t>
            </w:r>
          </w:p>
        </w:tc>
      </w:tr>
      <w:tr w:rsidR="00E85E43" w:rsidRPr="00484AE9" w14:paraId="57C33B08" w14:textId="77777777" w:rsidTr="00E46E44">
        <w:tc>
          <w:tcPr>
            <w:tcW w:w="2207" w:type="pct"/>
            <w:tcBorders>
              <w:top w:val="nil"/>
              <w:bottom w:val="nil"/>
            </w:tcBorders>
          </w:tcPr>
          <w:p w14:paraId="4C138099" w14:textId="77777777" w:rsidR="00E85E43" w:rsidRPr="00484AE9" w:rsidRDefault="00E85E43" w:rsidP="00F1122F">
            <w:pPr>
              <w:pStyle w:val="Tabletext"/>
              <w:keepNext/>
              <w:ind w:left="306"/>
              <w:rPr>
                <w:rFonts w:eastAsia="SimSun"/>
                <w:i/>
                <w:iCs/>
                <w:highlight w:val="yellow"/>
              </w:rPr>
            </w:pPr>
            <w:r w:rsidRPr="00484AE9">
              <w:rPr>
                <w:rFonts w:eastAsia="SimSun"/>
                <w:iCs/>
              </w:rPr>
              <w:t>50-69 with ≥ 2 risk factors</w:t>
            </w:r>
          </w:p>
        </w:tc>
        <w:tc>
          <w:tcPr>
            <w:tcW w:w="1396" w:type="pct"/>
            <w:tcBorders>
              <w:top w:val="nil"/>
              <w:bottom w:val="nil"/>
            </w:tcBorders>
            <w:vAlign w:val="center"/>
          </w:tcPr>
          <w:p w14:paraId="23394553" w14:textId="77777777" w:rsidR="00E85E43" w:rsidRPr="00484AE9" w:rsidRDefault="00E85E43" w:rsidP="00F1122F">
            <w:pPr>
              <w:pStyle w:val="Tabletext"/>
              <w:keepNext/>
              <w:jc w:val="center"/>
              <w:rPr>
                <w:rFonts w:eastAsia="SimSun"/>
                <w:i/>
                <w:iCs/>
                <w:highlight w:val="yellow"/>
              </w:rPr>
            </w:pPr>
            <w:r w:rsidRPr="00484AE9">
              <w:rPr>
                <w:rFonts w:eastAsia="SimSun"/>
                <w:iCs/>
              </w:rPr>
              <w:t>2%</w:t>
            </w:r>
          </w:p>
        </w:tc>
        <w:tc>
          <w:tcPr>
            <w:tcW w:w="1397" w:type="pct"/>
            <w:tcBorders>
              <w:top w:val="nil"/>
              <w:bottom w:val="nil"/>
            </w:tcBorders>
            <w:vAlign w:val="center"/>
          </w:tcPr>
          <w:p w14:paraId="67254F86" w14:textId="77777777" w:rsidR="00E85E43" w:rsidRPr="00484AE9" w:rsidRDefault="00E85E43" w:rsidP="00F1122F">
            <w:pPr>
              <w:pStyle w:val="Tabletext"/>
              <w:keepNext/>
              <w:jc w:val="center"/>
              <w:rPr>
                <w:rFonts w:eastAsia="SimSun"/>
                <w:i/>
                <w:iCs/>
                <w:highlight w:val="yellow"/>
              </w:rPr>
            </w:pPr>
            <w:r w:rsidRPr="00484AE9">
              <w:rPr>
                <w:rFonts w:eastAsia="SimSun"/>
                <w:iCs/>
              </w:rPr>
              <w:t>2%</w:t>
            </w:r>
          </w:p>
        </w:tc>
      </w:tr>
      <w:tr w:rsidR="00E85E43" w:rsidRPr="00484AE9" w14:paraId="044380CB" w14:textId="77777777" w:rsidTr="00E46E44">
        <w:tc>
          <w:tcPr>
            <w:tcW w:w="2207" w:type="pct"/>
            <w:tcBorders>
              <w:top w:val="nil"/>
              <w:bottom w:val="nil"/>
            </w:tcBorders>
          </w:tcPr>
          <w:p w14:paraId="77BC8389" w14:textId="38188C7A" w:rsidR="00E85E43" w:rsidRPr="00484AE9" w:rsidRDefault="00E85E43" w:rsidP="00F1122F">
            <w:pPr>
              <w:pStyle w:val="Tabletext"/>
              <w:keepNext/>
              <w:ind w:left="306"/>
              <w:rPr>
                <w:rFonts w:eastAsia="SimSun"/>
                <w:i/>
                <w:iCs/>
                <w:highlight w:val="yellow"/>
              </w:rPr>
            </w:pPr>
            <w:r w:rsidRPr="00484AE9">
              <w:rPr>
                <w:rFonts w:eastAsia="SimSun"/>
                <w:iCs/>
              </w:rPr>
              <w:t>50-69 with ≥ 1 risk factor</w:t>
            </w:r>
          </w:p>
        </w:tc>
        <w:tc>
          <w:tcPr>
            <w:tcW w:w="1396" w:type="pct"/>
            <w:tcBorders>
              <w:top w:val="nil"/>
              <w:bottom w:val="nil"/>
            </w:tcBorders>
            <w:vAlign w:val="center"/>
          </w:tcPr>
          <w:p w14:paraId="160F129D" w14:textId="77777777" w:rsidR="00E85E43" w:rsidRPr="00484AE9" w:rsidRDefault="00E85E43" w:rsidP="00F1122F">
            <w:pPr>
              <w:pStyle w:val="Tabletext"/>
              <w:keepNext/>
              <w:jc w:val="center"/>
              <w:rPr>
                <w:rFonts w:eastAsia="SimSun"/>
                <w:i/>
                <w:iCs/>
                <w:highlight w:val="yellow"/>
              </w:rPr>
            </w:pPr>
            <w:r w:rsidRPr="00484AE9">
              <w:rPr>
                <w:rFonts w:eastAsia="SimSun"/>
                <w:iCs/>
              </w:rPr>
              <w:t>1.5%</w:t>
            </w:r>
          </w:p>
        </w:tc>
        <w:tc>
          <w:tcPr>
            <w:tcW w:w="1397" w:type="pct"/>
            <w:tcBorders>
              <w:top w:val="nil"/>
              <w:bottom w:val="nil"/>
            </w:tcBorders>
            <w:vAlign w:val="center"/>
          </w:tcPr>
          <w:p w14:paraId="5B49BD9E" w14:textId="77777777" w:rsidR="00E85E43" w:rsidRPr="00484AE9" w:rsidRDefault="00E85E43" w:rsidP="00F1122F">
            <w:pPr>
              <w:pStyle w:val="Tabletext"/>
              <w:keepNext/>
              <w:jc w:val="center"/>
              <w:rPr>
                <w:rFonts w:eastAsia="SimSun"/>
                <w:i/>
                <w:iCs/>
                <w:highlight w:val="yellow"/>
              </w:rPr>
            </w:pPr>
            <w:r w:rsidRPr="00484AE9">
              <w:rPr>
                <w:rFonts w:eastAsia="SimSun"/>
                <w:iCs/>
              </w:rPr>
              <w:t>1.5%</w:t>
            </w:r>
          </w:p>
        </w:tc>
      </w:tr>
      <w:tr w:rsidR="00E85E43" w:rsidRPr="00484AE9" w14:paraId="5D7F943A" w14:textId="77777777" w:rsidTr="00E46E44">
        <w:tc>
          <w:tcPr>
            <w:tcW w:w="2207" w:type="pct"/>
            <w:tcBorders>
              <w:top w:val="nil"/>
              <w:bottom w:val="nil"/>
            </w:tcBorders>
          </w:tcPr>
          <w:p w14:paraId="2CB09781" w14:textId="77777777" w:rsidR="00E85E43" w:rsidRPr="00484AE9" w:rsidRDefault="00E85E43" w:rsidP="00F1122F">
            <w:pPr>
              <w:pStyle w:val="Tabletext"/>
              <w:keepNext/>
              <w:ind w:left="306"/>
              <w:rPr>
                <w:rFonts w:eastAsia="SimSun"/>
                <w:i/>
                <w:iCs/>
                <w:highlight w:val="yellow"/>
              </w:rPr>
            </w:pPr>
            <w:r w:rsidRPr="00484AE9">
              <w:rPr>
                <w:rFonts w:eastAsia="SimSun"/>
                <w:iCs/>
              </w:rPr>
              <w:t xml:space="preserve">First Nations </w:t>
            </w:r>
          </w:p>
        </w:tc>
        <w:tc>
          <w:tcPr>
            <w:tcW w:w="1396" w:type="pct"/>
            <w:tcBorders>
              <w:top w:val="nil"/>
              <w:bottom w:val="nil"/>
            </w:tcBorders>
            <w:vAlign w:val="center"/>
          </w:tcPr>
          <w:p w14:paraId="0DB10CB4" w14:textId="77777777" w:rsidR="00E85E43" w:rsidRPr="00484AE9" w:rsidRDefault="00E85E43" w:rsidP="00F1122F">
            <w:pPr>
              <w:pStyle w:val="Tabletext"/>
              <w:keepNext/>
              <w:jc w:val="center"/>
              <w:rPr>
                <w:rFonts w:eastAsia="SimSun"/>
                <w:i/>
                <w:iCs/>
                <w:highlight w:val="yellow"/>
              </w:rPr>
            </w:pPr>
            <w:r w:rsidRPr="00484AE9">
              <w:rPr>
                <w:rFonts w:eastAsia="SimSun"/>
                <w:iCs/>
              </w:rPr>
              <w:t>3%</w:t>
            </w:r>
          </w:p>
        </w:tc>
        <w:tc>
          <w:tcPr>
            <w:tcW w:w="1397" w:type="pct"/>
            <w:tcBorders>
              <w:top w:val="nil"/>
              <w:bottom w:val="nil"/>
            </w:tcBorders>
            <w:vAlign w:val="center"/>
          </w:tcPr>
          <w:p w14:paraId="5C410AE3" w14:textId="77777777" w:rsidR="00E85E43" w:rsidRPr="00484AE9" w:rsidRDefault="00E85E43" w:rsidP="00F1122F">
            <w:pPr>
              <w:pStyle w:val="Tabletext"/>
              <w:keepNext/>
              <w:jc w:val="center"/>
              <w:rPr>
                <w:rFonts w:eastAsia="SimSun"/>
                <w:i/>
                <w:iCs/>
                <w:highlight w:val="yellow"/>
              </w:rPr>
            </w:pPr>
            <w:r w:rsidRPr="00484AE9">
              <w:rPr>
                <w:rFonts w:eastAsia="SimSun"/>
                <w:iCs/>
              </w:rPr>
              <w:t>3%</w:t>
            </w:r>
          </w:p>
        </w:tc>
      </w:tr>
      <w:tr w:rsidR="00E85E43" w:rsidRPr="00484AE9" w14:paraId="681C1ED6" w14:textId="77777777" w:rsidTr="00E46E44">
        <w:tc>
          <w:tcPr>
            <w:tcW w:w="2207" w:type="pct"/>
            <w:tcBorders>
              <w:top w:val="nil"/>
              <w:bottom w:val="single" w:sz="4" w:space="0" w:color="auto"/>
            </w:tcBorders>
          </w:tcPr>
          <w:p w14:paraId="02664D6A" w14:textId="77777777" w:rsidR="00E85E43" w:rsidRPr="00484AE9" w:rsidRDefault="00E85E43" w:rsidP="00F1122F">
            <w:pPr>
              <w:pStyle w:val="Tabletext"/>
              <w:keepNext/>
              <w:ind w:left="306"/>
              <w:rPr>
                <w:rFonts w:eastAsia="SimSun"/>
                <w:i/>
                <w:iCs/>
                <w:highlight w:val="yellow"/>
              </w:rPr>
            </w:pPr>
            <w:r w:rsidRPr="00484AE9">
              <w:rPr>
                <w:rFonts w:eastAsia="SimSun"/>
                <w:iCs/>
              </w:rPr>
              <w:t xml:space="preserve">18+ and immune compromised </w:t>
            </w:r>
          </w:p>
        </w:tc>
        <w:tc>
          <w:tcPr>
            <w:tcW w:w="1396" w:type="pct"/>
            <w:tcBorders>
              <w:top w:val="nil"/>
              <w:bottom w:val="single" w:sz="4" w:space="0" w:color="auto"/>
            </w:tcBorders>
            <w:vAlign w:val="center"/>
          </w:tcPr>
          <w:p w14:paraId="29B494E8" w14:textId="77777777" w:rsidR="00E85E43" w:rsidRPr="00484AE9" w:rsidRDefault="00E85E43" w:rsidP="00F1122F">
            <w:pPr>
              <w:pStyle w:val="Tabletext"/>
              <w:keepNext/>
              <w:jc w:val="center"/>
              <w:rPr>
                <w:rFonts w:eastAsia="SimSun"/>
                <w:i/>
                <w:iCs/>
                <w:highlight w:val="yellow"/>
              </w:rPr>
            </w:pPr>
            <w:r w:rsidRPr="00484AE9">
              <w:rPr>
                <w:rFonts w:eastAsia="SimSun"/>
                <w:iCs/>
              </w:rPr>
              <w:t>4%</w:t>
            </w:r>
          </w:p>
        </w:tc>
        <w:tc>
          <w:tcPr>
            <w:tcW w:w="1397" w:type="pct"/>
            <w:tcBorders>
              <w:top w:val="nil"/>
              <w:bottom w:val="single" w:sz="4" w:space="0" w:color="auto"/>
            </w:tcBorders>
            <w:vAlign w:val="center"/>
          </w:tcPr>
          <w:p w14:paraId="0FC14102" w14:textId="77777777" w:rsidR="00E85E43" w:rsidRPr="00484AE9" w:rsidRDefault="00E85E43" w:rsidP="00F1122F">
            <w:pPr>
              <w:pStyle w:val="Tabletext"/>
              <w:keepNext/>
              <w:jc w:val="center"/>
              <w:rPr>
                <w:rFonts w:eastAsia="SimSun"/>
                <w:i/>
                <w:iCs/>
                <w:highlight w:val="yellow"/>
              </w:rPr>
            </w:pPr>
            <w:r w:rsidRPr="00484AE9">
              <w:rPr>
                <w:rFonts w:eastAsia="SimSun"/>
                <w:iCs/>
              </w:rPr>
              <w:t>4%</w:t>
            </w:r>
          </w:p>
        </w:tc>
      </w:tr>
      <w:tr w:rsidR="00E85E43" w:rsidRPr="00484AE9" w14:paraId="5966AA81" w14:textId="77777777" w:rsidTr="00E46E44">
        <w:tc>
          <w:tcPr>
            <w:tcW w:w="2207" w:type="pct"/>
            <w:tcBorders>
              <w:bottom w:val="nil"/>
            </w:tcBorders>
          </w:tcPr>
          <w:p w14:paraId="19D7E105" w14:textId="1BDE21DB" w:rsidR="00E85E43" w:rsidRPr="00484AE9" w:rsidRDefault="00E85E43" w:rsidP="00F1122F">
            <w:pPr>
              <w:pStyle w:val="Tabletext"/>
              <w:keepNext/>
              <w:rPr>
                <w:rFonts w:eastAsia="SimSun"/>
                <w:i/>
                <w:iCs/>
                <w:highlight w:val="yellow"/>
              </w:rPr>
            </w:pPr>
            <w:r w:rsidRPr="00484AE9">
              <w:rPr>
                <w:rFonts w:eastAsia="SimSun"/>
                <w:iCs/>
              </w:rPr>
              <w:t>Proportion of hospitalised patients requiring admission to ICU</w:t>
            </w:r>
          </w:p>
        </w:tc>
        <w:tc>
          <w:tcPr>
            <w:tcW w:w="1396" w:type="pct"/>
            <w:tcBorders>
              <w:bottom w:val="nil"/>
            </w:tcBorders>
          </w:tcPr>
          <w:p w14:paraId="09E0382A" w14:textId="77777777" w:rsidR="00E85E43" w:rsidRPr="00484AE9" w:rsidRDefault="00E85E43" w:rsidP="00F1122F">
            <w:pPr>
              <w:pStyle w:val="Tabletext"/>
              <w:keepNext/>
              <w:jc w:val="center"/>
              <w:rPr>
                <w:rFonts w:eastAsia="SimSun"/>
                <w:i/>
                <w:iCs/>
                <w:highlight w:val="yellow"/>
              </w:rPr>
            </w:pPr>
          </w:p>
        </w:tc>
        <w:tc>
          <w:tcPr>
            <w:tcW w:w="1397" w:type="pct"/>
            <w:tcBorders>
              <w:bottom w:val="nil"/>
            </w:tcBorders>
          </w:tcPr>
          <w:p w14:paraId="79D75156" w14:textId="77777777" w:rsidR="00E85E43" w:rsidRPr="00484AE9" w:rsidRDefault="00E85E43" w:rsidP="00F1122F">
            <w:pPr>
              <w:pStyle w:val="Tabletext"/>
              <w:keepNext/>
              <w:jc w:val="center"/>
              <w:rPr>
                <w:rFonts w:eastAsia="SimSun"/>
                <w:i/>
                <w:iCs/>
                <w:highlight w:val="yellow"/>
              </w:rPr>
            </w:pPr>
          </w:p>
        </w:tc>
      </w:tr>
      <w:tr w:rsidR="00E85E43" w:rsidRPr="00484AE9" w14:paraId="3AC2322E" w14:textId="77777777" w:rsidTr="00E46E44">
        <w:tc>
          <w:tcPr>
            <w:tcW w:w="2207" w:type="pct"/>
            <w:tcBorders>
              <w:top w:val="nil"/>
              <w:bottom w:val="nil"/>
            </w:tcBorders>
          </w:tcPr>
          <w:p w14:paraId="52A7FE6A" w14:textId="77777777" w:rsidR="00E85E43" w:rsidRPr="00484AE9" w:rsidRDefault="00E85E43" w:rsidP="00F1122F">
            <w:pPr>
              <w:pStyle w:val="Tabletext"/>
              <w:keepNext/>
              <w:ind w:left="306"/>
              <w:rPr>
                <w:rFonts w:eastAsia="SimSun"/>
                <w:i/>
                <w:iCs/>
                <w:highlight w:val="yellow"/>
              </w:rPr>
            </w:pPr>
            <w:r w:rsidRPr="00484AE9">
              <w:rPr>
                <w:rFonts w:eastAsia="SimSun"/>
                <w:iCs/>
              </w:rPr>
              <w:t xml:space="preserve">70+ </w:t>
            </w:r>
          </w:p>
        </w:tc>
        <w:tc>
          <w:tcPr>
            <w:tcW w:w="1396" w:type="pct"/>
            <w:tcBorders>
              <w:top w:val="nil"/>
              <w:bottom w:val="nil"/>
            </w:tcBorders>
          </w:tcPr>
          <w:p w14:paraId="11D80366" w14:textId="77777777" w:rsidR="00E85E43" w:rsidRPr="00484AE9" w:rsidRDefault="00E85E43" w:rsidP="00F1122F">
            <w:pPr>
              <w:pStyle w:val="Tabletext"/>
              <w:keepNext/>
              <w:jc w:val="center"/>
              <w:rPr>
                <w:rFonts w:eastAsia="SimSun"/>
                <w:i/>
                <w:iCs/>
                <w:highlight w:val="yellow"/>
              </w:rPr>
            </w:pPr>
            <w:r w:rsidRPr="00484AE9">
              <w:rPr>
                <w:rFonts w:eastAsia="SimSun"/>
                <w:iCs/>
              </w:rPr>
              <w:t>10%</w:t>
            </w:r>
          </w:p>
        </w:tc>
        <w:tc>
          <w:tcPr>
            <w:tcW w:w="1397" w:type="pct"/>
            <w:tcBorders>
              <w:top w:val="nil"/>
              <w:bottom w:val="nil"/>
            </w:tcBorders>
          </w:tcPr>
          <w:p w14:paraId="27072032" w14:textId="77777777" w:rsidR="00E85E43" w:rsidRPr="00484AE9" w:rsidRDefault="00E85E43" w:rsidP="00F1122F">
            <w:pPr>
              <w:pStyle w:val="Tabletext"/>
              <w:keepNext/>
              <w:jc w:val="center"/>
              <w:rPr>
                <w:rFonts w:eastAsia="SimSun"/>
                <w:i/>
                <w:iCs/>
                <w:highlight w:val="yellow"/>
              </w:rPr>
            </w:pPr>
            <w:r w:rsidRPr="00484AE9">
              <w:rPr>
                <w:rFonts w:eastAsia="SimSun"/>
                <w:iCs/>
              </w:rPr>
              <w:t>10%</w:t>
            </w:r>
          </w:p>
        </w:tc>
      </w:tr>
      <w:tr w:rsidR="00E85E43" w:rsidRPr="00484AE9" w14:paraId="55E4E791" w14:textId="77777777" w:rsidTr="00E46E44">
        <w:tc>
          <w:tcPr>
            <w:tcW w:w="2207" w:type="pct"/>
            <w:tcBorders>
              <w:top w:val="nil"/>
              <w:bottom w:val="nil"/>
            </w:tcBorders>
          </w:tcPr>
          <w:p w14:paraId="470BCF86" w14:textId="77777777" w:rsidR="00E85E43" w:rsidRPr="00484AE9" w:rsidRDefault="00E85E43" w:rsidP="00F1122F">
            <w:pPr>
              <w:pStyle w:val="Tabletext"/>
              <w:keepNext/>
              <w:ind w:left="306"/>
              <w:rPr>
                <w:rFonts w:eastAsia="SimSun"/>
                <w:i/>
                <w:iCs/>
                <w:highlight w:val="yellow"/>
              </w:rPr>
            </w:pPr>
            <w:r w:rsidRPr="00484AE9">
              <w:rPr>
                <w:rFonts w:eastAsia="SimSun"/>
                <w:iCs/>
              </w:rPr>
              <w:t>50-69 with ≥ 2 risk factors</w:t>
            </w:r>
          </w:p>
        </w:tc>
        <w:tc>
          <w:tcPr>
            <w:tcW w:w="1396" w:type="pct"/>
            <w:tcBorders>
              <w:top w:val="nil"/>
              <w:bottom w:val="nil"/>
            </w:tcBorders>
          </w:tcPr>
          <w:p w14:paraId="2B252617" w14:textId="77777777" w:rsidR="00E85E43" w:rsidRPr="00484AE9" w:rsidRDefault="00E85E43" w:rsidP="00F1122F">
            <w:pPr>
              <w:pStyle w:val="Tabletext"/>
              <w:keepNext/>
              <w:jc w:val="center"/>
              <w:rPr>
                <w:rFonts w:eastAsia="SimSun"/>
                <w:i/>
                <w:iCs/>
                <w:highlight w:val="yellow"/>
              </w:rPr>
            </w:pPr>
            <w:r w:rsidRPr="00484AE9">
              <w:rPr>
                <w:rFonts w:eastAsia="SimSun"/>
                <w:iCs/>
              </w:rPr>
              <w:t>5%</w:t>
            </w:r>
          </w:p>
        </w:tc>
        <w:tc>
          <w:tcPr>
            <w:tcW w:w="1397" w:type="pct"/>
            <w:tcBorders>
              <w:top w:val="nil"/>
              <w:bottom w:val="nil"/>
            </w:tcBorders>
          </w:tcPr>
          <w:p w14:paraId="4B331519" w14:textId="77777777" w:rsidR="00E85E43" w:rsidRPr="00484AE9" w:rsidRDefault="00E85E43" w:rsidP="00F1122F">
            <w:pPr>
              <w:pStyle w:val="Tabletext"/>
              <w:keepNext/>
              <w:jc w:val="center"/>
              <w:rPr>
                <w:rFonts w:eastAsia="SimSun"/>
                <w:i/>
                <w:iCs/>
                <w:highlight w:val="yellow"/>
              </w:rPr>
            </w:pPr>
            <w:r w:rsidRPr="00484AE9">
              <w:rPr>
                <w:rFonts w:eastAsia="SimSun"/>
                <w:iCs/>
              </w:rPr>
              <w:t>5%</w:t>
            </w:r>
          </w:p>
        </w:tc>
      </w:tr>
      <w:tr w:rsidR="00E85E43" w:rsidRPr="00484AE9" w14:paraId="699100FC" w14:textId="77777777" w:rsidTr="00E46E44">
        <w:tc>
          <w:tcPr>
            <w:tcW w:w="2207" w:type="pct"/>
            <w:tcBorders>
              <w:top w:val="nil"/>
              <w:bottom w:val="nil"/>
            </w:tcBorders>
          </w:tcPr>
          <w:p w14:paraId="499480CA" w14:textId="20D1F386" w:rsidR="00E85E43" w:rsidRPr="00484AE9" w:rsidRDefault="00E85E43" w:rsidP="00F1122F">
            <w:pPr>
              <w:pStyle w:val="Tabletext"/>
              <w:keepNext/>
              <w:ind w:left="306"/>
              <w:rPr>
                <w:rFonts w:eastAsia="SimSun"/>
                <w:i/>
                <w:iCs/>
                <w:highlight w:val="yellow"/>
              </w:rPr>
            </w:pPr>
            <w:r w:rsidRPr="00484AE9">
              <w:rPr>
                <w:rFonts w:eastAsia="SimSun"/>
                <w:iCs/>
              </w:rPr>
              <w:t>50-69 with ≥ 1 risk factor</w:t>
            </w:r>
          </w:p>
        </w:tc>
        <w:tc>
          <w:tcPr>
            <w:tcW w:w="1396" w:type="pct"/>
            <w:tcBorders>
              <w:top w:val="nil"/>
              <w:bottom w:val="nil"/>
            </w:tcBorders>
          </w:tcPr>
          <w:p w14:paraId="611DB16D" w14:textId="77777777" w:rsidR="00E85E43" w:rsidRPr="00484AE9" w:rsidRDefault="00E85E43" w:rsidP="00F1122F">
            <w:pPr>
              <w:pStyle w:val="Tabletext"/>
              <w:keepNext/>
              <w:jc w:val="center"/>
              <w:rPr>
                <w:rFonts w:eastAsia="SimSun"/>
                <w:i/>
                <w:iCs/>
                <w:highlight w:val="yellow"/>
              </w:rPr>
            </w:pPr>
            <w:r w:rsidRPr="00484AE9">
              <w:rPr>
                <w:rFonts w:eastAsia="SimSun"/>
                <w:iCs/>
              </w:rPr>
              <w:t>5%</w:t>
            </w:r>
          </w:p>
        </w:tc>
        <w:tc>
          <w:tcPr>
            <w:tcW w:w="1397" w:type="pct"/>
            <w:tcBorders>
              <w:top w:val="nil"/>
              <w:bottom w:val="nil"/>
            </w:tcBorders>
          </w:tcPr>
          <w:p w14:paraId="4B2C9FF4" w14:textId="77777777" w:rsidR="00E85E43" w:rsidRPr="00484AE9" w:rsidRDefault="00E85E43" w:rsidP="00F1122F">
            <w:pPr>
              <w:pStyle w:val="Tabletext"/>
              <w:keepNext/>
              <w:jc w:val="center"/>
              <w:rPr>
                <w:rFonts w:eastAsia="SimSun"/>
                <w:i/>
                <w:iCs/>
                <w:highlight w:val="yellow"/>
              </w:rPr>
            </w:pPr>
            <w:r w:rsidRPr="00484AE9">
              <w:rPr>
                <w:rFonts w:eastAsia="SimSun"/>
                <w:iCs/>
              </w:rPr>
              <w:t>5%</w:t>
            </w:r>
          </w:p>
        </w:tc>
      </w:tr>
      <w:tr w:rsidR="00E85E43" w:rsidRPr="00484AE9" w14:paraId="504C69E8" w14:textId="77777777" w:rsidTr="00E46E44">
        <w:tc>
          <w:tcPr>
            <w:tcW w:w="2207" w:type="pct"/>
            <w:tcBorders>
              <w:top w:val="nil"/>
              <w:bottom w:val="nil"/>
            </w:tcBorders>
          </w:tcPr>
          <w:p w14:paraId="7ADFA9E5" w14:textId="77777777" w:rsidR="00E85E43" w:rsidRPr="00484AE9" w:rsidRDefault="00E85E43" w:rsidP="00F1122F">
            <w:pPr>
              <w:pStyle w:val="Tabletext"/>
              <w:keepNext/>
              <w:ind w:left="306"/>
              <w:rPr>
                <w:rFonts w:eastAsia="SimSun"/>
                <w:i/>
                <w:iCs/>
                <w:highlight w:val="yellow"/>
              </w:rPr>
            </w:pPr>
            <w:r w:rsidRPr="00484AE9">
              <w:rPr>
                <w:rFonts w:eastAsia="SimSun"/>
                <w:iCs/>
              </w:rPr>
              <w:t xml:space="preserve">First Nations </w:t>
            </w:r>
          </w:p>
        </w:tc>
        <w:tc>
          <w:tcPr>
            <w:tcW w:w="1396" w:type="pct"/>
            <w:tcBorders>
              <w:top w:val="nil"/>
              <w:bottom w:val="nil"/>
            </w:tcBorders>
          </w:tcPr>
          <w:p w14:paraId="7185BB09" w14:textId="77777777" w:rsidR="00E85E43" w:rsidRPr="00484AE9" w:rsidRDefault="00E85E43" w:rsidP="00F1122F">
            <w:pPr>
              <w:pStyle w:val="Tabletext"/>
              <w:keepNext/>
              <w:jc w:val="center"/>
              <w:rPr>
                <w:rFonts w:eastAsia="SimSun"/>
                <w:i/>
                <w:iCs/>
                <w:highlight w:val="yellow"/>
              </w:rPr>
            </w:pPr>
            <w:r w:rsidRPr="00484AE9">
              <w:rPr>
                <w:rFonts w:eastAsia="SimSun"/>
                <w:iCs/>
              </w:rPr>
              <w:t>10%</w:t>
            </w:r>
          </w:p>
        </w:tc>
        <w:tc>
          <w:tcPr>
            <w:tcW w:w="1397" w:type="pct"/>
            <w:tcBorders>
              <w:top w:val="nil"/>
              <w:bottom w:val="nil"/>
            </w:tcBorders>
          </w:tcPr>
          <w:p w14:paraId="32654A6C" w14:textId="77777777" w:rsidR="00E85E43" w:rsidRPr="00484AE9" w:rsidRDefault="00E85E43" w:rsidP="00F1122F">
            <w:pPr>
              <w:pStyle w:val="Tabletext"/>
              <w:keepNext/>
              <w:jc w:val="center"/>
              <w:rPr>
                <w:rFonts w:eastAsia="SimSun"/>
                <w:i/>
                <w:iCs/>
                <w:highlight w:val="yellow"/>
              </w:rPr>
            </w:pPr>
            <w:r w:rsidRPr="00484AE9">
              <w:rPr>
                <w:rFonts w:eastAsia="SimSun"/>
                <w:iCs/>
              </w:rPr>
              <w:t>10%</w:t>
            </w:r>
          </w:p>
        </w:tc>
      </w:tr>
      <w:tr w:rsidR="00E85E43" w:rsidRPr="00484AE9" w14:paraId="75C8C67C" w14:textId="77777777" w:rsidTr="00E46E44">
        <w:tc>
          <w:tcPr>
            <w:tcW w:w="2207" w:type="pct"/>
            <w:tcBorders>
              <w:top w:val="nil"/>
              <w:bottom w:val="single" w:sz="4" w:space="0" w:color="auto"/>
            </w:tcBorders>
          </w:tcPr>
          <w:p w14:paraId="1E87BD21" w14:textId="77777777" w:rsidR="00E85E43" w:rsidRPr="00484AE9" w:rsidRDefault="00E85E43" w:rsidP="00F1122F">
            <w:pPr>
              <w:pStyle w:val="Tabletext"/>
              <w:keepNext/>
              <w:ind w:left="306"/>
              <w:rPr>
                <w:rFonts w:eastAsia="SimSun"/>
                <w:i/>
                <w:iCs/>
                <w:highlight w:val="yellow"/>
              </w:rPr>
            </w:pPr>
            <w:r w:rsidRPr="00484AE9">
              <w:rPr>
                <w:rFonts w:eastAsia="SimSun"/>
                <w:iCs/>
              </w:rPr>
              <w:t xml:space="preserve">18+ and immune compromised </w:t>
            </w:r>
          </w:p>
        </w:tc>
        <w:tc>
          <w:tcPr>
            <w:tcW w:w="1396" w:type="pct"/>
            <w:tcBorders>
              <w:top w:val="nil"/>
              <w:bottom w:val="single" w:sz="4" w:space="0" w:color="auto"/>
            </w:tcBorders>
          </w:tcPr>
          <w:p w14:paraId="586F5847" w14:textId="77777777" w:rsidR="00E85E43" w:rsidRPr="00484AE9" w:rsidRDefault="00E85E43" w:rsidP="00F1122F">
            <w:pPr>
              <w:pStyle w:val="Tabletext"/>
              <w:keepNext/>
              <w:jc w:val="center"/>
              <w:rPr>
                <w:rFonts w:eastAsia="SimSun"/>
                <w:i/>
                <w:iCs/>
                <w:highlight w:val="yellow"/>
              </w:rPr>
            </w:pPr>
            <w:r w:rsidRPr="00484AE9">
              <w:rPr>
                <w:rFonts w:eastAsia="SimSun"/>
                <w:iCs/>
              </w:rPr>
              <w:t>10%</w:t>
            </w:r>
          </w:p>
        </w:tc>
        <w:tc>
          <w:tcPr>
            <w:tcW w:w="1397" w:type="pct"/>
            <w:tcBorders>
              <w:top w:val="nil"/>
              <w:bottom w:val="single" w:sz="4" w:space="0" w:color="auto"/>
            </w:tcBorders>
          </w:tcPr>
          <w:p w14:paraId="429A8BF6" w14:textId="77777777" w:rsidR="00E85E43" w:rsidRPr="00484AE9" w:rsidRDefault="00E85E43" w:rsidP="00F1122F">
            <w:pPr>
              <w:pStyle w:val="Tabletext"/>
              <w:keepNext/>
              <w:jc w:val="center"/>
              <w:rPr>
                <w:rFonts w:eastAsia="SimSun"/>
                <w:i/>
                <w:iCs/>
                <w:highlight w:val="yellow"/>
              </w:rPr>
            </w:pPr>
            <w:r w:rsidRPr="00484AE9">
              <w:rPr>
                <w:rFonts w:eastAsia="SimSun"/>
                <w:iCs/>
              </w:rPr>
              <w:t>10%</w:t>
            </w:r>
          </w:p>
        </w:tc>
      </w:tr>
      <w:tr w:rsidR="00E85E43" w:rsidRPr="00484AE9" w14:paraId="24C0BD30" w14:textId="77777777" w:rsidTr="00E46E44">
        <w:tc>
          <w:tcPr>
            <w:tcW w:w="2207" w:type="pct"/>
            <w:tcBorders>
              <w:bottom w:val="nil"/>
            </w:tcBorders>
          </w:tcPr>
          <w:p w14:paraId="32737431" w14:textId="77777777" w:rsidR="00E85E43" w:rsidRPr="00484AE9" w:rsidRDefault="00E85E43" w:rsidP="00F1122F">
            <w:pPr>
              <w:pStyle w:val="Tabletext"/>
              <w:keepNext/>
              <w:rPr>
                <w:rFonts w:eastAsia="SimSun"/>
                <w:i/>
                <w:iCs/>
                <w:highlight w:val="yellow"/>
              </w:rPr>
            </w:pPr>
            <w:r w:rsidRPr="00484AE9">
              <w:rPr>
                <w:rFonts w:eastAsia="SimSun"/>
                <w:iCs/>
              </w:rPr>
              <w:t xml:space="preserve">Baseline risk of death in the acute phase following </w:t>
            </w:r>
            <w:r w:rsidRPr="00484AE9">
              <w:rPr>
                <w:rStyle w:val="normaltextrun"/>
                <w:rFonts w:eastAsia="SimSun"/>
                <w:iCs/>
              </w:rPr>
              <w:t>COVID</w:t>
            </w:r>
            <w:r w:rsidRPr="00484AE9">
              <w:rPr>
                <w:rStyle w:val="normaltextrun"/>
                <w:rFonts w:eastAsia="SimSun"/>
                <w:iCs/>
              </w:rPr>
              <w:noBreakHyphen/>
              <w:t>19</w:t>
            </w:r>
          </w:p>
        </w:tc>
        <w:tc>
          <w:tcPr>
            <w:tcW w:w="1396" w:type="pct"/>
            <w:tcBorders>
              <w:bottom w:val="nil"/>
            </w:tcBorders>
          </w:tcPr>
          <w:p w14:paraId="123D3A12" w14:textId="77777777" w:rsidR="00E85E43" w:rsidRPr="00484AE9" w:rsidRDefault="00E85E43" w:rsidP="00F1122F">
            <w:pPr>
              <w:pStyle w:val="Tabletext"/>
              <w:keepNext/>
              <w:jc w:val="center"/>
              <w:rPr>
                <w:rFonts w:eastAsia="SimSun"/>
                <w:i/>
                <w:iCs/>
                <w:highlight w:val="yellow"/>
              </w:rPr>
            </w:pPr>
          </w:p>
        </w:tc>
        <w:tc>
          <w:tcPr>
            <w:tcW w:w="1397" w:type="pct"/>
            <w:tcBorders>
              <w:bottom w:val="nil"/>
            </w:tcBorders>
          </w:tcPr>
          <w:p w14:paraId="51E975D7" w14:textId="77777777" w:rsidR="00E85E43" w:rsidRPr="00484AE9" w:rsidRDefault="00E85E43" w:rsidP="00F1122F">
            <w:pPr>
              <w:pStyle w:val="Tabletext"/>
              <w:keepNext/>
              <w:jc w:val="center"/>
              <w:rPr>
                <w:rFonts w:eastAsia="SimSun"/>
                <w:i/>
                <w:iCs/>
                <w:highlight w:val="yellow"/>
              </w:rPr>
            </w:pPr>
          </w:p>
        </w:tc>
      </w:tr>
      <w:tr w:rsidR="00E85E43" w:rsidRPr="00484AE9" w14:paraId="4359AAF7" w14:textId="77777777" w:rsidTr="00E46E44">
        <w:tc>
          <w:tcPr>
            <w:tcW w:w="2207" w:type="pct"/>
            <w:tcBorders>
              <w:top w:val="nil"/>
              <w:bottom w:val="nil"/>
            </w:tcBorders>
          </w:tcPr>
          <w:p w14:paraId="11269DCD" w14:textId="77777777" w:rsidR="00E85E43" w:rsidRPr="00484AE9" w:rsidRDefault="00E85E43" w:rsidP="00F1122F">
            <w:pPr>
              <w:pStyle w:val="Tabletext"/>
              <w:keepNext/>
              <w:ind w:left="306"/>
              <w:rPr>
                <w:rFonts w:eastAsia="SimSun"/>
                <w:i/>
                <w:iCs/>
                <w:highlight w:val="yellow"/>
              </w:rPr>
            </w:pPr>
            <w:r w:rsidRPr="00484AE9">
              <w:rPr>
                <w:rFonts w:eastAsia="SimSun"/>
                <w:iCs/>
              </w:rPr>
              <w:t xml:space="preserve">70+ </w:t>
            </w:r>
          </w:p>
        </w:tc>
        <w:tc>
          <w:tcPr>
            <w:tcW w:w="1396" w:type="pct"/>
            <w:tcBorders>
              <w:top w:val="nil"/>
              <w:bottom w:val="nil"/>
            </w:tcBorders>
          </w:tcPr>
          <w:p w14:paraId="11808044" w14:textId="00A3CF31" w:rsidR="00E85E43" w:rsidRPr="00484AE9" w:rsidRDefault="00696519" w:rsidP="00F1122F">
            <w:pPr>
              <w:pStyle w:val="Tabletext"/>
              <w:keepNext/>
              <w:jc w:val="center"/>
              <w:rPr>
                <w:rFonts w:eastAsia="SimSun"/>
                <w:i/>
                <w:iCs/>
                <w:highlight w:val="yellow"/>
              </w:rPr>
            </w:pPr>
            <w:r w:rsidRPr="00696519">
              <w:rPr>
                <w:rFonts w:eastAsia="SimSun"/>
                <w:iCs/>
              </w:rPr>
              <w:t xml:space="preserve"> </w:t>
            </w:r>
            <w:r w:rsidR="00E85E43" w:rsidRPr="00484AE9">
              <w:rPr>
                <w:rFonts w:eastAsia="SimSun"/>
                <w:iCs/>
              </w:rPr>
              <w:t>1%</w:t>
            </w:r>
            <w:r w:rsidR="00E85E43" w:rsidRPr="00484AE9">
              <w:rPr>
                <w:rFonts w:eastAsia="SimSun"/>
                <w:iCs/>
                <w:vertAlign w:val="superscript"/>
              </w:rPr>
              <w:t>@</w:t>
            </w:r>
          </w:p>
        </w:tc>
        <w:tc>
          <w:tcPr>
            <w:tcW w:w="1397" w:type="pct"/>
            <w:tcBorders>
              <w:top w:val="nil"/>
              <w:bottom w:val="nil"/>
            </w:tcBorders>
          </w:tcPr>
          <w:p w14:paraId="09C56C6D" w14:textId="589D72E3" w:rsidR="00E85E43" w:rsidRPr="00484AE9" w:rsidRDefault="00F76D9A" w:rsidP="00F1122F">
            <w:pPr>
              <w:pStyle w:val="Tabletext"/>
              <w:keepNext/>
              <w:jc w:val="center"/>
              <w:rPr>
                <w:rFonts w:eastAsia="SimSun"/>
                <w:i/>
                <w:iCs/>
                <w:highlight w:val="yellow"/>
              </w:rPr>
            </w:pPr>
            <w:r>
              <w:rPr>
                <w:rFonts w:eastAsia="SimSun"/>
                <w:iCs/>
              </w:rPr>
              <w:t xml:space="preserve"> </w:t>
            </w:r>
            <w:r w:rsidR="00E85E43" w:rsidRPr="00484AE9">
              <w:rPr>
                <w:rFonts w:eastAsia="SimSun"/>
                <w:iCs/>
              </w:rPr>
              <w:t>3%</w:t>
            </w:r>
          </w:p>
        </w:tc>
      </w:tr>
      <w:tr w:rsidR="00E85E43" w:rsidRPr="00484AE9" w14:paraId="4D68BC17" w14:textId="77777777" w:rsidTr="00E46E44">
        <w:tc>
          <w:tcPr>
            <w:tcW w:w="2207" w:type="pct"/>
            <w:tcBorders>
              <w:top w:val="nil"/>
              <w:bottom w:val="nil"/>
            </w:tcBorders>
          </w:tcPr>
          <w:p w14:paraId="620096E0" w14:textId="77777777" w:rsidR="00E85E43" w:rsidRPr="00484AE9" w:rsidRDefault="00E85E43" w:rsidP="00F1122F">
            <w:pPr>
              <w:pStyle w:val="Tabletext"/>
              <w:keepNext/>
              <w:ind w:left="306"/>
              <w:rPr>
                <w:rFonts w:eastAsia="SimSun"/>
                <w:i/>
                <w:iCs/>
                <w:highlight w:val="yellow"/>
              </w:rPr>
            </w:pPr>
            <w:r w:rsidRPr="00484AE9">
              <w:rPr>
                <w:rFonts w:eastAsia="SimSun"/>
                <w:iCs/>
              </w:rPr>
              <w:t>50-69 with ≥ 2 risk factors</w:t>
            </w:r>
          </w:p>
        </w:tc>
        <w:tc>
          <w:tcPr>
            <w:tcW w:w="1396" w:type="pct"/>
            <w:tcBorders>
              <w:top w:val="nil"/>
              <w:bottom w:val="nil"/>
            </w:tcBorders>
          </w:tcPr>
          <w:p w14:paraId="4BA904B6" w14:textId="77777777" w:rsidR="00E85E43" w:rsidRPr="00484AE9" w:rsidRDefault="00E85E43" w:rsidP="00F1122F">
            <w:pPr>
              <w:pStyle w:val="Tabletext"/>
              <w:keepNext/>
              <w:jc w:val="center"/>
              <w:rPr>
                <w:rFonts w:eastAsia="SimSun"/>
                <w:i/>
                <w:iCs/>
                <w:highlight w:val="yellow"/>
              </w:rPr>
            </w:pPr>
            <w:r w:rsidRPr="00484AE9">
              <w:rPr>
                <w:rFonts w:eastAsia="SimSun"/>
                <w:iCs/>
              </w:rPr>
              <w:t>0.33%</w:t>
            </w:r>
            <w:r w:rsidRPr="00484AE9">
              <w:rPr>
                <w:rFonts w:eastAsia="SimSun"/>
                <w:iCs/>
                <w:vertAlign w:val="superscript"/>
              </w:rPr>
              <w:t>@</w:t>
            </w:r>
          </w:p>
        </w:tc>
        <w:tc>
          <w:tcPr>
            <w:tcW w:w="1397" w:type="pct"/>
            <w:tcBorders>
              <w:top w:val="nil"/>
              <w:bottom w:val="nil"/>
            </w:tcBorders>
          </w:tcPr>
          <w:p w14:paraId="2E26A531" w14:textId="4F88223F" w:rsidR="00E85E43" w:rsidRPr="00484AE9" w:rsidRDefault="00F76D9A" w:rsidP="00F1122F">
            <w:pPr>
              <w:pStyle w:val="Tabletext"/>
              <w:keepNext/>
              <w:jc w:val="center"/>
              <w:rPr>
                <w:rFonts w:eastAsia="SimSun"/>
                <w:i/>
                <w:iCs/>
                <w:highlight w:val="yellow"/>
              </w:rPr>
            </w:pPr>
            <w:r>
              <w:rPr>
                <w:rFonts w:eastAsia="SimSun"/>
                <w:iCs/>
              </w:rPr>
              <w:t xml:space="preserve"> </w:t>
            </w:r>
            <w:r w:rsidR="00E85E43" w:rsidRPr="00484AE9">
              <w:rPr>
                <w:rFonts w:eastAsia="SimSun"/>
                <w:iCs/>
              </w:rPr>
              <w:t>1%</w:t>
            </w:r>
          </w:p>
        </w:tc>
      </w:tr>
      <w:tr w:rsidR="00E85E43" w:rsidRPr="00484AE9" w14:paraId="325847D2" w14:textId="77777777" w:rsidTr="00E46E44">
        <w:tc>
          <w:tcPr>
            <w:tcW w:w="2207" w:type="pct"/>
            <w:tcBorders>
              <w:top w:val="nil"/>
              <w:bottom w:val="nil"/>
            </w:tcBorders>
          </w:tcPr>
          <w:p w14:paraId="46049606" w14:textId="31780EEF" w:rsidR="00E85E43" w:rsidRPr="00484AE9" w:rsidRDefault="00E85E43" w:rsidP="00F1122F">
            <w:pPr>
              <w:pStyle w:val="Tabletext"/>
              <w:keepNext/>
              <w:ind w:left="306"/>
              <w:rPr>
                <w:rFonts w:eastAsia="SimSun"/>
                <w:i/>
                <w:iCs/>
                <w:highlight w:val="yellow"/>
              </w:rPr>
            </w:pPr>
            <w:r w:rsidRPr="00484AE9">
              <w:rPr>
                <w:rFonts w:eastAsia="SimSun"/>
                <w:iCs/>
              </w:rPr>
              <w:t>50-69 with ≥ 1 risk factor</w:t>
            </w:r>
          </w:p>
        </w:tc>
        <w:tc>
          <w:tcPr>
            <w:tcW w:w="1396" w:type="pct"/>
            <w:tcBorders>
              <w:top w:val="nil"/>
              <w:bottom w:val="nil"/>
            </w:tcBorders>
          </w:tcPr>
          <w:p w14:paraId="38FC2B96" w14:textId="77777777" w:rsidR="00E85E43" w:rsidRPr="00484AE9" w:rsidRDefault="00E85E43" w:rsidP="00F1122F">
            <w:pPr>
              <w:pStyle w:val="Tabletext"/>
              <w:keepNext/>
              <w:jc w:val="center"/>
              <w:rPr>
                <w:rFonts w:eastAsia="SimSun"/>
                <w:i/>
                <w:iCs/>
                <w:highlight w:val="yellow"/>
              </w:rPr>
            </w:pPr>
            <w:r w:rsidRPr="00484AE9">
              <w:rPr>
                <w:rFonts w:eastAsia="SimSun"/>
                <w:iCs/>
              </w:rPr>
              <w:t>0.25%</w:t>
            </w:r>
            <w:r w:rsidRPr="00484AE9">
              <w:rPr>
                <w:rFonts w:eastAsia="SimSun"/>
                <w:iCs/>
                <w:vertAlign w:val="superscript"/>
              </w:rPr>
              <w:t>@</w:t>
            </w:r>
          </w:p>
        </w:tc>
        <w:tc>
          <w:tcPr>
            <w:tcW w:w="1397" w:type="pct"/>
            <w:tcBorders>
              <w:top w:val="nil"/>
              <w:bottom w:val="nil"/>
            </w:tcBorders>
          </w:tcPr>
          <w:p w14:paraId="3D20F74E" w14:textId="77777777" w:rsidR="00E85E43" w:rsidRPr="00484AE9" w:rsidRDefault="00E85E43" w:rsidP="00F1122F">
            <w:pPr>
              <w:pStyle w:val="Tabletext"/>
              <w:keepNext/>
              <w:jc w:val="center"/>
              <w:rPr>
                <w:rFonts w:eastAsia="SimSun"/>
                <w:i/>
                <w:iCs/>
                <w:highlight w:val="yellow"/>
              </w:rPr>
            </w:pPr>
            <w:r w:rsidRPr="00484AE9">
              <w:rPr>
                <w:rFonts w:eastAsia="SimSun"/>
                <w:iCs/>
              </w:rPr>
              <w:t>0.75%</w:t>
            </w:r>
          </w:p>
        </w:tc>
      </w:tr>
      <w:tr w:rsidR="00E85E43" w:rsidRPr="00484AE9" w14:paraId="5A7A2B4D" w14:textId="77777777" w:rsidTr="00E46E44">
        <w:tc>
          <w:tcPr>
            <w:tcW w:w="2207" w:type="pct"/>
            <w:tcBorders>
              <w:top w:val="nil"/>
              <w:bottom w:val="nil"/>
            </w:tcBorders>
          </w:tcPr>
          <w:p w14:paraId="7FC7FF01" w14:textId="77777777" w:rsidR="00E85E43" w:rsidRPr="00484AE9" w:rsidRDefault="00E85E43" w:rsidP="00F1122F">
            <w:pPr>
              <w:pStyle w:val="Tabletext"/>
              <w:keepNext/>
              <w:ind w:left="306"/>
              <w:rPr>
                <w:rFonts w:eastAsia="SimSun"/>
                <w:i/>
                <w:iCs/>
                <w:highlight w:val="yellow"/>
              </w:rPr>
            </w:pPr>
            <w:r w:rsidRPr="00484AE9">
              <w:rPr>
                <w:rFonts w:eastAsia="SimSun"/>
                <w:iCs/>
              </w:rPr>
              <w:t xml:space="preserve">First Nations </w:t>
            </w:r>
          </w:p>
        </w:tc>
        <w:tc>
          <w:tcPr>
            <w:tcW w:w="1396" w:type="pct"/>
            <w:tcBorders>
              <w:top w:val="nil"/>
              <w:bottom w:val="nil"/>
            </w:tcBorders>
          </w:tcPr>
          <w:p w14:paraId="368EC0A6" w14:textId="77777777" w:rsidR="00E85E43" w:rsidRPr="00484AE9" w:rsidRDefault="00E85E43" w:rsidP="00F1122F">
            <w:pPr>
              <w:pStyle w:val="Tabletext"/>
              <w:keepNext/>
              <w:jc w:val="center"/>
              <w:rPr>
                <w:rFonts w:eastAsia="SimSun"/>
                <w:i/>
                <w:iCs/>
                <w:highlight w:val="yellow"/>
              </w:rPr>
            </w:pPr>
            <w:r w:rsidRPr="00484AE9">
              <w:rPr>
                <w:rFonts w:eastAsia="SimSun"/>
                <w:iCs/>
              </w:rPr>
              <w:t>0.67%</w:t>
            </w:r>
            <w:r w:rsidRPr="00484AE9">
              <w:rPr>
                <w:rFonts w:eastAsia="SimSun"/>
                <w:iCs/>
                <w:vertAlign w:val="superscript"/>
              </w:rPr>
              <w:t>@</w:t>
            </w:r>
          </w:p>
        </w:tc>
        <w:tc>
          <w:tcPr>
            <w:tcW w:w="1397" w:type="pct"/>
            <w:tcBorders>
              <w:top w:val="nil"/>
              <w:bottom w:val="nil"/>
            </w:tcBorders>
          </w:tcPr>
          <w:p w14:paraId="1D8180BD" w14:textId="1559614B" w:rsidR="00E85E43" w:rsidRPr="00484AE9" w:rsidRDefault="00F76D9A" w:rsidP="00F1122F">
            <w:pPr>
              <w:pStyle w:val="Tabletext"/>
              <w:keepNext/>
              <w:jc w:val="center"/>
              <w:rPr>
                <w:rFonts w:eastAsia="SimSun"/>
                <w:i/>
                <w:iCs/>
                <w:highlight w:val="yellow"/>
              </w:rPr>
            </w:pPr>
            <w:r>
              <w:rPr>
                <w:rFonts w:eastAsia="SimSun"/>
                <w:iCs/>
              </w:rPr>
              <w:t xml:space="preserve"> </w:t>
            </w:r>
            <w:r w:rsidR="00E85E43" w:rsidRPr="00484AE9">
              <w:rPr>
                <w:rFonts w:eastAsia="SimSun"/>
                <w:iCs/>
              </w:rPr>
              <w:t>2%</w:t>
            </w:r>
          </w:p>
        </w:tc>
      </w:tr>
      <w:tr w:rsidR="00E85E43" w:rsidRPr="00484AE9" w14:paraId="07240EAE" w14:textId="77777777" w:rsidTr="00E46E44">
        <w:tc>
          <w:tcPr>
            <w:tcW w:w="2207" w:type="pct"/>
            <w:tcBorders>
              <w:top w:val="nil"/>
              <w:bottom w:val="single" w:sz="4" w:space="0" w:color="auto"/>
            </w:tcBorders>
          </w:tcPr>
          <w:p w14:paraId="1BDC182B" w14:textId="77777777" w:rsidR="00E85E43" w:rsidRPr="00484AE9" w:rsidRDefault="00E85E43" w:rsidP="00F1122F">
            <w:pPr>
              <w:pStyle w:val="Tabletext"/>
              <w:ind w:left="306"/>
              <w:rPr>
                <w:rFonts w:eastAsia="SimSun"/>
                <w:i/>
                <w:iCs/>
                <w:highlight w:val="yellow"/>
              </w:rPr>
            </w:pPr>
            <w:r w:rsidRPr="00484AE9">
              <w:rPr>
                <w:rFonts w:eastAsia="SimSun"/>
                <w:iCs/>
              </w:rPr>
              <w:t xml:space="preserve">18+ and immune compromised </w:t>
            </w:r>
          </w:p>
        </w:tc>
        <w:tc>
          <w:tcPr>
            <w:tcW w:w="1396" w:type="pct"/>
            <w:tcBorders>
              <w:top w:val="nil"/>
              <w:bottom w:val="single" w:sz="4" w:space="0" w:color="auto"/>
            </w:tcBorders>
          </w:tcPr>
          <w:p w14:paraId="6597F260" w14:textId="1FFCDB9B" w:rsidR="00E85E43" w:rsidRPr="00484AE9" w:rsidRDefault="00F76D9A" w:rsidP="00F1122F">
            <w:pPr>
              <w:pStyle w:val="Tabletext"/>
              <w:jc w:val="center"/>
              <w:rPr>
                <w:rFonts w:eastAsia="SimSun"/>
                <w:i/>
                <w:iCs/>
                <w:highlight w:val="yellow"/>
              </w:rPr>
            </w:pPr>
            <w:r>
              <w:rPr>
                <w:rFonts w:eastAsia="SimSun"/>
                <w:iCs/>
              </w:rPr>
              <w:t xml:space="preserve"> </w:t>
            </w:r>
            <w:r w:rsidR="00E85E43" w:rsidRPr="00484AE9">
              <w:rPr>
                <w:rFonts w:eastAsia="SimSun"/>
                <w:iCs/>
              </w:rPr>
              <w:t>1%</w:t>
            </w:r>
            <w:r w:rsidR="00E85E43" w:rsidRPr="00484AE9">
              <w:rPr>
                <w:rFonts w:eastAsia="SimSun"/>
                <w:iCs/>
                <w:vertAlign w:val="superscript"/>
              </w:rPr>
              <w:t>@</w:t>
            </w:r>
          </w:p>
        </w:tc>
        <w:tc>
          <w:tcPr>
            <w:tcW w:w="1397" w:type="pct"/>
            <w:tcBorders>
              <w:top w:val="nil"/>
              <w:bottom w:val="single" w:sz="4" w:space="0" w:color="auto"/>
            </w:tcBorders>
          </w:tcPr>
          <w:p w14:paraId="113A3507" w14:textId="7D43B530" w:rsidR="00E85E43" w:rsidRPr="00484AE9" w:rsidRDefault="00F76D9A" w:rsidP="00F1122F">
            <w:pPr>
              <w:pStyle w:val="Tabletext"/>
              <w:jc w:val="center"/>
              <w:rPr>
                <w:rFonts w:eastAsia="SimSun"/>
                <w:i/>
                <w:iCs/>
                <w:highlight w:val="yellow"/>
              </w:rPr>
            </w:pPr>
            <w:r>
              <w:rPr>
                <w:rFonts w:eastAsia="SimSun"/>
                <w:iCs/>
              </w:rPr>
              <w:t xml:space="preserve"> </w:t>
            </w:r>
            <w:r w:rsidR="00E85E43" w:rsidRPr="00484AE9">
              <w:rPr>
                <w:rFonts w:eastAsia="SimSun"/>
                <w:iCs/>
              </w:rPr>
              <w:t>3%</w:t>
            </w:r>
          </w:p>
        </w:tc>
      </w:tr>
      <w:tr w:rsidR="00E85E43" w:rsidRPr="00484AE9" w14:paraId="13D62971" w14:textId="77777777" w:rsidTr="00E46E44">
        <w:tc>
          <w:tcPr>
            <w:tcW w:w="2207" w:type="pct"/>
            <w:tcBorders>
              <w:bottom w:val="nil"/>
            </w:tcBorders>
          </w:tcPr>
          <w:p w14:paraId="7DD19CB1" w14:textId="77777777" w:rsidR="00E85E43" w:rsidRPr="00484AE9" w:rsidRDefault="00E85E43" w:rsidP="00F1122F">
            <w:pPr>
              <w:pStyle w:val="Tabletext"/>
              <w:rPr>
                <w:rFonts w:eastAsia="SimSun"/>
                <w:i/>
                <w:iCs/>
                <w:highlight w:val="yellow"/>
              </w:rPr>
            </w:pPr>
            <w:r w:rsidRPr="00484AE9">
              <w:rPr>
                <w:rFonts w:eastAsia="SimSun"/>
                <w:iCs/>
              </w:rPr>
              <w:t>Treatment effect (odds ratio) for nirmatrelvir and ritonavir</w:t>
            </w:r>
          </w:p>
        </w:tc>
        <w:tc>
          <w:tcPr>
            <w:tcW w:w="1396" w:type="pct"/>
            <w:tcBorders>
              <w:bottom w:val="nil"/>
            </w:tcBorders>
          </w:tcPr>
          <w:p w14:paraId="6D752683" w14:textId="77777777" w:rsidR="00E85E43" w:rsidRPr="00484AE9" w:rsidRDefault="00E85E43" w:rsidP="00F1122F">
            <w:pPr>
              <w:pStyle w:val="Tabletext"/>
              <w:jc w:val="center"/>
              <w:rPr>
                <w:rFonts w:eastAsia="SimSun"/>
                <w:i/>
                <w:iCs/>
                <w:highlight w:val="yellow"/>
              </w:rPr>
            </w:pPr>
          </w:p>
        </w:tc>
        <w:tc>
          <w:tcPr>
            <w:tcW w:w="1397" w:type="pct"/>
            <w:tcBorders>
              <w:bottom w:val="nil"/>
            </w:tcBorders>
          </w:tcPr>
          <w:p w14:paraId="4253654D" w14:textId="77777777" w:rsidR="00E85E43" w:rsidRPr="00484AE9" w:rsidRDefault="00E85E43" w:rsidP="00F1122F">
            <w:pPr>
              <w:pStyle w:val="Tabletext"/>
              <w:jc w:val="center"/>
              <w:rPr>
                <w:rFonts w:eastAsia="SimSun"/>
                <w:i/>
                <w:iCs/>
                <w:highlight w:val="yellow"/>
              </w:rPr>
            </w:pPr>
          </w:p>
        </w:tc>
      </w:tr>
      <w:tr w:rsidR="00E85E43" w:rsidRPr="00484AE9" w14:paraId="614A2CFA" w14:textId="77777777" w:rsidTr="00E46E44">
        <w:tc>
          <w:tcPr>
            <w:tcW w:w="2207" w:type="pct"/>
            <w:tcBorders>
              <w:top w:val="nil"/>
              <w:bottom w:val="nil"/>
            </w:tcBorders>
          </w:tcPr>
          <w:p w14:paraId="1A009012" w14:textId="77777777" w:rsidR="00E85E43" w:rsidRPr="00484AE9" w:rsidRDefault="00E85E43" w:rsidP="00F1122F">
            <w:pPr>
              <w:pStyle w:val="Tabletext"/>
              <w:ind w:left="306"/>
              <w:rPr>
                <w:rFonts w:eastAsia="SimSun"/>
                <w:i/>
                <w:iCs/>
                <w:highlight w:val="yellow"/>
              </w:rPr>
            </w:pPr>
            <w:r w:rsidRPr="00484AE9">
              <w:rPr>
                <w:rFonts w:eastAsia="SimSun"/>
                <w:iCs/>
              </w:rPr>
              <w:t xml:space="preserve">70+ </w:t>
            </w:r>
          </w:p>
        </w:tc>
        <w:tc>
          <w:tcPr>
            <w:tcW w:w="1396" w:type="pct"/>
            <w:tcBorders>
              <w:top w:val="nil"/>
              <w:bottom w:val="nil"/>
            </w:tcBorders>
          </w:tcPr>
          <w:p w14:paraId="22A3C8F9" w14:textId="77777777" w:rsidR="00E85E43" w:rsidRPr="00484AE9" w:rsidRDefault="00E85E43" w:rsidP="00F1122F">
            <w:pPr>
              <w:pStyle w:val="Tabletext"/>
              <w:jc w:val="center"/>
              <w:rPr>
                <w:rFonts w:eastAsia="SimSun"/>
                <w:i/>
                <w:iCs/>
                <w:highlight w:val="yellow"/>
              </w:rPr>
            </w:pPr>
            <w:r w:rsidRPr="00484AE9">
              <w:rPr>
                <w:rFonts w:eastAsia="SimSun"/>
                <w:iCs/>
              </w:rPr>
              <w:t>0.283</w:t>
            </w:r>
            <w:r w:rsidRPr="00484AE9">
              <w:rPr>
                <w:rFonts w:eastAsia="SimSun"/>
                <w:iCs/>
                <w:vertAlign w:val="superscript"/>
              </w:rPr>
              <w:t>#</w:t>
            </w:r>
          </w:p>
        </w:tc>
        <w:tc>
          <w:tcPr>
            <w:tcW w:w="1397" w:type="pct"/>
            <w:vMerge w:val="restart"/>
            <w:tcBorders>
              <w:top w:val="nil"/>
              <w:bottom w:val="nil"/>
            </w:tcBorders>
            <w:vAlign w:val="center"/>
          </w:tcPr>
          <w:p w14:paraId="0061C869" w14:textId="77777777" w:rsidR="00E85E43" w:rsidRPr="00484AE9" w:rsidRDefault="00E85E43" w:rsidP="00F1122F">
            <w:pPr>
              <w:pStyle w:val="Tabletext"/>
              <w:jc w:val="center"/>
              <w:rPr>
                <w:rFonts w:eastAsia="SimSun"/>
                <w:i/>
                <w:iCs/>
                <w:highlight w:val="yellow"/>
              </w:rPr>
            </w:pPr>
            <w:r w:rsidRPr="00484AE9">
              <w:rPr>
                <w:rFonts w:eastAsia="SimSun"/>
                <w:iCs/>
              </w:rPr>
              <w:t>0.41 for hospitalisations, 0.37 for ICU admissions, 0.25 for death</w:t>
            </w:r>
          </w:p>
        </w:tc>
      </w:tr>
      <w:tr w:rsidR="00E85E43" w:rsidRPr="00484AE9" w14:paraId="16B18867" w14:textId="77777777" w:rsidTr="00E46E44">
        <w:tc>
          <w:tcPr>
            <w:tcW w:w="2207" w:type="pct"/>
            <w:tcBorders>
              <w:top w:val="nil"/>
              <w:bottom w:val="nil"/>
            </w:tcBorders>
          </w:tcPr>
          <w:p w14:paraId="75AC6AB4" w14:textId="77777777" w:rsidR="00E85E43" w:rsidRPr="00484AE9" w:rsidRDefault="00E85E43" w:rsidP="00F1122F">
            <w:pPr>
              <w:pStyle w:val="Tabletext"/>
              <w:ind w:left="306"/>
              <w:rPr>
                <w:rFonts w:eastAsia="SimSun"/>
                <w:i/>
                <w:iCs/>
                <w:highlight w:val="yellow"/>
              </w:rPr>
            </w:pPr>
            <w:r w:rsidRPr="00484AE9">
              <w:rPr>
                <w:rFonts w:eastAsia="SimSun"/>
                <w:iCs/>
              </w:rPr>
              <w:t>50-69 with ≥ 2 risk factors</w:t>
            </w:r>
          </w:p>
        </w:tc>
        <w:tc>
          <w:tcPr>
            <w:tcW w:w="1396" w:type="pct"/>
            <w:tcBorders>
              <w:top w:val="nil"/>
              <w:bottom w:val="nil"/>
            </w:tcBorders>
          </w:tcPr>
          <w:p w14:paraId="72866D34" w14:textId="77777777" w:rsidR="00E85E43" w:rsidRPr="00484AE9" w:rsidRDefault="00E85E43" w:rsidP="00F1122F">
            <w:pPr>
              <w:pStyle w:val="Tabletext"/>
              <w:jc w:val="center"/>
              <w:rPr>
                <w:rFonts w:eastAsia="SimSun"/>
                <w:i/>
                <w:iCs/>
                <w:highlight w:val="yellow"/>
              </w:rPr>
            </w:pPr>
            <w:r w:rsidRPr="00484AE9">
              <w:rPr>
                <w:rFonts w:eastAsia="SimSun"/>
                <w:iCs/>
              </w:rPr>
              <w:t>0.283</w:t>
            </w:r>
            <w:r w:rsidRPr="00484AE9">
              <w:rPr>
                <w:rFonts w:eastAsia="SimSun"/>
                <w:iCs/>
                <w:vertAlign w:val="superscript"/>
              </w:rPr>
              <w:t>#</w:t>
            </w:r>
          </w:p>
        </w:tc>
        <w:tc>
          <w:tcPr>
            <w:tcW w:w="1397" w:type="pct"/>
            <w:vMerge/>
            <w:tcBorders>
              <w:top w:val="nil"/>
              <w:bottom w:val="nil"/>
            </w:tcBorders>
          </w:tcPr>
          <w:p w14:paraId="2A1860CC" w14:textId="77777777" w:rsidR="00E85E43" w:rsidRPr="00484AE9" w:rsidRDefault="00E85E43" w:rsidP="00F1122F">
            <w:pPr>
              <w:pStyle w:val="Tabletext"/>
              <w:jc w:val="center"/>
              <w:rPr>
                <w:rFonts w:eastAsia="SimSun"/>
                <w:i/>
                <w:iCs/>
                <w:highlight w:val="yellow"/>
              </w:rPr>
            </w:pPr>
          </w:p>
        </w:tc>
      </w:tr>
      <w:tr w:rsidR="00E85E43" w:rsidRPr="00484AE9" w14:paraId="4D39B2DC" w14:textId="77777777" w:rsidTr="00E46E44">
        <w:tc>
          <w:tcPr>
            <w:tcW w:w="2207" w:type="pct"/>
            <w:tcBorders>
              <w:top w:val="nil"/>
              <w:bottom w:val="nil"/>
            </w:tcBorders>
          </w:tcPr>
          <w:p w14:paraId="33CA910A" w14:textId="65E1A397" w:rsidR="00E85E43" w:rsidRPr="00484AE9" w:rsidRDefault="00E85E43" w:rsidP="00F1122F">
            <w:pPr>
              <w:pStyle w:val="Tabletext"/>
              <w:ind w:left="306"/>
              <w:rPr>
                <w:rFonts w:eastAsia="SimSun"/>
                <w:i/>
                <w:iCs/>
                <w:highlight w:val="yellow"/>
              </w:rPr>
            </w:pPr>
            <w:r w:rsidRPr="00484AE9">
              <w:rPr>
                <w:rFonts w:eastAsia="SimSun"/>
                <w:iCs/>
              </w:rPr>
              <w:t>50-69 with ≥ 1 risk factor</w:t>
            </w:r>
          </w:p>
        </w:tc>
        <w:tc>
          <w:tcPr>
            <w:tcW w:w="1396" w:type="pct"/>
            <w:tcBorders>
              <w:top w:val="nil"/>
              <w:bottom w:val="nil"/>
            </w:tcBorders>
          </w:tcPr>
          <w:p w14:paraId="7D2AFA41" w14:textId="77777777" w:rsidR="00E85E43" w:rsidRPr="00484AE9" w:rsidRDefault="00E85E43" w:rsidP="00F1122F">
            <w:pPr>
              <w:pStyle w:val="Tabletext"/>
              <w:jc w:val="center"/>
              <w:rPr>
                <w:rFonts w:eastAsia="SimSun"/>
                <w:i/>
                <w:iCs/>
                <w:highlight w:val="yellow"/>
              </w:rPr>
            </w:pPr>
            <w:r w:rsidRPr="00484AE9">
              <w:rPr>
                <w:rFonts w:eastAsia="SimSun"/>
                <w:iCs/>
              </w:rPr>
              <w:t>0.283</w:t>
            </w:r>
            <w:r w:rsidRPr="00484AE9">
              <w:rPr>
                <w:rFonts w:eastAsia="SimSun"/>
                <w:iCs/>
                <w:vertAlign w:val="superscript"/>
              </w:rPr>
              <w:t>#</w:t>
            </w:r>
          </w:p>
        </w:tc>
        <w:tc>
          <w:tcPr>
            <w:tcW w:w="1397" w:type="pct"/>
            <w:vMerge/>
            <w:tcBorders>
              <w:top w:val="nil"/>
              <w:bottom w:val="nil"/>
            </w:tcBorders>
          </w:tcPr>
          <w:p w14:paraId="74CF96B5" w14:textId="77777777" w:rsidR="00E85E43" w:rsidRPr="00484AE9" w:rsidRDefault="00E85E43" w:rsidP="00F1122F">
            <w:pPr>
              <w:pStyle w:val="Tabletext"/>
              <w:jc w:val="center"/>
              <w:rPr>
                <w:rFonts w:eastAsia="SimSun"/>
                <w:i/>
                <w:iCs/>
                <w:highlight w:val="yellow"/>
              </w:rPr>
            </w:pPr>
          </w:p>
        </w:tc>
      </w:tr>
      <w:tr w:rsidR="00E85E43" w:rsidRPr="00484AE9" w14:paraId="1AF5A08A" w14:textId="77777777" w:rsidTr="00E46E44">
        <w:tc>
          <w:tcPr>
            <w:tcW w:w="2207" w:type="pct"/>
            <w:tcBorders>
              <w:top w:val="nil"/>
              <w:bottom w:val="nil"/>
            </w:tcBorders>
          </w:tcPr>
          <w:p w14:paraId="398F6F19" w14:textId="77777777" w:rsidR="00E85E43" w:rsidRPr="00484AE9" w:rsidRDefault="00E85E43" w:rsidP="00F1122F">
            <w:pPr>
              <w:pStyle w:val="Tabletext"/>
              <w:ind w:left="306"/>
              <w:rPr>
                <w:rFonts w:eastAsia="SimSun"/>
                <w:i/>
                <w:iCs/>
                <w:highlight w:val="yellow"/>
              </w:rPr>
            </w:pPr>
            <w:r w:rsidRPr="00484AE9">
              <w:rPr>
                <w:rFonts w:eastAsia="SimSun"/>
                <w:iCs/>
              </w:rPr>
              <w:t xml:space="preserve">First Nations </w:t>
            </w:r>
          </w:p>
        </w:tc>
        <w:tc>
          <w:tcPr>
            <w:tcW w:w="1396" w:type="pct"/>
            <w:tcBorders>
              <w:top w:val="nil"/>
              <w:bottom w:val="nil"/>
            </w:tcBorders>
          </w:tcPr>
          <w:p w14:paraId="4EA5EF5E" w14:textId="77777777" w:rsidR="00E85E43" w:rsidRPr="00484AE9" w:rsidRDefault="00E85E43" w:rsidP="00F1122F">
            <w:pPr>
              <w:pStyle w:val="Tabletext"/>
              <w:jc w:val="center"/>
              <w:rPr>
                <w:rFonts w:eastAsia="SimSun"/>
                <w:i/>
                <w:iCs/>
                <w:highlight w:val="yellow"/>
              </w:rPr>
            </w:pPr>
            <w:r w:rsidRPr="00484AE9">
              <w:rPr>
                <w:rFonts w:eastAsia="SimSun"/>
                <w:iCs/>
              </w:rPr>
              <w:t>0.283</w:t>
            </w:r>
            <w:r w:rsidRPr="00484AE9">
              <w:rPr>
                <w:rFonts w:eastAsia="SimSun"/>
                <w:iCs/>
                <w:vertAlign w:val="superscript"/>
              </w:rPr>
              <w:t>#</w:t>
            </w:r>
          </w:p>
        </w:tc>
        <w:tc>
          <w:tcPr>
            <w:tcW w:w="1397" w:type="pct"/>
            <w:vMerge/>
            <w:tcBorders>
              <w:top w:val="nil"/>
              <w:bottom w:val="nil"/>
            </w:tcBorders>
          </w:tcPr>
          <w:p w14:paraId="4EDCC875" w14:textId="77777777" w:rsidR="00E85E43" w:rsidRPr="00484AE9" w:rsidRDefault="00E85E43" w:rsidP="00F1122F">
            <w:pPr>
              <w:pStyle w:val="Tabletext"/>
              <w:jc w:val="center"/>
              <w:rPr>
                <w:rFonts w:eastAsia="SimSun"/>
                <w:i/>
                <w:iCs/>
                <w:highlight w:val="yellow"/>
              </w:rPr>
            </w:pPr>
          </w:p>
        </w:tc>
      </w:tr>
      <w:tr w:rsidR="00E85E43" w:rsidRPr="00484AE9" w14:paraId="5D308E8B" w14:textId="77777777" w:rsidTr="00E46E44">
        <w:tc>
          <w:tcPr>
            <w:tcW w:w="2207" w:type="pct"/>
            <w:tcBorders>
              <w:top w:val="nil"/>
              <w:bottom w:val="single" w:sz="4" w:space="0" w:color="auto"/>
            </w:tcBorders>
          </w:tcPr>
          <w:p w14:paraId="5C1C9158" w14:textId="77777777" w:rsidR="00E85E43" w:rsidRPr="00484AE9" w:rsidRDefault="00E85E43" w:rsidP="00F1122F">
            <w:pPr>
              <w:pStyle w:val="Tabletext"/>
              <w:ind w:left="306"/>
              <w:rPr>
                <w:rFonts w:eastAsia="SimSun"/>
                <w:i/>
                <w:iCs/>
                <w:highlight w:val="yellow"/>
              </w:rPr>
            </w:pPr>
            <w:r w:rsidRPr="00484AE9">
              <w:rPr>
                <w:rFonts w:eastAsia="SimSun"/>
                <w:iCs/>
              </w:rPr>
              <w:t xml:space="preserve">18+ and immune compromised </w:t>
            </w:r>
          </w:p>
        </w:tc>
        <w:tc>
          <w:tcPr>
            <w:tcW w:w="1396" w:type="pct"/>
            <w:tcBorders>
              <w:top w:val="nil"/>
              <w:bottom w:val="single" w:sz="4" w:space="0" w:color="auto"/>
            </w:tcBorders>
          </w:tcPr>
          <w:p w14:paraId="4F00B42F" w14:textId="77777777" w:rsidR="00E85E43" w:rsidRPr="00484AE9" w:rsidRDefault="00E85E43" w:rsidP="00F1122F">
            <w:pPr>
              <w:pStyle w:val="Tabletext"/>
              <w:jc w:val="center"/>
              <w:rPr>
                <w:rFonts w:eastAsia="SimSun"/>
                <w:i/>
                <w:iCs/>
                <w:highlight w:val="yellow"/>
              </w:rPr>
            </w:pPr>
            <w:r w:rsidRPr="00484AE9">
              <w:rPr>
                <w:rFonts w:eastAsia="SimSun"/>
                <w:iCs/>
              </w:rPr>
              <w:t>0.283</w:t>
            </w:r>
            <w:r w:rsidRPr="00484AE9">
              <w:rPr>
                <w:rFonts w:eastAsia="SimSun"/>
                <w:iCs/>
                <w:vertAlign w:val="superscript"/>
              </w:rPr>
              <w:t>#</w:t>
            </w:r>
          </w:p>
        </w:tc>
        <w:tc>
          <w:tcPr>
            <w:tcW w:w="1397" w:type="pct"/>
            <w:vMerge/>
            <w:tcBorders>
              <w:top w:val="nil"/>
              <w:bottom w:val="single" w:sz="4" w:space="0" w:color="auto"/>
            </w:tcBorders>
          </w:tcPr>
          <w:p w14:paraId="690D5965" w14:textId="77777777" w:rsidR="00E85E43" w:rsidRPr="00484AE9" w:rsidRDefault="00E85E43" w:rsidP="00F1122F">
            <w:pPr>
              <w:pStyle w:val="Tabletext"/>
              <w:jc w:val="center"/>
              <w:rPr>
                <w:rFonts w:eastAsia="SimSun"/>
                <w:i/>
                <w:iCs/>
                <w:highlight w:val="yellow"/>
              </w:rPr>
            </w:pPr>
          </w:p>
        </w:tc>
      </w:tr>
      <w:tr w:rsidR="00E85E43" w:rsidRPr="00484AE9" w14:paraId="0205B96E" w14:textId="77777777" w:rsidTr="00E46E44">
        <w:tc>
          <w:tcPr>
            <w:tcW w:w="2207" w:type="pct"/>
            <w:tcBorders>
              <w:bottom w:val="nil"/>
            </w:tcBorders>
          </w:tcPr>
          <w:p w14:paraId="2AD964C8" w14:textId="77777777" w:rsidR="00E85E43" w:rsidRPr="00484AE9" w:rsidRDefault="00E85E43" w:rsidP="006B5CF9">
            <w:pPr>
              <w:pStyle w:val="Tabletext"/>
              <w:keepNext/>
              <w:rPr>
                <w:rFonts w:eastAsia="SimSun"/>
                <w:i/>
                <w:iCs/>
                <w:highlight w:val="yellow"/>
              </w:rPr>
            </w:pPr>
            <w:r w:rsidRPr="00484AE9">
              <w:rPr>
                <w:rFonts w:eastAsia="SimSun"/>
                <w:iCs/>
              </w:rPr>
              <w:t xml:space="preserve">Discounted QALYs lost by a patient who dies due to </w:t>
            </w:r>
            <w:r w:rsidRPr="00484AE9">
              <w:rPr>
                <w:rStyle w:val="normaltextrun"/>
                <w:rFonts w:eastAsia="SimSun"/>
                <w:iCs/>
              </w:rPr>
              <w:t>COVID</w:t>
            </w:r>
            <w:r w:rsidRPr="00484AE9">
              <w:rPr>
                <w:rStyle w:val="normaltextrun"/>
                <w:rFonts w:eastAsia="SimSun"/>
                <w:iCs/>
              </w:rPr>
              <w:noBreakHyphen/>
              <w:t>19</w:t>
            </w:r>
          </w:p>
        </w:tc>
        <w:tc>
          <w:tcPr>
            <w:tcW w:w="1396" w:type="pct"/>
            <w:tcBorders>
              <w:bottom w:val="nil"/>
            </w:tcBorders>
          </w:tcPr>
          <w:p w14:paraId="70FC10EA" w14:textId="77777777" w:rsidR="00E85E43" w:rsidRPr="00484AE9" w:rsidRDefault="00E85E43" w:rsidP="006B5CF9">
            <w:pPr>
              <w:pStyle w:val="Tabletext"/>
              <w:keepNext/>
              <w:jc w:val="center"/>
              <w:rPr>
                <w:rFonts w:eastAsia="SimSun"/>
                <w:i/>
                <w:iCs/>
                <w:highlight w:val="yellow"/>
              </w:rPr>
            </w:pPr>
          </w:p>
        </w:tc>
        <w:tc>
          <w:tcPr>
            <w:tcW w:w="1397" w:type="pct"/>
            <w:tcBorders>
              <w:bottom w:val="nil"/>
            </w:tcBorders>
          </w:tcPr>
          <w:p w14:paraId="1121CD0F" w14:textId="77777777" w:rsidR="00E85E43" w:rsidRPr="00484AE9" w:rsidRDefault="00E85E43" w:rsidP="006B5CF9">
            <w:pPr>
              <w:pStyle w:val="Tabletext"/>
              <w:keepNext/>
              <w:jc w:val="center"/>
              <w:rPr>
                <w:rFonts w:eastAsia="SimSun"/>
                <w:i/>
                <w:iCs/>
                <w:highlight w:val="yellow"/>
              </w:rPr>
            </w:pPr>
          </w:p>
        </w:tc>
      </w:tr>
      <w:tr w:rsidR="00E85E43" w:rsidRPr="00484AE9" w14:paraId="4C591943" w14:textId="77777777" w:rsidTr="00E46E44">
        <w:tc>
          <w:tcPr>
            <w:tcW w:w="2207" w:type="pct"/>
            <w:tcBorders>
              <w:top w:val="nil"/>
              <w:bottom w:val="nil"/>
            </w:tcBorders>
          </w:tcPr>
          <w:p w14:paraId="30A75EE5" w14:textId="77777777" w:rsidR="00E85E43" w:rsidRPr="00484AE9" w:rsidRDefault="00E85E43" w:rsidP="006B5CF9">
            <w:pPr>
              <w:pStyle w:val="Tabletext"/>
              <w:keepNext/>
              <w:ind w:left="306"/>
              <w:rPr>
                <w:rFonts w:eastAsia="SimSun"/>
                <w:i/>
                <w:iCs/>
                <w:highlight w:val="yellow"/>
              </w:rPr>
            </w:pPr>
            <w:r w:rsidRPr="00484AE9">
              <w:rPr>
                <w:rFonts w:eastAsia="SimSun"/>
                <w:iCs/>
              </w:rPr>
              <w:t xml:space="preserve">70+ </w:t>
            </w:r>
          </w:p>
        </w:tc>
        <w:tc>
          <w:tcPr>
            <w:tcW w:w="1396" w:type="pct"/>
            <w:tcBorders>
              <w:top w:val="nil"/>
              <w:bottom w:val="nil"/>
            </w:tcBorders>
          </w:tcPr>
          <w:p w14:paraId="1FF037EF" w14:textId="35EFA98D" w:rsidR="00E85E43" w:rsidRPr="00484AE9" w:rsidRDefault="00F76D9A" w:rsidP="006B5CF9">
            <w:pPr>
              <w:pStyle w:val="Tabletext"/>
              <w:keepNext/>
              <w:jc w:val="center"/>
              <w:rPr>
                <w:rFonts w:eastAsia="SimSun"/>
                <w:i/>
                <w:iCs/>
                <w:highlight w:val="yellow"/>
              </w:rPr>
            </w:pPr>
            <w:r>
              <w:rPr>
                <w:rFonts w:eastAsia="SimSun"/>
                <w:iCs/>
              </w:rPr>
              <w:t xml:space="preserve"> </w:t>
            </w:r>
            <w:r w:rsidR="00E85E43" w:rsidRPr="00484AE9">
              <w:rPr>
                <w:rFonts w:eastAsia="SimSun"/>
                <w:iCs/>
              </w:rPr>
              <w:t>6.44</w:t>
            </w:r>
            <w:r>
              <w:rPr>
                <w:rFonts w:eastAsia="SimSun"/>
                <w:iCs/>
              </w:rPr>
              <w:t xml:space="preserve"> </w:t>
            </w:r>
          </w:p>
        </w:tc>
        <w:tc>
          <w:tcPr>
            <w:tcW w:w="1397" w:type="pct"/>
            <w:tcBorders>
              <w:top w:val="nil"/>
              <w:bottom w:val="nil"/>
            </w:tcBorders>
          </w:tcPr>
          <w:p w14:paraId="5D9E93E7" w14:textId="61BF75CD" w:rsidR="00E85E43" w:rsidRPr="00484AE9" w:rsidRDefault="00F76D9A" w:rsidP="006B5CF9">
            <w:pPr>
              <w:pStyle w:val="Tabletext"/>
              <w:keepNext/>
              <w:jc w:val="center"/>
              <w:rPr>
                <w:rFonts w:eastAsia="SimSun"/>
                <w:i/>
                <w:iCs/>
                <w:highlight w:val="yellow"/>
              </w:rPr>
            </w:pPr>
            <w:r>
              <w:rPr>
                <w:rFonts w:eastAsia="SimSun"/>
                <w:iCs/>
              </w:rPr>
              <w:t xml:space="preserve"> </w:t>
            </w:r>
            <w:r w:rsidR="00E85E43" w:rsidRPr="00484AE9">
              <w:rPr>
                <w:rFonts w:eastAsia="SimSun"/>
                <w:iCs/>
              </w:rPr>
              <w:t xml:space="preserve">6.44 </w:t>
            </w:r>
          </w:p>
        </w:tc>
      </w:tr>
      <w:tr w:rsidR="00E85E43" w:rsidRPr="00484AE9" w14:paraId="0E902394" w14:textId="77777777" w:rsidTr="00E46E44">
        <w:tc>
          <w:tcPr>
            <w:tcW w:w="2207" w:type="pct"/>
            <w:tcBorders>
              <w:top w:val="nil"/>
              <w:bottom w:val="nil"/>
            </w:tcBorders>
          </w:tcPr>
          <w:p w14:paraId="112B07DE" w14:textId="77777777" w:rsidR="00E85E43" w:rsidRPr="00484AE9" w:rsidRDefault="00E85E43" w:rsidP="00F1122F">
            <w:pPr>
              <w:pStyle w:val="Tabletext"/>
              <w:ind w:left="306"/>
              <w:rPr>
                <w:rFonts w:eastAsia="SimSun"/>
                <w:i/>
                <w:iCs/>
                <w:highlight w:val="yellow"/>
              </w:rPr>
            </w:pPr>
            <w:r w:rsidRPr="00484AE9">
              <w:rPr>
                <w:rFonts w:eastAsia="SimSun"/>
                <w:iCs/>
              </w:rPr>
              <w:t>50-69 with ≥ 2 risk factors</w:t>
            </w:r>
          </w:p>
        </w:tc>
        <w:tc>
          <w:tcPr>
            <w:tcW w:w="1396" w:type="pct"/>
            <w:tcBorders>
              <w:top w:val="nil"/>
              <w:bottom w:val="nil"/>
            </w:tcBorders>
          </w:tcPr>
          <w:p w14:paraId="3AD99209" w14:textId="77777777" w:rsidR="00E85E43" w:rsidRPr="00484AE9" w:rsidRDefault="00E85E43" w:rsidP="00F1122F">
            <w:pPr>
              <w:pStyle w:val="Tabletext"/>
              <w:jc w:val="center"/>
              <w:rPr>
                <w:rFonts w:eastAsia="SimSun"/>
                <w:i/>
                <w:iCs/>
                <w:highlight w:val="yellow"/>
              </w:rPr>
            </w:pPr>
            <w:r w:rsidRPr="00484AE9">
              <w:rPr>
                <w:rFonts w:eastAsia="SimSun"/>
                <w:iCs/>
              </w:rPr>
              <w:t>12.18</w:t>
            </w:r>
          </w:p>
        </w:tc>
        <w:tc>
          <w:tcPr>
            <w:tcW w:w="1397" w:type="pct"/>
            <w:tcBorders>
              <w:top w:val="nil"/>
              <w:bottom w:val="nil"/>
            </w:tcBorders>
          </w:tcPr>
          <w:p w14:paraId="47C43A90" w14:textId="77777777" w:rsidR="00E85E43" w:rsidRPr="00484AE9" w:rsidRDefault="00E85E43" w:rsidP="00F1122F">
            <w:pPr>
              <w:pStyle w:val="Tabletext"/>
              <w:jc w:val="center"/>
              <w:rPr>
                <w:rFonts w:eastAsia="SimSun"/>
                <w:i/>
                <w:iCs/>
                <w:highlight w:val="yellow"/>
              </w:rPr>
            </w:pPr>
            <w:r w:rsidRPr="00484AE9">
              <w:rPr>
                <w:rFonts w:eastAsia="SimSun"/>
                <w:iCs/>
              </w:rPr>
              <w:t>12.18</w:t>
            </w:r>
          </w:p>
        </w:tc>
      </w:tr>
      <w:tr w:rsidR="00E85E43" w:rsidRPr="00484AE9" w14:paraId="5DCFDD64" w14:textId="77777777" w:rsidTr="00E46E44">
        <w:tc>
          <w:tcPr>
            <w:tcW w:w="2207" w:type="pct"/>
            <w:tcBorders>
              <w:top w:val="nil"/>
              <w:bottom w:val="nil"/>
            </w:tcBorders>
          </w:tcPr>
          <w:p w14:paraId="4AB1A641" w14:textId="1C4DBD9C" w:rsidR="00E85E43" w:rsidRPr="00484AE9" w:rsidRDefault="00E85E43" w:rsidP="00F1122F">
            <w:pPr>
              <w:pStyle w:val="Tabletext"/>
              <w:ind w:left="306"/>
              <w:rPr>
                <w:rFonts w:eastAsia="SimSun"/>
                <w:i/>
                <w:iCs/>
                <w:highlight w:val="yellow"/>
              </w:rPr>
            </w:pPr>
            <w:r w:rsidRPr="00484AE9">
              <w:rPr>
                <w:rFonts w:eastAsia="SimSun"/>
                <w:iCs/>
              </w:rPr>
              <w:lastRenderedPageBreak/>
              <w:t>50-69 with ≥ 1 risk factor</w:t>
            </w:r>
          </w:p>
        </w:tc>
        <w:tc>
          <w:tcPr>
            <w:tcW w:w="1396" w:type="pct"/>
            <w:tcBorders>
              <w:top w:val="nil"/>
              <w:bottom w:val="nil"/>
            </w:tcBorders>
          </w:tcPr>
          <w:p w14:paraId="1C43DC04" w14:textId="77777777" w:rsidR="00E85E43" w:rsidRPr="00484AE9" w:rsidRDefault="00E85E43" w:rsidP="00F1122F">
            <w:pPr>
              <w:pStyle w:val="Tabletext"/>
              <w:jc w:val="center"/>
              <w:rPr>
                <w:rFonts w:eastAsia="SimSun"/>
                <w:i/>
                <w:iCs/>
                <w:highlight w:val="yellow"/>
              </w:rPr>
            </w:pPr>
            <w:r w:rsidRPr="00484AE9">
              <w:rPr>
                <w:rFonts w:eastAsia="SimSun"/>
                <w:iCs/>
              </w:rPr>
              <w:t>12.18</w:t>
            </w:r>
          </w:p>
        </w:tc>
        <w:tc>
          <w:tcPr>
            <w:tcW w:w="1397" w:type="pct"/>
            <w:tcBorders>
              <w:top w:val="nil"/>
              <w:bottom w:val="nil"/>
            </w:tcBorders>
          </w:tcPr>
          <w:p w14:paraId="725C351B" w14:textId="77777777" w:rsidR="00E85E43" w:rsidRPr="00484AE9" w:rsidRDefault="00E85E43" w:rsidP="00F1122F">
            <w:pPr>
              <w:pStyle w:val="Tabletext"/>
              <w:jc w:val="center"/>
              <w:rPr>
                <w:rFonts w:eastAsia="SimSun"/>
                <w:i/>
                <w:iCs/>
                <w:highlight w:val="yellow"/>
              </w:rPr>
            </w:pPr>
            <w:r w:rsidRPr="00484AE9">
              <w:rPr>
                <w:rFonts w:eastAsia="SimSun"/>
                <w:iCs/>
              </w:rPr>
              <w:t>12.18</w:t>
            </w:r>
          </w:p>
        </w:tc>
      </w:tr>
      <w:tr w:rsidR="00E85E43" w:rsidRPr="00484AE9" w14:paraId="1A591AC3" w14:textId="77777777" w:rsidTr="00E46E44">
        <w:tc>
          <w:tcPr>
            <w:tcW w:w="2207" w:type="pct"/>
            <w:tcBorders>
              <w:top w:val="nil"/>
              <w:bottom w:val="nil"/>
            </w:tcBorders>
          </w:tcPr>
          <w:p w14:paraId="0A6D2DC8" w14:textId="77777777" w:rsidR="00E85E43" w:rsidRPr="00484AE9" w:rsidRDefault="00E85E43" w:rsidP="00F1122F">
            <w:pPr>
              <w:pStyle w:val="Tabletext"/>
              <w:ind w:left="306"/>
              <w:rPr>
                <w:rFonts w:eastAsia="SimSun"/>
                <w:i/>
                <w:iCs/>
                <w:highlight w:val="yellow"/>
              </w:rPr>
            </w:pPr>
            <w:r w:rsidRPr="00484AE9">
              <w:rPr>
                <w:rFonts w:eastAsia="SimSun"/>
                <w:iCs/>
              </w:rPr>
              <w:t xml:space="preserve">First Nations </w:t>
            </w:r>
          </w:p>
        </w:tc>
        <w:tc>
          <w:tcPr>
            <w:tcW w:w="1396" w:type="pct"/>
            <w:tcBorders>
              <w:top w:val="nil"/>
              <w:bottom w:val="nil"/>
            </w:tcBorders>
          </w:tcPr>
          <w:p w14:paraId="19820D14" w14:textId="77777777" w:rsidR="00E85E43" w:rsidRPr="00484AE9" w:rsidRDefault="00E85E43" w:rsidP="00F1122F">
            <w:pPr>
              <w:pStyle w:val="Tabletext"/>
              <w:jc w:val="center"/>
              <w:rPr>
                <w:rFonts w:eastAsia="SimSun"/>
                <w:i/>
                <w:iCs/>
                <w:highlight w:val="yellow"/>
              </w:rPr>
            </w:pPr>
            <w:r w:rsidRPr="00484AE9">
              <w:rPr>
                <w:rFonts w:eastAsia="SimSun"/>
                <w:iCs/>
              </w:rPr>
              <w:t>13.00</w:t>
            </w:r>
          </w:p>
        </w:tc>
        <w:tc>
          <w:tcPr>
            <w:tcW w:w="1397" w:type="pct"/>
            <w:tcBorders>
              <w:top w:val="nil"/>
              <w:bottom w:val="nil"/>
            </w:tcBorders>
          </w:tcPr>
          <w:p w14:paraId="2D3C6D51" w14:textId="77777777" w:rsidR="00E85E43" w:rsidRPr="00484AE9" w:rsidRDefault="00E85E43" w:rsidP="00F1122F">
            <w:pPr>
              <w:pStyle w:val="Tabletext"/>
              <w:jc w:val="center"/>
              <w:rPr>
                <w:rFonts w:eastAsia="SimSun"/>
                <w:i/>
                <w:iCs/>
                <w:highlight w:val="yellow"/>
              </w:rPr>
            </w:pPr>
            <w:r w:rsidRPr="00484AE9">
              <w:rPr>
                <w:rFonts w:eastAsia="SimSun"/>
                <w:iCs/>
              </w:rPr>
              <w:t>13.00</w:t>
            </w:r>
          </w:p>
        </w:tc>
      </w:tr>
      <w:tr w:rsidR="00E85E43" w:rsidRPr="00484AE9" w14:paraId="1EF203A1" w14:textId="77777777" w:rsidTr="00E46E44">
        <w:tc>
          <w:tcPr>
            <w:tcW w:w="2207" w:type="pct"/>
            <w:tcBorders>
              <w:top w:val="nil"/>
              <w:bottom w:val="single" w:sz="4" w:space="0" w:color="auto"/>
            </w:tcBorders>
          </w:tcPr>
          <w:p w14:paraId="67645A92" w14:textId="77777777" w:rsidR="00E85E43" w:rsidRPr="00484AE9" w:rsidRDefault="00E85E43" w:rsidP="00F1122F">
            <w:pPr>
              <w:pStyle w:val="Tabletext"/>
              <w:ind w:left="306"/>
              <w:rPr>
                <w:rFonts w:eastAsia="SimSun"/>
                <w:i/>
                <w:iCs/>
                <w:highlight w:val="yellow"/>
              </w:rPr>
            </w:pPr>
            <w:r w:rsidRPr="00484AE9">
              <w:rPr>
                <w:rFonts w:eastAsia="SimSun"/>
                <w:iCs/>
              </w:rPr>
              <w:t xml:space="preserve">18+ and immune compromised </w:t>
            </w:r>
          </w:p>
        </w:tc>
        <w:tc>
          <w:tcPr>
            <w:tcW w:w="1396" w:type="pct"/>
            <w:tcBorders>
              <w:top w:val="nil"/>
              <w:bottom w:val="single" w:sz="4" w:space="0" w:color="auto"/>
            </w:tcBorders>
          </w:tcPr>
          <w:p w14:paraId="0FF37892" w14:textId="77777777" w:rsidR="00E85E43" w:rsidRPr="00484AE9" w:rsidRDefault="00E85E43" w:rsidP="00F1122F">
            <w:pPr>
              <w:pStyle w:val="Tabletext"/>
              <w:jc w:val="center"/>
              <w:rPr>
                <w:rFonts w:eastAsia="SimSun"/>
                <w:i/>
                <w:iCs/>
                <w:highlight w:val="yellow"/>
              </w:rPr>
            </w:pPr>
            <w:r w:rsidRPr="00484AE9">
              <w:rPr>
                <w:rFonts w:eastAsia="SimSun"/>
                <w:iCs/>
              </w:rPr>
              <w:t>15.57</w:t>
            </w:r>
          </w:p>
        </w:tc>
        <w:tc>
          <w:tcPr>
            <w:tcW w:w="1397" w:type="pct"/>
            <w:tcBorders>
              <w:top w:val="nil"/>
              <w:bottom w:val="single" w:sz="4" w:space="0" w:color="auto"/>
            </w:tcBorders>
          </w:tcPr>
          <w:p w14:paraId="0A65313D" w14:textId="77777777" w:rsidR="00E85E43" w:rsidRPr="00484AE9" w:rsidRDefault="00E85E43" w:rsidP="00F1122F">
            <w:pPr>
              <w:pStyle w:val="Tabletext"/>
              <w:jc w:val="center"/>
              <w:rPr>
                <w:rFonts w:eastAsia="SimSun"/>
                <w:i/>
                <w:iCs/>
                <w:highlight w:val="yellow"/>
              </w:rPr>
            </w:pPr>
            <w:r w:rsidRPr="00484AE9">
              <w:rPr>
                <w:rFonts w:eastAsia="SimSun"/>
                <w:iCs/>
              </w:rPr>
              <w:t>15.57</w:t>
            </w:r>
          </w:p>
        </w:tc>
      </w:tr>
      <w:tr w:rsidR="00E85E43" w:rsidRPr="00484AE9" w14:paraId="4BD51E64" w14:textId="77777777" w:rsidTr="00E46E44">
        <w:tc>
          <w:tcPr>
            <w:tcW w:w="2207" w:type="pct"/>
            <w:tcBorders>
              <w:bottom w:val="nil"/>
            </w:tcBorders>
          </w:tcPr>
          <w:p w14:paraId="4581F6F4" w14:textId="77777777" w:rsidR="00E85E43" w:rsidRPr="00484AE9" w:rsidRDefault="00E85E43" w:rsidP="00F1122F">
            <w:pPr>
              <w:pStyle w:val="Tabletext"/>
              <w:rPr>
                <w:rFonts w:eastAsia="SimSun"/>
                <w:i/>
                <w:iCs/>
                <w:highlight w:val="yellow"/>
              </w:rPr>
            </w:pPr>
            <w:r w:rsidRPr="00484AE9">
              <w:rPr>
                <w:rFonts w:eastAsia="SimSun"/>
                <w:iCs/>
              </w:rPr>
              <w:t>Cost of hospitalisation</w:t>
            </w:r>
          </w:p>
        </w:tc>
        <w:tc>
          <w:tcPr>
            <w:tcW w:w="1396" w:type="pct"/>
            <w:tcBorders>
              <w:bottom w:val="nil"/>
            </w:tcBorders>
          </w:tcPr>
          <w:p w14:paraId="25EBC2B6" w14:textId="77777777" w:rsidR="00E85E43" w:rsidRPr="00484AE9" w:rsidRDefault="00E85E43" w:rsidP="00F1122F">
            <w:pPr>
              <w:pStyle w:val="Tabletext"/>
              <w:jc w:val="center"/>
              <w:rPr>
                <w:rFonts w:eastAsia="SimSun"/>
                <w:i/>
                <w:iCs/>
                <w:highlight w:val="yellow"/>
              </w:rPr>
            </w:pPr>
          </w:p>
        </w:tc>
        <w:tc>
          <w:tcPr>
            <w:tcW w:w="1397" w:type="pct"/>
            <w:tcBorders>
              <w:bottom w:val="nil"/>
            </w:tcBorders>
          </w:tcPr>
          <w:p w14:paraId="60999250" w14:textId="77777777" w:rsidR="00E85E43" w:rsidRPr="00484AE9" w:rsidRDefault="00E85E43" w:rsidP="00F1122F">
            <w:pPr>
              <w:pStyle w:val="Tabletext"/>
              <w:jc w:val="center"/>
              <w:rPr>
                <w:rFonts w:eastAsia="SimSun"/>
                <w:i/>
                <w:iCs/>
                <w:highlight w:val="yellow"/>
              </w:rPr>
            </w:pPr>
          </w:p>
        </w:tc>
      </w:tr>
      <w:tr w:rsidR="00E85E43" w:rsidRPr="00484AE9" w14:paraId="02EE5AB8" w14:textId="77777777" w:rsidTr="00E46E44">
        <w:tc>
          <w:tcPr>
            <w:tcW w:w="2207" w:type="pct"/>
            <w:tcBorders>
              <w:top w:val="nil"/>
              <w:bottom w:val="nil"/>
            </w:tcBorders>
          </w:tcPr>
          <w:p w14:paraId="49FBB0C7" w14:textId="77777777" w:rsidR="00E85E43" w:rsidRPr="00484AE9" w:rsidRDefault="00E85E43" w:rsidP="00F1122F">
            <w:pPr>
              <w:pStyle w:val="Tabletext"/>
              <w:ind w:left="317"/>
              <w:rPr>
                <w:rFonts w:eastAsia="SimSun"/>
                <w:i/>
                <w:iCs/>
                <w:highlight w:val="yellow"/>
              </w:rPr>
            </w:pPr>
            <w:r w:rsidRPr="00484AE9">
              <w:rPr>
                <w:rFonts w:eastAsia="SimSun"/>
                <w:iCs/>
              </w:rPr>
              <w:t>General ward</w:t>
            </w:r>
          </w:p>
        </w:tc>
        <w:tc>
          <w:tcPr>
            <w:tcW w:w="1396" w:type="pct"/>
            <w:tcBorders>
              <w:top w:val="nil"/>
              <w:bottom w:val="nil"/>
            </w:tcBorders>
          </w:tcPr>
          <w:p w14:paraId="57B9A2F3" w14:textId="3E1E1A1E" w:rsidR="00E85E43" w:rsidRPr="00484AE9" w:rsidRDefault="00E85E43" w:rsidP="00F1122F">
            <w:pPr>
              <w:pStyle w:val="Tabletext"/>
              <w:jc w:val="center"/>
              <w:rPr>
                <w:rFonts w:eastAsia="SimSun"/>
                <w:i/>
                <w:iCs/>
                <w:highlight w:val="yellow"/>
              </w:rPr>
            </w:pPr>
            <w:r w:rsidRPr="00484AE9">
              <w:rPr>
                <w:iCs/>
              </w:rPr>
              <w:t xml:space="preserve">$6,419 </w:t>
            </w:r>
          </w:p>
        </w:tc>
        <w:tc>
          <w:tcPr>
            <w:tcW w:w="1397" w:type="pct"/>
            <w:tcBorders>
              <w:top w:val="nil"/>
              <w:bottom w:val="nil"/>
            </w:tcBorders>
          </w:tcPr>
          <w:p w14:paraId="07AD2A42" w14:textId="58B3AE8C" w:rsidR="00E85E43" w:rsidRPr="00484AE9" w:rsidRDefault="00E85E43" w:rsidP="00F1122F">
            <w:pPr>
              <w:pStyle w:val="Tabletext"/>
              <w:jc w:val="center"/>
              <w:rPr>
                <w:rFonts w:eastAsia="SimSun"/>
                <w:i/>
                <w:iCs/>
                <w:highlight w:val="yellow"/>
              </w:rPr>
            </w:pPr>
            <w:r w:rsidRPr="00484AE9">
              <w:rPr>
                <w:iCs/>
              </w:rPr>
              <w:t>$6,419</w:t>
            </w:r>
            <w:r w:rsidR="00F76D9A">
              <w:rPr>
                <w:iCs/>
              </w:rPr>
              <w:t xml:space="preserve"> </w:t>
            </w:r>
          </w:p>
        </w:tc>
      </w:tr>
      <w:tr w:rsidR="00E85E43" w:rsidRPr="00484AE9" w14:paraId="750170A8" w14:textId="77777777" w:rsidTr="00E46E44">
        <w:tc>
          <w:tcPr>
            <w:tcW w:w="2207" w:type="pct"/>
            <w:tcBorders>
              <w:top w:val="nil"/>
              <w:bottom w:val="single" w:sz="4" w:space="0" w:color="auto"/>
            </w:tcBorders>
          </w:tcPr>
          <w:p w14:paraId="0D1B030A" w14:textId="77777777" w:rsidR="00E85E43" w:rsidRPr="00484AE9" w:rsidRDefault="00E85E43" w:rsidP="00F1122F">
            <w:pPr>
              <w:pStyle w:val="Tabletext"/>
              <w:ind w:left="317"/>
              <w:rPr>
                <w:rFonts w:eastAsia="SimSun"/>
                <w:i/>
                <w:iCs/>
                <w:highlight w:val="yellow"/>
              </w:rPr>
            </w:pPr>
            <w:r w:rsidRPr="00484AE9">
              <w:rPr>
                <w:rFonts w:eastAsia="SimSun"/>
                <w:iCs/>
              </w:rPr>
              <w:t>ICU</w:t>
            </w:r>
          </w:p>
        </w:tc>
        <w:tc>
          <w:tcPr>
            <w:tcW w:w="1396" w:type="pct"/>
            <w:tcBorders>
              <w:top w:val="nil"/>
              <w:bottom w:val="single" w:sz="4" w:space="0" w:color="auto"/>
            </w:tcBorders>
          </w:tcPr>
          <w:p w14:paraId="605040F8" w14:textId="60CF5917" w:rsidR="00E85E43" w:rsidRPr="00484AE9" w:rsidRDefault="00E85E43" w:rsidP="00F1122F">
            <w:pPr>
              <w:pStyle w:val="Tabletext"/>
              <w:jc w:val="center"/>
              <w:rPr>
                <w:rFonts w:eastAsia="SimSun"/>
                <w:i/>
                <w:iCs/>
                <w:highlight w:val="yellow"/>
              </w:rPr>
            </w:pPr>
            <w:r w:rsidRPr="00484AE9">
              <w:rPr>
                <w:iCs/>
              </w:rPr>
              <w:t>$20,675</w:t>
            </w:r>
          </w:p>
        </w:tc>
        <w:tc>
          <w:tcPr>
            <w:tcW w:w="1397" w:type="pct"/>
            <w:tcBorders>
              <w:top w:val="nil"/>
              <w:bottom w:val="single" w:sz="4" w:space="0" w:color="auto"/>
            </w:tcBorders>
          </w:tcPr>
          <w:p w14:paraId="01D94C9F" w14:textId="597AF8DD" w:rsidR="00E85E43" w:rsidRPr="00484AE9" w:rsidRDefault="00E85E43" w:rsidP="00F1122F">
            <w:pPr>
              <w:pStyle w:val="Tabletext"/>
              <w:jc w:val="center"/>
              <w:rPr>
                <w:rFonts w:eastAsia="SimSun"/>
                <w:i/>
                <w:iCs/>
                <w:highlight w:val="yellow"/>
              </w:rPr>
            </w:pPr>
            <w:r w:rsidRPr="00484AE9">
              <w:rPr>
                <w:iCs/>
              </w:rPr>
              <w:t>$20,675</w:t>
            </w:r>
          </w:p>
        </w:tc>
      </w:tr>
    </w:tbl>
    <w:p w14:paraId="3644CDF1" w14:textId="77777777" w:rsidR="00826E25" w:rsidRPr="00826E25" w:rsidRDefault="00826E25" w:rsidP="00826E25">
      <w:pPr>
        <w:pStyle w:val="3-BodyText"/>
        <w:numPr>
          <w:ilvl w:val="0"/>
          <w:numId w:val="0"/>
        </w:numPr>
        <w:spacing w:after="0"/>
        <w:rPr>
          <w:rFonts w:ascii="Arial Narrow" w:hAnsi="Arial Narrow"/>
          <w:iCs/>
          <w:sz w:val="18"/>
          <w:szCs w:val="18"/>
        </w:rPr>
      </w:pPr>
      <w:r w:rsidRPr="00826E25">
        <w:rPr>
          <w:rFonts w:ascii="Arial Narrow" w:hAnsi="Arial Narrow"/>
          <w:iCs/>
          <w:sz w:val="18"/>
          <w:szCs w:val="18"/>
        </w:rPr>
        <w:t>@ The COVID Risk Calculator chart, produced by the Immunisation Coalition (Australia), that estimated the risk of death from COVID-19 based on age, sex, and vaccination status (with 90% Omicron/10% Delta variants circulating) is provided to give some context to the estimates applied in the common model.</w:t>
      </w:r>
    </w:p>
    <w:p w14:paraId="05B6E5E6" w14:textId="089D5B90" w:rsidR="00E85E43" w:rsidRPr="00826E25" w:rsidRDefault="00826E25" w:rsidP="00826E25">
      <w:pPr>
        <w:pStyle w:val="3-BodyText"/>
        <w:numPr>
          <w:ilvl w:val="0"/>
          <w:numId w:val="0"/>
        </w:numPr>
        <w:rPr>
          <w:rFonts w:ascii="Arial Narrow" w:hAnsi="Arial Narrow"/>
          <w:iCs/>
          <w:sz w:val="18"/>
          <w:szCs w:val="18"/>
        </w:rPr>
      </w:pPr>
      <w:r w:rsidRPr="00826E25">
        <w:rPr>
          <w:rFonts w:ascii="Arial Narrow" w:hAnsi="Arial Narrow"/>
          <w:iCs/>
          <w:sz w:val="18"/>
          <w:szCs w:val="18"/>
        </w:rPr>
        <w:t># Based on outcomes from the high-risk subgroup in the EPIC-SR trial</w:t>
      </w:r>
    </w:p>
    <w:p w14:paraId="6523BBAC" w14:textId="1F4B4534" w:rsidR="00E85E43" w:rsidRPr="00484AE9" w:rsidRDefault="00E85E43" w:rsidP="00E85E43">
      <w:pPr>
        <w:pStyle w:val="3-BodyText"/>
        <w:rPr>
          <w:iCs/>
        </w:rPr>
      </w:pPr>
      <w:r w:rsidRPr="00484AE9">
        <w:rPr>
          <w:iCs/>
        </w:rPr>
        <w:t>The results generated by the common model are presented below, including the estimated ICERs for each of the cohorts that correspond to one of the Streamlined Authority Required restrictions, applying the same key parameters as deemed reasonable during the evaluation.</w:t>
      </w:r>
    </w:p>
    <w:p w14:paraId="1176753F" w14:textId="11522A49" w:rsidR="004D23AA" w:rsidRPr="00484AE9" w:rsidRDefault="004D23AA" w:rsidP="004D23AA">
      <w:pPr>
        <w:pStyle w:val="Caption"/>
        <w:rPr>
          <w:iCs/>
        </w:rPr>
      </w:pPr>
      <w:bookmarkStart w:id="146" w:name="_Ref151035145"/>
      <w:r w:rsidRPr="00484AE9">
        <w:rPr>
          <w:iCs/>
        </w:rPr>
        <w:t xml:space="preserve">Table </w:t>
      </w:r>
      <w:r w:rsidRPr="00484AE9">
        <w:rPr>
          <w:iCs/>
        </w:rPr>
        <w:fldChar w:fldCharType="begin"/>
      </w:r>
      <w:r w:rsidRPr="00484AE9">
        <w:rPr>
          <w:iCs/>
        </w:rPr>
        <w:instrText xml:space="preserve"> SEQ Table \* ARABIC </w:instrText>
      </w:r>
      <w:r w:rsidRPr="00484AE9">
        <w:rPr>
          <w:iCs/>
        </w:rPr>
        <w:fldChar w:fldCharType="separate"/>
      </w:r>
      <w:r w:rsidR="00872657">
        <w:rPr>
          <w:iCs/>
          <w:noProof/>
        </w:rPr>
        <w:t>25</w:t>
      </w:r>
      <w:r w:rsidRPr="00484AE9">
        <w:rPr>
          <w:iCs/>
        </w:rPr>
        <w:fldChar w:fldCharType="end"/>
      </w:r>
      <w:bookmarkEnd w:id="146"/>
      <w:r w:rsidRPr="00484AE9">
        <w:rPr>
          <w:iCs/>
        </w:rPr>
        <w:t>: Results of the respecified economic evaluation conducted during the evaluation – nirmatrelvir and ritonavir</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696"/>
        <w:gridCol w:w="1846"/>
        <w:gridCol w:w="1844"/>
        <w:gridCol w:w="1984"/>
        <w:gridCol w:w="1697"/>
      </w:tblGrid>
      <w:tr w:rsidR="00A828EC" w:rsidRPr="00484AE9" w14:paraId="5C0C2CD4" w14:textId="77777777" w:rsidTr="00F76D9A">
        <w:trPr>
          <w:cantSplit/>
          <w:tblHeader/>
        </w:trPr>
        <w:tc>
          <w:tcPr>
            <w:tcW w:w="935" w:type="pct"/>
            <w:shd w:val="clear" w:color="auto" w:fill="FFFFFF"/>
          </w:tcPr>
          <w:p w14:paraId="087C9F4C" w14:textId="77777777" w:rsidR="004D23AA" w:rsidRPr="00484AE9" w:rsidRDefault="004D23AA" w:rsidP="00F1122F">
            <w:pPr>
              <w:pStyle w:val="TableText0"/>
              <w:jc w:val="center"/>
              <w:rPr>
                <w:b/>
                <w:bCs w:val="0"/>
                <w:i/>
                <w:iCs/>
              </w:rPr>
            </w:pPr>
          </w:p>
        </w:tc>
        <w:tc>
          <w:tcPr>
            <w:tcW w:w="1018" w:type="pct"/>
            <w:shd w:val="clear" w:color="auto" w:fill="FFFFFF"/>
          </w:tcPr>
          <w:p w14:paraId="2FF7DCEF" w14:textId="77777777" w:rsidR="004D23AA" w:rsidRPr="00484AE9" w:rsidRDefault="004D23AA" w:rsidP="00F1122F">
            <w:pPr>
              <w:pStyle w:val="TableText0"/>
              <w:jc w:val="center"/>
              <w:rPr>
                <w:b/>
                <w:bCs w:val="0"/>
                <w:i/>
                <w:iCs/>
                <w:highlight w:val="yellow"/>
              </w:rPr>
            </w:pPr>
            <w:r w:rsidRPr="00484AE9">
              <w:rPr>
                <w:b/>
                <w:bCs w:val="0"/>
                <w:iCs/>
              </w:rPr>
              <w:t>Nirmatrelvir and ritonavir</w:t>
            </w:r>
          </w:p>
        </w:tc>
        <w:tc>
          <w:tcPr>
            <w:tcW w:w="1017" w:type="pct"/>
            <w:shd w:val="clear" w:color="auto" w:fill="FFFFFF"/>
            <w:vAlign w:val="center"/>
          </w:tcPr>
          <w:p w14:paraId="52E38AC0" w14:textId="77777777" w:rsidR="004D23AA" w:rsidRPr="00484AE9" w:rsidRDefault="004D23AA" w:rsidP="001E6FD5">
            <w:pPr>
              <w:pStyle w:val="TableText0"/>
              <w:jc w:val="center"/>
              <w:rPr>
                <w:b/>
                <w:bCs w:val="0"/>
                <w:i/>
                <w:iCs/>
                <w:highlight w:val="yellow"/>
              </w:rPr>
            </w:pPr>
            <w:r w:rsidRPr="00484AE9">
              <w:rPr>
                <w:b/>
                <w:bCs w:val="0"/>
                <w:iCs/>
              </w:rPr>
              <w:t>Placebo</w:t>
            </w:r>
          </w:p>
        </w:tc>
        <w:tc>
          <w:tcPr>
            <w:tcW w:w="1094" w:type="pct"/>
            <w:shd w:val="clear" w:color="auto" w:fill="FFFFFF"/>
            <w:vAlign w:val="center"/>
          </w:tcPr>
          <w:p w14:paraId="7E4EBDFD" w14:textId="77777777" w:rsidR="004D23AA" w:rsidRPr="00484AE9" w:rsidRDefault="004D23AA" w:rsidP="001E6FD5">
            <w:pPr>
              <w:pStyle w:val="TableText0"/>
              <w:jc w:val="center"/>
              <w:rPr>
                <w:b/>
                <w:bCs w:val="0"/>
                <w:i/>
                <w:iCs/>
                <w:highlight w:val="yellow"/>
              </w:rPr>
            </w:pPr>
            <w:r w:rsidRPr="00484AE9">
              <w:rPr>
                <w:b/>
                <w:bCs w:val="0"/>
                <w:iCs/>
              </w:rPr>
              <w:t>Increment</w:t>
            </w:r>
          </w:p>
        </w:tc>
        <w:tc>
          <w:tcPr>
            <w:tcW w:w="936" w:type="pct"/>
            <w:shd w:val="clear" w:color="auto" w:fill="FFFFFF"/>
            <w:vAlign w:val="center"/>
          </w:tcPr>
          <w:p w14:paraId="2DDB95BD" w14:textId="77777777" w:rsidR="004D23AA" w:rsidRPr="00484AE9" w:rsidRDefault="004D23AA" w:rsidP="001E6FD5">
            <w:pPr>
              <w:pStyle w:val="TableText0"/>
              <w:jc w:val="center"/>
              <w:rPr>
                <w:b/>
                <w:bCs w:val="0"/>
                <w:iCs/>
              </w:rPr>
            </w:pPr>
            <w:r w:rsidRPr="00484AE9">
              <w:rPr>
                <w:b/>
                <w:bCs w:val="0"/>
                <w:iCs/>
              </w:rPr>
              <w:t>ICER</w:t>
            </w:r>
            <w:r w:rsidR="002A7FDA" w:rsidRPr="00484AE9">
              <w:rPr>
                <w:b/>
                <w:bCs w:val="0"/>
                <w:iCs/>
              </w:rPr>
              <w:t xml:space="preserve"> per QALY</w:t>
            </w:r>
          </w:p>
        </w:tc>
      </w:tr>
      <w:tr w:rsidR="004D23AA" w:rsidRPr="00484AE9" w14:paraId="33488E0C" w14:textId="77777777" w:rsidTr="00F1122F">
        <w:trPr>
          <w:cantSplit/>
          <w:tblHeader/>
        </w:trPr>
        <w:tc>
          <w:tcPr>
            <w:tcW w:w="5000" w:type="pct"/>
            <w:gridSpan w:val="5"/>
            <w:shd w:val="clear" w:color="auto" w:fill="auto"/>
            <w:vAlign w:val="center"/>
          </w:tcPr>
          <w:p w14:paraId="5A20B18F" w14:textId="77777777" w:rsidR="004D23AA" w:rsidRPr="00484AE9" w:rsidRDefault="004D23AA" w:rsidP="00F1122F">
            <w:pPr>
              <w:pStyle w:val="TableText0"/>
              <w:rPr>
                <w:b/>
                <w:bCs w:val="0"/>
                <w:iCs/>
              </w:rPr>
            </w:pPr>
            <w:r w:rsidRPr="00484AE9">
              <w:rPr>
                <w:b/>
                <w:bCs w:val="0"/>
                <w:iCs/>
              </w:rPr>
              <w:t>Cohort: Aged ≥ 70</w:t>
            </w:r>
          </w:p>
        </w:tc>
      </w:tr>
      <w:tr w:rsidR="004D23AA" w:rsidRPr="00484AE9" w14:paraId="0E8F2B16" w14:textId="77777777" w:rsidTr="00F1122F">
        <w:trPr>
          <w:cantSplit/>
        </w:trPr>
        <w:tc>
          <w:tcPr>
            <w:tcW w:w="935" w:type="pct"/>
            <w:shd w:val="clear" w:color="auto" w:fill="auto"/>
            <w:vAlign w:val="center"/>
          </w:tcPr>
          <w:p w14:paraId="017E26B3" w14:textId="77777777" w:rsidR="004D23AA" w:rsidRPr="00484AE9" w:rsidRDefault="004D23AA" w:rsidP="00F1122F">
            <w:pPr>
              <w:pStyle w:val="TableText0"/>
              <w:rPr>
                <w:i/>
                <w:iCs/>
                <w:highlight w:val="yellow"/>
              </w:rPr>
            </w:pPr>
            <w:r w:rsidRPr="00484AE9">
              <w:rPr>
                <w:iCs/>
              </w:rPr>
              <w:t>Costs</w:t>
            </w:r>
          </w:p>
        </w:tc>
        <w:tc>
          <w:tcPr>
            <w:tcW w:w="1018" w:type="pct"/>
            <w:shd w:val="clear" w:color="auto" w:fill="auto"/>
          </w:tcPr>
          <w:p w14:paraId="5F9F4750" w14:textId="625FED49" w:rsidR="004D23AA" w:rsidRPr="00484AE9" w:rsidRDefault="00696519" w:rsidP="00F1122F">
            <w:pPr>
              <w:pStyle w:val="TableText0"/>
              <w:jc w:val="center"/>
              <w:rPr>
                <w:i/>
                <w:iCs/>
                <w:highlight w:val="yellow"/>
              </w:rPr>
            </w:pPr>
            <w:r w:rsidRPr="00696519">
              <w:rPr>
                <w:iCs/>
              </w:rPr>
              <w:t xml:space="preserve"> </w:t>
            </w:r>
            <w:r w:rsidRPr="00696519">
              <w:rPr>
                <w:iCs/>
                <w:color w:val="000000"/>
                <w:shd w:val="solid" w:color="000000" w:fill="000000"/>
                <w14:textFill>
                  <w14:solidFill>
                    <w14:srgbClr w14:val="000000">
                      <w14:alpha w14:val="100000"/>
                    </w14:srgbClr>
                  </w14:solidFill>
                </w14:textFill>
              </w:rPr>
              <w:t>|</w:t>
            </w:r>
            <w:r w:rsidRPr="00696519">
              <w:rPr>
                <w:iCs/>
              </w:rPr>
              <w:t xml:space="preserve"> </w:t>
            </w:r>
          </w:p>
        </w:tc>
        <w:tc>
          <w:tcPr>
            <w:tcW w:w="1017" w:type="pct"/>
            <w:shd w:val="clear" w:color="auto" w:fill="auto"/>
          </w:tcPr>
          <w:p w14:paraId="7C7FC14B" w14:textId="77777777" w:rsidR="004D23AA" w:rsidRPr="00484AE9" w:rsidRDefault="004D23AA" w:rsidP="00F1122F">
            <w:pPr>
              <w:pStyle w:val="TableText0"/>
              <w:jc w:val="center"/>
              <w:rPr>
                <w:i/>
                <w:iCs/>
                <w:highlight w:val="yellow"/>
              </w:rPr>
            </w:pPr>
            <w:r w:rsidRPr="00484AE9">
              <w:rPr>
                <w:iCs/>
              </w:rPr>
              <w:t>$392.23</w:t>
            </w:r>
          </w:p>
        </w:tc>
        <w:tc>
          <w:tcPr>
            <w:tcW w:w="1094" w:type="pct"/>
            <w:shd w:val="clear" w:color="auto" w:fill="auto"/>
          </w:tcPr>
          <w:p w14:paraId="4C2761DE" w14:textId="52BA6090" w:rsidR="004D23AA" w:rsidRPr="00484AE9" w:rsidRDefault="00696519" w:rsidP="00F1122F">
            <w:pPr>
              <w:pStyle w:val="TableText0"/>
              <w:jc w:val="center"/>
              <w:rPr>
                <w:i/>
                <w:iCs/>
                <w:highlight w:val="yellow"/>
              </w:rPr>
            </w:pPr>
            <w:r w:rsidRPr="00696519">
              <w:rPr>
                <w:iCs/>
              </w:rPr>
              <w:t xml:space="preserve"> </w:t>
            </w:r>
            <w:r w:rsidRPr="00696519">
              <w:rPr>
                <w:iCs/>
                <w:color w:val="000000"/>
                <w:shd w:val="solid" w:color="000000" w:fill="000000"/>
                <w14:textFill>
                  <w14:solidFill>
                    <w14:srgbClr w14:val="000000">
                      <w14:alpha w14:val="100000"/>
                    </w14:srgbClr>
                  </w14:solidFill>
                </w14:textFill>
              </w:rPr>
              <w:t>|</w:t>
            </w:r>
            <w:r w:rsidRPr="00696519">
              <w:rPr>
                <w:iCs/>
              </w:rPr>
              <w:t xml:space="preserve"> </w:t>
            </w:r>
          </w:p>
        </w:tc>
        <w:tc>
          <w:tcPr>
            <w:tcW w:w="936" w:type="pct"/>
            <w:vMerge w:val="restart"/>
            <w:shd w:val="clear" w:color="auto" w:fill="auto"/>
            <w:vAlign w:val="center"/>
          </w:tcPr>
          <w:p w14:paraId="1DE252CC" w14:textId="69A85B22" w:rsidR="004D23AA" w:rsidRPr="00484AE9" w:rsidRDefault="00696519" w:rsidP="00F1122F">
            <w:pPr>
              <w:pStyle w:val="TableText0"/>
              <w:jc w:val="center"/>
              <w:rPr>
                <w:iCs/>
              </w:rPr>
            </w:pPr>
            <w:r w:rsidRPr="00696519">
              <w:rPr>
                <w:iCs/>
              </w:rPr>
              <w:t xml:space="preserve"> </w:t>
            </w:r>
            <w:r w:rsidRPr="00696519">
              <w:rPr>
                <w:iCs/>
                <w:color w:val="000000"/>
                <w:shd w:val="solid" w:color="000000" w:fill="000000"/>
                <w14:textFill>
                  <w14:solidFill>
                    <w14:srgbClr w14:val="000000">
                      <w14:alpha w14:val="100000"/>
                    </w14:srgbClr>
                  </w14:solidFill>
                </w14:textFill>
              </w:rPr>
              <w:t>|</w:t>
            </w:r>
            <w:r w:rsidR="00600091">
              <w:rPr>
                <w:iCs/>
                <w:vertAlign w:val="superscript"/>
              </w:rPr>
              <w:t>1</w:t>
            </w:r>
          </w:p>
        </w:tc>
      </w:tr>
      <w:tr w:rsidR="004D23AA" w:rsidRPr="00484AE9" w14:paraId="6828A652" w14:textId="77777777" w:rsidTr="00F1122F">
        <w:trPr>
          <w:cantSplit/>
        </w:trPr>
        <w:tc>
          <w:tcPr>
            <w:tcW w:w="935" w:type="pct"/>
            <w:shd w:val="clear" w:color="auto" w:fill="auto"/>
            <w:vAlign w:val="center"/>
          </w:tcPr>
          <w:p w14:paraId="2574AFB4" w14:textId="77777777" w:rsidR="004D23AA" w:rsidRPr="00484AE9" w:rsidRDefault="004D23AA" w:rsidP="00F1122F">
            <w:pPr>
              <w:pStyle w:val="TableText0"/>
              <w:rPr>
                <w:i/>
                <w:iCs/>
                <w:highlight w:val="yellow"/>
              </w:rPr>
            </w:pPr>
            <w:r w:rsidRPr="00484AE9">
              <w:rPr>
                <w:iCs/>
              </w:rPr>
              <w:t>QALYS lost</w:t>
            </w:r>
          </w:p>
        </w:tc>
        <w:tc>
          <w:tcPr>
            <w:tcW w:w="1018" w:type="pct"/>
            <w:shd w:val="clear" w:color="auto" w:fill="auto"/>
          </w:tcPr>
          <w:p w14:paraId="08855586" w14:textId="77777777" w:rsidR="004D23AA" w:rsidRPr="00484AE9" w:rsidRDefault="004D23AA" w:rsidP="00F1122F">
            <w:pPr>
              <w:pStyle w:val="TableText0"/>
              <w:jc w:val="center"/>
              <w:rPr>
                <w:i/>
                <w:iCs/>
                <w:highlight w:val="yellow"/>
              </w:rPr>
            </w:pPr>
            <w:r w:rsidRPr="00484AE9">
              <w:rPr>
                <w:iCs/>
              </w:rPr>
              <w:t>-0.0189</w:t>
            </w:r>
          </w:p>
        </w:tc>
        <w:tc>
          <w:tcPr>
            <w:tcW w:w="1017" w:type="pct"/>
            <w:shd w:val="clear" w:color="auto" w:fill="auto"/>
          </w:tcPr>
          <w:p w14:paraId="7E2EB3F1" w14:textId="77777777" w:rsidR="004D23AA" w:rsidRPr="00484AE9" w:rsidRDefault="004D23AA" w:rsidP="00F1122F">
            <w:pPr>
              <w:pStyle w:val="TableText0"/>
              <w:jc w:val="center"/>
              <w:rPr>
                <w:i/>
                <w:iCs/>
                <w:highlight w:val="yellow"/>
              </w:rPr>
            </w:pPr>
            <w:r w:rsidRPr="00484AE9">
              <w:rPr>
                <w:iCs/>
              </w:rPr>
              <w:t>-0.0644</w:t>
            </w:r>
          </w:p>
        </w:tc>
        <w:tc>
          <w:tcPr>
            <w:tcW w:w="1094" w:type="pct"/>
            <w:shd w:val="clear" w:color="auto" w:fill="auto"/>
          </w:tcPr>
          <w:p w14:paraId="60BA2294" w14:textId="77777777" w:rsidR="004D23AA" w:rsidRPr="00484AE9" w:rsidRDefault="004D23AA" w:rsidP="00F1122F">
            <w:pPr>
              <w:pStyle w:val="TableText0"/>
              <w:jc w:val="center"/>
              <w:rPr>
                <w:i/>
                <w:iCs/>
                <w:highlight w:val="yellow"/>
              </w:rPr>
            </w:pPr>
            <w:r w:rsidRPr="00484AE9">
              <w:rPr>
                <w:iCs/>
              </w:rPr>
              <w:t>0.0455</w:t>
            </w:r>
          </w:p>
        </w:tc>
        <w:tc>
          <w:tcPr>
            <w:tcW w:w="936" w:type="pct"/>
            <w:vMerge/>
            <w:shd w:val="clear" w:color="auto" w:fill="auto"/>
            <w:vAlign w:val="center"/>
          </w:tcPr>
          <w:p w14:paraId="5FCD75AF" w14:textId="77777777" w:rsidR="004D23AA" w:rsidRPr="00484AE9" w:rsidRDefault="004D23AA" w:rsidP="00F1122F">
            <w:pPr>
              <w:pStyle w:val="TableText0"/>
              <w:jc w:val="center"/>
              <w:rPr>
                <w:iCs/>
              </w:rPr>
            </w:pPr>
          </w:p>
        </w:tc>
      </w:tr>
      <w:tr w:rsidR="004D23AA" w:rsidRPr="00484AE9" w14:paraId="541631F8" w14:textId="77777777" w:rsidTr="00F1122F">
        <w:trPr>
          <w:cantSplit/>
          <w:tblHeader/>
        </w:trPr>
        <w:tc>
          <w:tcPr>
            <w:tcW w:w="5000" w:type="pct"/>
            <w:gridSpan w:val="5"/>
            <w:shd w:val="clear" w:color="auto" w:fill="auto"/>
            <w:vAlign w:val="center"/>
          </w:tcPr>
          <w:p w14:paraId="7A817944" w14:textId="77777777" w:rsidR="004D23AA" w:rsidRPr="00484AE9" w:rsidRDefault="004D23AA" w:rsidP="00F1122F">
            <w:pPr>
              <w:pStyle w:val="TableText0"/>
              <w:rPr>
                <w:b/>
                <w:bCs w:val="0"/>
                <w:iCs/>
              </w:rPr>
            </w:pPr>
            <w:r w:rsidRPr="00484AE9">
              <w:rPr>
                <w:b/>
                <w:bCs w:val="0"/>
                <w:iCs/>
              </w:rPr>
              <w:t>Cohort: Aged ≥18 and immune-compromised</w:t>
            </w:r>
          </w:p>
        </w:tc>
      </w:tr>
      <w:tr w:rsidR="004D23AA" w:rsidRPr="00484AE9" w14:paraId="60FC74EA" w14:textId="77777777" w:rsidTr="00F1122F">
        <w:trPr>
          <w:cantSplit/>
        </w:trPr>
        <w:tc>
          <w:tcPr>
            <w:tcW w:w="935" w:type="pct"/>
            <w:shd w:val="clear" w:color="auto" w:fill="auto"/>
            <w:vAlign w:val="center"/>
          </w:tcPr>
          <w:p w14:paraId="7287D221" w14:textId="77777777" w:rsidR="004D23AA" w:rsidRPr="00484AE9" w:rsidRDefault="004D23AA" w:rsidP="00F1122F">
            <w:pPr>
              <w:pStyle w:val="TableText0"/>
              <w:rPr>
                <w:i/>
                <w:iCs/>
                <w:highlight w:val="yellow"/>
              </w:rPr>
            </w:pPr>
            <w:r w:rsidRPr="00484AE9">
              <w:rPr>
                <w:iCs/>
              </w:rPr>
              <w:t>Costs</w:t>
            </w:r>
          </w:p>
        </w:tc>
        <w:tc>
          <w:tcPr>
            <w:tcW w:w="1018" w:type="pct"/>
            <w:shd w:val="clear" w:color="auto" w:fill="auto"/>
          </w:tcPr>
          <w:p w14:paraId="5F95306D" w14:textId="3D35CE2F" w:rsidR="004D23AA" w:rsidRPr="00484AE9" w:rsidRDefault="00696519" w:rsidP="00F1122F">
            <w:pPr>
              <w:pStyle w:val="TableText0"/>
              <w:jc w:val="center"/>
              <w:rPr>
                <w:i/>
                <w:iCs/>
                <w:highlight w:val="yellow"/>
              </w:rPr>
            </w:pPr>
            <w:r w:rsidRPr="00696519">
              <w:rPr>
                <w:iCs/>
              </w:rPr>
              <w:t xml:space="preserve"> </w:t>
            </w:r>
            <w:r w:rsidRPr="00696519">
              <w:rPr>
                <w:iCs/>
                <w:color w:val="000000"/>
                <w:shd w:val="solid" w:color="000000" w:fill="000000"/>
                <w14:textFill>
                  <w14:solidFill>
                    <w14:srgbClr w14:val="000000">
                      <w14:alpha w14:val="100000"/>
                    </w14:srgbClr>
                  </w14:solidFill>
                </w14:textFill>
              </w:rPr>
              <w:t>|</w:t>
            </w:r>
            <w:r w:rsidRPr="00696519">
              <w:rPr>
                <w:iCs/>
              </w:rPr>
              <w:t xml:space="preserve"> </w:t>
            </w:r>
          </w:p>
        </w:tc>
        <w:tc>
          <w:tcPr>
            <w:tcW w:w="1017" w:type="pct"/>
            <w:shd w:val="clear" w:color="auto" w:fill="auto"/>
          </w:tcPr>
          <w:p w14:paraId="796FA9EC" w14:textId="77777777" w:rsidR="004D23AA" w:rsidRPr="00484AE9" w:rsidRDefault="004D23AA" w:rsidP="00F1122F">
            <w:pPr>
              <w:pStyle w:val="TableText0"/>
              <w:jc w:val="center"/>
              <w:rPr>
                <w:i/>
                <w:iCs/>
                <w:highlight w:val="yellow"/>
              </w:rPr>
            </w:pPr>
            <w:r w:rsidRPr="00484AE9">
              <w:rPr>
                <w:iCs/>
              </w:rPr>
              <w:t>$313.78</w:t>
            </w:r>
          </w:p>
        </w:tc>
        <w:tc>
          <w:tcPr>
            <w:tcW w:w="1094" w:type="pct"/>
            <w:shd w:val="clear" w:color="auto" w:fill="auto"/>
          </w:tcPr>
          <w:p w14:paraId="4BD6CB41" w14:textId="484FE308" w:rsidR="004D23AA" w:rsidRPr="00F76D9A" w:rsidRDefault="00696519" w:rsidP="00F1122F">
            <w:pPr>
              <w:pStyle w:val="TableText0"/>
              <w:jc w:val="center"/>
              <w:rPr>
                <w:i/>
                <w:iCs/>
                <w:highlight w:val="darkGray"/>
              </w:rPr>
            </w:pPr>
            <w:r w:rsidRPr="00696519">
              <w:rPr>
                <w:iCs/>
              </w:rPr>
              <w:t xml:space="preserve"> </w:t>
            </w:r>
            <w:r w:rsidRPr="00696519">
              <w:rPr>
                <w:iCs/>
                <w:color w:val="000000"/>
                <w:shd w:val="solid" w:color="000000" w:fill="000000"/>
                <w14:textFill>
                  <w14:solidFill>
                    <w14:srgbClr w14:val="000000">
                      <w14:alpha w14:val="100000"/>
                    </w14:srgbClr>
                  </w14:solidFill>
                </w14:textFill>
              </w:rPr>
              <w:t>|</w:t>
            </w:r>
            <w:r w:rsidRPr="00696519">
              <w:rPr>
                <w:iCs/>
              </w:rPr>
              <w:t xml:space="preserve"> </w:t>
            </w:r>
          </w:p>
        </w:tc>
        <w:tc>
          <w:tcPr>
            <w:tcW w:w="936" w:type="pct"/>
            <w:vMerge w:val="restart"/>
            <w:shd w:val="clear" w:color="auto" w:fill="auto"/>
            <w:vAlign w:val="center"/>
          </w:tcPr>
          <w:p w14:paraId="0A4054A8" w14:textId="5879CE5C" w:rsidR="004D23AA" w:rsidRPr="00484AE9" w:rsidRDefault="00696519" w:rsidP="00F1122F">
            <w:pPr>
              <w:pStyle w:val="TableText0"/>
              <w:jc w:val="center"/>
              <w:rPr>
                <w:iCs/>
              </w:rPr>
            </w:pPr>
            <w:r w:rsidRPr="00696519">
              <w:rPr>
                <w:iCs/>
              </w:rPr>
              <w:t xml:space="preserve"> </w:t>
            </w:r>
            <w:r w:rsidRPr="00696519">
              <w:rPr>
                <w:iCs/>
                <w:color w:val="000000"/>
                <w:shd w:val="solid" w:color="000000" w:fill="000000"/>
                <w14:textFill>
                  <w14:solidFill>
                    <w14:srgbClr w14:val="000000">
                      <w14:alpha w14:val="100000"/>
                    </w14:srgbClr>
                  </w14:solidFill>
                </w14:textFill>
              </w:rPr>
              <w:t>|</w:t>
            </w:r>
            <w:r w:rsidR="00EB627C" w:rsidRPr="00F76D9A">
              <w:rPr>
                <w:iCs/>
                <w:vertAlign w:val="superscript"/>
              </w:rPr>
              <w:t>2</w:t>
            </w:r>
          </w:p>
        </w:tc>
      </w:tr>
      <w:tr w:rsidR="004D23AA" w:rsidRPr="00484AE9" w14:paraId="506CDAC4" w14:textId="77777777" w:rsidTr="00F1122F">
        <w:trPr>
          <w:cantSplit/>
        </w:trPr>
        <w:tc>
          <w:tcPr>
            <w:tcW w:w="935" w:type="pct"/>
            <w:shd w:val="clear" w:color="auto" w:fill="auto"/>
            <w:vAlign w:val="center"/>
          </w:tcPr>
          <w:p w14:paraId="501E2493" w14:textId="77777777" w:rsidR="004D23AA" w:rsidRPr="00484AE9" w:rsidRDefault="004D23AA" w:rsidP="00F1122F">
            <w:pPr>
              <w:pStyle w:val="TableText0"/>
              <w:rPr>
                <w:i/>
                <w:iCs/>
                <w:highlight w:val="yellow"/>
              </w:rPr>
            </w:pPr>
            <w:r w:rsidRPr="00484AE9">
              <w:rPr>
                <w:iCs/>
              </w:rPr>
              <w:t>QALYS lost</w:t>
            </w:r>
          </w:p>
        </w:tc>
        <w:tc>
          <w:tcPr>
            <w:tcW w:w="1018" w:type="pct"/>
            <w:shd w:val="clear" w:color="auto" w:fill="auto"/>
          </w:tcPr>
          <w:p w14:paraId="2F6E0700" w14:textId="77777777" w:rsidR="004D23AA" w:rsidRPr="00484AE9" w:rsidRDefault="004D23AA" w:rsidP="00F1122F">
            <w:pPr>
              <w:pStyle w:val="TableText0"/>
              <w:jc w:val="center"/>
              <w:rPr>
                <w:i/>
                <w:iCs/>
                <w:highlight w:val="yellow"/>
              </w:rPr>
            </w:pPr>
            <w:r w:rsidRPr="00484AE9">
              <w:rPr>
                <w:iCs/>
              </w:rPr>
              <w:t>-0.0454</w:t>
            </w:r>
          </w:p>
        </w:tc>
        <w:tc>
          <w:tcPr>
            <w:tcW w:w="1017" w:type="pct"/>
            <w:shd w:val="clear" w:color="auto" w:fill="auto"/>
          </w:tcPr>
          <w:p w14:paraId="2B0F5E8C" w14:textId="77777777" w:rsidR="004D23AA" w:rsidRPr="00484AE9" w:rsidRDefault="004D23AA" w:rsidP="00F1122F">
            <w:pPr>
              <w:pStyle w:val="TableText0"/>
              <w:jc w:val="center"/>
              <w:rPr>
                <w:i/>
                <w:iCs/>
                <w:highlight w:val="yellow"/>
              </w:rPr>
            </w:pPr>
            <w:r w:rsidRPr="00484AE9">
              <w:rPr>
                <w:iCs/>
              </w:rPr>
              <w:t>-0.1557</w:t>
            </w:r>
          </w:p>
        </w:tc>
        <w:tc>
          <w:tcPr>
            <w:tcW w:w="1094" w:type="pct"/>
            <w:shd w:val="clear" w:color="auto" w:fill="auto"/>
          </w:tcPr>
          <w:p w14:paraId="07AAE8A5" w14:textId="77777777" w:rsidR="004D23AA" w:rsidRPr="00484AE9" w:rsidRDefault="004D23AA" w:rsidP="00F1122F">
            <w:pPr>
              <w:pStyle w:val="TableText0"/>
              <w:jc w:val="center"/>
              <w:rPr>
                <w:i/>
                <w:iCs/>
                <w:highlight w:val="yellow"/>
              </w:rPr>
            </w:pPr>
            <w:r w:rsidRPr="00484AE9">
              <w:rPr>
                <w:iCs/>
              </w:rPr>
              <w:t>0.1103</w:t>
            </w:r>
          </w:p>
        </w:tc>
        <w:tc>
          <w:tcPr>
            <w:tcW w:w="936" w:type="pct"/>
            <w:vMerge/>
            <w:shd w:val="clear" w:color="auto" w:fill="auto"/>
            <w:vAlign w:val="center"/>
          </w:tcPr>
          <w:p w14:paraId="42ABB5DE" w14:textId="77777777" w:rsidR="004D23AA" w:rsidRPr="00484AE9" w:rsidRDefault="004D23AA" w:rsidP="00F1122F">
            <w:pPr>
              <w:pStyle w:val="TableText0"/>
              <w:jc w:val="center"/>
              <w:rPr>
                <w:iCs/>
              </w:rPr>
            </w:pPr>
          </w:p>
        </w:tc>
      </w:tr>
      <w:tr w:rsidR="004D23AA" w:rsidRPr="00484AE9" w14:paraId="683E3FE8" w14:textId="77777777" w:rsidTr="00F1122F">
        <w:trPr>
          <w:cantSplit/>
          <w:tblHeader/>
        </w:trPr>
        <w:tc>
          <w:tcPr>
            <w:tcW w:w="5000" w:type="pct"/>
            <w:gridSpan w:val="5"/>
            <w:shd w:val="clear" w:color="auto" w:fill="auto"/>
            <w:vAlign w:val="center"/>
          </w:tcPr>
          <w:p w14:paraId="7B11783A" w14:textId="77777777" w:rsidR="004D23AA" w:rsidRPr="00484AE9" w:rsidRDefault="004D23AA" w:rsidP="00F1122F">
            <w:pPr>
              <w:pStyle w:val="TableText0"/>
              <w:rPr>
                <w:b/>
                <w:bCs w:val="0"/>
                <w:iCs/>
              </w:rPr>
            </w:pPr>
            <w:r w:rsidRPr="00484AE9">
              <w:rPr>
                <w:b/>
                <w:bCs w:val="0"/>
                <w:iCs/>
              </w:rPr>
              <w:t>Cohort: Aboriginal and Torres Strait Islander people aged ≥ 30 and ≥ 1 risk factor</w:t>
            </w:r>
          </w:p>
        </w:tc>
      </w:tr>
      <w:tr w:rsidR="004D23AA" w:rsidRPr="00484AE9" w14:paraId="4679C2A9" w14:textId="77777777" w:rsidTr="00F1122F">
        <w:trPr>
          <w:cantSplit/>
        </w:trPr>
        <w:tc>
          <w:tcPr>
            <w:tcW w:w="935" w:type="pct"/>
            <w:shd w:val="clear" w:color="auto" w:fill="auto"/>
            <w:vAlign w:val="center"/>
          </w:tcPr>
          <w:p w14:paraId="3726846B" w14:textId="77777777" w:rsidR="004D23AA" w:rsidRPr="00484AE9" w:rsidRDefault="004D23AA" w:rsidP="00F1122F">
            <w:pPr>
              <w:pStyle w:val="TableText0"/>
              <w:rPr>
                <w:i/>
                <w:iCs/>
                <w:highlight w:val="yellow"/>
              </w:rPr>
            </w:pPr>
            <w:r w:rsidRPr="00484AE9">
              <w:rPr>
                <w:iCs/>
              </w:rPr>
              <w:t>Costs</w:t>
            </w:r>
          </w:p>
        </w:tc>
        <w:tc>
          <w:tcPr>
            <w:tcW w:w="1018" w:type="pct"/>
            <w:shd w:val="clear" w:color="auto" w:fill="auto"/>
          </w:tcPr>
          <w:p w14:paraId="5BB2CE3E" w14:textId="5EFA4A2E" w:rsidR="004D23AA" w:rsidRPr="00484AE9" w:rsidRDefault="00696519" w:rsidP="00F1122F">
            <w:pPr>
              <w:pStyle w:val="TableText0"/>
              <w:jc w:val="center"/>
              <w:rPr>
                <w:i/>
                <w:iCs/>
                <w:highlight w:val="yellow"/>
              </w:rPr>
            </w:pPr>
            <w:r w:rsidRPr="00696519">
              <w:rPr>
                <w:iCs/>
              </w:rPr>
              <w:t xml:space="preserve"> </w:t>
            </w:r>
            <w:r w:rsidRPr="00696519">
              <w:rPr>
                <w:iCs/>
                <w:color w:val="000000"/>
                <w:shd w:val="solid" w:color="000000" w:fill="000000"/>
                <w14:textFill>
                  <w14:solidFill>
                    <w14:srgbClr w14:val="000000">
                      <w14:alpha w14:val="100000"/>
                    </w14:srgbClr>
                  </w14:solidFill>
                </w14:textFill>
              </w:rPr>
              <w:t>|</w:t>
            </w:r>
            <w:r w:rsidRPr="00696519">
              <w:rPr>
                <w:iCs/>
              </w:rPr>
              <w:t xml:space="preserve"> </w:t>
            </w:r>
          </w:p>
        </w:tc>
        <w:tc>
          <w:tcPr>
            <w:tcW w:w="1017" w:type="pct"/>
            <w:shd w:val="clear" w:color="auto" w:fill="auto"/>
          </w:tcPr>
          <w:p w14:paraId="759F0466" w14:textId="77777777" w:rsidR="004D23AA" w:rsidRPr="00484AE9" w:rsidRDefault="004D23AA" w:rsidP="00F1122F">
            <w:pPr>
              <w:pStyle w:val="TableText0"/>
              <w:jc w:val="center"/>
              <w:rPr>
                <w:i/>
                <w:iCs/>
                <w:highlight w:val="yellow"/>
              </w:rPr>
            </w:pPr>
            <w:r w:rsidRPr="00484AE9">
              <w:rPr>
                <w:iCs/>
              </w:rPr>
              <w:t>$235.34</w:t>
            </w:r>
          </w:p>
        </w:tc>
        <w:tc>
          <w:tcPr>
            <w:tcW w:w="1094" w:type="pct"/>
            <w:shd w:val="clear" w:color="auto" w:fill="auto"/>
          </w:tcPr>
          <w:p w14:paraId="7078C220" w14:textId="09EFBD87" w:rsidR="004D23AA" w:rsidRPr="00484AE9" w:rsidRDefault="00696519" w:rsidP="00F1122F">
            <w:pPr>
              <w:pStyle w:val="TableText0"/>
              <w:jc w:val="center"/>
              <w:rPr>
                <w:i/>
                <w:iCs/>
                <w:highlight w:val="yellow"/>
              </w:rPr>
            </w:pPr>
            <w:r w:rsidRPr="00696519">
              <w:rPr>
                <w:iCs/>
              </w:rPr>
              <w:t xml:space="preserve"> </w:t>
            </w:r>
            <w:r w:rsidRPr="00696519">
              <w:rPr>
                <w:iCs/>
                <w:color w:val="000000"/>
                <w:shd w:val="solid" w:color="000000" w:fill="000000"/>
                <w14:textFill>
                  <w14:solidFill>
                    <w14:srgbClr w14:val="000000">
                      <w14:alpha w14:val="100000"/>
                    </w14:srgbClr>
                  </w14:solidFill>
                </w14:textFill>
              </w:rPr>
              <w:t>|</w:t>
            </w:r>
            <w:r w:rsidRPr="00696519">
              <w:rPr>
                <w:iCs/>
              </w:rPr>
              <w:t xml:space="preserve"> </w:t>
            </w:r>
          </w:p>
        </w:tc>
        <w:tc>
          <w:tcPr>
            <w:tcW w:w="936" w:type="pct"/>
            <w:vMerge w:val="restart"/>
            <w:shd w:val="clear" w:color="auto" w:fill="auto"/>
            <w:vAlign w:val="center"/>
          </w:tcPr>
          <w:p w14:paraId="63BC363E" w14:textId="7139846E" w:rsidR="004D23AA" w:rsidRPr="00484AE9" w:rsidRDefault="00696519" w:rsidP="00F1122F">
            <w:pPr>
              <w:pStyle w:val="TableText0"/>
              <w:jc w:val="center"/>
              <w:rPr>
                <w:iCs/>
              </w:rPr>
            </w:pPr>
            <w:r w:rsidRPr="00696519">
              <w:rPr>
                <w:iCs/>
              </w:rPr>
              <w:t xml:space="preserve"> </w:t>
            </w:r>
            <w:r w:rsidRPr="00696519">
              <w:rPr>
                <w:iCs/>
                <w:color w:val="000000"/>
                <w:shd w:val="solid" w:color="000000" w:fill="000000"/>
                <w14:textFill>
                  <w14:solidFill>
                    <w14:srgbClr w14:val="000000">
                      <w14:alpha w14:val="100000"/>
                    </w14:srgbClr>
                  </w14:solidFill>
                </w14:textFill>
              </w:rPr>
              <w:t>|</w:t>
            </w:r>
            <w:r w:rsidR="00EB627C" w:rsidRPr="00D95954">
              <w:rPr>
                <w:rFonts w:cs="Calibri"/>
                <w:color w:val="000000"/>
                <w:szCs w:val="20"/>
                <w:vertAlign w:val="superscript"/>
              </w:rPr>
              <w:t>3</w:t>
            </w:r>
          </w:p>
        </w:tc>
      </w:tr>
      <w:tr w:rsidR="004D23AA" w:rsidRPr="00484AE9" w14:paraId="7E4973E3" w14:textId="77777777" w:rsidTr="00F1122F">
        <w:trPr>
          <w:cantSplit/>
        </w:trPr>
        <w:tc>
          <w:tcPr>
            <w:tcW w:w="935" w:type="pct"/>
            <w:shd w:val="clear" w:color="auto" w:fill="auto"/>
            <w:vAlign w:val="center"/>
          </w:tcPr>
          <w:p w14:paraId="482DBAF1" w14:textId="77777777" w:rsidR="004D23AA" w:rsidRPr="00484AE9" w:rsidRDefault="004D23AA" w:rsidP="00F1122F">
            <w:pPr>
              <w:pStyle w:val="TableText0"/>
              <w:rPr>
                <w:i/>
                <w:iCs/>
                <w:highlight w:val="yellow"/>
              </w:rPr>
            </w:pPr>
            <w:r w:rsidRPr="00484AE9">
              <w:rPr>
                <w:iCs/>
              </w:rPr>
              <w:t>QALYS lost</w:t>
            </w:r>
          </w:p>
        </w:tc>
        <w:tc>
          <w:tcPr>
            <w:tcW w:w="1018" w:type="pct"/>
            <w:shd w:val="clear" w:color="auto" w:fill="auto"/>
          </w:tcPr>
          <w:p w14:paraId="1D697875" w14:textId="77777777" w:rsidR="004D23AA" w:rsidRPr="00484AE9" w:rsidRDefault="004D23AA" w:rsidP="00F1122F">
            <w:pPr>
              <w:pStyle w:val="TableText0"/>
              <w:jc w:val="center"/>
              <w:rPr>
                <w:i/>
                <w:iCs/>
                <w:highlight w:val="yellow"/>
              </w:rPr>
            </w:pPr>
            <w:r w:rsidRPr="00484AE9">
              <w:rPr>
                <w:iCs/>
              </w:rPr>
              <w:t>-0.0251</w:t>
            </w:r>
          </w:p>
        </w:tc>
        <w:tc>
          <w:tcPr>
            <w:tcW w:w="1017" w:type="pct"/>
            <w:shd w:val="clear" w:color="auto" w:fill="auto"/>
          </w:tcPr>
          <w:p w14:paraId="723EF03A" w14:textId="77777777" w:rsidR="004D23AA" w:rsidRPr="00484AE9" w:rsidRDefault="004D23AA" w:rsidP="00F1122F">
            <w:pPr>
              <w:pStyle w:val="TableText0"/>
              <w:jc w:val="center"/>
              <w:rPr>
                <w:i/>
                <w:iCs/>
                <w:highlight w:val="yellow"/>
              </w:rPr>
            </w:pPr>
            <w:r w:rsidRPr="00484AE9">
              <w:rPr>
                <w:iCs/>
              </w:rPr>
              <w:t>-0.0867</w:t>
            </w:r>
          </w:p>
        </w:tc>
        <w:tc>
          <w:tcPr>
            <w:tcW w:w="1094" w:type="pct"/>
            <w:shd w:val="clear" w:color="auto" w:fill="auto"/>
          </w:tcPr>
          <w:p w14:paraId="7392C519" w14:textId="77777777" w:rsidR="004D23AA" w:rsidRPr="00484AE9" w:rsidRDefault="004D23AA" w:rsidP="00F1122F">
            <w:pPr>
              <w:pStyle w:val="TableText0"/>
              <w:jc w:val="center"/>
              <w:rPr>
                <w:i/>
                <w:iCs/>
                <w:highlight w:val="yellow"/>
              </w:rPr>
            </w:pPr>
            <w:r w:rsidRPr="00484AE9">
              <w:rPr>
                <w:iCs/>
              </w:rPr>
              <w:t>0.0616</w:t>
            </w:r>
          </w:p>
        </w:tc>
        <w:tc>
          <w:tcPr>
            <w:tcW w:w="936" w:type="pct"/>
            <w:vMerge/>
            <w:shd w:val="clear" w:color="auto" w:fill="auto"/>
            <w:vAlign w:val="center"/>
          </w:tcPr>
          <w:p w14:paraId="60A03CCD" w14:textId="77777777" w:rsidR="004D23AA" w:rsidRPr="00484AE9" w:rsidRDefault="004D23AA" w:rsidP="00F1122F">
            <w:pPr>
              <w:pStyle w:val="TableText0"/>
              <w:jc w:val="center"/>
              <w:rPr>
                <w:iCs/>
              </w:rPr>
            </w:pPr>
          </w:p>
        </w:tc>
      </w:tr>
      <w:tr w:rsidR="004D23AA" w:rsidRPr="00484AE9" w14:paraId="24F7CA59" w14:textId="77777777" w:rsidTr="00F1122F">
        <w:trPr>
          <w:cantSplit/>
          <w:tblHeader/>
        </w:trPr>
        <w:tc>
          <w:tcPr>
            <w:tcW w:w="5000" w:type="pct"/>
            <w:gridSpan w:val="5"/>
            <w:shd w:val="clear" w:color="auto" w:fill="auto"/>
            <w:vAlign w:val="center"/>
          </w:tcPr>
          <w:p w14:paraId="62EFCF7D" w14:textId="77777777" w:rsidR="004D23AA" w:rsidRPr="00484AE9" w:rsidRDefault="004D23AA" w:rsidP="00F1122F">
            <w:pPr>
              <w:pStyle w:val="TableText0"/>
              <w:rPr>
                <w:b/>
                <w:bCs w:val="0"/>
                <w:iCs/>
              </w:rPr>
            </w:pPr>
            <w:r w:rsidRPr="00484AE9">
              <w:rPr>
                <w:b/>
                <w:bCs w:val="0"/>
                <w:iCs/>
              </w:rPr>
              <w:t>Cohort: Aged 50-69 &amp; ≥ 1 risk factor</w:t>
            </w:r>
          </w:p>
        </w:tc>
      </w:tr>
      <w:tr w:rsidR="004D23AA" w:rsidRPr="00484AE9" w14:paraId="1DB0B71C" w14:textId="77777777" w:rsidTr="00F1122F">
        <w:trPr>
          <w:cantSplit/>
        </w:trPr>
        <w:tc>
          <w:tcPr>
            <w:tcW w:w="935" w:type="pct"/>
            <w:shd w:val="clear" w:color="auto" w:fill="auto"/>
            <w:vAlign w:val="center"/>
          </w:tcPr>
          <w:p w14:paraId="511A8D4D" w14:textId="77777777" w:rsidR="004D23AA" w:rsidRPr="00484AE9" w:rsidRDefault="004D23AA" w:rsidP="00F1122F">
            <w:pPr>
              <w:pStyle w:val="TableText0"/>
              <w:rPr>
                <w:i/>
                <w:iCs/>
                <w:highlight w:val="yellow"/>
              </w:rPr>
            </w:pPr>
            <w:r w:rsidRPr="00484AE9">
              <w:rPr>
                <w:iCs/>
              </w:rPr>
              <w:t>Costs</w:t>
            </w:r>
          </w:p>
        </w:tc>
        <w:tc>
          <w:tcPr>
            <w:tcW w:w="1018" w:type="pct"/>
            <w:shd w:val="clear" w:color="auto" w:fill="auto"/>
          </w:tcPr>
          <w:p w14:paraId="02AB9C11" w14:textId="1210B912" w:rsidR="004D23AA" w:rsidRPr="00484AE9" w:rsidRDefault="00696519" w:rsidP="00F1122F">
            <w:pPr>
              <w:pStyle w:val="TableText0"/>
              <w:jc w:val="center"/>
              <w:rPr>
                <w:i/>
                <w:iCs/>
                <w:highlight w:val="yellow"/>
              </w:rPr>
            </w:pPr>
            <w:r w:rsidRPr="00696519">
              <w:rPr>
                <w:iCs/>
              </w:rPr>
              <w:t xml:space="preserve"> </w:t>
            </w:r>
            <w:r w:rsidRPr="00696519">
              <w:rPr>
                <w:iCs/>
                <w:color w:val="000000"/>
                <w:shd w:val="solid" w:color="000000" w:fill="000000"/>
                <w14:textFill>
                  <w14:solidFill>
                    <w14:srgbClr w14:val="000000">
                      <w14:alpha w14:val="100000"/>
                    </w14:srgbClr>
                  </w14:solidFill>
                </w14:textFill>
              </w:rPr>
              <w:t>|</w:t>
            </w:r>
            <w:r w:rsidRPr="00696519">
              <w:rPr>
                <w:iCs/>
              </w:rPr>
              <w:t xml:space="preserve"> </w:t>
            </w:r>
          </w:p>
        </w:tc>
        <w:tc>
          <w:tcPr>
            <w:tcW w:w="1017" w:type="pct"/>
            <w:shd w:val="clear" w:color="auto" w:fill="auto"/>
          </w:tcPr>
          <w:p w14:paraId="0C8EEA88" w14:textId="77777777" w:rsidR="004D23AA" w:rsidRPr="00484AE9" w:rsidRDefault="004D23AA" w:rsidP="00F1122F">
            <w:pPr>
              <w:pStyle w:val="TableText0"/>
              <w:jc w:val="center"/>
              <w:rPr>
                <w:i/>
                <w:iCs/>
                <w:highlight w:val="yellow"/>
              </w:rPr>
            </w:pPr>
            <w:r w:rsidRPr="00484AE9">
              <w:rPr>
                <w:iCs/>
              </w:rPr>
              <w:t>$106.98</w:t>
            </w:r>
          </w:p>
        </w:tc>
        <w:tc>
          <w:tcPr>
            <w:tcW w:w="1094" w:type="pct"/>
            <w:shd w:val="clear" w:color="auto" w:fill="auto"/>
          </w:tcPr>
          <w:p w14:paraId="61C81948" w14:textId="199EE7D4" w:rsidR="004D23AA" w:rsidRPr="00484AE9" w:rsidRDefault="00696519" w:rsidP="00F1122F">
            <w:pPr>
              <w:pStyle w:val="TableText0"/>
              <w:jc w:val="center"/>
              <w:rPr>
                <w:i/>
                <w:iCs/>
                <w:highlight w:val="yellow"/>
              </w:rPr>
            </w:pPr>
            <w:r w:rsidRPr="00696519">
              <w:rPr>
                <w:iCs/>
              </w:rPr>
              <w:t xml:space="preserve"> </w:t>
            </w:r>
            <w:r w:rsidRPr="00696519">
              <w:rPr>
                <w:iCs/>
                <w:color w:val="000000"/>
                <w:shd w:val="solid" w:color="000000" w:fill="000000"/>
                <w14:textFill>
                  <w14:solidFill>
                    <w14:srgbClr w14:val="000000">
                      <w14:alpha w14:val="100000"/>
                    </w14:srgbClr>
                  </w14:solidFill>
                </w14:textFill>
              </w:rPr>
              <w:t>|</w:t>
            </w:r>
            <w:r w:rsidRPr="00696519">
              <w:rPr>
                <w:iCs/>
              </w:rPr>
              <w:t xml:space="preserve"> </w:t>
            </w:r>
          </w:p>
        </w:tc>
        <w:tc>
          <w:tcPr>
            <w:tcW w:w="936" w:type="pct"/>
            <w:vMerge w:val="restart"/>
            <w:shd w:val="clear" w:color="auto" w:fill="auto"/>
            <w:vAlign w:val="center"/>
          </w:tcPr>
          <w:p w14:paraId="547EC0A1" w14:textId="7CDCB7F9" w:rsidR="004D23AA" w:rsidRPr="00484AE9" w:rsidRDefault="00696519" w:rsidP="00F1122F">
            <w:pPr>
              <w:pStyle w:val="TableText0"/>
              <w:jc w:val="center"/>
              <w:rPr>
                <w:iCs/>
              </w:rPr>
            </w:pPr>
            <w:r w:rsidRPr="00696519">
              <w:rPr>
                <w:iCs/>
              </w:rPr>
              <w:t xml:space="preserve"> </w:t>
            </w:r>
            <w:r w:rsidRPr="00696519">
              <w:rPr>
                <w:iCs/>
                <w:color w:val="000000"/>
                <w:shd w:val="solid" w:color="000000" w:fill="000000"/>
                <w14:textFill>
                  <w14:solidFill>
                    <w14:srgbClr w14:val="000000">
                      <w14:alpha w14:val="100000"/>
                    </w14:srgbClr>
                  </w14:solidFill>
                </w14:textFill>
              </w:rPr>
              <w:t>|</w:t>
            </w:r>
            <w:r w:rsidR="00600091">
              <w:rPr>
                <w:iCs/>
                <w:vertAlign w:val="superscript"/>
              </w:rPr>
              <w:t>4</w:t>
            </w:r>
          </w:p>
        </w:tc>
      </w:tr>
      <w:tr w:rsidR="004D23AA" w:rsidRPr="00484AE9" w14:paraId="3AA133CF" w14:textId="77777777" w:rsidTr="00F1122F">
        <w:trPr>
          <w:cantSplit/>
        </w:trPr>
        <w:tc>
          <w:tcPr>
            <w:tcW w:w="935" w:type="pct"/>
            <w:shd w:val="clear" w:color="auto" w:fill="auto"/>
            <w:vAlign w:val="center"/>
          </w:tcPr>
          <w:p w14:paraId="1F6D5FC0" w14:textId="77777777" w:rsidR="004D23AA" w:rsidRPr="00484AE9" w:rsidRDefault="004D23AA" w:rsidP="00F1122F">
            <w:pPr>
              <w:pStyle w:val="TableText0"/>
              <w:rPr>
                <w:i/>
                <w:iCs/>
                <w:highlight w:val="yellow"/>
              </w:rPr>
            </w:pPr>
            <w:r w:rsidRPr="00484AE9">
              <w:rPr>
                <w:iCs/>
              </w:rPr>
              <w:t>QALYS lost</w:t>
            </w:r>
          </w:p>
        </w:tc>
        <w:tc>
          <w:tcPr>
            <w:tcW w:w="1018" w:type="pct"/>
            <w:shd w:val="clear" w:color="auto" w:fill="auto"/>
          </w:tcPr>
          <w:p w14:paraId="41FF1387" w14:textId="77777777" w:rsidR="004D23AA" w:rsidRPr="00484AE9" w:rsidRDefault="004D23AA" w:rsidP="00F1122F">
            <w:pPr>
              <w:pStyle w:val="TableText0"/>
              <w:jc w:val="center"/>
              <w:rPr>
                <w:i/>
                <w:iCs/>
                <w:highlight w:val="yellow"/>
              </w:rPr>
            </w:pPr>
            <w:r w:rsidRPr="00484AE9">
              <w:rPr>
                <w:iCs/>
              </w:rPr>
              <w:t>-0.0087</w:t>
            </w:r>
          </w:p>
        </w:tc>
        <w:tc>
          <w:tcPr>
            <w:tcW w:w="1017" w:type="pct"/>
            <w:shd w:val="clear" w:color="auto" w:fill="auto"/>
          </w:tcPr>
          <w:p w14:paraId="719D0685" w14:textId="77777777" w:rsidR="004D23AA" w:rsidRPr="00484AE9" w:rsidRDefault="004D23AA" w:rsidP="00F1122F">
            <w:pPr>
              <w:pStyle w:val="TableText0"/>
              <w:jc w:val="center"/>
              <w:rPr>
                <w:i/>
                <w:iCs/>
                <w:highlight w:val="yellow"/>
              </w:rPr>
            </w:pPr>
            <w:r w:rsidRPr="00484AE9">
              <w:rPr>
                <w:iCs/>
              </w:rPr>
              <w:t>-0.0305</w:t>
            </w:r>
          </w:p>
        </w:tc>
        <w:tc>
          <w:tcPr>
            <w:tcW w:w="1094" w:type="pct"/>
            <w:shd w:val="clear" w:color="auto" w:fill="auto"/>
          </w:tcPr>
          <w:p w14:paraId="30100C69" w14:textId="77777777" w:rsidR="004D23AA" w:rsidRPr="00484AE9" w:rsidRDefault="004D23AA" w:rsidP="00F1122F">
            <w:pPr>
              <w:pStyle w:val="TableText0"/>
              <w:jc w:val="center"/>
              <w:rPr>
                <w:i/>
                <w:iCs/>
                <w:highlight w:val="yellow"/>
              </w:rPr>
            </w:pPr>
            <w:r w:rsidRPr="00484AE9">
              <w:rPr>
                <w:iCs/>
              </w:rPr>
              <w:t>0.0217</w:t>
            </w:r>
          </w:p>
        </w:tc>
        <w:tc>
          <w:tcPr>
            <w:tcW w:w="936" w:type="pct"/>
            <w:vMerge/>
            <w:shd w:val="clear" w:color="auto" w:fill="auto"/>
            <w:vAlign w:val="center"/>
          </w:tcPr>
          <w:p w14:paraId="72B8E7CA" w14:textId="77777777" w:rsidR="004D23AA" w:rsidRPr="00484AE9" w:rsidRDefault="004D23AA" w:rsidP="00F1122F">
            <w:pPr>
              <w:pStyle w:val="TableText0"/>
              <w:jc w:val="center"/>
              <w:rPr>
                <w:iCs/>
              </w:rPr>
            </w:pPr>
          </w:p>
        </w:tc>
      </w:tr>
      <w:tr w:rsidR="004D23AA" w:rsidRPr="00484AE9" w14:paraId="1305F9B1" w14:textId="77777777" w:rsidTr="00F1122F">
        <w:trPr>
          <w:cantSplit/>
          <w:tblHeader/>
        </w:trPr>
        <w:tc>
          <w:tcPr>
            <w:tcW w:w="5000" w:type="pct"/>
            <w:gridSpan w:val="5"/>
            <w:shd w:val="clear" w:color="auto" w:fill="auto"/>
            <w:vAlign w:val="center"/>
          </w:tcPr>
          <w:p w14:paraId="554D56C0" w14:textId="77777777" w:rsidR="004D23AA" w:rsidRPr="00484AE9" w:rsidRDefault="004D23AA" w:rsidP="00F1122F">
            <w:pPr>
              <w:pStyle w:val="TableText0"/>
              <w:rPr>
                <w:b/>
                <w:bCs w:val="0"/>
                <w:iCs/>
              </w:rPr>
            </w:pPr>
            <w:r w:rsidRPr="00484AE9">
              <w:rPr>
                <w:b/>
                <w:bCs w:val="0"/>
                <w:iCs/>
              </w:rPr>
              <w:t>Cohort: Aged 50-69 &amp; ≥ 2 risk factors</w:t>
            </w:r>
          </w:p>
        </w:tc>
      </w:tr>
      <w:tr w:rsidR="004D23AA" w:rsidRPr="00484AE9" w14:paraId="0A48D5EB" w14:textId="77777777" w:rsidTr="00F1122F">
        <w:trPr>
          <w:cantSplit/>
        </w:trPr>
        <w:tc>
          <w:tcPr>
            <w:tcW w:w="935" w:type="pct"/>
            <w:shd w:val="clear" w:color="auto" w:fill="auto"/>
            <w:vAlign w:val="center"/>
          </w:tcPr>
          <w:p w14:paraId="6748AB07" w14:textId="77777777" w:rsidR="004D23AA" w:rsidRPr="00484AE9" w:rsidRDefault="004D23AA" w:rsidP="00F1122F">
            <w:pPr>
              <w:pStyle w:val="TableText0"/>
              <w:rPr>
                <w:i/>
                <w:iCs/>
                <w:highlight w:val="yellow"/>
              </w:rPr>
            </w:pPr>
            <w:r w:rsidRPr="00484AE9">
              <w:rPr>
                <w:iCs/>
              </w:rPr>
              <w:t>Costs</w:t>
            </w:r>
          </w:p>
        </w:tc>
        <w:tc>
          <w:tcPr>
            <w:tcW w:w="1018" w:type="pct"/>
            <w:shd w:val="clear" w:color="auto" w:fill="auto"/>
          </w:tcPr>
          <w:p w14:paraId="69D6206E" w14:textId="29ADEA9C" w:rsidR="004D23AA" w:rsidRPr="00484AE9" w:rsidRDefault="00696519" w:rsidP="00F1122F">
            <w:pPr>
              <w:pStyle w:val="TableText0"/>
              <w:jc w:val="center"/>
              <w:rPr>
                <w:i/>
                <w:iCs/>
                <w:highlight w:val="yellow"/>
              </w:rPr>
            </w:pPr>
            <w:r w:rsidRPr="00696519">
              <w:rPr>
                <w:iCs/>
              </w:rPr>
              <w:t xml:space="preserve"> </w:t>
            </w:r>
            <w:r w:rsidRPr="00696519">
              <w:rPr>
                <w:iCs/>
                <w:color w:val="000000"/>
                <w:shd w:val="solid" w:color="000000" w:fill="000000"/>
                <w14:textFill>
                  <w14:solidFill>
                    <w14:srgbClr w14:val="000000">
                      <w14:alpha w14:val="100000"/>
                    </w14:srgbClr>
                  </w14:solidFill>
                </w14:textFill>
              </w:rPr>
              <w:t>|</w:t>
            </w:r>
            <w:r w:rsidRPr="00696519">
              <w:rPr>
                <w:iCs/>
              </w:rPr>
              <w:t xml:space="preserve"> </w:t>
            </w:r>
          </w:p>
        </w:tc>
        <w:tc>
          <w:tcPr>
            <w:tcW w:w="1017" w:type="pct"/>
            <w:shd w:val="clear" w:color="auto" w:fill="auto"/>
          </w:tcPr>
          <w:p w14:paraId="56A70396" w14:textId="77777777" w:rsidR="004D23AA" w:rsidRPr="00484AE9" w:rsidRDefault="004D23AA" w:rsidP="00F1122F">
            <w:pPr>
              <w:pStyle w:val="TableText0"/>
              <w:jc w:val="center"/>
              <w:rPr>
                <w:i/>
                <w:iCs/>
                <w:highlight w:val="yellow"/>
              </w:rPr>
            </w:pPr>
            <w:r w:rsidRPr="00484AE9">
              <w:rPr>
                <w:iCs/>
              </w:rPr>
              <w:t>$142.64</w:t>
            </w:r>
          </w:p>
        </w:tc>
        <w:tc>
          <w:tcPr>
            <w:tcW w:w="1094" w:type="pct"/>
            <w:shd w:val="clear" w:color="auto" w:fill="auto"/>
          </w:tcPr>
          <w:p w14:paraId="60417359" w14:textId="43AD1819" w:rsidR="004D23AA" w:rsidRPr="00484AE9" w:rsidRDefault="00696519" w:rsidP="00F1122F">
            <w:pPr>
              <w:pStyle w:val="TableText0"/>
              <w:jc w:val="center"/>
              <w:rPr>
                <w:i/>
                <w:iCs/>
                <w:highlight w:val="yellow"/>
              </w:rPr>
            </w:pPr>
            <w:r w:rsidRPr="00696519">
              <w:rPr>
                <w:iCs/>
              </w:rPr>
              <w:t xml:space="preserve"> </w:t>
            </w:r>
            <w:r w:rsidRPr="00696519">
              <w:rPr>
                <w:iCs/>
                <w:color w:val="000000"/>
                <w:shd w:val="solid" w:color="000000" w:fill="000000"/>
                <w14:textFill>
                  <w14:solidFill>
                    <w14:srgbClr w14:val="000000">
                      <w14:alpha w14:val="100000"/>
                    </w14:srgbClr>
                  </w14:solidFill>
                </w14:textFill>
              </w:rPr>
              <w:t>|</w:t>
            </w:r>
            <w:r w:rsidRPr="00696519">
              <w:rPr>
                <w:iCs/>
              </w:rPr>
              <w:t xml:space="preserve"> </w:t>
            </w:r>
          </w:p>
        </w:tc>
        <w:tc>
          <w:tcPr>
            <w:tcW w:w="936" w:type="pct"/>
            <w:vMerge w:val="restart"/>
            <w:shd w:val="clear" w:color="auto" w:fill="auto"/>
            <w:vAlign w:val="center"/>
          </w:tcPr>
          <w:p w14:paraId="49F2FFB6" w14:textId="0B213B96" w:rsidR="004D23AA" w:rsidRPr="00484AE9" w:rsidRDefault="00696519" w:rsidP="00F1122F">
            <w:pPr>
              <w:pStyle w:val="TableText0"/>
              <w:jc w:val="center"/>
              <w:rPr>
                <w:iCs/>
              </w:rPr>
            </w:pPr>
            <w:r w:rsidRPr="00696519">
              <w:rPr>
                <w:iCs/>
              </w:rPr>
              <w:t xml:space="preserve"> </w:t>
            </w:r>
            <w:r w:rsidRPr="00696519">
              <w:rPr>
                <w:iCs/>
                <w:color w:val="000000"/>
                <w:shd w:val="solid" w:color="000000" w:fill="000000"/>
                <w14:textFill>
                  <w14:solidFill>
                    <w14:srgbClr w14:val="000000">
                      <w14:alpha w14:val="100000"/>
                    </w14:srgbClr>
                  </w14:solidFill>
                </w14:textFill>
              </w:rPr>
              <w:t>|</w:t>
            </w:r>
            <w:r w:rsidR="00EB627C" w:rsidRPr="00F76D9A">
              <w:rPr>
                <w:iCs/>
                <w:vertAlign w:val="superscript"/>
              </w:rPr>
              <w:t xml:space="preserve">5 </w:t>
            </w:r>
          </w:p>
        </w:tc>
      </w:tr>
      <w:tr w:rsidR="004D23AA" w:rsidRPr="00484AE9" w14:paraId="7420093F" w14:textId="77777777" w:rsidTr="007B46D5">
        <w:trPr>
          <w:cantSplit/>
          <w:trHeight w:val="301"/>
        </w:trPr>
        <w:tc>
          <w:tcPr>
            <w:tcW w:w="935" w:type="pct"/>
            <w:shd w:val="clear" w:color="auto" w:fill="auto"/>
            <w:vAlign w:val="center"/>
          </w:tcPr>
          <w:p w14:paraId="274341F5" w14:textId="77777777" w:rsidR="004D23AA" w:rsidRPr="00484AE9" w:rsidRDefault="004D23AA" w:rsidP="00F1122F">
            <w:pPr>
              <w:pStyle w:val="TableText0"/>
              <w:rPr>
                <w:i/>
                <w:iCs/>
                <w:highlight w:val="yellow"/>
              </w:rPr>
            </w:pPr>
            <w:r w:rsidRPr="00484AE9">
              <w:rPr>
                <w:iCs/>
              </w:rPr>
              <w:t>QALYS lost</w:t>
            </w:r>
          </w:p>
        </w:tc>
        <w:tc>
          <w:tcPr>
            <w:tcW w:w="1018" w:type="pct"/>
            <w:shd w:val="clear" w:color="auto" w:fill="auto"/>
          </w:tcPr>
          <w:p w14:paraId="5A462693" w14:textId="77777777" w:rsidR="004D23AA" w:rsidRPr="00484AE9" w:rsidRDefault="004D23AA" w:rsidP="00F1122F">
            <w:pPr>
              <w:pStyle w:val="TableText0"/>
              <w:jc w:val="center"/>
              <w:rPr>
                <w:i/>
                <w:iCs/>
                <w:highlight w:val="yellow"/>
              </w:rPr>
            </w:pPr>
            <w:r w:rsidRPr="00484AE9">
              <w:rPr>
                <w:iCs/>
              </w:rPr>
              <w:t>-0.0117</w:t>
            </w:r>
          </w:p>
        </w:tc>
        <w:tc>
          <w:tcPr>
            <w:tcW w:w="1017" w:type="pct"/>
            <w:shd w:val="clear" w:color="auto" w:fill="auto"/>
          </w:tcPr>
          <w:p w14:paraId="5042B5AF" w14:textId="77777777" w:rsidR="004D23AA" w:rsidRPr="00484AE9" w:rsidRDefault="004D23AA" w:rsidP="00F1122F">
            <w:pPr>
              <w:pStyle w:val="TableText0"/>
              <w:jc w:val="center"/>
              <w:rPr>
                <w:i/>
                <w:iCs/>
                <w:highlight w:val="yellow"/>
              </w:rPr>
            </w:pPr>
            <w:r w:rsidRPr="00484AE9">
              <w:rPr>
                <w:iCs/>
              </w:rPr>
              <w:t>-0.0406</w:t>
            </w:r>
          </w:p>
        </w:tc>
        <w:tc>
          <w:tcPr>
            <w:tcW w:w="1094" w:type="pct"/>
            <w:shd w:val="clear" w:color="auto" w:fill="auto"/>
          </w:tcPr>
          <w:p w14:paraId="2A40E413" w14:textId="77777777" w:rsidR="004D23AA" w:rsidRPr="00484AE9" w:rsidRDefault="004D23AA" w:rsidP="00F1122F">
            <w:pPr>
              <w:pStyle w:val="TableText0"/>
              <w:jc w:val="center"/>
              <w:rPr>
                <w:i/>
                <w:iCs/>
                <w:highlight w:val="yellow"/>
              </w:rPr>
            </w:pPr>
            <w:r w:rsidRPr="00484AE9">
              <w:rPr>
                <w:iCs/>
              </w:rPr>
              <w:t>0.0289</w:t>
            </w:r>
          </w:p>
        </w:tc>
        <w:tc>
          <w:tcPr>
            <w:tcW w:w="936" w:type="pct"/>
            <w:vMerge/>
            <w:shd w:val="clear" w:color="auto" w:fill="auto"/>
          </w:tcPr>
          <w:p w14:paraId="167A7D27" w14:textId="77777777" w:rsidR="004D23AA" w:rsidRPr="00484AE9" w:rsidRDefault="004D23AA" w:rsidP="00F1122F">
            <w:pPr>
              <w:pStyle w:val="TableText0"/>
              <w:jc w:val="center"/>
              <w:rPr>
                <w:iCs/>
              </w:rPr>
            </w:pPr>
          </w:p>
        </w:tc>
      </w:tr>
      <w:tr w:rsidR="004D23AA" w:rsidRPr="00484AE9" w14:paraId="5048336E" w14:textId="77777777" w:rsidTr="00F1122F">
        <w:trPr>
          <w:cantSplit/>
          <w:tblHeader/>
        </w:trPr>
        <w:tc>
          <w:tcPr>
            <w:tcW w:w="5000" w:type="pct"/>
            <w:gridSpan w:val="5"/>
            <w:shd w:val="clear" w:color="auto" w:fill="auto"/>
            <w:vAlign w:val="center"/>
          </w:tcPr>
          <w:p w14:paraId="0C0FAC0D" w14:textId="76CB9F94" w:rsidR="004D23AA" w:rsidRPr="00484AE9" w:rsidRDefault="004D23AA" w:rsidP="00F1122F">
            <w:pPr>
              <w:pStyle w:val="TableText0"/>
              <w:rPr>
                <w:b/>
                <w:bCs w:val="0"/>
                <w:iCs/>
              </w:rPr>
            </w:pPr>
            <w:r w:rsidRPr="00484AE9">
              <w:rPr>
                <w:b/>
                <w:bCs w:val="0"/>
                <w:iCs/>
              </w:rPr>
              <w:t>Current Scenario</w:t>
            </w:r>
            <w:r w:rsidR="00354F6E" w:rsidRPr="00484AE9">
              <w:rPr>
                <w:b/>
                <w:bCs w:val="0"/>
                <w:iCs/>
                <w:vertAlign w:val="superscript"/>
              </w:rPr>
              <w:t>a</w:t>
            </w:r>
            <w:r w:rsidRPr="00484AE9">
              <w:rPr>
                <w:b/>
                <w:bCs w:val="0"/>
                <w:iCs/>
              </w:rPr>
              <w:t xml:space="preserve"> – </w:t>
            </w:r>
            <w:r w:rsidR="00984045" w:rsidRPr="00484AE9">
              <w:rPr>
                <w:b/>
                <w:bCs w:val="0"/>
                <w:iCs/>
              </w:rPr>
              <w:t>Overall</w:t>
            </w:r>
            <w:r w:rsidRPr="00484AE9">
              <w:rPr>
                <w:b/>
                <w:bCs w:val="0"/>
                <w:iCs/>
              </w:rPr>
              <w:t xml:space="preserve"> ICER with current nirmatrelvir and ritonavir restrictions and proportions based on utilisation</w:t>
            </w:r>
            <w:r w:rsidR="00093F02" w:rsidRPr="00484AE9">
              <w:rPr>
                <w:b/>
                <w:bCs w:val="0"/>
                <w:iCs/>
                <w:vertAlign w:val="superscript"/>
              </w:rPr>
              <w:t>c</w:t>
            </w:r>
            <w:r w:rsidRPr="00484AE9">
              <w:rPr>
                <w:b/>
                <w:bCs w:val="0"/>
                <w:iCs/>
              </w:rPr>
              <w:t xml:space="preserve"> </w:t>
            </w:r>
          </w:p>
        </w:tc>
      </w:tr>
      <w:tr w:rsidR="004D23AA" w:rsidRPr="00484AE9" w14:paraId="1F17C2F5" w14:textId="77777777" w:rsidTr="00F1122F">
        <w:trPr>
          <w:cantSplit/>
        </w:trPr>
        <w:tc>
          <w:tcPr>
            <w:tcW w:w="935" w:type="pct"/>
            <w:shd w:val="clear" w:color="auto" w:fill="auto"/>
            <w:vAlign w:val="center"/>
          </w:tcPr>
          <w:p w14:paraId="7CE9F273" w14:textId="77777777" w:rsidR="004D23AA" w:rsidRPr="00484AE9" w:rsidRDefault="004D23AA" w:rsidP="00F1122F">
            <w:pPr>
              <w:pStyle w:val="TableText0"/>
              <w:rPr>
                <w:i/>
                <w:iCs/>
                <w:highlight w:val="yellow"/>
              </w:rPr>
            </w:pPr>
            <w:r w:rsidRPr="00484AE9">
              <w:rPr>
                <w:iCs/>
              </w:rPr>
              <w:t>Costs</w:t>
            </w:r>
          </w:p>
        </w:tc>
        <w:tc>
          <w:tcPr>
            <w:tcW w:w="1018" w:type="pct"/>
            <w:shd w:val="clear" w:color="auto" w:fill="auto"/>
          </w:tcPr>
          <w:p w14:paraId="360730C5" w14:textId="18C410C9" w:rsidR="004D23AA" w:rsidRPr="00484AE9" w:rsidRDefault="00696519" w:rsidP="00F1122F">
            <w:pPr>
              <w:pStyle w:val="TableText0"/>
              <w:jc w:val="center"/>
              <w:rPr>
                <w:i/>
                <w:iCs/>
                <w:highlight w:val="yellow"/>
              </w:rPr>
            </w:pPr>
            <w:r w:rsidRPr="00696519">
              <w:rPr>
                <w:iCs/>
              </w:rPr>
              <w:t xml:space="preserve"> </w:t>
            </w:r>
            <w:r w:rsidRPr="00696519">
              <w:rPr>
                <w:iCs/>
                <w:color w:val="000000"/>
                <w:shd w:val="solid" w:color="000000" w:fill="000000"/>
                <w14:textFill>
                  <w14:solidFill>
                    <w14:srgbClr w14:val="000000">
                      <w14:alpha w14:val="100000"/>
                    </w14:srgbClr>
                  </w14:solidFill>
                </w14:textFill>
              </w:rPr>
              <w:t>|</w:t>
            </w:r>
            <w:r w:rsidRPr="00696519">
              <w:rPr>
                <w:iCs/>
              </w:rPr>
              <w:t xml:space="preserve"> </w:t>
            </w:r>
          </w:p>
        </w:tc>
        <w:tc>
          <w:tcPr>
            <w:tcW w:w="1017" w:type="pct"/>
            <w:shd w:val="clear" w:color="auto" w:fill="auto"/>
          </w:tcPr>
          <w:p w14:paraId="4CE6CD4F" w14:textId="77777777" w:rsidR="004D23AA" w:rsidRPr="00484AE9" w:rsidRDefault="004D23AA" w:rsidP="00F1122F">
            <w:pPr>
              <w:pStyle w:val="TableText0"/>
              <w:jc w:val="center"/>
              <w:rPr>
                <w:i/>
                <w:iCs/>
                <w:highlight w:val="yellow"/>
              </w:rPr>
            </w:pPr>
            <w:r w:rsidRPr="00484AE9">
              <w:rPr>
                <w:iCs/>
              </w:rPr>
              <w:t>$303.46</w:t>
            </w:r>
          </w:p>
        </w:tc>
        <w:tc>
          <w:tcPr>
            <w:tcW w:w="1094" w:type="pct"/>
            <w:shd w:val="clear" w:color="auto" w:fill="auto"/>
          </w:tcPr>
          <w:p w14:paraId="4D5F1E13" w14:textId="704393BE" w:rsidR="004D23AA" w:rsidRPr="00484AE9" w:rsidRDefault="00696519" w:rsidP="00F1122F">
            <w:pPr>
              <w:pStyle w:val="TableText0"/>
              <w:jc w:val="center"/>
              <w:rPr>
                <w:i/>
                <w:iCs/>
                <w:highlight w:val="yellow"/>
              </w:rPr>
            </w:pPr>
            <w:r w:rsidRPr="00696519">
              <w:rPr>
                <w:iCs/>
              </w:rPr>
              <w:t xml:space="preserve"> </w:t>
            </w:r>
            <w:r w:rsidRPr="00696519">
              <w:rPr>
                <w:iCs/>
                <w:color w:val="000000"/>
                <w:shd w:val="solid" w:color="000000" w:fill="000000"/>
                <w14:textFill>
                  <w14:solidFill>
                    <w14:srgbClr w14:val="000000">
                      <w14:alpha w14:val="100000"/>
                    </w14:srgbClr>
                  </w14:solidFill>
                </w14:textFill>
              </w:rPr>
              <w:t>|</w:t>
            </w:r>
            <w:r w:rsidRPr="00696519">
              <w:rPr>
                <w:iCs/>
              </w:rPr>
              <w:t xml:space="preserve"> </w:t>
            </w:r>
          </w:p>
        </w:tc>
        <w:tc>
          <w:tcPr>
            <w:tcW w:w="936" w:type="pct"/>
            <w:vMerge w:val="restart"/>
            <w:shd w:val="clear" w:color="auto" w:fill="auto"/>
            <w:vAlign w:val="center"/>
          </w:tcPr>
          <w:p w14:paraId="55119897" w14:textId="17DC4ABE" w:rsidR="004D23AA" w:rsidRPr="00484AE9" w:rsidRDefault="00696519" w:rsidP="00F1122F">
            <w:pPr>
              <w:pStyle w:val="TableText0"/>
              <w:jc w:val="center"/>
              <w:rPr>
                <w:iCs/>
              </w:rPr>
            </w:pPr>
            <w:r w:rsidRPr="00696519">
              <w:rPr>
                <w:iCs/>
              </w:rPr>
              <w:t xml:space="preserve"> </w:t>
            </w:r>
            <w:r w:rsidRPr="00696519">
              <w:rPr>
                <w:iCs/>
                <w:color w:val="000000"/>
                <w:shd w:val="solid" w:color="000000" w:fill="000000"/>
                <w14:textFill>
                  <w14:solidFill>
                    <w14:srgbClr w14:val="000000">
                      <w14:alpha w14:val="100000"/>
                    </w14:srgbClr>
                  </w14:solidFill>
                </w14:textFill>
              </w:rPr>
              <w:t>|</w:t>
            </w:r>
            <w:r w:rsidR="00600091">
              <w:rPr>
                <w:iCs/>
                <w:vertAlign w:val="superscript"/>
              </w:rPr>
              <w:t>1</w:t>
            </w:r>
          </w:p>
        </w:tc>
      </w:tr>
      <w:tr w:rsidR="004D23AA" w:rsidRPr="00484AE9" w14:paraId="7FFD9D8C" w14:textId="77777777" w:rsidTr="00F1122F">
        <w:trPr>
          <w:cantSplit/>
        </w:trPr>
        <w:tc>
          <w:tcPr>
            <w:tcW w:w="935" w:type="pct"/>
            <w:shd w:val="clear" w:color="auto" w:fill="auto"/>
            <w:vAlign w:val="center"/>
          </w:tcPr>
          <w:p w14:paraId="6D9EEC45" w14:textId="77777777" w:rsidR="004D23AA" w:rsidRPr="00484AE9" w:rsidRDefault="004D23AA" w:rsidP="00F1122F">
            <w:pPr>
              <w:pStyle w:val="TableText0"/>
              <w:rPr>
                <w:i/>
                <w:iCs/>
                <w:highlight w:val="yellow"/>
              </w:rPr>
            </w:pPr>
            <w:r w:rsidRPr="00484AE9">
              <w:rPr>
                <w:iCs/>
              </w:rPr>
              <w:t>QALYS lost</w:t>
            </w:r>
          </w:p>
        </w:tc>
        <w:tc>
          <w:tcPr>
            <w:tcW w:w="1018" w:type="pct"/>
            <w:shd w:val="clear" w:color="auto" w:fill="auto"/>
          </w:tcPr>
          <w:p w14:paraId="04DB06E9" w14:textId="77777777" w:rsidR="004D23AA" w:rsidRPr="00484AE9" w:rsidRDefault="004D23AA" w:rsidP="00F1122F">
            <w:pPr>
              <w:pStyle w:val="TableText0"/>
              <w:jc w:val="center"/>
              <w:rPr>
                <w:i/>
                <w:iCs/>
                <w:highlight w:val="yellow"/>
              </w:rPr>
            </w:pPr>
            <w:r w:rsidRPr="00484AE9">
              <w:rPr>
                <w:iCs/>
              </w:rPr>
              <w:t>-0.0203</w:t>
            </w:r>
          </w:p>
        </w:tc>
        <w:tc>
          <w:tcPr>
            <w:tcW w:w="1017" w:type="pct"/>
            <w:shd w:val="clear" w:color="auto" w:fill="auto"/>
          </w:tcPr>
          <w:p w14:paraId="61A4C53A" w14:textId="77777777" w:rsidR="004D23AA" w:rsidRPr="00484AE9" w:rsidRDefault="004D23AA" w:rsidP="00F1122F">
            <w:pPr>
              <w:pStyle w:val="TableText0"/>
              <w:jc w:val="center"/>
              <w:rPr>
                <w:i/>
                <w:iCs/>
                <w:highlight w:val="yellow"/>
              </w:rPr>
            </w:pPr>
            <w:r w:rsidRPr="00484AE9">
              <w:rPr>
                <w:iCs/>
              </w:rPr>
              <w:t>-0.0695</w:t>
            </w:r>
          </w:p>
        </w:tc>
        <w:tc>
          <w:tcPr>
            <w:tcW w:w="1094" w:type="pct"/>
            <w:shd w:val="clear" w:color="auto" w:fill="auto"/>
          </w:tcPr>
          <w:p w14:paraId="092F1ED6" w14:textId="77777777" w:rsidR="004D23AA" w:rsidRPr="00484AE9" w:rsidRDefault="004D23AA" w:rsidP="00F1122F">
            <w:pPr>
              <w:pStyle w:val="TableText0"/>
              <w:jc w:val="center"/>
              <w:rPr>
                <w:i/>
                <w:iCs/>
                <w:highlight w:val="yellow"/>
              </w:rPr>
            </w:pPr>
            <w:r w:rsidRPr="00484AE9">
              <w:rPr>
                <w:iCs/>
              </w:rPr>
              <w:t>0.0492</w:t>
            </w:r>
          </w:p>
        </w:tc>
        <w:tc>
          <w:tcPr>
            <w:tcW w:w="936" w:type="pct"/>
            <w:vMerge/>
            <w:shd w:val="clear" w:color="auto" w:fill="auto"/>
          </w:tcPr>
          <w:p w14:paraId="6FBEA645" w14:textId="77777777" w:rsidR="004D23AA" w:rsidRPr="00484AE9" w:rsidRDefault="004D23AA" w:rsidP="00F1122F">
            <w:pPr>
              <w:pStyle w:val="TableText0"/>
              <w:rPr>
                <w:iCs/>
              </w:rPr>
            </w:pPr>
          </w:p>
        </w:tc>
      </w:tr>
      <w:tr w:rsidR="004D23AA" w:rsidRPr="00484AE9" w14:paraId="6025A662" w14:textId="77777777" w:rsidTr="00F1122F">
        <w:trPr>
          <w:cantSplit/>
          <w:tblHeader/>
        </w:trPr>
        <w:tc>
          <w:tcPr>
            <w:tcW w:w="5000" w:type="pct"/>
            <w:gridSpan w:val="5"/>
            <w:shd w:val="clear" w:color="auto" w:fill="auto"/>
            <w:vAlign w:val="center"/>
          </w:tcPr>
          <w:p w14:paraId="3F92070F" w14:textId="1EE39F7B" w:rsidR="004D23AA" w:rsidRPr="00484AE9" w:rsidRDefault="005B300D" w:rsidP="00F1122F">
            <w:pPr>
              <w:pStyle w:val="TableText0"/>
              <w:rPr>
                <w:b/>
                <w:bCs w:val="0"/>
                <w:iCs/>
              </w:rPr>
            </w:pPr>
            <w:r w:rsidRPr="00484AE9">
              <w:rPr>
                <w:b/>
                <w:bCs w:val="0"/>
                <w:iCs/>
              </w:rPr>
              <w:t>2RF Scenario</w:t>
            </w:r>
            <w:r w:rsidR="00354F6E" w:rsidRPr="00484AE9">
              <w:rPr>
                <w:b/>
                <w:bCs w:val="0"/>
                <w:iCs/>
                <w:vertAlign w:val="superscript"/>
              </w:rPr>
              <w:t>a</w:t>
            </w:r>
            <w:r w:rsidR="004D23AA" w:rsidRPr="00484AE9">
              <w:rPr>
                <w:b/>
                <w:bCs w:val="0"/>
                <w:iCs/>
              </w:rPr>
              <w:t xml:space="preserve"> – </w:t>
            </w:r>
            <w:r w:rsidR="00984045" w:rsidRPr="00484AE9">
              <w:rPr>
                <w:b/>
                <w:bCs w:val="0"/>
                <w:iCs/>
              </w:rPr>
              <w:t>Overall</w:t>
            </w:r>
            <w:r w:rsidR="004D23AA" w:rsidRPr="00484AE9">
              <w:rPr>
                <w:b/>
                <w:bCs w:val="0"/>
                <w:iCs/>
              </w:rPr>
              <w:t xml:space="preserve"> ICER with requirement for ≥ 2 risk factors for cohort aged 50-69, all other settings same as current scenario</w:t>
            </w:r>
          </w:p>
        </w:tc>
      </w:tr>
      <w:tr w:rsidR="004D23AA" w:rsidRPr="00484AE9" w14:paraId="6DB337CB" w14:textId="77777777" w:rsidTr="00F1122F">
        <w:trPr>
          <w:cantSplit/>
        </w:trPr>
        <w:tc>
          <w:tcPr>
            <w:tcW w:w="935" w:type="pct"/>
            <w:shd w:val="clear" w:color="auto" w:fill="auto"/>
            <w:vAlign w:val="center"/>
          </w:tcPr>
          <w:p w14:paraId="1F6CF8F0" w14:textId="77777777" w:rsidR="004D23AA" w:rsidRPr="00484AE9" w:rsidRDefault="004D23AA" w:rsidP="00F1122F">
            <w:pPr>
              <w:pStyle w:val="TableText0"/>
              <w:rPr>
                <w:i/>
                <w:iCs/>
                <w:highlight w:val="yellow"/>
              </w:rPr>
            </w:pPr>
            <w:r w:rsidRPr="00484AE9">
              <w:rPr>
                <w:iCs/>
              </w:rPr>
              <w:t>Costs</w:t>
            </w:r>
          </w:p>
        </w:tc>
        <w:tc>
          <w:tcPr>
            <w:tcW w:w="1018" w:type="pct"/>
            <w:shd w:val="clear" w:color="auto" w:fill="auto"/>
          </w:tcPr>
          <w:p w14:paraId="3296C1EA" w14:textId="1F66C7C9" w:rsidR="004D23AA" w:rsidRPr="00484AE9" w:rsidRDefault="00696519" w:rsidP="00F1122F">
            <w:pPr>
              <w:pStyle w:val="TableText0"/>
              <w:jc w:val="center"/>
              <w:rPr>
                <w:i/>
                <w:iCs/>
                <w:highlight w:val="yellow"/>
              </w:rPr>
            </w:pPr>
            <w:r w:rsidRPr="00696519">
              <w:rPr>
                <w:iCs/>
              </w:rPr>
              <w:t xml:space="preserve"> </w:t>
            </w:r>
            <w:r w:rsidRPr="00696519">
              <w:rPr>
                <w:iCs/>
                <w:color w:val="000000"/>
                <w:shd w:val="solid" w:color="000000" w:fill="000000"/>
                <w14:textFill>
                  <w14:solidFill>
                    <w14:srgbClr w14:val="000000">
                      <w14:alpha w14:val="100000"/>
                    </w14:srgbClr>
                  </w14:solidFill>
                </w14:textFill>
              </w:rPr>
              <w:t>|</w:t>
            </w:r>
            <w:r w:rsidRPr="00696519">
              <w:rPr>
                <w:iCs/>
              </w:rPr>
              <w:t xml:space="preserve"> </w:t>
            </w:r>
          </w:p>
        </w:tc>
        <w:tc>
          <w:tcPr>
            <w:tcW w:w="1017" w:type="pct"/>
            <w:shd w:val="clear" w:color="auto" w:fill="auto"/>
          </w:tcPr>
          <w:p w14:paraId="5C9A06B9" w14:textId="77777777" w:rsidR="004D23AA" w:rsidRPr="00484AE9" w:rsidRDefault="004D23AA" w:rsidP="00F1122F">
            <w:pPr>
              <w:pStyle w:val="TableText0"/>
              <w:jc w:val="center"/>
              <w:rPr>
                <w:i/>
                <w:iCs/>
                <w:highlight w:val="yellow"/>
              </w:rPr>
            </w:pPr>
            <w:r w:rsidRPr="00484AE9">
              <w:rPr>
                <w:iCs/>
              </w:rPr>
              <w:t>$310.47</w:t>
            </w:r>
          </w:p>
        </w:tc>
        <w:tc>
          <w:tcPr>
            <w:tcW w:w="1094" w:type="pct"/>
            <w:shd w:val="clear" w:color="auto" w:fill="auto"/>
          </w:tcPr>
          <w:p w14:paraId="1C00C372" w14:textId="226CAA75" w:rsidR="004D23AA" w:rsidRPr="00484AE9" w:rsidRDefault="00696519" w:rsidP="00F1122F">
            <w:pPr>
              <w:pStyle w:val="TableText0"/>
              <w:jc w:val="center"/>
              <w:rPr>
                <w:i/>
                <w:iCs/>
                <w:highlight w:val="yellow"/>
              </w:rPr>
            </w:pPr>
            <w:r w:rsidRPr="00696519">
              <w:rPr>
                <w:iCs/>
              </w:rPr>
              <w:t xml:space="preserve"> </w:t>
            </w:r>
            <w:r w:rsidRPr="00696519">
              <w:rPr>
                <w:iCs/>
                <w:color w:val="000000"/>
                <w:shd w:val="solid" w:color="000000" w:fill="000000"/>
                <w14:textFill>
                  <w14:solidFill>
                    <w14:srgbClr w14:val="000000">
                      <w14:alpha w14:val="100000"/>
                    </w14:srgbClr>
                  </w14:solidFill>
                </w14:textFill>
              </w:rPr>
              <w:t>|</w:t>
            </w:r>
            <w:r w:rsidRPr="00696519">
              <w:rPr>
                <w:iCs/>
              </w:rPr>
              <w:t xml:space="preserve"> </w:t>
            </w:r>
          </w:p>
        </w:tc>
        <w:tc>
          <w:tcPr>
            <w:tcW w:w="936" w:type="pct"/>
            <w:vMerge w:val="restart"/>
            <w:shd w:val="clear" w:color="auto" w:fill="auto"/>
            <w:vAlign w:val="center"/>
          </w:tcPr>
          <w:p w14:paraId="6456B6E4" w14:textId="121F6EFB" w:rsidR="004D23AA" w:rsidRPr="00484AE9" w:rsidRDefault="00696519" w:rsidP="00F1122F">
            <w:pPr>
              <w:pStyle w:val="TableText0"/>
              <w:jc w:val="center"/>
              <w:rPr>
                <w:iCs/>
              </w:rPr>
            </w:pPr>
            <w:r w:rsidRPr="00696519">
              <w:rPr>
                <w:iCs/>
              </w:rPr>
              <w:t xml:space="preserve"> </w:t>
            </w:r>
            <w:r w:rsidRPr="00696519">
              <w:rPr>
                <w:iCs/>
                <w:color w:val="000000"/>
                <w:shd w:val="solid" w:color="000000" w:fill="000000"/>
                <w14:textFill>
                  <w14:solidFill>
                    <w14:srgbClr w14:val="000000">
                      <w14:alpha w14:val="100000"/>
                    </w14:srgbClr>
                  </w14:solidFill>
                </w14:textFill>
              </w:rPr>
              <w:t>|</w:t>
            </w:r>
            <w:r w:rsidR="00600091">
              <w:rPr>
                <w:iCs/>
                <w:vertAlign w:val="superscript"/>
              </w:rPr>
              <w:t>1</w:t>
            </w:r>
          </w:p>
        </w:tc>
      </w:tr>
      <w:tr w:rsidR="004D23AA" w:rsidRPr="00484AE9" w14:paraId="4A2F0680" w14:textId="77777777" w:rsidTr="00F1122F">
        <w:trPr>
          <w:cantSplit/>
        </w:trPr>
        <w:tc>
          <w:tcPr>
            <w:tcW w:w="935" w:type="pct"/>
            <w:shd w:val="clear" w:color="auto" w:fill="auto"/>
            <w:vAlign w:val="center"/>
          </w:tcPr>
          <w:p w14:paraId="0F706754" w14:textId="77777777" w:rsidR="004D23AA" w:rsidRPr="00484AE9" w:rsidRDefault="004D23AA" w:rsidP="00F1122F">
            <w:pPr>
              <w:pStyle w:val="TableText0"/>
              <w:rPr>
                <w:i/>
                <w:iCs/>
                <w:highlight w:val="yellow"/>
              </w:rPr>
            </w:pPr>
            <w:r w:rsidRPr="00484AE9">
              <w:rPr>
                <w:iCs/>
              </w:rPr>
              <w:t>QALYS lost</w:t>
            </w:r>
          </w:p>
        </w:tc>
        <w:tc>
          <w:tcPr>
            <w:tcW w:w="1018" w:type="pct"/>
            <w:shd w:val="clear" w:color="auto" w:fill="auto"/>
          </w:tcPr>
          <w:p w14:paraId="6638A94D" w14:textId="77777777" w:rsidR="004D23AA" w:rsidRPr="00484AE9" w:rsidRDefault="004D23AA" w:rsidP="00F1122F">
            <w:pPr>
              <w:pStyle w:val="TableText0"/>
              <w:jc w:val="center"/>
              <w:rPr>
                <w:i/>
                <w:iCs/>
                <w:highlight w:val="yellow"/>
              </w:rPr>
            </w:pPr>
            <w:r w:rsidRPr="00484AE9">
              <w:rPr>
                <w:iCs/>
              </w:rPr>
              <w:t>-0.0208</w:t>
            </w:r>
          </w:p>
        </w:tc>
        <w:tc>
          <w:tcPr>
            <w:tcW w:w="1017" w:type="pct"/>
            <w:shd w:val="clear" w:color="auto" w:fill="auto"/>
          </w:tcPr>
          <w:p w14:paraId="26C3DA1F" w14:textId="77777777" w:rsidR="004D23AA" w:rsidRPr="00484AE9" w:rsidRDefault="004D23AA" w:rsidP="00F1122F">
            <w:pPr>
              <w:pStyle w:val="TableText0"/>
              <w:jc w:val="center"/>
              <w:rPr>
                <w:i/>
                <w:iCs/>
                <w:highlight w:val="yellow"/>
              </w:rPr>
            </w:pPr>
            <w:r w:rsidRPr="00484AE9">
              <w:rPr>
                <w:iCs/>
              </w:rPr>
              <w:t>-0.0715</w:t>
            </w:r>
          </w:p>
        </w:tc>
        <w:tc>
          <w:tcPr>
            <w:tcW w:w="1094" w:type="pct"/>
            <w:shd w:val="clear" w:color="auto" w:fill="auto"/>
          </w:tcPr>
          <w:p w14:paraId="4293A75C" w14:textId="77777777" w:rsidR="004D23AA" w:rsidRPr="00484AE9" w:rsidRDefault="004D23AA" w:rsidP="00F1122F">
            <w:pPr>
              <w:pStyle w:val="TableText0"/>
              <w:jc w:val="center"/>
              <w:rPr>
                <w:i/>
                <w:iCs/>
                <w:highlight w:val="yellow"/>
              </w:rPr>
            </w:pPr>
            <w:r w:rsidRPr="00484AE9">
              <w:rPr>
                <w:iCs/>
              </w:rPr>
              <w:t>0.0506</w:t>
            </w:r>
          </w:p>
        </w:tc>
        <w:tc>
          <w:tcPr>
            <w:tcW w:w="936" w:type="pct"/>
            <w:vMerge/>
            <w:shd w:val="clear" w:color="auto" w:fill="auto"/>
          </w:tcPr>
          <w:p w14:paraId="358854EE" w14:textId="77777777" w:rsidR="004D23AA" w:rsidRPr="00484AE9" w:rsidRDefault="004D23AA" w:rsidP="00F1122F">
            <w:pPr>
              <w:pStyle w:val="TableText0"/>
              <w:jc w:val="center"/>
              <w:rPr>
                <w:iCs/>
              </w:rPr>
            </w:pPr>
          </w:p>
        </w:tc>
      </w:tr>
      <w:tr w:rsidR="007035C2" w:rsidRPr="00484AE9" w14:paraId="7B04B8B9" w14:textId="77777777" w:rsidTr="00093F02">
        <w:trPr>
          <w:cantSplit/>
        </w:trPr>
        <w:tc>
          <w:tcPr>
            <w:tcW w:w="5000" w:type="pct"/>
            <w:gridSpan w:val="5"/>
            <w:shd w:val="clear" w:color="auto" w:fill="auto"/>
            <w:vAlign w:val="center"/>
          </w:tcPr>
          <w:p w14:paraId="2520EBD9" w14:textId="2C0A9739" w:rsidR="007035C2" w:rsidRPr="00484AE9" w:rsidRDefault="007035C2" w:rsidP="00093F02">
            <w:pPr>
              <w:pStyle w:val="TableText0"/>
              <w:rPr>
                <w:iCs/>
              </w:rPr>
            </w:pPr>
            <w:r w:rsidRPr="00484AE9">
              <w:rPr>
                <w:b/>
                <w:bCs w:val="0"/>
                <w:iCs/>
              </w:rPr>
              <w:t xml:space="preserve">Pre-PBAC response scenario </w:t>
            </w:r>
            <w:r w:rsidR="00984045" w:rsidRPr="00484AE9">
              <w:rPr>
                <w:b/>
                <w:bCs w:val="0"/>
                <w:iCs/>
              </w:rPr>
              <w:t>–</w:t>
            </w:r>
            <w:r w:rsidRPr="00484AE9">
              <w:rPr>
                <w:b/>
                <w:bCs w:val="0"/>
                <w:iCs/>
              </w:rPr>
              <w:t xml:space="preserve"> </w:t>
            </w:r>
            <w:r w:rsidR="00984045" w:rsidRPr="00484AE9">
              <w:rPr>
                <w:b/>
                <w:bCs w:val="0"/>
                <w:iCs/>
              </w:rPr>
              <w:t xml:space="preserve">Overall </w:t>
            </w:r>
            <w:r w:rsidRPr="00484AE9">
              <w:rPr>
                <w:b/>
                <w:bCs w:val="0"/>
                <w:iCs/>
              </w:rPr>
              <w:t>ICER with requirement for ≥ 2 risk factors for cohort aged 50-69, and price from pre-PBAC response (DPMQ = $1,251.34; AEMP=$1,130), all other settings same as current scenario</w:t>
            </w:r>
          </w:p>
        </w:tc>
      </w:tr>
      <w:tr w:rsidR="00984045" w:rsidRPr="00484AE9" w14:paraId="60469E33" w14:textId="77777777" w:rsidTr="005455EF">
        <w:trPr>
          <w:cantSplit/>
        </w:trPr>
        <w:tc>
          <w:tcPr>
            <w:tcW w:w="935" w:type="pct"/>
            <w:shd w:val="clear" w:color="auto" w:fill="auto"/>
          </w:tcPr>
          <w:p w14:paraId="50FAFCA2" w14:textId="4D22C324" w:rsidR="00984045" w:rsidRPr="00484AE9" w:rsidRDefault="00984045" w:rsidP="00984045">
            <w:pPr>
              <w:pStyle w:val="TableText0"/>
              <w:rPr>
                <w:iCs/>
              </w:rPr>
            </w:pPr>
            <w:r w:rsidRPr="00484AE9">
              <w:rPr>
                <w:iCs/>
              </w:rPr>
              <w:t>Costs</w:t>
            </w:r>
          </w:p>
        </w:tc>
        <w:tc>
          <w:tcPr>
            <w:tcW w:w="1018" w:type="pct"/>
            <w:shd w:val="clear" w:color="auto" w:fill="auto"/>
            <w:vAlign w:val="bottom"/>
          </w:tcPr>
          <w:p w14:paraId="47BAA2BA" w14:textId="5E93CC0B" w:rsidR="00984045" w:rsidRPr="00484AE9" w:rsidRDefault="00696519" w:rsidP="00984045">
            <w:pPr>
              <w:pStyle w:val="TableText0"/>
              <w:jc w:val="center"/>
              <w:rPr>
                <w:iCs/>
                <w:szCs w:val="20"/>
                <w:highlight w:val="yellow"/>
              </w:rPr>
            </w:pPr>
            <w:r w:rsidRPr="00696519">
              <w:rPr>
                <w:rFonts w:cs="Calibri"/>
                <w:color w:val="000000"/>
                <w:szCs w:val="20"/>
              </w:rPr>
              <w:t xml:space="preserve"> </w:t>
            </w:r>
            <w:r w:rsidRPr="00696519">
              <w:rPr>
                <w:rFonts w:cs="Calibri"/>
                <w:color w:val="000000"/>
                <w:szCs w:val="20"/>
                <w:shd w:val="solid" w:color="000000" w:fill="000000"/>
                <w14:textFill>
                  <w14:solidFill>
                    <w14:srgbClr w14:val="000000">
                      <w14:alpha w14:val="100000"/>
                    </w14:srgbClr>
                  </w14:solidFill>
                </w14:textFill>
              </w:rPr>
              <w:t>|</w:t>
            </w:r>
            <w:r w:rsidRPr="00696519">
              <w:rPr>
                <w:rFonts w:cs="Calibri"/>
                <w:color w:val="000000"/>
                <w:szCs w:val="20"/>
              </w:rPr>
              <w:t xml:space="preserve"> </w:t>
            </w:r>
          </w:p>
        </w:tc>
        <w:tc>
          <w:tcPr>
            <w:tcW w:w="1017" w:type="pct"/>
            <w:shd w:val="clear" w:color="auto" w:fill="auto"/>
            <w:vAlign w:val="bottom"/>
          </w:tcPr>
          <w:p w14:paraId="5E01852C" w14:textId="721E6DBD" w:rsidR="00984045" w:rsidRPr="00484AE9" w:rsidRDefault="00984045" w:rsidP="00984045">
            <w:pPr>
              <w:pStyle w:val="TableText0"/>
              <w:jc w:val="center"/>
              <w:rPr>
                <w:iCs/>
                <w:szCs w:val="20"/>
                <w:highlight w:val="yellow"/>
              </w:rPr>
            </w:pPr>
            <w:r w:rsidRPr="00484AE9">
              <w:rPr>
                <w:rFonts w:cs="Calibri"/>
                <w:color w:val="000000"/>
                <w:szCs w:val="20"/>
              </w:rPr>
              <w:t>$310.47</w:t>
            </w:r>
          </w:p>
        </w:tc>
        <w:tc>
          <w:tcPr>
            <w:tcW w:w="1094" w:type="pct"/>
            <w:shd w:val="clear" w:color="auto" w:fill="auto"/>
            <w:vAlign w:val="bottom"/>
          </w:tcPr>
          <w:p w14:paraId="7B5ECD63" w14:textId="2AC0AFF5" w:rsidR="00984045" w:rsidRPr="00484AE9" w:rsidRDefault="00696519" w:rsidP="00984045">
            <w:pPr>
              <w:pStyle w:val="TableText0"/>
              <w:jc w:val="center"/>
              <w:rPr>
                <w:iCs/>
                <w:szCs w:val="20"/>
                <w:highlight w:val="yellow"/>
              </w:rPr>
            </w:pPr>
            <w:r w:rsidRPr="00696519">
              <w:rPr>
                <w:rFonts w:cs="Calibri"/>
                <w:color w:val="000000"/>
                <w:szCs w:val="20"/>
              </w:rPr>
              <w:t xml:space="preserve"> </w:t>
            </w:r>
            <w:r w:rsidRPr="00696519">
              <w:rPr>
                <w:rFonts w:cs="Calibri"/>
                <w:color w:val="000000"/>
                <w:szCs w:val="20"/>
                <w:shd w:val="solid" w:color="000000" w:fill="000000"/>
                <w14:textFill>
                  <w14:solidFill>
                    <w14:srgbClr w14:val="000000">
                      <w14:alpha w14:val="100000"/>
                    </w14:srgbClr>
                  </w14:solidFill>
                </w14:textFill>
              </w:rPr>
              <w:t>|</w:t>
            </w:r>
            <w:r w:rsidRPr="00696519">
              <w:rPr>
                <w:rFonts w:cs="Calibri"/>
                <w:color w:val="000000"/>
                <w:szCs w:val="20"/>
              </w:rPr>
              <w:t xml:space="preserve"> </w:t>
            </w:r>
          </w:p>
        </w:tc>
        <w:tc>
          <w:tcPr>
            <w:tcW w:w="936" w:type="pct"/>
            <w:vMerge w:val="restart"/>
            <w:shd w:val="clear" w:color="auto" w:fill="auto"/>
          </w:tcPr>
          <w:p w14:paraId="7EFA3816" w14:textId="2E058DA1" w:rsidR="00984045" w:rsidRPr="00484AE9" w:rsidRDefault="00696519" w:rsidP="00D1583C">
            <w:pPr>
              <w:jc w:val="center"/>
              <w:rPr>
                <w:rFonts w:ascii="Arial Narrow" w:hAnsi="Arial Narrow" w:cs="Calibri"/>
                <w:color w:val="000000"/>
                <w:sz w:val="20"/>
                <w:szCs w:val="20"/>
              </w:rPr>
            </w:pPr>
            <w:r w:rsidRPr="00696519">
              <w:rPr>
                <w:rFonts w:ascii="Arial Narrow" w:hAnsi="Arial Narrow" w:cs="Calibri"/>
                <w:color w:val="000000"/>
                <w:sz w:val="20"/>
                <w:szCs w:val="20"/>
              </w:rPr>
              <w:t xml:space="preserve"> </w:t>
            </w:r>
            <w:r w:rsidRPr="00696519">
              <w:rPr>
                <w:rFonts w:ascii="Arial Narrow" w:hAnsi="Arial Narrow" w:cs="Calibri"/>
                <w:color w:val="000000"/>
                <w:sz w:val="20"/>
                <w:szCs w:val="20"/>
                <w:shd w:val="solid" w:color="000000" w:fill="000000"/>
                <w14:textFill>
                  <w14:solidFill>
                    <w14:srgbClr w14:val="000000">
                      <w14:alpha w14:val="100000"/>
                    </w14:srgbClr>
                  </w14:solidFill>
                </w14:textFill>
              </w:rPr>
              <w:t>|</w:t>
            </w:r>
            <w:r w:rsidR="00EB627C" w:rsidRPr="00F76D9A">
              <w:rPr>
                <w:rFonts w:ascii="Arial Narrow" w:hAnsi="Arial Narrow" w:cs="Calibri"/>
                <w:color w:val="000000"/>
                <w:sz w:val="20"/>
                <w:szCs w:val="20"/>
                <w:vertAlign w:val="superscript"/>
              </w:rPr>
              <w:t>3</w:t>
            </w:r>
          </w:p>
        </w:tc>
      </w:tr>
      <w:tr w:rsidR="00984045" w:rsidRPr="00484AE9" w14:paraId="7A2A52C0" w14:textId="77777777" w:rsidTr="009C19A9">
        <w:trPr>
          <w:cantSplit/>
        </w:trPr>
        <w:tc>
          <w:tcPr>
            <w:tcW w:w="935" w:type="pct"/>
            <w:shd w:val="clear" w:color="auto" w:fill="auto"/>
            <w:vAlign w:val="center"/>
          </w:tcPr>
          <w:p w14:paraId="7B4A92D6" w14:textId="0378DB2F" w:rsidR="00984045" w:rsidRPr="00484AE9" w:rsidRDefault="00984045" w:rsidP="00984045">
            <w:pPr>
              <w:pStyle w:val="TableText0"/>
              <w:rPr>
                <w:iCs/>
              </w:rPr>
            </w:pPr>
            <w:r w:rsidRPr="00484AE9">
              <w:rPr>
                <w:iCs/>
              </w:rPr>
              <w:t>QALYS lost</w:t>
            </w:r>
          </w:p>
        </w:tc>
        <w:tc>
          <w:tcPr>
            <w:tcW w:w="1018" w:type="pct"/>
            <w:shd w:val="clear" w:color="auto" w:fill="auto"/>
            <w:vAlign w:val="bottom"/>
          </w:tcPr>
          <w:p w14:paraId="76F01C3E" w14:textId="798C1FC4" w:rsidR="00984045" w:rsidRPr="00484AE9" w:rsidRDefault="00984045" w:rsidP="00984045">
            <w:pPr>
              <w:pStyle w:val="TableText0"/>
              <w:jc w:val="center"/>
              <w:rPr>
                <w:iCs/>
                <w:szCs w:val="20"/>
                <w:highlight w:val="yellow"/>
              </w:rPr>
            </w:pPr>
            <w:r w:rsidRPr="00484AE9">
              <w:rPr>
                <w:rFonts w:cs="Calibri"/>
                <w:color w:val="000000"/>
                <w:szCs w:val="20"/>
              </w:rPr>
              <w:t>-0.0208</w:t>
            </w:r>
          </w:p>
        </w:tc>
        <w:tc>
          <w:tcPr>
            <w:tcW w:w="1017" w:type="pct"/>
            <w:shd w:val="clear" w:color="auto" w:fill="auto"/>
            <w:vAlign w:val="bottom"/>
          </w:tcPr>
          <w:p w14:paraId="74787B12" w14:textId="45E9E875" w:rsidR="00984045" w:rsidRPr="00484AE9" w:rsidRDefault="00984045" w:rsidP="00984045">
            <w:pPr>
              <w:pStyle w:val="TableText0"/>
              <w:jc w:val="center"/>
              <w:rPr>
                <w:iCs/>
                <w:szCs w:val="20"/>
                <w:highlight w:val="yellow"/>
              </w:rPr>
            </w:pPr>
            <w:r w:rsidRPr="00484AE9">
              <w:rPr>
                <w:rFonts w:cs="Calibri"/>
                <w:color w:val="000000"/>
                <w:szCs w:val="20"/>
              </w:rPr>
              <w:t>-0.0715</w:t>
            </w:r>
          </w:p>
        </w:tc>
        <w:tc>
          <w:tcPr>
            <w:tcW w:w="1094" w:type="pct"/>
            <w:shd w:val="clear" w:color="auto" w:fill="auto"/>
            <w:vAlign w:val="bottom"/>
          </w:tcPr>
          <w:p w14:paraId="4D1647D1" w14:textId="24E0E0AB" w:rsidR="00984045" w:rsidRPr="00484AE9" w:rsidRDefault="00984045" w:rsidP="00984045">
            <w:pPr>
              <w:pStyle w:val="TableText0"/>
              <w:jc w:val="center"/>
              <w:rPr>
                <w:iCs/>
                <w:szCs w:val="20"/>
                <w:highlight w:val="yellow"/>
              </w:rPr>
            </w:pPr>
            <w:r w:rsidRPr="00484AE9">
              <w:rPr>
                <w:rFonts w:cs="Calibri"/>
                <w:color w:val="000000"/>
                <w:szCs w:val="20"/>
              </w:rPr>
              <w:t>0.0506</w:t>
            </w:r>
          </w:p>
        </w:tc>
        <w:tc>
          <w:tcPr>
            <w:tcW w:w="936" w:type="pct"/>
            <w:vMerge/>
            <w:shd w:val="clear" w:color="auto" w:fill="auto"/>
          </w:tcPr>
          <w:p w14:paraId="6ACDF484" w14:textId="77777777" w:rsidR="00984045" w:rsidRPr="00484AE9" w:rsidRDefault="00984045" w:rsidP="00984045">
            <w:pPr>
              <w:pStyle w:val="TableText0"/>
              <w:jc w:val="center"/>
              <w:rPr>
                <w:iCs/>
              </w:rPr>
            </w:pPr>
          </w:p>
        </w:tc>
      </w:tr>
      <w:tr w:rsidR="007035C2" w:rsidRPr="00484AE9" w14:paraId="2B2ADE17" w14:textId="77777777" w:rsidTr="00610044">
        <w:trPr>
          <w:cantSplit/>
        </w:trPr>
        <w:tc>
          <w:tcPr>
            <w:tcW w:w="5000" w:type="pct"/>
            <w:gridSpan w:val="5"/>
            <w:shd w:val="clear" w:color="auto" w:fill="auto"/>
            <w:vAlign w:val="center"/>
          </w:tcPr>
          <w:p w14:paraId="17E444AA" w14:textId="49AA792D" w:rsidR="007035C2" w:rsidRPr="00484AE9" w:rsidRDefault="007035C2" w:rsidP="007035C2">
            <w:pPr>
              <w:pStyle w:val="Tabletext"/>
              <w:keepNext/>
              <w:rPr>
                <w:b/>
                <w:bCs/>
                <w:iCs/>
              </w:rPr>
            </w:pPr>
            <w:r w:rsidRPr="00484AE9">
              <w:rPr>
                <w:b/>
                <w:bCs/>
                <w:iCs/>
              </w:rPr>
              <w:t xml:space="preserve">Revised </w:t>
            </w:r>
            <w:r w:rsidR="00093F02" w:rsidRPr="00484AE9">
              <w:rPr>
                <w:b/>
                <w:bCs/>
                <w:iCs/>
              </w:rPr>
              <w:t>s</w:t>
            </w:r>
            <w:r w:rsidRPr="00484AE9">
              <w:rPr>
                <w:b/>
                <w:bCs/>
                <w:iCs/>
              </w:rPr>
              <w:t>cenario with price reduction</w:t>
            </w:r>
            <w:r w:rsidRPr="00484AE9">
              <w:rPr>
                <w:b/>
                <w:bCs/>
                <w:iCs/>
                <w:vertAlign w:val="superscript"/>
              </w:rPr>
              <w:t>b</w:t>
            </w:r>
            <w:r w:rsidR="008A2FA7" w:rsidRPr="00484AE9">
              <w:rPr>
                <w:b/>
                <w:bCs/>
                <w:iCs/>
                <w:vertAlign w:val="superscript"/>
              </w:rPr>
              <w:t>—</w:t>
            </w:r>
            <w:r w:rsidR="007B46D5" w:rsidRPr="00484AE9">
              <w:rPr>
                <w:b/>
                <w:bCs/>
                <w:iCs/>
              </w:rPr>
              <w:t>Overall</w:t>
            </w:r>
            <w:r w:rsidR="008A2FA7" w:rsidRPr="00484AE9">
              <w:rPr>
                <w:b/>
                <w:bCs/>
                <w:iCs/>
              </w:rPr>
              <w:t xml:space="preserve"> ICER with price reduction </w:t>
            </w:r>
            <w:r w:rsidRPr="00484AE9">
              <w:rPr>
                <w:b/>
                <w:bCs/>
                <w:iCs/>
              </w:rPr>
              <w:t>corresponding to PBAC advice (ICER ≤$15,000/QALY in all subgroups</w:t>
            </w:r>
            <w:r w:rsidR="00093F02" w:rsidRPr="00484AE9">
              <w:rPr>
                <w:b/>
                <w:bCs/>
                <w:iCs/>
              </w:rPr>
              <w:t xml:space="preserve"> and </w:t>
            </w:r>
            <w:r w:rsidRPr="00484AE9">
              <w:rPr>
                <w:b/>
                <w:iCs/>
              </w:rPr>
              <w:t>requirement for ≥ 2 risk factors for cohort aged 50-69</w:t>
            </w:r>
            <w:r w:rsidR="008A2FA7" w:rsidRPr="00484AE9">
              <w:rPr>
                <w:b/>
                <w:iCs/>
              </w:rPr>
              <w:t>)</w:t>
            </w:r>
          </w:p>
        </w:tc>
      </w:tr>
      <w:tr w:rsidR="007B46D5" w:rsidRPr="00484AE9" w14:paraId="0DAF7EB5" w14:textId="77777777" w:rsidTr="00D774E9">
        <w:trPr>
          <w:cantSplit/>
          <w:trHeight w:val="71"/>
        </w:trPr>
        <w:tc>
          <w:tcPr>
            <w:tcW w:w="935" w:type="pct"/>
            <w:shd w:val="clear" w:color="auto" w:fill="auto"/>
            <w:vAlign w:val="center"/>
          </w:tcPr>
          <w:p w14:paraId="09A798C8" w14:textId="2AFD0CE1" w:rsidR="007B46D5" w:rsidRPr="00484AE9" w:rsidRDefault="007B46D5" w:rsidP="007B46D5">
            <w:pPr>
              <w:pStyle w:val="TableText0"/>
              <w:rPr>
                <w:iCs/>
              </w:rPr>
            </w:pPr>
            <w:r w:rsidRPr="00484AE9">
              <w:rPr>
                <w:iCs/>
              </w:rPr>
              <w:t>Costs</w:t>
            </w:r>
          </w:p>
        </w:tc>
        <w:tc>
          <w:tcPr>
            <w:tcW w:w="1018" w:type="pct"/>
            <w:shd w:val="clear" w:color="auto" w:fill="auto"/>
          </w:tcPr>
          <w:p w14:paraId="7D9CF716" w14:textId="3A436DD8" w:rsidR="007B46D5" w:rsidRPr="00484AE9" w:rsidRDefault="00696519" w:rsidP="007B46D5">
            <w:pPr>
              <w:pStyle w:val="TableText0"/>
              <w:jc w:val="center"/>
              <w:rPr>
                <w:iCs/>
                <w:highlight w:val="yellow"/>
              </w:rPr>
            </w:pPr>
            <w:r w:rsidRPr="00696519">
              <w:t xml:space="preserve"> </w:t>
            </w:r>
            <w:r w:rsidRPr="00696519">
              <w:rPr>
                <w:color w:val="000000"/>
                <w:shd w:val="solid" w:color="000000" w:fill="000000"/>
                <w14:textFill>
                  <w14:solidFill>
                    <w14:srgbClr w14:val="000000">
                      <w14:alpha w14:val="100000"/>
                    </w14:srgbClr>
                  </w14:solidFill>
                </w14:textFill>
              </w:rPr>
              <w:t>|</w:t>
            </w:r>
            <w:r w:rsidRPr="00696519">
              <w:t xml:space="preserve"> </w:t>
            </w:r>
          </w:p>
        </w:tc>
        <w:tc>
          <w:tcPr>
            <w:tcW w:w="1017" w:type="pct"/>
            <w:shd w:val="clear" w:color="auto" w:fill="auto"/>
          </w:tcPr>
          <w:p w14:paraId="09BFFD4F" w14:textId="37C0D722" w:rsidR="007B46D5" w:rsidRPr="00484AE9" w:rsidRDefault="007B46D5" w:rsidP="007B46D5">
            <w:pPr>
              <w:pStyle w:val="TableText0"/>
              <w:jc w:val="center"/>
              <w:rPr>
                <w:iCs/>
                <w:highlight w:val="yellow"/>
              </w:rPr>
            </w:pPr>
            <w:r w:rsidRPr="00484AE9">
              <w:t>$310.47</w:t>
            </w:r>
          </w:p>
        </w:tc>
        <w:tc>
          <w:tcPr>
            <w:tcW w:w="1094" w:type="pct"/>
            <w:shd w:val="clear" w:color="auto" w:fill="auto"/>
          </w:tcPr>
          <w:p w14:paraId="25656BFC" w14:textId="2EE3085D" w:rsidR="007B46D5" w:rsidRPr="00484AE9" w:rsidRDefault="00696519" w:rsidP="007B46D5">
            <w:pPr>
              <w:pStyle w:val="TableText0"/>
              <w:jc w:val="center"/>
              <w:rPr>
                <w:iCs/>
                <w:highlight w:val="yellow"/>
              </w:rPr>
            </w:pPr>
            <w:r w:rsidRPr="00696519">
              <w:t xml:space="preserve"> </w:t>
            </w:r>
            <w:r w:rsidRPr="00696519">
              <w:rPr>
                <w:color w:val="000000"/>
                <w:shd w:val="solid" w:color="000000" w:fill="000000"/>
                <w14:textFill>
                  <w14:solidFill>
                    <w14:srgbClr w14:val="000000">
                      <w14:alpha w14:val="100000"/>
                    </w14:srgbClr>
                  </w14:solidFill>
                </w14:textFill>
              </w:rPr>
              <w:t>|</w:t>
            </w:r>
            <w:r w:rsidRPr="00696519">
              <w:t xml:space="preserve"> </w:t>
            </w:r>
          </w:p>
        </w:tc>
        <w:tc>
          <w:tcPr>
            <w:tcW w:w="936" w:type="pct"/>
            <w:vMerge w:val="restart"/>
            <w:shd w:val="clear" w:color="auto" w:fill="auto"/>
            <w:vAlign w:val="center"/>
          </w:tcPr>
          <w:p w14:paraId="3EEC636F" w14:textId="1CDE2706" w:rsidR="007B46D5" w:rsidRPr="00484AE9" w:rsidRDefault="00696519" w:rsidP="007B46D5">
            <w:pPr>
              <w:pStyle w:val="TableText0"/>
              <w:jc w:val="center"/>
              <w:rPr>
                <w:iCs/>
                <w:highlight w:val="magenta"/>
              </w:rPr>
            </w:pPr>
            <w:r w:rsidRPr="00696519">
              <w:rPr>
                <w:iCs/>
              </w:rPr>
              <w:t xml:space="preserve"> </w:t>
            </w:r>
            <w:r w:rsidRPr="00696519">
              <w:rPr>
                <w:iCs/>
                <w:color w:val="000000"/>
                <w:shd w:val="solid" w:color="000000" w:fill="000000"/>
                <w14:textFill>
                  <w14:solidFill>
                    <w14:srgbClr w14:val="000000">
                      <w14:alpha w14:val="100000"/>
                    </w14:srgbClr>
                  </w14:solidFill>
                </w14:textFill>
              </w:rPr>
              <w:t>|</w:t>
            </w:r>
            <w:r w:rsidR="00EB627C" w:rsidRPr="00D95954">
              <w:rPr>
                <w:iCs/>
                <w:vertAlign w:val="superscript"/>
              </w:rPr>
              <w:t>2</w:t>
            </w:r>
          </w:p>
        </w:tc>
      </w:tr>
      <w:tr w:rsidR="007B46D5" w:rsidRPr="00484AE9" w14:paraId="2FB4226F" w14:textId="77777777" w:rsidTr="00F1122F">
        <w:trPr>
          <w:cantSplit/>
        </w:trPr>
        <w:tc>
          <w:tcPr>
            <w:tcW w:w="935" w:type="pct"/>
            <w:shd w:val="clear" w:color="auto" w:fill="auto"/>
            <w:vAlign w:val="center"/>
          </w:tcPr>
          <w:p w14:paraId="603D0E2B" w14:textId="2C04EA55" w:rsidR="007B46D5" w:rsidRPr="00484AE9" w:rsidRDefault="007B46D5" w:rsidP="007B46D5">
            <w:pPr>
              <w:pStyle w:val="TableText0"/>
              <w:rPr>
                <w:iCs/>
              </w:rPr>
            </w:pPr>
            <w:r w:rsidRPr="00484AE9">
              <w:rPr>
                <w:iCs/>
              </w:rPr>
              <w:t>QALYS lost</w:t>
            </w:r>
          </w:p>
        </w:tc>
        <w:tc>
          <w:tcPr>
            <w:tcW w:w="1018" w:type="pct"/>
            <w:shd w:val="clear" w:color="auto" w:fill="auto"/>
          </w:tcPr>
          <w:p w14:paraId="21557A1D" w14:textId="078BE9BA" w:rsidR="007B46D5" w:rsidRPr="00484AE9" w:rsidRDefault="007B46D5" w:rsidP="007B46D5">
            <w:pPr>
              <w:pStyle w:val="TableText0"/>
              <w:jc w:val="center"/>
              <w:rPr>
                <w:iCs/>
                <w:highlight w:val="yellow"/>
              </w:rPr>
            </w:pPr>
            <w:r w:rsidRPr="00484AE9">
              <w:t>-0.0208</w:t>
            </w:r>
          </w:p>
        </w:tc>
        <w:tc>
          <w:tcPr>
            <w:tcW w:w="1017" w:type="pct"/>
            <w:shd w:val="clear" w:color="auto" w:fill="auto"/>
          </w:tcPr>
          <w:p w14:paraId="673A72FD" w14:textId="0CED3C80" w:rsidR="007B46D5" w:rsidRPr="00484AE9" w:rsidRDefault="007B46D5" w:rsidP="007B46D5">
            <w:pPr>
              <w:pStyle w:val="TableText0"/>
              <w:jc w:val="center"/>
              <w:rPr>
                <w:iCs/>
                <w:highlight w:val="yellow"/>
              </w:rPr>
            </w:pPr>
            <w:r w:rsidRPr="00484AE9">
              <w:t>-0.0715</w:t>
            </w:r>
          </w:p>
        </w:tc>
        <w:tc>
          <w:tcPr>
            <w:tcW w:w="1094" w:type="pct"/>
            <w:shd w:val="clear" w:color="auto" w:fill="auto"/>
          </w:tcPr>
          <w:p w14:paraId="485A468D" w14:textId="42CE09B2" w:rsidR="007B46D5" w:rsidRPr="00484AE9" w:rsidRDefault="007B46D5" w:rsidP="007B46D5">
            <w:pPr>
              <w:pStyle w:val="TableText0"/>
              <w:jc w:val="center"/>
              <w:rPr>
                <w:iCs/>
                <w:highlight w:val="yellow"/>
              </w:rPr>
            </w:pPr>
            <w:r w:rsidRPr="00484AE9">
              <w:t>0.0506</w:t>
            </w:r>
          </w:p>
        </w:tc>
        <w:tc>
          <w:tcPr>
            <w:tcW w:w="936" w:type="pct"/>
            <w:vMerge/>
            <w:shd w:val="clear" w:color="auto" w:fill="auto"/>
          </w:tcPr>
          <w:p w14:paraId="4A51659D" w14:textId="77777777" w:rsidR="007B46D5" w:rsidRPr="00484AE9" w:rsidRDefault="007B46D5" w:rsidP="007B46D5">
            <w:pPr>
              <w:pStyle w:val="TableText0"/>
              <w:jc w:val="center"/>
              <w:rPr>
                <w:iCs/>
              </w:rPr>
            </w:pPr>
          </w:p>
        </w:tc>
      </w:tr>
    </w:tbl>
    <w:p w14:paraId="7AD8E708" w14:textId="00AAFCE8" w:rsidR="00826E25" w:rsidRPr="00600091" w:rsidRDefault="00826E25" w:rsidP="00826E25">
      <w:pPr>
        <w:pStyle w:val="3-BodyText"/>
        <w:numPr>
          <w:ilvl w:val="0"/>
          <w:numId w:val="0"/>
        </w:numPr>
        <w:spacing w:after="0"/>
        <w:rPr>
          <w:rFonts w:ascii="Arial Narrow" w:hAnsi="Arial Narrow"/>
          <w:iCs/>
          <w:sz w:val="18"/>
          <w:szCs w:val="18"/>
        </w:rPr>
      </w:pPr>
      <w:bookmarkStart w:id="147" w:name="_Ref151036749"/>
      <w:r w:rsidRPr="00826E25">
        <w:rPr>
          <w:rFonts w:ascii="Arial Narrow" w:hAnsi="Arial Narrow"/>
          <w:iCs/>
          <w:sz w:val="18"/>
          <w:szCs w:val="18"/>
        </w:rPr>
        <w:t xml:space="preserve">a. The price of nirmatrelvir and ritonavir applied is the requested DPMQ in the submission, based on an ex-manufacturer price </w:t>
      </w:r>
      <w:r w:rsidRPr="00600091">
        <w:rPr>
          <w:rFonts w:ascii="Arial Narrow" w:hAnsi="Arial Narrow"/>
          <w:iCs/>
          <w:sz w:val="18"/>
          <w:szCs w:val="18"/>
        </w:rPr>
        <w:t xml:space="preserve">of </w:t>
      </w:r>
      <w:r w:rsidR="00696519" w:rsidRPr="00696519">
        <w:rPr>
          <w:rFonts w:ascii="Arial Narrow" w:hAnsi="Arial Narrow"/>
          <w:iCs/>
          <w:sz w:val="18"/>
          <w:szCs w:val="18"/>
        </w:rPr>
        <w:t>$</w:t>
      </w:r>
      <w:r w:rsidR="00696519" w:rsidRPr="00822E49">
        <w:rPr>
          <w:rFonts w:ascii="Arial Narrow" w:hAnsi="Arial Narrow"/>
          <w:iCs/>
          <w:color w:val="000000"/>
          <w:spacing w:val="81"/>
          <w:sz w:val="18"/>
          <w:szCs w:val="18"/>
          <w:shd w:val="solid" w:color="000000" w:fill="000000"/>
          <w:fitText w:val="280" w:id="-1032088832"/>
          <w14:textFill>
            <w14:solidFill>
              <w14:srgbClr w14:val="000000">
                <w14:alpha w14:val="100000"/>
              </w14:srgbClr>
            </w14:solidFill>
          </w14:textFill>
        </w:rPr>
        <w:t xml:space="preserve">| </w:t>
      </w:r>
      <w:r w:rsidR="00696519" w:rsidRPr="00822E49">
        <w:rPr>
          <w:rFonts w:ascii="Arial Narrow" w:hAnsi="Arial Narrow"/>
          <w:iCs/>
          <w:color w:val="000000"/>
          <w:spacing w:val="1"/>
          <w:sz w:val="18"/>
          <w:szCs w:val="18"/>
          <w:shd w:val="solid" w:color="000000" w:fill="000000"/>
          <w:fitText w:val="280" w:id="-1032088832"/>
          <w14:textFill>
            <w14:solidFill>
              <w14:srgbClr w14:val="000000">
                <w14:alpha w14:val="100000"/>
              </w14:srgbClr>
            </w14:solidFill>
          </w14:textFill>
        </w:rPr>
        <w:t>|</w:t>
      </w:r>
      <w:r w:rsidR="00696519" w:rsidRPr="00696519">
        <w:rPr>
          <w:rFonts w:ascii="Arial Narrow" w:hAnsi="Arial Narrow"/>
          <w:iCs/>
          <w:sz w:val="18"/>
          <w:szCs w:val="18"/>
        </w:rPr>
        <w:t xml:space="preserve"> </w:t>
      </w:r>
      <w:r w:rsidRPr="00600091">
        <w:rPr>
          <w:rFonts w:ascii="Arial Narrow" w:hAnsi="Arial Narrow"/>
          <w:iCs/>
          <w:sz w:val="18"/>
          <w:szCs w:val="18"/>
        </w:rPr>
        <w:t>per pack.</w:t>
      </w:r>
    </w:p>
    <w:p w14:paraId="44F46D8E" w14:textId="26025631" w:rsidR="00826E25" w:rsidRPr="00826E25" w:rsidRDefault="00826E25" w:rsidP="00826E25">
      <w:pPr>
        <w:pStyle w:val="3-BodyText"/>
        <w:numPr>
          <w:ilvl w:val="0"/>
          <w:numId w:val="0"/>
        </w:numPr>
        <w:spacing w:after="0"/>
        <w:rPr>
          <w:rFonts w:ascii="Arial Narrow" w:hAnsi="Arial Narrow"/>
          <w:iCs/>
          <w:sz w:val="18"/>
          <w:szCs w:val="18"/>
        </w:rPr>
      </w:pPr>
      <w:r w:rsidRPr="00600091">
        <w:rPr>
          <w:rFonts w:ascii="Arial Narrow" w:hAnsi="Arial Narrow"/>
          <w:iCs/>
          <w:sz w:val="18"/>
          <w:szCs w:val="18"/>
        </w:rPr>
        <w:lastRenderedPageBreak/>
        <w:t xml:space="preserve">b. The nirmatrelvir and ritonavir weighted DPMQ in the revised scenario is </w:t>
      </w:r>
      <w:r w:rsidR="00696519" w:rsidRPr="00696519">
        <w:rPr>
          <w:rFonts w:ascii="Arial Narrow" w:hAnsi="Arial Narrow"/>
          <w:iCs/>
          <w:sz w:val="18"/>
          <w:szCs w:val="18"/>
        </w:rPr>
        <w:t>$</w:t>
      </w:r>
      <w:r w:rsidR="00696519" w:rsidRPr="00822E49">
        <w:rPr>
          <w:rFonts w:ascii="Arial Narrow" w:hAnsi="Arial Narrow"/>
          <w:iCs/>
          <w:color w:val="000000"/>
          <w:spacing w:val="81"/>
          <w:sz w:val="18"/>
          <w:szCs w:val="18"/>
          <w:shd w:val="solid" w:color="000000" w:fill="000000"/>
          <w:fitText w:val="280" w:id="-1032088831"/>
          <w14:textFill>
            <w14:solidFill>
              <w14:srgbClr w14:val="000000">
                <w14:alpha w14:val="100000"/>
              </w14:srgbClr>
            </w14:solidFill>
          </w14:textFill>
        </w:rPr>
        <w:t xml:space="preserve">| </w:t>
      </w:r>
      <w:r w:rsidR="00696519" w:rsidRPr="00822E49">
        <w:rPr>
          <w:rFonts w:ascii="Arial Narrow" w:hAnsi="Arial Narrow"/>
          <w:iCs/>
          <w:color w:val="000000"/>
          <w:spacing w:val="1"/>
          <w:sz w:val="18"/>
          <w:szCs w:val="18"/>
          <w:shd w:val="solid" w:color="000000" w:fill="000000"/>
          <w:fitText w:val="280" w:id="-1032088831"/>
          <w14:textFill>
            <w14:solidFill>
              <w14:srgbClr w14:val="000000">
                <w14:alpha w14:val="100000"/>
              </w14:srgbClr>
            </w14:solidFill>
          </w14:textFill>
        </w:rPr>
        <w:t>|</w:t>
      </w:r>
      <w:r w:rsidRPr="00600091">
        <w:rPr>
          <w:rFonts w:ascii="Arial Narrow" w:hAnsi="Arial Narrow"/>
          <w:iCs/>
          <w:sz w:val="18"/>
          <w:szCs w:val="18"/>
        </w:rPr>
        <w:t xml:space="preserve"> </w:t>
      </w:r>
      <w:r w:rsidR="00822E49" w:rsidRPr="00822E49">
        <w:rPr>
          <w:rFonts w:ascii="Arial Narrow" w:hAnsi="Arial Narrow"/>
          <w:iCs/>
          <w:sz w:val="18"/>
          <w:szCs w:val="18"/>
        </w:rPr>
        <w:t>(</w:t>
      </w:r>
      <w:r w:rsidR="00696519" w:rsidRPr="00822E49">
        <w:rPr>
          <w:rFonts w:ascii="Arial Narrow" w:hAnsi="Arial Narrow"/>
          <w:iCs/>
          <w:color w:val="000000"/>
          <w:spacing w:val="76"/>
          <w:sz w:val="18"/>
          <w:szCs w:val="18"/>
          <w:shd w:val="solid" w:color="000000" w:fill="000000"/>
          <w:fitText w:val="270" w:id="-1032088830"/>
          <w14:textFill>
            <w14:solidFill>
              <w14:srgbClr w14:val="000000">
                <w14:alpha w14:val="100000"/>
              </w14:srgbClr>
            </w14:solidFill>
          </w14:textFill>
        </w:rPr>
        <w:t xml:space="preserve">| </w:t>
      </w:r>
      <w:r w:rsidR="00696519" w:rsidRPr="00822E49">
        <w:rPr>
          <w:rFonts w:ascii="Arial Narrow" w:hAnsi="Arial Narrow"/>
          <w:iCs/>
          <w:color w:val="000000"/>
          <w:spacing w:val="1"/>
          <w:sz w:val="18"/>
          <w:szCs w:val="18"/>
          <w:shd w:val="solid" w:color="000000" w:fill="000000"/>
          <w:fitText w:val="270" w:id="-1032088830"/>
          <w14:textFill>
            <w14:solidFill>
              <w14:srgbClr w14:val="000000">
                <w14:alpha w14:val="100000"/>
              </w14:srgbClr>
            </w14:solidFill>
          </w14:textFill>
        </w:rPr>
        <w:t>|</w:t>
      </w:r>
      <w:r w:rsidRPr="00600091">
        <w:rPr>
          <w:rFonts w:ascii="Arial Narrow" w:hAnsi="Arial Narrow"/>
          <w:iCs/>
          <w:sz w:val="18"/>
          <w:szCs w:val="18"/>
        </w:rPr>
        <w:t xml:space="preserve">% reduction from the proposed DPMQ in pre-PBAC response of </w:t>
      </w:r>
      <w:r w:rsidR="00696519" w:rsidRPr="00696519">
        <w:rPr>
          <w:rFonts w:ascii="Arial Narrow" w:hAnsi="Arial Narrow"/>
          <w:iCs/>
          <w:sz w:val="18"/>
          <w:szCs w:val="18"/>
        </w:rPr>
        <w:t>$</w:t>
      </w:r>
      <w:r w:rsidR="00696519" w:rsidRPr="00822E49">
        <w:rPr>
          <w:rFonts w:ascii="Arial Narrow" w:hAnsi="Arial Narrow"/>
          <w:iCs/>
          <w:color w:val="000000"/>
          <w:spacing w:val="81"/>
          <w:sz w:val="18"/>
          <w:szCs w:val="18"/>
          <w:shd w:val="solid" w:color="000000" w:fill="000000"/>
          <w:fitText w:val="280" w:id="-1032088829"/>
          <w14:textFill>
            <w14:solidFill>
              <w14:srgbClr w14:val="000000">
                <w14:alpha w14:val="100000"/>
              </w14:srgbClr>
            </w14:solidFill>
          </w14:textFill>
        </w:rPr>
        <w:t xml:space="preserve">| </w:t>
      </w:r>
      <w:r w:rsidR="00696519" w:rsidRPr="00822E49">
        <w:rPr>
          <w:rFonts w:ascii="Arial Narrow" w:hAnsi="Arial Narrow"/>
          <w:iCs/>
          <w:color w:val="000000"/>
          <w:spacing w:val="1"/>
          <w:sz w:val="18"/>
          <w:szCs w:val="18"/>
          <w:shd w:val="solid" w:color="000000" w:fill="000000"/>
          <w:fitText w:val="280" w:id="-1032088829"/>
          <w14:textFill>
            <w14:solidFill>
              <w14:srgbClr w14:val="000000">
                <w14:alpha w14:val="100000"/>
              </w14:srgbClr>
            </w14:solidFill>
          </w14:textFill>
        </w:rPr>
        <w:t>|</w:t>
      </w:r>
      <w:r w:rsidR="00696519" w:rsidRPr="00696519">
        <w:rPr>
          <w:rFonts w:ascii="Arial Narrow" w:hAnsi="Arial Narrow"/>
          <w:iCs/>
          <w:sz w:val="18"/>
          <w:szCs w:val="18"/>
        </w:rPr>
        <w:t xml:space="preserve"> </w:t>
      </w:r>
      <w:r w:rsidRPr="00600091">
        <w:rPr>
          <w:rFonts w:ascii="Arial Narrow" w:hAnsi="Arial Narrow"/>
          <w:iCs/>
          <w:sz w:val="18"/>
          <w:szCs w:val="18"/>
        </w:rPr>
        <w:t xml:space="preserve">(based on AEMP of </w:t>
      </w:r>
      <w:r w:rsidR="00696519" w:rsidRPr="00696519">
        <w:rPr>
          <w:rFonts w:ascii="Arial Narrow" w:hAnsi="Arial Narrow"/>
          <w:iCs/>
          <w:sz w:val="18"/>
          <w:szCs w:val="18"/>
        </w:rPr>
        <w:t>$</w:t>
      </w:r>
      <w:r w:rsidR="00696519" w:rsidRPr="00822E49">
        <w:rPr>
          <w:rFonts w:ascii="Arial Narrow" w:hAnsi="Arial Narrow"/>
          <w:iCs/>
          <w:color w:val="000000"/>
          <w:spacing w:val="76"/>
          <w:sz w:val="18"/>
          <w:szCs w:val="18"/>
          <w:shd w:val="solid" w:color="000000" w:fill="000000"/>
          <w:fitText w:val="270" w:id="-1032088828"/>
          <w14:textFill>
            <w14:solidFill>
              <w14:srgbClr w14:val="000000">
                <w14:alpha w14:val="100000"/>
              </w14:srgbClr>
            </w14:solidFill>
          </w14:textFill>
        </w:rPr>
        <w:t xml:space="preserve">| </w:t>
      </w:r>
      <w:r w:rsidR="00696519" w:rsidRPr="00822E49">
        <w:rPr>
          <w:rFonts w:ascii="Arial Narrow" w:hAnsi="Arial Narrow"/>
          <w:iCs/>
          <w:color w:val="000000"/>
          <w:spacing w:val="1"/>
          <w:sz w:val="18"/>
          <w:szCs w:val="18"/>
          <w:shd w:val="solid" w:color="000000" w:fill="000000"/>
          <w:fitText w:val="270" w:id="-1032088828"/>
          <w14:textFill>
            <w14:solidFill>
              <w14:srgbClr w14:val="000000">
                <w14:alpha w14:val="100000"/>
              </w14:srgbClr>
            </w14:solidFill>
          </w14:textFill>
        </w:rPr>
        <w:t>|</w:t>
      </w:r>
      <w:r w:rsidRPr="00600091">
        <w:rPr>
          <w:rFonts w:ascii="Arial Narrow" w:hAnsi="Arial Narrow"/>
          <w:iCs/>
          <w:sz w:val="18"/>
          <w:szCs w:val="18"/>
        </w:rPr>
        <w:t>), and</w:t>
      </w:r>
      <w:r w:rsidR="00696519" w:rsidRPr="00696519">
        <w:rPr>
          <w:rFonts w:ascii="Arial Narrow" w:hAnsi="Arial Narrow"/>
          <w:iCs/>
          <w:sz w:val="18"/>
          <w:szCs w:val="18"/>
        </w:rPr>
        <w:t xml:space="preserve"> </w:t>
      </w:r>
      <w:r w:rsidR="00696519" w:rsidRPr="00696519">
        <w:rPr>
          <w:rFonts w:ascii="Arial Narrow" w:hAnsi="Arial Narrow"/>
          <w:iCs/>
          <w:color w:val="000000"/>
          <w:spacing w:val="76"/>
          <w:sz w:val="18"/>
          <w:szCs w:val="18"/>
          <w:shd w:val="solid" w:color="000000" w:fill="000000"/>
          <w:fitText w:val="270" w:id="-1032088827"/>
          <w14:textFill>
            <w14:solidFill>
              <w14:srgbClr w14:val="000000">
                <w14:alpha w14:val="100000"/>
              </w14:srgbClr>
            </w14:solidFill>
          </w14:textFill>
        </w:rPr>
        <w:t xml:space="preserve">| </w:t>
      </w:r>
      <w:r w:rsidR="00696519" w:rsidRPr="00696519">
        <w:rPr>
          <w:rFonts w:ascii="Arial Narrow" w:hAnsi="Arial Narrow"/>
          <w:iCs/>
          <w:color w:val="000000"/>
          <w:spacing w:val="1"/>
          <w:sz w:val="18"/>
          <w:szCs w:val="18"/>
          <w:shd w:val="solid" w:color="000000" w:fill="000000"/>
          <w:fitText w:val="270" w:id="-1032088827"/>
          <w14:textFill>
            <w14:solidFill>
              <w14:srgbClr w14:val="000000">
                <w14:alpha w14:val="100000"/>
              </w14:srgbClr>
            </w14:solidFill>
          </w14:textFill>
        </w:rPr>
        <w:t>|</w:t>
      </w:r>
      <w:r w:rsidRPr="00600091">
        <w:rPr>
          <w:rFonts w:ascii="Arial Narrow" w:hAnsi="Arial Narrow"/>
          <w:iCs/>
          <w:sz w:val="18"/>
          <w:szCs w:val="18"/>
        </w:rPr>
        <w:t>% from the current DPMQ of $1,114.84).</w:t>
      </w:r>
      <w:r w:rsidR="00F76D9A">
        <w:rPr>
          <w:rFonts w:ascii="Arial Narrow" w:hAnsi="Arial Narrow"/>
          <w:iCs/>
          <w:sz w:val="18"/>
          <w:szCs w:val="18"/>
        </w:rPr>
        <w:t xml:space="preserve"> </w:t>
      </w:r>
      <w:r w:rsidRPr="00600091">
        <w:rPr>
          <w:rFonts w:ascii="Arial Narrow" w:hAnsi="Arial Narrow"/>
          <w:iCs/>
          <w:sz w:val="18"/>
          <w:szCs w:val="18"/>
        </w:rPr>
        <w:t>The effective DPMQ for each individual subgroup is shown in Table 26.</w:t>
      </w:r>
    </w:p>
    <w:p w14:paraId="7382D8F2" w14:textId="2B625A3B" w:rsidR="00826E25" w:rsidRDefault="00826E25" w:rsidP="00F76D9A">
      <w:pPr>
        <w:pStyle w:val="3-BodyText"/>
        <w:numPr>
          <w:ilvl w:val="0"/>
          <w:numId w:val="0"/>
        </w:numPr>
        <w:spacing w:after="0"/>
        <w:rPr>
          <w:rFonts w:ascii="Arial Narrow" w:hAnsi="Arial Narrow"/>
          <w:iCs/>
          <w:sz w:val="18"/>
          <w:szCs w:val="18"/>
        </w:rPr>
      </w:pPr>
      <w:r w:rsidRPr="00826E25">
        <w:rPr>
          <w:rFonts w:ascii="Arial Narrow" w:hAnsi="Arial Narrow"/>
          <w:iCs/>
          <w:sz w:val="18"/>
          <w:szCs w:val="18"/>
        </w:rPr>
        <w:t>c. The proportions applied in this analysis are 70+= 55%; 50-69 with risk factors =20%; 30+ First Nations with risk factors =16%; 18+ immunocompromised or previously hospitalised for COVID-19 =9%, shown in Table 26.</w:t>
      </w:r>
    </w:p>
    <w:p w14:paraId="63926DBE" w14:textId="62D1632C" w:rsidR="00EB627C" w:rsidRDefault="00EB627C" w:rsidP="00EB627C">
      <w:pPr>
        <w:pStyle w:val="FooterTableFigure"/>
        <w:rPr>
          <w:rFonts w:eastAsia="Calibri"/>
          <w:i/>
          <w:iCs/>
          <w:szCs w:val="20"/>
        </w:rPr>
      </w:pPr>
      <w:bookmarkStart w:id="148" w:name="_Hlk155855422"/>
      <w:r w:rsidRPr="008F704C">
        <w:rPr>
          <w:rFonts w:eastAsia="Calibri"/>
          <w:i/>
          <w:iCs/>
          <w:szCs w:val="20"/>
        </w:rPr>
        <w:t>The redacted values correspond to the following ranges:</w:t>
      </w:r>
    </w:p>
    <w:p w14:paraId="4F51AED8" w14:textId="49D7F773" w:rsidR="00600091" w:rsidRPr="00600091" w:rsidRDefault="00600091" w:rsidP="00600091">
      <w:pPr>
        <w:pStyle w:val="FooterTableFigure"/>
        <w:rPr>
          <w:rFonts w:eastAsia="Calibri"/>
          <w:i/>
          <w:iCs/>
          <w:szCs w:val="20"/>
        </w:rPr>
      </w:pPr>
      <w:r w:rsidRPr="00F76D9A">
        <w:rPr>
          <w:rFonts w:eastAsia="Calibri"/>
          <w:i/>
          <w:iCs/>
          <w:szCs w:val="20"/>
          <w:vertAlign w:val="superscript"/>
        </w:rPr>
        <w:t>1</w:t>
      </w:r>
      <w:r w:rsidRPr="00600091">
        <w:rPr>
          <w:rFonts w:eastAsia="Calibri"/>
          <w:i/>
          <w:iCs/>
          <w:szCs w:val="20"/>
        </w:rPr>
        <w:t>$25,000 to &lt; $35,000</w:t>
      </w:r>
    </w:p>
    <w:p w14:paraId="038907F7" w14:textId="409384EE" w:rsidR="00EB627C" w:rsidRPr="008F704C" w:rsidRDefault="00EB627C" w:rsidP="00EB627C">
      <w:pPr>
        <w:pStyle w:val="FooterTableFigure"/>
        <w:rPr>
          <w:rFonts w:eastAsia="Calibri"/>
          <w:i/>
          <w:iCs/>
          <w:szCs w:val="20"/>
        </w:rPr>
      </w:pPr>
      <w:r>
        <w:rPr>
          <w:rFonts w:eastAsia="Calibri"/>
          <w:i/>
          <w:iCs/>
          <w:szCs w:val="20"/>
          <w:vertAlign w:val="superscript"/>
        </w:rPr>
        <w:t xml:space="preserve">2 </w:t>
      </w:r>
      <w:r w:rsidRPr="008F704C">
        <w:rPr>
          <w:rFonts w:eastAsia="Calibri"/>
          <w:i/>
          <w:iCs/>
          <w:szCs w:val="20"/>
        </w:rPr>
        <w:t xml:space="preserve">$5,000 to &lt; $15,000 </w:t>
      </w:r>
    </w:p>
    <w:p w14:paraId="3B033E76" w14:textId="37B01CA1" w:rsidR="00EB627C" w:rsidRDefault="00EB627C" w:rsidP="00EB627C">
      <w:pPr>
        <w:pStyle w:val="FooterTableFigure"/>
        <w:rPr>
          <w:rFonts w:eastAsia="Calibri"/>
          <w:i/>
          <w:iCs/>
          <w:szCs w:val="20"/>
        </w:rPr>
      </w:pPr>
      <w:r>
        <w:rPr>
          <w:rFonts w:eastAsia="Calibri"/>
          <w:i/>
          <w:iCs/>
          <w:szCs w:val="20"/>
          <w:vertAlign w:val="superscript"/>
        </w:rPr>
        <w:t xml:space="preserve">3 </w:t>
      </w:r>
      <w:r w:rsidRPr="008F704C">
        <w:rPr>
          <w:rFonts w:eastAsia="Calibri"/>
          <w:i/>
          <w:iCs/>
          <w:szCs w:val="20"/>
        </w:rPr>
        <w:t>$15,000 to &lt; $25,000</w:t>
      </w:r>
    </w:p>
    <w:p w14:paraId="7A4730D0" w14:textId="1030F9F8" w:rsidR="00600091" w:rsidRPr="008F704C" w:rsidRDefault="00600091" w:rsidP="00EB627C">
      <w:pPr>
        <w:pStyle w:val="FooterTableFigure"/>
        <w:rPr>
          <w:rFonts w:eastAsia="Calibri"/>
          <w:i/>
          <w:iCs/>
          <w:szCs w:val="20"/>
        </w:rPr>
      </w:pPr>
      <w:r>
        <w:rPr>
          <w:rFonts w:eastAsia="Calibri"/>
          <w:i/>
          <w:iCs/>
          <w:szCs w:val="20"/>
          <w:vertAlign w:val="superscript"/>
        </w:rPr>
        <w:t>4</w:t>
      </w:r>
      <w:r w:rsidRPr="00600091">
        <w:rPr>
          <w:rFonts w:eastAsia="Calibri"/>
          <w:i/>
          <w:iCs/>
          <w:szCs w:val="20"/>
          <w:vertAlign w:val="superscript"/>
        </w:rPr>
        <w:t xml:space="preserve"> </w:t>
      </w:r>
      <w:r w:rsidRPr="00600091">
        <w:rPr>
          <w:rFonts w:eastAsia="Calibri"/>
          <w:i/>
          <w:iCs/>
          <w:szCs w:val="20"/>
        </w:rPr>
        <w:t>$55,000 to &lt; $75,000</w:t>
      </w:r>
    </w:p>
    <w:p w14:paraId="772C5209" w14:textId="1D7C3851" w:rsidR="00EB627C" w:rsidRPr="00826E25" w:rsidRDefault="00EB627C" w:rsidP="00F76D9A">
      <w:pPr>
        <w:pStyle w:val="FooterTableFigure"/>
      </w:pPr>
      <w:r>
        <w:rPr>
          <w:rFonts w:eastAsia="Calibri"/>
          <w:i/>
          <w:iCs/>
          <w:szCs w:val="20"/>
          <w:vertAlign w:val="superscript"/>
        </w:rPr>
        <w:t>5</w:t>
      </w:r>
      <w:r>
        <w:rPr>
          <w:rFonts w:eastAsia="Calibri"/>
          <w:i/>
          <w:iCs/>
          <w:szCs w:val="20"/>
        </w:rPr>
        <w:t xml:space="preserve"> </w:t>
      </w:r>
      <w:r w:rsidRPr="00EB627C">
        <w:rPr>
          <w:rFonts w:eastAsia="Calibri"/>
          <w:i/>
          <w:iCs/>
          <w:szCs w:val="20"/>
        </w:rPr>
        <w:t>$45,000 to &lt; $55,000</w:t>
      </w:r>
      <w:bookmarkEnd w:id="148"/>
    </w:p>
    <w:p w14:paraId="75F8CAFE" w14:textId="6AD54D5E" w:rsidR="007B46D5" w:rsidRPr="00484AE9" w:rsidRDefault="007B46D5" w:rsidP="00445429">
      <w:pPr>
        <w:pStyle w:val="3-BodyText"/>
        <w:spacing w:before="120"/>
        <w:rPr>
          <w:b/>
          <w:bCs/>
          <w:iCs/>
          <w:sz w:val="32"/>
          <w:szCs w:val="32"/>
        </w:rPr>
      </w:pPr>
      <w:r w:rsidRPr="00484AE9">
        <w:rPr>
          <w:iCs/>
        </w:rPr>
        <w:t xml:space="preserve">The revised scenario in </w:t>
      </w:r>
      <w:r w:rsidR="005C0B09" w:rsidRPr="00484AE9">
        <w:rPr>
          <w:iCs/>
        </w:rPr>
        <w:fldChar w:fldCharType="begin"/>
      </w:r>
      <w:r w:rsidR="005C0B09" w:rsidRPr="00484AE9">
        <w:rPr>
          <w:iCs/>
        </w:rPr>
        <w:instrText xml:space="preserve"> REF _Ref151035145 \h </w:instrText>
      </w:r>
      <w:r w:rsidR="005C0B09" w:rsidRPr="00484AE9">
        <w:rPr>
          <w:iCs/>
        </w:rPr>
      </w:r>
      <w:r w:rsidR="005C0B09" w:rsidRPr="00484AE9">
        <w:rPr>
          <w:iCs/>
        </w:rPr>
        <w:fldChar w:fldCharType="separate"/>
      </w:r>
      <w:r w:rsidR="00872657" w:rsidRPr="00484AE9">
        <w:rPr>
          <w:iCs/>
        </w:rPr>
        <w:t xml:space="preserve">Table </w:t>
      </w:r>
      <w:r w:rsidR="00872657">
        <w:rPr>
          <w:iCs/>
          <w:noProof/>
        </w:rPr>
        <w:t>25</w:t>
      </w:r>
      <w:r w:rsidR="005C0B09" w:rsidRPr="00484AE9">
        <w:rPr>
          <w:iCs/>
        </w:rPr>
        <w:fldChar w:fldCharType="end"/>
      </w:r>
      <w:r w:rsidR="005C0B09" w:rsidRPr="00484AE9">
        <w:rPr>
          <w:iCs/>
        </w:rPr>
        <w:t xml:space="preserve"> </w:t>
      </w:r>
      <w:r w:rsidRPr="00484AE9">
        <w:rPr>
          <w:iCs/>
        </w:rPr>
        <w:t xml:space="preserve">corresponds to PBAC advice that the ICER should be no greater than </w:t>
      </w:r>
      <w:r w:rsidRPr="00600091">
        <w:rPr>
          <w:iCs/>
        </w:rPr>
        <w:t>$1</w:t>
      </w:r>
      <w:r w:rsidRPr="00484AE9">
        <w:rPr>
          <w:iCs/>
        </w:rPr>
        <w:t>5,000/QALY in any subgroup.</w:t>
      </w:r>
      <w:r w:rsidR="00F76D9A">
        <w:rPr>
          <w:iCs/>
        </w:rPr>
        <w:t xml:space="preserve"> </w:t>
      </w:r>
      <w:r w:rsidRPr="00484AE9">
        <w:rPr>
          <w:iCs/>
        </w:rPr>
        <w:t xml:space="preserve">The effective DPMQ corresponding to this ICER threshold in each individual subgroup is </w:t>
      </w:r>
      <w:bookmarkStart w:id="149" w:name="_Hlk151671676"/>
      <w:r w:rsidRPr="00484AE9">
        <w:rPr>
          <w:iCs/>
        </w:rPr>
        <w:t>shown in</w:t>
      </w:r>
      <w:bookmarkEnd w:id="149"/>
      <w:r w:rsidRPr="00484AE9">
        <w:rPr>
          <w:iCs/>
        </w:rPr>
        <w:t xml:space="preserve"> </w:t>
      </w:r>
      <w:r w:rsidRPr="00484AE9">
        <w:rPr>
          <w:iCs/>
        </w:rPr>
        <w:fldChar w:fldCharType="begin"/>
      </w:r>
      <w:r w:rsidRPr="00484AE9">
        <w:rPr>
          <w:iCs/>
        </w:rPr>
        <w:instrText xml:space="preserve"> REF _Ref150005603 \h </w:instrText>
      </w:r>
      <w:r w:rsidRPr="00484AE9">
        <w:rPr>
          <w:iCs/>
        </w:rPr>
      </w:r>
      <w:r w:rsidRPr="00484AE9">
        <w:rPr>
          <w:iCs/>
        </w:rPr>
        <w:fldChar w:fldCharType="separate"/>
      </w:r>
      <w:r w:rsidR="00872657" w:rsidRPr="00484AE9">
        <w:t xml:space="preserve">Table </w:t>
      </w:r>
      <w:r w:rsidR="00872657">
        <w:rPr>
          <w:noProof/>
        </w:rPr>
        <w:t>26</w:t>
      </w:r>
      <w:r w:rsidRPr="00484AE9">
        <w:rPr>
          <w:iCs/>
        </w:rPr>
        <w:fldChar w:fldCharType="end"/>
      </w:r>
      <w:r w:rsidRPr="00484AE9">
        <w:rPr>
          <w:iCs/>
        </w:rPr>
        <w:t>, as well as the assumed distribution of patients across populations used for calculation of the weighted effective DPMQ.</w:t>
      </w:r>
      <w:r w:rsidR="00733844" w:rsidRPr="00484AE9">
        <w:t xml:space="preserve"> The PBAC noted the price that was offered in the pre-PBAC response reduced the estimated weighted ICER as shown in </w:t>
      </w:r>
      <w:r w:rsidR="00733844" w:rsidRPr="00484AE9">
        <w:fldChar w:fldCharType="begin"/>
      </w:r>
      <w:r w:rsidR="00733844" w:rsidRPr="00484AE9">
        <w:instrText xml:space="preserve"> REF _Ref151035145 \h </w:instrText>
      </w:r>
      <w:r w:rsidR="00733844" w:rsidRPr="00484AE9">
        <w:fldChar w:fldCharType="separate"/>
      </w:r>
      <w:r w:rsidR="00872657" w:rsidRPr="00484AE9">
        <w:rPr>
          <w:iCs/>
        </w:rPr>
        <w:t xml:space="preserve">Table </w:t>
      </w:r>
      <w:r w:rsidR="00872657">
        <w:rPr>
          <w:iCs/>
          <w:noProof/>
        </w:rPr>
        <w:t>25</w:t>
      </w:r>
      <w:r w:rsidR="00733844" w:rsidRPr="00484AE9">
        <w:fldChar w:fldCharType="end"/>
      </w:r>
      <w:r w:rsidR="00733844" w:rsidRPr="00484AE9">
        <w:t>, however considered that a further price reduction was required to achieve cost-effectiveness based on plausible inputs.</w:t>
      </w:r>
    </w:p>
    <w:p w14:paraId="6490746C" w14:textId="43E170FD" w:rsidR="007B46D5" w:rsidRPr="00484AE9" w:rsidRDefault="007B46D5" w:rsidP="007B46D5">
      <w:pPr>
        <w:pStyle w:val="Caption"/>
      </w:pPr>
      <w:bookmarkStart w:id="150" w:name="_Ref150005603"/>
      <w:r w:rsidRPr="00484AE9">
        <w:t xml:space="preserve">Table </w:t>
      </w:r>
      <w:fldSimple w:instr=" SEQ Table \* ARABIC ">
        <w:r w:rsidR="00872657">
          <w:rPr>
            <w:noProof/>
          </w:rPr>
          <w:t>26</w:t>
        </w:r>
      </w:fldSimple>
      <w:bookmarkEnd w:id="150"/>
      <w:r w:rsidRPr="00484AE9">
        <w:t xml:space="preserve">: Effective DPMQ of </w:t>
      </w:r>
      <w:r w:rsidRPr="00484AE9">
        <w:rPr>
          <w:bCs w:val="0"/>
          <w:iCs/>
        </w:rPr>
        <w:t>nirmatrelvir and ritonavir</w:t>
      </w:r>
      <w:r w:rsidRPr="00484AE9">
        <w:t xml:space="preserve"> required for each individual population to achieve ICER of </w:t>
      </w:r>
      <w:r w:rsidR="00F11F0D">
        <w:t>&lt;</w:t>
      </w:r>
      <w:r w:rsidRPr="00484AE9">
        <w:t>$15,000/QALY</w:t>
      </w:r>
    </w:p>
    <w:tbl>
      <w:tblPr>
        <w:tblStyle w:val="TableGrid"/>
        <w:tblW w:w="0" w:type="auto"/>
        <w:tblLook w:val="04A0" w:firstRow="1" w:lastRow="0" w:firstColumn="1" w:lastColumn="0" w:noHBand="0" w:noVBand="1"/>
      </w:tblPr>
      <w:tblGrid>
        <w:gridCol w:w="1821"/>
        <w:gridCol w:w="1519"/>
        <w:gridCol w:w="1428"/>
        <w:gridCol w:w="1354"/>
        <w:gridCol w:w="1354"/>
        <w:gridCol w:w="1541"/>
      </w:tblGrid>
      <w:tr w:rsidR="007B46D5" w:rsidRPr="00484AE9" w14:paraId="6E4FDE63" w14:textId="77777777" w:rsidTr="00B543A0">
        <w:tc>
          <w:tcPr>
            <w:tcW w:w="1821" w:type="dxa"/>
          </w:tcPr>
          <w:p w14:paraId="14CF40B5" w14:textId="77777777" w:rsidR="007B46D5" w:rsidRPr="00484AE9" w:rsidRDefault="007B46D5" w:rsidP="00B543A0">
            <w:pPr>
              <w:rPr>
                <w:rFonts w:ascii="Arial Narrow" w:hAnsi="Arial Narrow"/>
                <w:b/>
                <w:bCs/>
                <w:sz w:val="20"/>
                <w:szCs w:val="20"/>
              </w:rPr>
            </w:pPr>
          </w:p>
        </w:tc>
        <w:tc>
          <w:tcPr>
            <w:tcW w:w="1519" w:type="dxa"/>
          </w:tcPr>
          <w:p w14:paraId="6DF221B0" w14:textId="77777777" w:rsidR="007B46D5" w:rsidRPr="00484AE9" w:rsidRDefault="007B46D5" w:rsidP="00B543A0">
            <w:pPr>
              <w:jc w:val="center"/>
              <w:rPr>
                <w:rFonts w:ascii="Arial Narrow" w:hAnsi="Arial Narrow"/>
                <w:b/>
                <w:bCs/>
                <w:sz w:val="20"/>
                <w:szCs w:val="20"/>
              </w:rPr>
            </w:pPr>
            <w:r w:rsidRPr="00484AE9">
              <w:rPr>
                <w:rFonts w:ascii="Arial Narrow" w:hAnsi="Arial Narrow"/>
                <w:b/>
                <w:bCs/>
                <w:sz w:val="20"/>
                <w:szCs w:val="20"/>
              </w:rPr>
              <w:t>Weighted effective DPMQ</w:t>
            </w:r>
          </w:p>
        </w:tc>
        <w:tc>
          <w:tcPr>
            <w:tcW w:w="1428" w:type="dxa"/>
          </w:tcPr>
          <w:p w14:paraId="7D035724" w14:textId="77777777" w:rsidR="007B46D5" w:rsidRPr="00484AE9" w:rsidRDefault="007B46D5" w:rsidP="00B543A0">
            <w:pPr>
              <w:jc w:val="center"/>
              <w:rPr>
                <w:rFonts w:ascii="Arial Narrow" w:hAnsi="Arial Narrow"/>
                <w:b/>
                <w:bCs/>
                <w:sz w:val="20"/>
                <w:szCs w:val="20"/>
              </w:rPr>
            </w:pPr>
            <w:r w:rsidRPr="00484AE9">
              <w:rPr>
                <w:rFonts w:ascii="Arial Narrow" w:hAnsi="Arial Narrow"/>
                <w:b/>
                <w:bCs/>
                <w:sz w:val="20"/>
                <w:szCs w:val="20"/>
              </w:rPr>
              <w:t>Effective DPMQ in</w:t>
            </w:r>
            <w:r w:rsidRPr="00484AE9">
              <w:rPr>
                <w:rFonts w:ascii="Arial Narrow" w:hAnsi="Arial Narrow"/>
                <w:b/>
                <w:bCs/>
                <w:sz w:val="20"/>
                <w:szCs w:val="20"/>
              </w:rPr>
              <w:br/>
              <w:t>70+ population</w:t>
            </w:r>
          </w:p>
        </w:tc>
        <w:tc>
          <w:tcPr>
            <w:tcW w:w="1354" w:type="dxa"/>
          </w:tcPr>
          <w:p w14:paraId="04330A2D" w14:textId="77777777" w:rsidR="007B46D5" w:rsidRPr="00484AE9" w:rsidRDefault="007B46D5" w:rsidP="00B543A0">
            <w:pPr>
              <w:jc w:val="center"/>
              <w:rPr>
                <w:rFonts w:ascii="Arial Narrow" w:hAnsi="Arial Narrow"/>
                <w:b/>
                <w:bCs/>
                <w:sz w:val="20"/>
                <w:szCs w:val="20"/>
              </w:rPr>
            </w:pPr>
            <w:r w:rsidRPr="00484AE9">
              <w:rPr>
                <w:rFonts w:ascii="Arial Narrow" w:hAnsi="Arial Narrow"/>
                <w:b/>
                <w:bCs/>
                <w:sz w:val="20"/>
                <w:szCs w:val="20"/>
              </w:rPr>
              <w:t>Effective DPMQ in</w:t>
            </w:r>
          </w:p>
          <w:p w14:paraId="351A0AD5" w14:textId="47F5AC71" w:rsidR="007B46D5" w:rsidRPr="00484AE9" w:rsidRDefault="007B46D5" w:rsidP="00B543A0">
            <w:pPr>
              <w:jc w:val="center"/>
              <w:rPr>
                <w:rFonts w:ascii="Arial Narrow" w:hAnsi="Arial Narrow"/>
                <w:b/>
                <w:bCs/>
                <w:sz w:val="20"/>
                <w:szCs w:val="20"/>
              </w:rPr>
            </w:pPr>
            <w:r w:rsidRPr="00484AE9">
              <w:rPr>
                <w:rFonts w:ascii="Arial Narrow" w:hAnsi="Arial Narrow"/>
                <w:b/>
                <w:bCs/>
                <w:sz w:val="20"/>
                <w:szCs w:val="20"/>
              </w:rPr>
              <w:t xml:space="preserve">50-69 </w:t>
            </w:r>
            <w:r w:rsidR="00B40825" w:rsidRPr="00484AE9">
              <w:rPr>
                <w:rFonts w:ascii="Arial Narrow" w:hAnsi="Arial Narrow"/>
                <w:b/>
                <w:bCs/>
                <w:sz w:val="20"/>
                <w:szCs w:val="20"/>
              </w:rPr>
              <w:t>+</w:t>
            </w:r>
            <w:r w:rsidRPr="00484AE9">
              <w:rPr>
                <w:rFonts w:ascii="Arial Narrow" w:hAnsi="Arial Narrow"/>
                <w:b/>
                <w:bCs/>
                <w:sz w:val="20"/>
                <w:szCs w:val="20"/>
              </w:rPr>
              <w:t xml:space="preserve">RF </w:t>
            </w:r>
          </w:p>
        </w:tc>
        <w:tc>
          <w:tcPr>
            <w:tcW w:w="1354" w:type="dxa"/>
          </w:tcPr>
          <w:p w14:paraId="431E66D8" w14:textId="77777777" w:rsidR="007B46D5" w:rsidRPr="00484AE9" w:rsidRDefault="007B46D5" w:rsidP="00B543A0">
            <w:pPr>
              <w:jc w:val="center"/>
              <w:rPr>
                <w:rFonts w:ascii="Arial Narrow" w:hAnsi="Arial Narrow"/>
                <w:b/>
                <w:bCs/>
                <w:sz w:val="20"/>
                <w:szCs w:val="20"/>
              </w:rPr>
            </w:pPr>
            <w:r w:rsidRPr="00484AE9">
              <w:rPr>
                <w:rFonts w:ascii="Arial Narrow" w:hAnsi="Arial Narrow"/>
                <w:b/>
                <w:bCs/>
                <w:sz w:val="20"/>
                <w:szCs w:val="20"/>
              </w:rPr>
              <w:t>Effective DPMQ in</w:t>
            </w:r>
            <w:r w:rsidRPr="00484AE9">
              <w:rPr>
                <w:rFonts w:ascii="Arial Narrow" w:hAnsi="Arial Narrow"/>
                <w:b/>
                <w:bCs/>
                <w:sz w:val="20"/>
                <w:szCs w:val="20"/>
              </w:rPr>
              <w:br/>
              <w:t>First Nations</w:t>
            </w:r>
          </w:p>
        </w:tc>
        <w:tc>
          <w:tcPr>
            <w:tcW w:w="1541" w:type="dxa"/>
          </w:tcPr>
          <w:p w14:paraId="005C41AB" w14:textId="77777777" w:rsidR="007B46D5" w:rsidRPr="00484AE9" w:rsidRDefault="007B46D5" w:rsidP="00B543A0">
            <w:pPr>
              <w:jc w:val="center"/>
              <w:rPr>
                <w:rFonts w:ascii="Arial Narrow" w:hAnsi="Arial Narrow"/>
                <w:b/>
                <w:bCs/>
                <w:sz w:val="20"/>
                <w:szCs w:val="20"/>
              </w:rPr>
            </w:pPr>
            <w:r w:rsidRPr="00484AE9">
              <w:rPr>
                <w:rFonts w:ascii="Arial Narrow" w:hAnsi="Arial Narrow"/>
                <w:b/>
                <w:bCs/>
                <w:sz w:val="20"/>
                <w:szCs w:val="20"/>
              </w:rPr>
              <w:t>Effective DPMQ in 18+ immune compromised</w:t>
            </w:r>
          </w:p>
        </w:tc>
      </w:tr>
      <w:tr w:rsidR="007B46D5" w:rsidRPr="00484AE9" w14:paraId="34756D96" w14:textId="77777777" w:rsidTr="00B543A0">
        <w:tc>
          <w:tcPr>
            <w:tcW w:w="1821" w:type="dxa"/>
          </w:tcPr>
          <w:p w14:paraId="09136EAF" w14:textId="77777777" w:rsidR="007B46D5" w:rsidRPr="00484AE9" w:rsidRDefault="007B46D5" w:rsidP="00B543A0">
            <w:pPr>
              <w:rPr>
                <w:rFonts w:ascii="Arial Narrow" w:hAnsi="Arial Narrow"/>
                <w:sz w:val="20"/>
                <w:szCs w:val="20"/>
              </w:rPr>
            </w:pPr>
            <w:r w:rsidRPr="00484AE9">
              <w:rPr>
                <w:rFonts w:ascii="Arial Narrow" w:hAnsi="Arial Narrow"/>
                <w:sz w:val="20"/>
                <w:szCs w:val="20"/>
              </w:rPr>
              <w:t>Proportions</w:t>
            </w:r>
            <w:r w:rsidRPr="00484AE9">
              <w:rPr>
                <w:rFonts w:ascii="Arial Narrow" w:hAnsi="Arial Narrow"/>
                <w:sz w:val="20"/>
                <w:szCs w:val="20"/>
                <w:vertAlign w:val="superscript"/>
              </w:rPr>
              <w:t>a</w:t>
            </w:r>
          </w:p>
        </w:tc>
        <w:tc>
          <w:tcPr>
            <w:tcW w:w="1519" w:type="dxa"/>
          </w:tcPr>
          <w:p w14:paraId="4989F508" w14:textId="77777777" w:rsidR="007B46D5" w:rsidRPr="00484AE9" w:rsidRDefault="007B46D5" w:rsidP="00B543A0">
            <w:pPr>
              <w:jc w:val="center"/>
              <w:rPr>
                <w:rFonts w:ascii="Arial Narrow" w:hAnsi="Arial Narrow"/>
                <w:sz w:val="20"/>
                <w:szCs w:val="20"/>
              </w:rPr>
            </w:pPr>
            <w:r w:rsidRPr="00484AE9">
              <w:rPr>
                <w:rFonts w:ascii="Arial Narrow" w:hAnsi="Arial Narrow"/>
                <w:sz w:val="20"/>
                <w:szCs w:val="20"/>
              </w:rPr>
              <w:t>n/a</w:t>
            </w:r>
          </w:p>
        </w:tc>
        <w:tc>
          <w:tcPr>
            <w:tcW w:w="1428" w:type="dxa"/>
          </w:tcPr>
          <w:p w14:paraId="4C8A1C5B" w14:textId="77777777" w:rsidR="007B46D5" w:rsidRPr="00484AE9" w:rsidRDefault="007B46D5" w:rsidP="00B543A0">
            <w:pPr>
              <w:jc w:val="center"/>
              <w:rPr>
                <w:rFonts w:ascii="Arial Narrow" w:hAnsi="Arial Narrow"/>
                <w:sz w:val="20"/>
                <w:szCs w:val="20"/>
              </w:rPr>
            </w:pPr>
            <w:r w:rsidRPr="00484AE9">
              <w:rPr>
                <w:rFonts w:ascii="Arial Narrow" w:hAnsi="Arial Narrow"/>
                <w:sz w:val="20"/>
                <w:szCs w:val="20"/>
              </w:rPr>
              <w:t>55.1%</w:t>
            </w:r>
          </w:p>
        </w:tc>
        <w:tc>
          <w:tcPr>
            <w:tcW w:w="1354" w:type="dxa"/>
          </w:tcPr>
          <w:p w14:paraId="696EB0D6" w14:textId="77777777" w:rsidR="007B46D5" w:rsidRPr="00484AE9" w:rsidRDefault="007B46D5" w:rsidP="00B543A0">
            <w:pPr>
              <w:jc w:val="center"/>
              <w:rPr>
                <w:rFonts w:ascii="Arial Narrow" w:hAnsi="Arial Narrow"/>
                <w:sz w:val="20"/>
                <w:szCs w:val="20"/>
              </w:rPr>
            </w:pPr>
            <w:r w:rsidRPr="00484AE9">
              <w:rPr>
                <w:rFonts w:ascii="Arial Narrow" w:hAnsi="Arial Narrow"/>
                <w:sz w:val="20"/>
                <w:szCs w:val="20"/>
              </w:rPr>
              <w:t>19.6%</w:t>
            </w:r>
          </w:p>
        </w:tc>
        <w:tc>
          <w:tcPr>
            <w:tcW w:w="1354" w:type="dxa"/>
          </w:tcPr>
          <w:p w14:paraId="56830384" w14:textId="77777777" w:rsidR="007B46D5" w:rsidRPr="00484AE9" w:rsidRDefault="007B46D5" w:rsidP="00B543A0">
            <w:pPr>
              <w:jc w:val="center"/>
              <w:rPr>
                <w:rFonts w:ascii="Arial Narrow" w:hAnsi="Arial Narrow"/>
                <w:sz w:val="20"/>
                <w:szCs w:val="20"/>
              </w:rPr>
            </w:pPr>
            <w:r w:rsidRPr="00484AE9">
              <w:rPr>
                <w:rFonts w:ascii="Arial Narrow" w:hAnsi="Arial Narrow"/>
                <w:sz w:val="20"/>
                <w:szCs w:val="20"/>
              </w:rPr>
              <w:t>16.4%</w:t>
            </w:r>
          </w:p>
        </w:tc>
        <w:tc>
          <w:tcPr>
            <w:tcW w:w="1541" w:type="dxa"/>
          </w:tcPr>
          <w:p w14:paraId="7B2ACFDE" w14:textId="77777777" w:rsidR="007B46D5" w:rsidRPr="00484AE9" w:rsidRDefault="007B46D5" w:rsidP="00B543A0">
            <w:pPr>
              <w:jc w:val="center"/>
              <w:rPr>
                <w:rFonts w:ascii="Arial Narrow" w:hAnsi="Arial Narrow"/>
                <w:sz w:val="20"/>
                <w:szCs w:val="20"/>
              </w:rPr>
            </w:pPr>
            <w:r w:rsidRPr="00484AE9">
              <w:rPr>
                <w:rFonts w:ascii="Arial Narrow" w:hAnsi="Arial Narrow"/>
                <w:sz w:val="20"/>
                <w:szCs w:val="20"/>
              </w:rPr>
              <w:t>8.9%</w:t>
            </w:r>
          </w:p>
        </w:tc>
      </w:tr>
      <w:tr w:rsidR="007B46D5" w:rsidRPr="00484AE9" w14:paraId="09553E23" w14:textId="77777777" w:rsidTr="00B543A0">
        <w:tc>
          <w:tcPr>
            <w:tcW w:w="1821" w:type="dxa"/>
          </w:tcPr>
          <w:p w14:paraId="17F9E9BD" w14:textId="0FDB220E" w:rsidR="007B46D5" w:rsidRPr="00484AE9" w:rsidRDefault="007B46D5" w:rsidP="007B46D5">
            <w:pPr>
              <w:rPr>
                <w:rFonts w:ascii="Arial Narrow" w:hAnsi="Arial Narrow"/>
                <w:sz w:val="20"/>
                <w:szCs w:val="20"/>
              </w:rPr>
            </w:pPr>
            <w:bookmarkStart w:id="151" w:name="_Hlk151680778"/>
            <w:r w:rsidRPr="00484AE9">
              <w:rPr>
                <w:rFonts w:ascii="Arial Narrow" w:hAnsi="Arial Narrow"/>
                <w:sz w:val="20"/>
                <w:szCs w:val="20"/>
              </w:rPr>
              <w:t>Effective DPMQ</w:t>
            </w:r>
            <w:r w:rsidR="002A331B">
              <w:rPr>
                <w:rFonts w:ascii="Arial Narrow" w:hAnsi="Arial Narrow"/>
                <w:sz w:val="20"/>
                <w:szCs w:val="20"/>
              </w:rPr>
              <w:t xml:space="preserve"> ($)</w:t>
            </w:r>
          </w:p>
        </w:tc>
        <w:tc>
          <w:tcPr>
            <w:tcW w:w="1519" w:type="dxa"/>
          </w:tcPr>
          <w:p w14:paraId="6988ADC2" w14:textId="6FFA23BB" w:rsidR="007B46D5" w:rsidRPr="00600091" w:rsidRDefault="00696519" w:rsidP="007B46D5">
            <w:pPr>
              <w:jc w:val="center"/>
              <w:rPr>
                <w:rFonts w:ascii="Arial Narrow" w:hAnsi="Arial Narrow"/>
                <w:sz w:val="20"/>
                <w:szCs w:val="20"/>
                <w:highlight w:val="darkGray"/>
              </w:rPr>
            </w:pPr>
            <w:r w:rsidRPr="00696519">
              <w:rPr>
                <w:rFonts w:ascii="Arial Narrow" w:hAnsi="Arial Narrow"/>
                <w:sz w:val="20"/>
                <w:szCs w:val="20"/>
              </w:rPr>
              <w:t xml:space="preserve"> </w:t>
            </w:r>
            <w:r w:rsidRPr="00696519">
              <w:rPr>
                <w:rFonts w:ascii="Arial Narrow" w:hAnsi="Arial Narrow"/>
                <w:color w:val="000000"/>
                <w:sz w:val="20"/>
                <w:szCs w:val="20"/>
                <w:shd w:val="solid" w:color="000000" w:fill="000000"/>
                <w14:textFill>
                  <w14:solidFill>
                    <w14:srgbClr w14:val="000000">
                      <w14:alpha w14:val="100000"/>
                    </w14:srgbClr>
                  </w14:solidFill>
                </w14:textFill>
              </w:rPr>
              <w:t>|</w:t>
            </w:r>
            <w:r w:rsidRPr="00696519">
              <w:rPr>
                <w:rFonts w:ascii="Arial Narrow" w:hAnsi="Arial Narrow"/>
                <w:sz w:val="20"/>
                <w:szCs w:val="20"/>
              </w:rPr>
              <w:t xml:space="preserve"> </w:t>
            </w:r>
          </w:p>
        </w:tc>
        <w:tc>
          <w:tcPr>
            <w:tcW w:w="1428" w:type="dxa"/>
          </w:tcPr>
          <w:p w14:paraId="3B7ECADC" w14:textId="79C75728" w:rsidR="007B46D5" w:rsidRPr="00600091" w:rsidRDefault="00696519" w:rsidP="007B46D5">
            <w:pPr>
              <w:jc w:val="center"/>
              <w:rPr>
                <w:rFonts w:ascii="Arial Narrow" w:hAnsi="Arial Narrow"/>
                <w:sz w:val="20"/>
                <w:szCs w:val="20"/>
                <w:highlight w:val="darkGray"/>
              </w:rPr>
            </w:pPr>
            <w:r w:rsidRPr="00696519">
              <w:rPr>
                <w:rFonts w:ascii="Arial Narrow" w:hAnsi="Arial Narrow"/>
                <w:sz w:val="20"/>
                <w:szCs w:val="20"/>
              </w:rPr>
              <w:t xml:space="preserve"> </w:t>
            </w:r>
            <w:r w:rsidRPr="00696519">
              <w:rPr>
                <w:rFonts w:ascii="Arial Narrow" w:hAnsi="Arial Narrow"/>
                <w:color w:val="000000"/>
                <w:sz w:val="20"/>
                <w:szCs w:val="20"/>
                <w:shd w:val="solid" w:color="000000" w:fill="000000"/>
                <w14:textFill>
                  <w14:solidFill>
                    <w14:srgbClr w14:val="000000">
                      <w14:alpha w14:val="100000"/>
                    </w14:srgbClr>
                  </w14:solidFill>
                </w14:textFill>
              </w:rPr>
              <w:t>|</w:t>
            </w:r>
            <w:r w:rsidRPr="00696519">
              <w:rPr>
                <w:rFonts w:ascii="Arial Narrow" w:hAnsi="Arial Narrow"/>
                <w:sz w:val="20"/>
                <w:szCs w:val="20"/>
              </w:rPr>
              <w:t xml:space="preserve"> </w:t>
            </w:r>
          </w:p>
        </w:tc>
        <w:tc>
          <w:tcPr>
            <w:tcW w:w="1354" w:type="dxa"/>
          </w:tcPr>
          <w:p w14:paraId="0A393C88" w14:textId="26FD697A" w:rsidR="007B46D5" w:rsidRPr="00600091" w:rsidRDefault="00696519" w:rsidP="007B46D5">
            <w:pPr>
              <w:jc w:val="center"/>
              <w:rPr>
                <w:rFonts w:ascii="Arial Narrow" w:hAnsi="Arial Narrow"/>
                <w:b/>
                <w:bCs/>
                <w:sz w:val="20"/>
                <w:szCs w:val="20"/>
                <w:highlight w:val="darkGray"/>
              </w:rPr>
            </w:pPr>
            <w:r w:rsidRPr="00696519">
              <w:rPr>
                <w:rFonts w:ascii="Arial Narrow" w:hAnsi="Arial Narrow"/>
                <w:sz w:val="20"/>
                <w:szCs w:val="20"/>
              </w:rPr>
              <w:t xml:space="preserve"> </w:t>
            </w:r>
            <w:r w:rsidRPr="00696519">
              <w:rPr>
                <w:rFonts w:ascii="Arial Narrow" w:hAnsi="Arial Narrow"/>
                <w:color w:val="000000"/>
                <w:sz w:val="20"/>
                <w:szCs w:val="20"/>
                <w:shd w:val="solid" w:color="000000" w:fill="000000"/>
                <w14:textFill>
                  <w14:solidFill>
                    <w14:srgbClr w14:val="000000">
                      <w14:alpha w14:val="100000"/>
                    </w14:srgbClr>
                  </w14:solidFill>
                </w14:textFill>
              </w:rPr>
              <w:t>|</w:t>
            </w:r>
            <w:r w:rsidRPr="00696519">
              <w:rPr>
                <w:rFonts w:ascii="Arial Narrow" w:hAnsi="Arial Narrow"/>
                <w:sz w:val="20"/>
                <w:szCs w:val="20"/>
              </w:rPr>
              <w:t xml:space="preserve"> </w:t>
            </w:r>
          </w:p>
        </w:tc>
        <w:tc>
          <w:tcPr>
            <w:tcW w:w="1354" w:type="dxa"/>
          </w:tcPr>
          <w:p w14:paraId="50D3E261" w14:textId="410BFFB9" w:rsidR="007B46D5" w:rsidRPr="00600091" w:rsidRDefault="00696519" w:rsidP="007B46D5">
            <w:pPr>
              <w:jc w:val="center"/>
              <w:rPr>
                <w:rFonts w:ascii="Arial Narrow" w:hAnsi="Arial Narrow"/>
                <w:sz w:val="20"/>
                <w:szCs w:val="20"/>
                <w:highlight w:val="darkGray"/>
              </w:rPr>
            </w:pPr>
            <w:r w:rsidRPr="00696519">
              <w:rPr>
                <w:rFonts w:ascii="Arial Narrow" w:hAnsi="Arial Narrow"/>
                <w:sz w:val="20"/>
                <w:szCs w:val="20"/>
              </w:rPr>
              <w:t xml:space="preserve"> </w:t>
            </w:r>
            <w:r w:rsidRPr="00696519">
              <w:rPr>
                <w:rFonts w:ascii="Arial Narrow" w:hAnsi="Arial Narrow"/>
                <w:color w:val="000000"/>
                <w:sz w:val="20"/>
                <w:szCs w:val="20"/>
                <w:shd w:val="solid" w:color="000000" w:fill="000000"/>
                <w14:textFill>
                  <w14:solidFill>
                    <w14:srgbClr w14:val="000000">
                      <w14:alpha w14:val="100000"/>
                    </w14:srgbClr>
                  </w14:solidFill>
                </w14:textFill>
              </w:rPr>
              <w:t>|</w:t>
            </w:r>
            <w:r w:rsidRPr="00696519">
              <w:rPr>
                <w:rFonts w:ascii="Arial Narrow" w:hAnsi="Arial Narrow"/>
                <w:sz w:val="20"/>
                <w:szCs w:val="20"/>
              </w:rPr>
              <w:t xml:space="preserve"> </w:t>
            </w:r>
          </w:p>
        </w:tc>
        <w:tc>
          <w:tcPr>
            <w:tcW w:w="1541" w:type="dxa"/>
          </w:tcPr>
          <w:p w14:paraId="6BA08D2F" w14:textId="2CD739D4" w:rsidR="007B46D5" w:rsidRPr="00484AE9" w:rsidRDefault="00696519" w:rsidP="007B46D5">
            <w:pPr>
              <w:jc w:val="center"/>
              <w:rPr>
                <w:rFonts w:ascii="Arial Narrow" w:hAnsi="Arial Narrow"/>
                <w:sz w:val="20"/>
                <w:szCs w:val="20"/>
              </w:rPr>
            </w:pPr>
            <w:r w:rsidRPr="00696519">
              <w:rPr>
                <w:rFonts w:ascii="Arial Narrow" w:hAnsi="Arial Narrow"/>
                <w:sz w:val="20"/>
                <w:szCs w:val="20"/>
              </w:rPr>
              <w:t xml:space="preserve"> </w:t>
            </w:r>
            <w:r w:rsidRPr="00696519">
              <w:rPr>
                <w:rFonts w:ascii="Arial Narrow" w:hAnsi="Arial Narrow"/>
                <w:color w:val="000000"/>
                <w:sz w:val="20"/>
                <w:szCs w:val="20"/>
                <w:shd w:val="solid" w:color="000000" w:fill="000000"/>
                <w14:textFill>
                  <w14:solidFill>
                    <w14:srgbClr w14:val="000000">
                      <w14:alpha w14:val="100000"/>
                    </w14:srgbClr>
                  </w14:solidFill>
                </w14:textFill>
              </w:rPr>
              <w:t>|</w:t>
            </w:r>
            <w:r w:rsidRPr="00696519">
              <w:rPr>
                <w:rFonts w:ascii="Arial Narrow" w:hAnsi="Arial Narrow"/>
                <w:sz w:val="20"/>
                <w:szCs w:val="20"/>
              </w:rPr>
              <w:t xml:space="preserve"> </w:t>
            </w:r>
            <w:r w:rsidR="0018480F" w:rsidRPr="00EC108B">
              <w:rPr>
                <w:rFonts w:ascii="Arial Narrow" w:hAnsi="Arial Narrow"/>
                <w:sz w:val="20"/>
                <w:szCs w:val="20"/>
                <w:vertAlign w:val="superscript"/>
              </w:rPr>
              <w:t>b</w:t>
            </w:r>
          </w:p>
        </w:tc>
      </w:tr>
    </w:tbl>
    <w:bookmarkEnd w:id="151"/>
    <w:p w14:paraId="33E6FE59" w14:textId="77777777" w:rsidR="00360E50" w:rsidRPr="00445429" w:rsidRDefault="00360E50" w:rsidP="00360E50">
      <w:pPr>
        <w:rPr>
          <w:rFonts w:ascii="Arial Narrow" w:hAnsi="Arial Narrow"/>
          <w:iCs/>
          <w:sz w:val="18"/>
          <w:szCs w:val="18"/>
        </w:rPr>
      </w:pPr>
      <w:r w:rsidRPr="00445429">
        <w:rPr>
          <w:rFonts w:ascii="Arial Narrow" w:hAnsi="Arial Narrow"/>
          <w:iCs/>
          <w:sz w:val="18"/>
          <w:szCs w:val="18"/>
        </w:rPr>
        <w:t>a. As observed in prescribing of oral antivirals the 6 months ending 24 Sep 2023, shown rounded to one decimal place.</w:t>
      </w:r>
    </w:p>
    <w:p w14:paraId="78C5F607" w14:textId="73EC17B2" w:rsidR="00A559D7" w:rsidRPr="00600091" w:rsidRDefault="0018480F" w:rsidP="00A559D7">
      <w:pPr>
        <w:spacing w:after="120"/>
        <w:rPr>
          <w:rFonts w:ascii="Arial Narrow" w:hAnsi="Arial Narrow"/>
          <w:sz w:val="18"/>
          <w:szCs w:val="18"/>
        </w:rPr>
      </w:pPr>
      <w:r w:rsidRPr="00445429">
        <w:rPr>
          <w:rFonts w:ascii="Arial Narrow" w:hAnsi="Arial Narrow"/>
          <w:sz w:val="18"/>
          <w:szCs w:val="18"/>
        </w:rPr>
        <w:t>b. Proposed DPMQ generates an ICER in this population below the target ICER (DPMQ=</w:t>
      </w:r>
      <w:r w:rsidR="00696519" w:rsidRPr="00696519">
        <w:rPr>
          <w:rFonts w:ascii="Arial Narrow" w:hAnsi="Arial Narrow"/>
          <w:sz w:val="18"/>
          <w:szCs w:val="18"/>
        </w:rPr>
        <w:t>$</w:t>
      </w:r>
      <w:r w:rsidR="00696519" w:rsidRPr="00822E49">
        <w:rPr>
          <w:rFonts w:ascii="Arial Narrow" w:hAnsi="Arial Narrow"/>
          <w:color w:val="000000"/>
          <w:spacing w:val="81"/>
          <w:sz w:val="18"/>
          <w:szCs w:val="18"/>
          <w:shd w:val="solid" w:color="000000" w:fill="000000"/>
          <w:fitText w:val="280" w:id="-1032088826"/>
          <w14:textFill>
            <w14:solidFill>
              <w14:srgbClr w14:val="000000">
                <w14:alpha w14:val="100000"/>
              </w14:srgbClr>
            </w14:solidFill>
          </w14:textFill>
        </w:rPr>
        <w:t xml:space="preserve">| </w:t>
      </w:r>
      <w:r w:rsidR="00696519" w:rsidRPr="00822E49">
        <w:rPr>
          <w:rFonts w:ascii="Arial Narrow" w:hAnsi="Arial Narrow"/>
          <w:color w:val="000000"/>
          <w:spacing w:val="1"/>
          <w:sz w:val="18"/>
          <w:szCs w:val="18"/>
          <w:shd w:val="solid" w:color="000000" w:fill="000000"/>
          <w:fitText w:val="280" w:id="-1032088826"/>
          <w14:textFill>
            <w14:solidFill>
              <w14:srgbClr w14:val="000000">
                <w14:alpha w14:val="100000"/>
              </w14:srgbClr>
            </w14:solidFill>
          </w14:textFill>
        </w:rPr>
        <w:t>|</w:t>
      </w:r>
      <w:r w:rsidRPr="00445429">
        <w:rPr>
          <w:rFonts w:ascii="Arial Narrow" w:hAnsi="Arial Narrow"/>
          <w:sz w:val="18"/>
          <w:szCs w:val="18"/>
        </w:rPr>
        <w:t>)</w:t>
      </w:r>
    </w:p>
    <w:p w14:paraId="7FFF49DC" w14:textId="2616C03F" w:rsidR="00CA0496" w:rsidRPr="00484AE9" w:rsidRDefault="00946673" w:rsidP="00C51A8B">
      <w:pPr>
        <w:pStyle w:val="3-BodyText"/>
      </w:pPr>
      <w:bookmarkStart w:id="152" w:name="_Hlk150953735"/>
      <w:bookmarkStart w:id="153" w:name="_Ref152086080"/>
      <w:r w:rsidRPr="00484AE9">
        <w:t xml:space="preserve">The PBAC noted the limitations of the evidence base available to inform the </w:t>
      </w:r>
      <w:r w:rsidR="00DA76D3" w:rsidRPr="00484AE9">
        <w:t>treatment effect</w:t>
      </w:r>
      <w:r w:rsidR="00816AD7" w:rsidRPr="00484AE9">
        <w:t xml:space="preserve"> assumed to be associated with nirmatrelvir and ritonavir in</w:t>
      </w:r>
      <w:r w:rsidRPr="00484AE9">
        <w:t xml:space="preserve"> the economic model (</w:t>
      </w:r>
      <w:r w:rsidRPr="00484AE9">
        <w:fldChar w:fldCharType="begin"/>
      </w:r>
      <w:r w:rsidRPr="00484AE9">
        <w:instrText xml:space="preserve"> REF _Ref144550869 \h </w:instrText>
      </w:r>
      <w:r w:rsidRPr="00484AE9">
        <w:fldChar w:fldCharType="separate"/>
      </w:r>
      <w:r w:rsidR="00872657" w:rsidRPr="00484AE9">
        <w:t xml:space="preserve">Table </w:t>
      </w:r>
      <w:r w:rsidR="00872657">
        <w:rPr>
          <w:noProof/>
        </w:rPr>
        <w:t>10</w:t>
      </w:r>
      <w:r w:rsidRPr="00484AE9">
        <w:fldChar w:fldCharType="end"/>
      </w:r>
      <w:r w:rsidRPr="00484AE9">
        <w:t>), and uncertainties associated with estimation of future benefits of treatment which could vary according to future population characteristics such as vaccination rate</w:t>
      </w:r>
      <w:r w:rsidR="00EA7BBE" w:rsidRPr="00484AE9">
        <w:t>,</w:t>
      </w:r>
      <w:r w:rsidRPr="00484AE9">
        <w:t xml:space="preserve"> and based on disease characteristics such as virulence of SARS-CoV-2 variants.</w:t>
      </w:r>
      <w:bookmarkEnd w:id="147"/>
      <w:bookmarkEnd w:id="152"/>
      <w:r w:rsidR="00756FB4" w:rsidRPr="00484AE9">
        <w:t xml:space="preserve"> </w:t>
      </w:r>
      <w:r w:rsidR="00523738" w:rsidRPr="00484AE9">
        <w:t>The PBAC also noted the objection</w:t>
      </w:r>
      <w:r w:rsidR="00CF0342" w:rsidRPr="00484AE9">
        <w:t xml:space="preserve"> in the pre-PBAC response</w:t>
      </w:r>
      <w:r w:rsidR="00523738" w:rsidRPr="00484AE9">
        <w:t xml:space="preserve"> to the extent of reduction in mortalit</w:t>
      </w:r>
      <w:r w:rsidR="00CF0342" w:rsidRPr="00484AE9">
        <w:t xml:space="preserve">y rates applied in the revised economic analysis (see paragraph </w:t>
      </w:r>
      <w:r w:rsidR="00CF0342" w:rsidRPr="00484AE9">
        <w:fldChar w:fldCharType="begin"/>
      </w:r>
      <w:r w:rsidR="00CF0342" w:rsidRPr="00484AE9">
        <w:instrText xml:space="preserve"> REF _Ref151933256 \r \h </w:instrText>
      </w:r>
      <w:r w:rsidR="00CF0342" w:rsidRPr="00484AE9">
        <w:fldChar w:fldCharType="separate"/>
      </w:r>
      <w:r w:rsidR="00872657">
        <w:t>6.81</w:t>
      </w:r>
      <w:r w:rsidR="00CF0342" w:rsidRPr="00484AE9">
        <w:fldChar w:fldCharType="end"/>
      </w:r>
      <w:r w:rsidR="00CF0342" w:rsidRPr="00484AE9">
        <w:t>).</w:t>
      </w:r>
      <w:bookmarkEnd w:id="153"/>
    </w:p>
    <w:p w14:paraId="1ACD1326" w14:textId="367D83CF" w:rsidR="00F74E5F" w:rsidRPr="00484AE9" w:rsidRDefault="00F74E5F" w:rsidP="00F74E5F">
      <w:pPr>
        <w:pStyle w:val="3-BodyText"/>
      </w:pPr>
      <w:bookmarkStart w:id="154" w:name="_Ref151036750"/>
      <w:r w:rsidRPr="00484AE9">
        <w:t xml:space="preserve">A multivariate sensitivity analysis was </w:t>
      </w:r>
      <w:r w:rsidR="002871A3" w:rsidRPr="00484AE9">
        <w:t xml:space="preserve">conducted </w:t>
      </w:r>
      <w:r w:rsidRPr="00484AE9">
        <w:rPr>
          <w:iCs/>
        </w:rPr>
        <w:t>a</w:t>
      </w:r>
      <w:r w:rsidR="00756FB4" w:rsidRPr="00484AE9">
        <w:rPr>
          <w:iCs/>
        </w:rPr>
        <w:t xml:space="preserve">nd </w:t>
      </w:r>
      <w:r w:rsidR="002871A3" w:rsidRPr="00484AE9">
        <w:rPr>
          <w:iCs/>
        </w:rPr>
        <w:t>the results are</w:t>
      </w:r>
      <w:r w:rsidRPr="00484AE9">
        <w:rPr>
          <w:iCs/>
        </w:rPr>
        <w:t xml:space="preserve"> presented in</w:t>
      </w:r>
      <w:r w:rsidR="002E4318" w:rsidRPr="00484AE9">
        <w:rPr>
          <w:iCs/>
        </w:rPr>
        <w:t xml:space="preserve"> </w:t>
      </w:r>
      <w:r w:rsidR="008E2C29" w:rsidRPr="00484AE9">
        <w:rPr>
          <w:iCs/>
        </w:rPr>
        <w:fldChar w:fldCharType="begin"/>
      </w:r>
      <w:r w:rsidR="008E2C29" w:rsidRPr="00484AE9">
        <w:rPr>
          <w:iCs/>
        </w:rPr>
        <w:instrText xml:space="preserve"> REF _Ref150975488 \h </w:instrText>
      </w:r>
      <w:r w:rsidR="008E2C29" w:rsidRPr="00484AE9">
        <w:rPr>
          <w:iCs/>
        </w:rPr>
      </w:r>
      <w:r w:rsidR="008E2C29" w:rsidRPr="00484AE9">
        <w:rPr>
          <w:iCs/>
        </w:rPr>
        <w:fldChar w:fldCharType="separate"/>
      </w:r>
      <w:r w:rsidR="00872657" w:rsidRPr="00484AE9">
        <w:rPr>
          <w:iCs/>
        </w:rPr>
        <w:t xml:space="preserve">Table </w:t>
      </w:r>
      <w:r w:rsidR="00872657">
        <w:rPr>
          <w:iCs/>
          <w:noProof/>
        </w:rPr>
        <w:t>27</w:t>
      </w:r>
      <w:r w:rsidR="008E2C29" w:rsidRPr="00484AE9">
        <w:rPr>
          <w:iCs/>
        </w:rPr>
        <w:fldChar w:fldCharType="end"/>
      </w:r>
      <w:r w:rsidR="008E2C29" w:rsidRPr="00484AE9">
        <w:rPr>
          <w:iCs/>
        </w:rPr>
        <w:t xml:space="preserve"> </w:t>
      </w:r>
      <w:r w:rsidR="00946673" w:rsidRPr="00484AE9">
        <w:rPr>
          <w:iCs/>
        </w:rPr>
        <w:t>to explore these uncertainties</w:t>
      </w:r>
      <w:r w:rsidR="00A62B3A" w:rsidRPr="00484AE9">
        <w:rPr>
          <w:iCs/>
        </w:rPr>
        <w:t xml:space="preserve">. </w:t>
      </w:r>
      <w:r w:rsidRPr="00484AE9">
        <w:t>This analysis applies assumptions that are more favourable to the intervention than w</w:t>
      </w:r>
      <w:r w:rsidR="00840811" w:rsidRPr="00484AE9">
        <w:t>ere</w:t>
      </w:r>
      <w:r w:rsidRPr="00484AE9">
        <w:t xml:space="preserve"> applied in the evaluation common model</w:t>
      </w:r>
      <w:r w:rsidR="00843C5C" w:rsidRPr="00484AE9">
        <w:t xml:space="preserve"> shown in </w:t>
      </w:r>
      <w:r w:rsidR="00843C5C" w:rsidRPr="00484AE9">
        <w:fldChar w:fldCharType="begin"/>
      </w:r>
      <w:r w:rsidR="00843C5C" w:rsidRPr="00484AE9">
        <w:instrText xml:space="preserve"> REF _Ref151898047 \h </w:instrText>
      </w:r>
      <w:r w:rsidR="00843C5C" w:rsidRPr="00484AE9">
        <w:fldChar w:fldCharType="separate"/>
      </w:r>
      <w:r w:rsidR="00872657" w:rsidRPr="00484AE9">
        <w:rPr>
          <w:iCs/>
        </w:rPr>
        <w:t xml:space="preserve">Table </w:t>
      </w:r>
      <w:r w:rsidR="00872657">
        <w:rPr>
          <w:iCs/>
          <w:noProof/>
        </w:rPr>
        <w:t>24</w:t>
      </w:r>
      <w:r w:rsidR="00843C5C" w:rsidRPr="00484AE9">
        <w:fldChar w:fldCharType="end"/>
      </w:r>
      <w:r w:rsidRPr="00484AE9">
        <w:t>, as follows:</w:t>
      </w:r>
      <w:bookmarkEnd w:id="154"/>
    </w:p>
    <w:p w14:paraId="48644F0D" w14:textId="142D9ABC" w:rsidR="00F74E5F" w:rsidRPr="00445429" w:rsidRDefault="00F74E5F" w:rsidP="00445429">
      <w:pPr>
        <w:pStyle w:val="3-BodyText"/>
        <w:numPr>
          <w:ilvl w:val="2"/>
          <w:numId w:val="1"/>
        </w:numPr>
        <w:ind w:left="1080"/>
        <w:rPr>
          <w:rFonts w:eastAsia="Calibri"/>
          <w:iCs/>
        </w:rPr>
      </w:pPr>
      <w:r w:rsidRPr="00445429">
        <w:rPr>
          <w:rFonts w:eastAsia="Calibri"/>
          <w:iCs/>
        </w:rPr>
        <w:t>Odds ratio (OR) is the result obtained by meta-analysis of results from the original high-risk trial and from the high-risk subgroups of the more contemporary trials i.e., for nirmatrelvir and ritonavir, OR = 0.166</w:t>
      </w:r>
      <w:r w:rsidR="00946673" w:rsidRPr="00445429">
        <w:rPr>
          <w:rFonts w:eastAsia="Calibri"/>
          <w:iCs/>
        </w:rPr>
        <w:t xml:space="preserve"> (see </w:t>
      </w:r>
      <w:r w:rsidR="00946673" w:rsidRPr="00445429">
        <w:rPr>
          <w:rFonts w:eastAsia="Calibri"/>
          <w:iCs/>
        </w:rPr>
        <w:fldChar w:fldCharType="begin"/>
      </w:r>
      <w:r w:rsidR="00946673" w:rsidRPr="00445429">
        <w:rPr>
          <w:rFonts w:eastAsia="Calibri"/>
          <w:iCs/>
        </w:rPr>
        <w:instrText xml:space="preserve"> REF _Ref150951731 \h </w:instrText>
      </w:r>
      <w:r w:rsidR="00B868B6" w:rsidRPr="00445429">
        <w:rPr>
          <w:rFonts w:eastAsia="Calibri"/>
          <w:iCs/>
        </w:rPr>
        <w:instrText xml:space="preserve"> \* MERGEFORMAT </w:instrText>
      </w:r>
      <w:r w:rsidR="00946673" w:rsidRPr="00445429">
        <w:rPr>
          <w:rFonts w:eastAsia="Calibri"/>
          <w:iCs/>
        </w:rPr>
      </w:r>
      <w:r w:rsidR="00946673" w:rsidRPr="00445429">
        <w:rPr>
          <w:rFonts w:eastAsia="Calibri"/>
          <w:iCs/>
        </w:rPr>
        <w:fldChar w:fldCharType="separate"/>
      </w:r>
      <w:r w:rsidR="00872657" w:rsidRPr="00872657">
        <w:rPr>
          <w:rFonts w:eastAsia="Calibri"/>
          <w:iCs/>
        </w:rPr>
        <w:t>Figure 7</w:t>
      </w:r>
      <w:r w:rsidR="00946673" w:rsidRPr="00445429">
        <w:rPr>
          <w:rFonts w:eastAsia="Calibri"/>
          <w:iCs/>
        </w:rPr>
        <w:fldChar w:fldCharType="end"/>
      </w:r>
      <w:r w:rsidR="00946673" w:rsidRPr="00445429">
        <w:rPr>
          <w:rFonts w:eastAsia="Calibri"/>
          <w:iCs/>
        </w:rPr>
        <w:t>)</w:t>
      </w:r>
      <w:r w:rsidRPr="00445429">
        <w:rPr>
          <w:rFonts w:eastAsia="Calibri"/>
          <w:iCs/>
        </w:rPr>
        <w:t>.</w:t>
      </w:r>
    </w:p>
    <w:p w14:paraId="4B39930B" w14:textId="37FCF68E" w:rsidR="00F74E5F" w:rsidRPr="00484AE9" w:rsidRDefault="00F74E5F" w:rsidP="00445429">
      <w:pPr>
        <w:pStyle w:val="3-BodyText"/>
        <w:numPr>
          <w:ilvl w:val="2"/>
          <w:numId w:val="1"/>
        </w:numPr>
        <w:ind w:left="1080"/>
      </w:pPr>
      <w:r w:rsidRPr="00445429">
        <w:rPr>
          <w:rFonts w:eastAsia="Calibri"/>
          <w:iCs/>
        </w:rPr>
        <w:t xml:space="preserve">Baseline risks of death are one-half </w:t>
      </w:r>
      <w:r w:rsidR="00881071" w:rsidRPr="00445429">
        <w:rPr>
          <w:rFonts w:eastAsia="Calibri"/>
          <w:iCs/>
        </w:rPr>
        <w:t xml:space="preserve">(rather than one-third) </w:t>
      </w:r>
      <w:r w:rsidRPr="00445429">
        <w:rPr>
          <w:rFonts w:eastAsia="Calibri"/>
          <w:iCs/>
        </w:rPr>
        <w:t xml:space="preserve">of those applied in the </w:t>
      </w:r>
      <w:r w:rsidR="00881071" w:rsidRPr="00445429">
        <w:rPr>
          <w:rFonts w:eastAsia="Calibri"/>
          <w:iCs/>
        </w:rPr>
        <w:t>submission’s</w:t>
      </w:r>
      <w:r w:rsidR="00422275" w:rsidRPr="00484AE9">
        <w:t xml:space="preserve"> model</w:t>
      </w:r>
      <w:r w:rsidRPr="00484AE9">
        <w:t xml:space="preserve"> and are thus 1.5%, 0.5%, 1.0%, and 1.5% for the 70+, 50-69 </w:t>
      </w:r>
      <w:r w:rsidRPr="00484AE9">
        <w:lastRenderedPageBreak/>
        <w:t>with two risk factors, First Nations with risk factors, and 18+ immunocompromised or previously hospitalised for COVID-19 populations, respectively.</w:t>
      </w:r>
    </w:p>
    <w:p w14:paraId="7ACAE75B" w14:textId="1E114575" w:rsidR="00F74E5F" w:rsidRPr="00F23EA5" w:rsidRDefault="00733844" w:rsidP="00F23EA5">
      <w:pPr>
        <w:pStyle w:val="3-BodyText"/>
        <w:rPr>
          <w:b/>
          <w:bCs/>
          <w:iCs/>
          <w:sz w:val="32"/>
          <w:szCs w:val="32"/>
        </w:rPr>
      </w:pPr>
      <w:r w:rsidRPr="007654B0">
        <w:rPr>
          <w:iCs/>
        </w:rPr>
        <w:t>The PBAC’s advice in relation to the MSA is provided in paragraph</w:t>
      </w:r>
      <w:r w:rsidR="003E6A65" w:rsidRPr="007654B0">
        <w:rPr>
          <w:iCs/>
        </w:rPr>
        <w:t xml:space="preserve"> </w:t>
      </w:r>
      <w:r w:rsidR="003E6A65" w:rsidRPr="007654B0">
        <w:rPr>
          <w:iCs/>
        </w:rPr>
        <w:fldChar w:fldCharType="begin"/>
      </w:r>
      <w:r w:rsidR="003E6A65" w:rsidRPr="007654B0">
        <w:rPr>
          <w:iCs/>
        </w:rPr>
        <w:instrText xml:space="preserve"> REF _Ref152783967 \r \h </w:instrText>
      </w:r>
      <w:r w:rsidR="003E6A65" w:rsidRPr="007654B0">
        <w:rPr>
          <w:iCs/>
        </w:rPr>
      </w:r>
      <w:r w:rsidR="003E6A65" w:rsidRPr="007654B0">
        <w:rPr>
          <w:iCs/>
        </w:rPr>
        <w:fldChar w:fldCharType="separate"/>
      </w:r>
      <w:r w:rsidR="00872657">
        <w:rPr>
          <w:iCs/>
        </w:rPr>
        <w:t>7.18</w:t>
      </w:r>
      <w:r w:rsidR="003E6A65" w:rsidRPr="007654B0">
        <w:rPr>
          <w:iCs/>
        </w:rPr>
        <w:fldChar w:fldCharType="end"/>
      </w:r>
      <w:r w:rsidRPr="007654B0">
        <w:rPr>
          <w:iCs/>
        </w:rPr>
        <w:t>.</w:t>
      </w:r>
    </w:p>
    <w:p w14:paraId="551A9082" w14:textId="3EAE4BEB" w:rsidR="00F74E5F" w:rsidRPr="00484AE9" w:rsidRDefault="00F74E5F" w:rsidP="00F74E5F">
      <w:pPr>
        <w:pStyle w:val="Caption"/>
        <w:rPr>
          <w:iCs/>
        </w:rPr>
      </w:pPr>
      <w:bookmarkStart w:id="155" w:name="_Ref150975488"/>
      <w:r w:rsidRPr="00484AE9">
        <w:rPr>
          <w:iCs/>
        </w:rPr>
        <w:t xml:space="preserve">Table </w:t>
      </w:r>
      <w:r w:rsidRPr="00484AE9">
        <w:rPr>
          <w:iCs/>
        </w:rPr>
        <w:fldChar w:fldCharType="begin"/>
      </w:r>
      <w:r w:rsidRPr="00484AE9">
        <w:rPr>
          <w:iCs/>
        </w:rPr>
        <w:instrText xml:space="preserve"> SEQ Table \* ARABIC </w:instrText>
      </w:r>
      <w:r w:rsidRPr="00484AE9">
        <w:rPr>
          <w:iCs/>
        </w:rPr>
        <w:fldChar w:fldCharType="separate"/>
      </w:r>
      <w:r w:rsidR="00872657">
        <w:rPr>
          <w:iCs/>
          <w:noProof/>
        </w:rPr>
        <w:t>27</w:t>
      </w:r>
      <w:r w:rsidRPr="00484AE9">
        <w:rPr>
          <w:iCs/>
        </w:rPr>
        <w:fldChar w:fldCharType="end"/>
      </w:r>
      <w:bookmarkEnd w:id="155"/>
      <w:r w:rsidRPr="00484AE9">
        <w:rPr>
          <w:iCs/>
        </w:rPr>
        <w:t>: Results of the alternative economic evaluation –</w:t>
      </w:r>
      <w:r w:rsidR="00CA0496" w:rsidRPr="00484AE9">
        <w:rPr>
          <w:iCs/>
        </w:rPr>
        <w:t xml:space="preserve"> nirmatrelvir and ritonavir </w:t>
      </w:r>
      <w:r w:rsidRPr="00484AE9">
        <w:rPr>
          <w:iCs/>
        </w:rPr>
        <w:t>(</w:t>
      </w:r>
      <w:r w:rsidRPr="00484AE9">
        <w:t>multivariate sensitivity analysis</w:t>
      </w:r>
      <w:r w:rsidRPr="00484AE9">
        <w:rPr>
          <w:iCs/>
        </w:rPr>
        <w:t>)</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696"/>
        <w:gridCol w:w="1846"/>
        <w:gridCol w:w="1844"/>
        <w:gridCol w:w="1984"/>
        <w:gridCol w:w="1697"/>
      </w:tblGrid>
      <w:tr w:rsidR="0018480F" w:rsidRPr="00484AE9" w14:paraId="5D982037" w14:textId="77777777" w:rsidTr="00286436">
        <w:trPr>
          <w:cantSplit/>
          <w:tblHeader/>
        </w:trPr>
        <w:tc>
          <w:tcPr>
            <w:tcW w:w="935" w:type="pct"/>
            <w:shd w:val="clear" w:color="auto" w:fill="FFFFFF"/>
            <w:vAlign w:val="center"/>
          </w:tcPr>
          <w:p w14:paraId="1F5279AE" w14:textId="77777777" w:rsidR="0018480F" w:rsidRPr="00484AE9" w:rsidRDefault="0018480F" w:rsidP="00CA0B16">
            <w:pPr>
              <w:pStyle w:val="TableText0"/>
              <w:rPr>
                <w:b/>
                <w:bCs w:val="0"/>
                <w:i/>
                <w:iCs/>
                <w:szCs w:val="20"/>
              </w:rPr>
            </w:pPr>
          </w:p>
        </w:tc>
        <w:tc>
          <w:tcPr>
            <w:tcW w:w="1018" w:type="pct"/>
            <w:shd w:val="clear" w:color="auto" w:fill="FFFFFF"/>
          </w:tcPr>
          <w:p w14:paraId="3A12DA09" w14:textId="77777777" w:rsidR="0018480F" w:rsidRPr="00484AE9" w:rsidRDefault="0018480F" w:rsidP="00221A5D">
            <w:pPr>
              <w:pStyle w:val="TableText0"/>
              <w:jc w:val="center"/>
              <w:rPr>
                <w:b/>
                <w:bCs w:val="0"/>
                <w:i/>
                <w:iCs/>
                <w:szCs w:val="20"/>
                <w:highlight w:val="yellow"/>
              </w:rPr>
            </w:pPr>
            <w:r w:rsidRPr="00484AE9">
              <w:rPr>
                <w:b/>
                <w:bCs w:val="0"/>
                <w:iCs/>
                <w:szCs w:val="20"/>
              </w:rPr>
              <w:t>Nirmatrelvir and ritonavir</w:t>
            </w:r>
          </w:p>
        </w:tc>
        <w:tc>
          <w:tcPr>
            <w:tcW w:w="1017" w:type="pct"/>
            <w:shd w:val="clear" w:color="auto" w:fill="FFFFFF"/>
          </w:tcPr>
          <w:p w14:paraId="00434C3D" w14:textId="77777777" w:rsidR="0018480F" w:rsidRPr="00484AE9" w:rsidRDefault="0018480F" w:rsidP="00221A5D">
            <w:pPr>
              <w:pStyle w:val="TableText0"/>
              <w:jc w:val="center"/>
              <w:rPr>
                <w:b/>
                <w:bCs w:val="0"/>
                <w:i/>
                <w:iCs/>
                <w:szCs w:val="20"/>
                <w:highlight w:val="yellow"/>
              </w:rPr>
            </w:pPr>
            <w:r w:rsidRPr="00484AE9">
              <w:rPr>
                <w:b/>
                <w:bCs w:val="0"/>
                <w:iCs/>
                <w:szCs w:val="20"/>
              </w:rPr>
              <w:t>Placebo</w:t>
            </w:r>
          </w:p>
        </w:tc>
        <w:tc>
          <w:tcPr>
            <w:tcW w:w="1094" w:type="pct"/>
            <w:shd w:val="clear" w:color="auto" w:fill="FFFFFF"/>
          </w:tcPr>
          <w:p w14:paraId="30D05FC8" w14:textId="77777777" w:rsidR="0018480F" w:rsidRPr="00484AE9" w:rsidRDefault="0018480F" w:rsidP="00221A5D">
            <w:pPr>
              <w:pStyle w:val="TableText0"/>
              <w:jc w:val="center"/>
              <w:rPr>
                <w:b/>
                <w:bCs w:val="0"/>
                <w:i/>
                <w:iCs/>
                <w:szCs w:val="20"/>
                <w:highlight w:val="yellow"/>
              </w:rPr>
            </w:pPr>
            <w:r w:rsidRPr="00484AE9">
              <w:rPr>
                <w:b/>
                <w:bCs w:val="0"/>
                <w:iCs/>
                <w:szCs w:val="20"/>
              </w:rPr>
              <w:t>Increment</w:t>
            </w:r>
          </w:p>
        </w:tc>
        <w:tc>
          <w:tcPr>
            <w:tcW w:w="936" w:type="pct"/>
            <w:shd w:val="clear" w:color="auto" w:fill="FFFFFF"/>
            <w:vAlign w:val="center"/>
          </w:tcPr>
          <w:p w14:paraId="44F74829" w14:textId="77777777" w:rsidR="0018480F" w:rsidRPr="00484AE9" w:rsidRDefault="0018480F" w:rsidP="00221A5D">
            <w:pPr>
              <w:pStyle w:val="TableText0"/>
              <w:jc w:val="center"/>
              <w:rPr>
                <w:b/>
                <w:bCs w:val="0"/>
                <w:iCs/>
                <w:szCs w:val="20"/>
              </w:rPr>
            </w:pPr>
            <w:r w:rsidRPr="00484AE9">
              <w:rPr>
                <w:b/>
                <w:bCs w:val="0"/>
                <w:iCs/>
                <w:szCs w:val="20"/>
              </w:rPr>
              <w:t>ICER</w:t>
            </w:r>
          </w:p>
        </w:tc>
      </w:tr>
      <w:tr w:rsidR="0018480F" w:rsidRPr="00484AE9" w14:paraId="3F39C5FF" w14:textId="77777777" w:rsidTr="00286436">
        <w:trPr>
          <w:cantSplit/>
          <w:tblHeader/>
        </w:trPr>
        <w:tc>
          <w:tcPr>
            <w:tcW w:w="5000" w:type="pct"/>
            <w:gridSpan w:val="5"/>
            <w:shd w:val="clear" w:color="auto" w:fill="auto"/>
            <w:vAlign w:val="center"/>
          </w:tcPr>
          <w:p w14:paraId="3018B739" w14:textId="77777777" w:rsidR="0018480F" w:rsidRPr="00484AE9" w:rsidRDefault="0018480F" w:rsidP="00CA0B16">
            <w:pPr>
              <w:pStyle w:val="TableText0"/>
              <w:rPr>
                <w:b/>
                <w:bCs w:val="0"/>
                <w:iCs/>
                <w:szCs w:val="20"/>
              </w:rPr>
            </w:pPr>
            <w:r w:rsidRPr="00484AE9">
              <w:rPr>
                <w:b/>
                <w:bCs w:val="0"/>
                <w:iCs/>
                <w:szCs w:val="20"/>
              </w:rPr>
              <w:t>Cohort: Aged ≥ 70</w:t>
            </w:r>
          </w:p>
        </w:tc>
      </w:tr>
      <w:tr w:rsidR="00221A5D" w:rsidRPr="00484AE9" w14:paraId="1F33A840" w14:textId="77777777" w:rsidTr="00286436">
        <w:trPr>
          <w:cantSplit/>
        </w:trPr>
        <w:tc>
          <w:tcPr>
            <w:tcW w:w="935" w:type="pct"/>
            <w:shd w:val="clear" w:color="auto" w:fill="auto"/>
            <w:vAlign w:val="center"/>
          </w:tcPr>
          <w:p w14:paraId="266D9BA2" w14:textId="77777777" w:rsidR="00221A5D" w:rsidRPr="00484AE9" w:rsidRDefault="00221A5D" w:rsidP="00CA0B16">
            <w:pPr>
              <w:pStyle w:val="TableText0"/>
              <w:rPr>
                <w:i/>
                <w:iCs/>
                <w:szCs w:val="20"/>
                <w:highlight w:val="yellow"/>
              </w:rPr>
            </w:pPr>
            <w:r w:rsidRPr="00484AE9">
              <w:rPr>
                <w:iCs/>
                <w:szCs w:val="20"/>
              </w:rPr>
              <w:t>Costs</w:t>
            </w:r>
          </w:p>
        </w:tc>
        <w:tc>
          <w:tcPr>
            <w:tcW w:w="1018" w:type="pct"/>
            <w:shd w:val="clear" w:color="auto" w:fill="auto"/>
          </w:tcPr>
          <w:p w14:paraId="55F86114" w14:textId="59C3F23A" w:rsidR="00221A5D" w:rsidRPr="00484AE9" w:rsidRDefault="00696519" w:rsidP="00221A5D">
            <w:pPr>
              <w:pStyle w:val="TableText0"/>
              <w:jc w:val="center"/>
              <w:rPr>
                <w:i/>
                <w:iCs/>
                <w:szCs w:val="20"/>
                <w:highlight w:val="yellow"/>
              </w:rPr>
            </w:pPr>
            <w:r w:rsidRPr="00696519">
              <w:rPr>
                <w:rFonts w:cs="Calibri"/>
                <w:color w:val="000000"/>
                <w:szCs w:val="20"/>
              </w:rPr>
              <w:t xml:space="preserve"> </w:t>
            </w:r>
            <w:r w:rsidRPr="00696519">
              <w:rPr>
                <w:rFonts w:cs="Calibri"/>
                <w:color w:val="000000"/>
                <w:szCs w:val="20"/>
                <w:shd w:val="solid" w:color="000000" w:fill="000000"/>
                <w14:textFill>
                  <w14:solidFill>
                    <w14:srgbClr w14:val="000000">
                      <w14:alpha w14:val="100000"/>
                    </w14:srgbClr>
                  </w14:solidFill>
                </w14:textFill>
              </w:rPr>
              <w:t>|</w:t>
            </w:r>
            <w:r w:rsidRPr="00696519">
              <w:rPr>
                <w:rFonts w:cs="Calibri"/>
                <w:color w:val="000000"/>
                <w:szCs w:val="20"/>
              </w:rPr>
              <w:t xml:space="preserve"> </w:t>
            </w:r>
          </w:p>
        </w:tc>
        <w:tc>
          <w:tcPr>
            <w:tcW w:w="1017" w:type="pct"/>
            <w:shd w:val="clear" w:color="auto" w:fill="auto"/>
          </w:tcPr>
          <w:p w14:paraId="34B12431" w14:textId="7D27A887" w:rsidR="00221A5D" w:rsidRPr="00484AE9" w:rsidRDefault="00221A5D" w:rsidP="00221A5D">
            <w:pPr>
              <w:pStyle w:val="TableText0"/>
              <w:jc w:val="center"/>
              <w:rPr>
                <w:i/>
                <w:iCs/>
                <w:szCs w:val="20"/>
                <w:highlight w:val="yellow"/>
              </w:rPr>
            </w:pPr>
            <w:r w:rsidRPr="00484AE9">
              <w:rPr>
                <w:rFonts w:cs="Calibri"/>
                <w:color w:val="000000"/>
                <w:szCs w:val="20"/>
              </w:rPr>
              <w:t>$392.23</w:t>
            </w:r>
          </w:p>
        </w:tc>
        <w:tc>
          <w:tcPr>
            <w:tcW w:w="1094" w:type="pct"/>
            <w:shd w:val="clear" w:color="auto" w:fill="auto"/>
          </w:tcPr>
          <w:p w14:paraId="0AC6432C" w14:textId="0D791A6E" w:rsidR="00221A5D" w:rsidRPr="00484AE9" w:rsidRDefault="00696519" w:rsidP="00221A5D">
            <w:pPr>
              <w:pStyle w:val="TableText0"/>
              <w:jc w:val="center"/>
              <w:rPr>
                <w:i/>
                <w:iCs/>
                <w:szCs w:val="20"/>
                <w:highlight w:val="yellow"/>
              </w:rPr>
            </w:pPr>
            <w:r w:rsidRPr="00696519">
              <w:rPr>
                <w:rFonts w:cs="Calibri"/>
                <w:color w:val="000000"/>
                <w:szCs w:val="20"/>
              </w:rPr>
              <w:t xml:space="preserve"> </w:t>
            </w:r>
            <w:r w:rsidRPr="00696519">
              <w:rPr>
                <w:rFonts w:cs="Calibri"/>
                <w:color w:val="000000"/>
                <w:szCs w:val="20"/>
                <w:shd w:val="solid" w:color="000000" w:fill="000000"/>
                <w14:textFill>
                  <w14:solidFill>
                    <w14:srgbClr w14:val="000000">
                      <w14:alpha w14:val="100000"/>
                    </w14:srgbClr>
                  </w14:solidFill>
                </w14:textFill>
              </w:rPr>
              <w:t>|</w:t>
            </w:r>
            <w:r w:rsidRPr="00696519">
              <w:rPr>
                <w:rFonts w:cs="Calibri"/>
                <w:color w:val="000000"/>
                <w:szCs w:val="20"/>
              </w:rPr>
              <w:t xml:space="preserve"> </w:t>
            </w:r>
          </w:p>
        </w:tc>
        <w:tc>
          <w:tcPr>
            <w:tcW w:w="936" w:type="pct"/>
            <w:vMerge w:val="restart"/>
            <w:shd w:val="clear" w:color="auto" w:fill="auto"/>
            <w:vAlign w:val="center"/>
          </w:tcPr>
          <w:p w14:paraId="730B9A84" w14:textId="670F8789" w:rsidR="00221A5D" w:rsidRPr="00484AE9" w:rsidRDefault="00696519" w:rsidP="005E1DE9">
            <w:pPr>
              <w:pStyle w:val="TableText0"/>
              <w:jc w:val="center"/>
              <w:rPr>
                <w:iCs/>
                <w:szCs w:val="20"/>
              </w:rPr>
            </w:pPr>
            <w:r w:rsidRPr="00696519">
              <w:rPr>
                <w:rFonts w:cs="Calibri"/>
                <w:color w:val="000000"/>
                <w:szCs w:val="20"/>
              </w:rPr>
              <w:t xml:space="preserve"> </w:t>
            </w:r>
            <w:r w:rsidRPr="00696519">
              <w:rPr>
                <w:rFonts w:cs="Calibri"/>
                <w:color w:val="000000"/>
                <w:szCs w:val="20"/>
                <w:shd w:val="solid" w:color="000000" w:fill="000000"/>
                <w14:textFill>
                  <w14:solidFill>
                    <w14:srgbClr w14:val="000000">
                      <w14:alpha w14:val="100000"/>
                    </w14:srgbClr>
                  </w14:solidFill>
                </w14:textFill>
              </w:rPr>
              <w:t>|</w:t>
            </w:r>
            <w:r w:rsidR="00EC108B">
              <w:rPr>
                <w:rFonts w:cs="Calibri"/>
                <w:color w:val="000000"/>
                <w:szCs w:val="20"/>
                <w:vertAlign w:val="superscript"/>
              </w:rPr>
              <w:t>1</w:t>
            </w:r>
          </w:p>
        </w:tc>
      </w:tr>
      <w:tr w:rsidR="00221A5D" w:rsidRPr="00484AE9" w14:paraId="6D89513C" w14:textId="77777777" w:rsidTr="00286436">
        <w:trPr>
          <w:cantSplit/>
        </w:trPr>
        <w:tc>
          <w:tcPr>
            <w:tcW w:w="935" w:type="pct"/>
            <w:shd w:val="clear" w:color="auto" w:fill="auto"/>
            <w:vAlign w:val="center"/>
          </w:tcPr>
          <w:p w14:paraId="1BCA611D" w14:textId="77777777" w:rsidR="00221A5D" w:rsidRPr="00484AE9" w:rsidRDefault="00221A5D" w:rsidP="00CA0B16">
            <w:pPr>
              <w:pStyle w:val="TableText0"/>
              <w:rPr>
                <w:i/>
                <w:iCs/>
                <w:szCs w:val="20"/>
                <w:highlight w:val="yellow"/>
              </w:rPr>
            </w:pPr>
            <w:r w:rsidRPr="00484AE9">
              <w:rPr>
                <w:iCs/>
                <w:szCs w:val="20"/>
              </w:rPr>
              <w:t>QALYS lost</w:t>
            </w:r>
          </w:p>
        </w:tc>
        <w:tc>
          <w:tcPr>
            <w:tcW w:w="1018" w:type="pct"/>
            <w:shd w:val="clear" w:color="auto" w:fill="auto"/>
          </w:tcPr>
          <w:p w14:paraId="3DFC6269" w14:textId="52625B1D" w:rsidR="00221A5D" w:rsidRPr="00484AE9" w:rsidRDefault="00221A5D" w:rsidP="00221A5D">
            <w:pPr>
              <w:pStyle w:val="TableText0"/>
              <w:jc w:val="center"/>
              <w:rPr>
                <w:i/>
                <w:iCs/>
                <w:szCs w:val="20"/>
                <w:highlight w:val="yellow"/>
              </w:rPr>
            </w:pPr>
            <w:r w:rsidRPr="00484AE9">
              <w:rPr>
                <w:rFonts w:cs="Calibri"/>
                <w:color w:val="000000"/>
                <w:szCs w:val="20"/>
              </w:rPr>
              <w:t>-0.0167</w:t>
            </w:r>
          </w:p>
        </w:tc>
        <w:tc>
          <w:tcPr>
            <w:tcW w:w="1017" w:type="pct"/>
            <w:shd w:val="clear" w:color="auto" w:fill="auto"/>
          </w:tcPr>
          <w:p w14:paraId="16583DEC" w14:textId="300387FA" w:rsidR="00221A5D" w:rsidRPr="00484AE9" w:rsidRDefault="00221A5D" w:rsidP="00221A5D">
            <w:pPr>
              <w:pStyle w:val="TableText0"/>
              <w:jc w:val="center"/>
              <w:rPr>
                <w:i/>
                <w:iCs/>
                <w:szCs w:val="20"/>
                <w:highlight w:val="yellow"/>
              </w:rPr>
            </w:pPr>
            <w:r w:rsidRPr="00484AE9">
              <w:rPr>
                <w:rFonts w:cs="Calibri"/>
                <w:color w:val="000000"/>
                <w:szCs w:val="20"/>
              </w:rPr>
              <w:t>-0.0966</w:t>
            </w:r>
          </w:p>
        </w:tc>
        <w:tc>
          <w:tcPr>
            <w:tcW w:w="1094" w:type="pct"/>
            <w:shd w:val="clear" w:color="auto" w:fill="auto"/>
          </w:tcPr>
          <w:p w14:paraId="524C502A" w14:textId="7AF6B17A" w:rsidR="00221A5D" w:rsidRPr="00484AE9" w:rsidRDefault="00221A5D" w:rsidP="00221A5D">
            <w:pPr>
              <w:pStyle w:val="TableText0"/>
              <w:jc w:val="center"/>
              <w:rPr>
                <w:i/>
                <w:iCs/>
                <w:szCs w:val="20"/>
                <w:highlight w:val="yellow"/>
              </w:rPr>
            </w:pPr>
            <w:r w:rsidRPr="00484AE9">
              <w:rPr>
                <w:rFonts w:cs="Calibri"/>
                <w:color w:val="000000"/>
                <w:szCs w:val="20"/>
              </w:rPr>
              <w:t>0.0799</w:t>
            </w:r>
          </w:p>
        </w:tc>
        <w:tc>
          <w:tcPr>
            <w:tcW w:w="936" w:type="pct"/>
            <w:vMerge/>
            <w:shd w:val="clear" w:color="auto" w:fill="auto"/>
            <w:vAlign w:val="center"/>
          </w:tcPr>
          <w:p w14:paraId="54AC3565" w14:textId="77777777" w:rsidR="00221A5D" w:rsidRPr="00484AE9" w:rsidRDefault="00221A5D" w:rsidP="00221A5D">
            <w:pPr>
              <w:pStyle w:val="TableText0"/>
              <w:jc w:val="center"/>
              <w:rPr>
                <w:iCs/>
                <w:szCs w:val="20"/>
              </w:rPr>
            </w:pPr>
          </w:p>
        </w:tc>
      </w:tr>
      <w:tr w:rsidR="0018480F" w:rsidRPr="00484AE9" w14:paraId="03D20DFA" w14:textId="77777777" w:rsidTr="00286436">
        <w:trPr>
          <w:cantSplit/>
          <w:tblHeader/>
        </w:trPr>
        <w:tc>
          <w:tcPr>
            <w:tcW w:w="5000" w:type="pct"/>
            <w:gridSpan w:val="5"/>
            <w:shd w:val="clear" w:color="auto" w:fill="auto"/>
            <w:vAlign w:val="center"/>
          </w:tcPr>
          <w:p w14:paraId="47FE5A11" w14:textId="77777777" w:rsidR="0018480F" w:rsidRPr="00484AE9" w:rsidRDefault="0018480F" w:rsidP="00CA0B16">
            <w:pPr>
              <w:pStyle w:val="TableText0"/>
              <w:rPr>
                <w:b/>
                <w:bCs w:val="0"/>
                <w:iCs/>
                <w:szCs w:val="20"/>
              </w:rPr>
            </w:pPr>
            <w:r w:rsidRPr="00484AE9">
              <w:rPr>
                <w:b/>
                <w:bCs w:val="0"/>
                <w:iCs/>
                <w:szCs w:val="20"/>
              </w:rPr>
              <w:t>Cohort: Aged ≥18 and immune-compromised</w:t>
            </w:r>
          </w:p>
        </w:tc>
      </w:tr>
      <w:tr w:rsidR="00221A5D" w:rsidRPr="00484AE9" w14:paraId="7C120BF0" w14:textId="77777777" w:rsidTr="00286436">
        <w:trPr>
          <w:cantSplit/>
        </w:trPr>
        <w:tc>
          <w:tcPr>
            <w:tcW w:w="935" w:type="pct"/>
            <w:shd w:val="clear" w:color="auto" w:fill="auto"/>
            <w:vAlign w:val="center"/>
          </w:tcPr>
          <w:p w14:paraId="2C6EF475" w14:textId="77777777" w:rsidR="00221A5D" w:rsidRPr="00484AE9" w:rsidRDefault="00221A5D" w:rsidP="00CA0B16">
            <w:pPr>
              <w:pStyle w:val="TableText0"/>
              <w:rPr>
                <w:i/>
                <w:iCs/>
                <w:szCs w:val="20"/>
                <w:highlight w:val="yellow"/>
              </w:rPr>
            </w:pPr>
            <w:r w:rsidRPr="00484AE9">
              <w:rPr>
                <w:iCs/>
                <w:szCs w:val="20"/>
              </w:rPr>
              <w:t>Costs</w:t>
            </w:r>
          </w:p>
        </w:tc>
        <w:tc>
          <w:tcPr>
            <w:tcW w:w="1018" w:type="pct"/>
            <w:shd w:val="clear" w:color="auto" w:fill="auto"/>
          </w:tcPr>
          <w:p w14:paraId="37A4EEAB" w14:textId="57A53F34" w:rsidR="00221A5D" w:rsidRPr="00484AE9" w:rsidRDefault="00696519" w:rsidP="00221A5D">
            <w:pPr>
              <w:pStyle w:val="TableText0"/>
              <w:jc w:val="center"/>
              <w:rPr>
                <w:i/>
                <w:iCs/>
                <w:szCs w:val="20"/>
                <w:highlight w:val="yellow"/>
              </w:rPr>
            </w:pPr>
            <w:r w:rsidRPr="00696519">
              <w:rPr>
                <w:rFonts w:cs="Calibri"/>
                <w:color w:val="000000"/>
                <w:szCs w:val="20"/>
              </w:rPr>
              <w:t xml:space="preserve"> </w:t>
            </w:r>
            <w:r w:rsidRPr="00696519">
              <w:rPr>
                <w:rFonts w:cs="Calibri"/>
                <w:color w:val="000000"/>
                <w:szCs w:val="20"/>
                <w:shd w:val="solid" w:color="000000" w:fill="000000"/>
                <w14:textFill>
                  <w14:solidFill>
                    <w14:srgbClr w14:val="000000">
                      <w14:alpha w14:val="100000"/>
                    </w14:srgbClr>
                  </w14:solidFill>
                </w14:textFill>
              </w:rPr>
              <w:t>|</w:t>
            </w:r>
            <w:r w:rsidRPr="00696519">
              <w:rPr>
                <w:rFonts w:cs="Calibri"/>
                <w:color w:val="000000"/>
                <w:szCs w:val="20"/>
              </w:rPr>
              <w:t xml:space="preserve"> </w:t>
            </w:r>
          </w:p>
        </w:tc>
        <w:tc>
          <w:tcPr>
            <w:tcW w:w="1017" w:type="pct"/>
            <w:shd w:val="clear" w:color="auto" w:fill="auto"/>
          </w:tcPr>
          <w:p w14:paraId="4D64D882" w14:textId="68D12480" w:rsidR="00221A5D" w:rsidRPr="00484AE9" w:rsidRDefault="00221A5D" w:rsidP="00221A5D">
            <w:pPr>
              <w:pStyle w:val="TableText0"/>
              <w:jc w:val="center"/>
              <w:rPr>
                <w:i/>
                <w:iCs/>
                <w:szCs w:val="20"/>
                <w:highlight w:val="yellow"/>
              </w:rPr>
            </w:pPr>
            <w:r w:rsidRPr="00484AE9">
              <w:rPr>
                <w:rFonts w:cs="Calibri"/>
                <w:color w:val="000000"/>
                <w:szCs w:val="20"/>
              </w:rPr>
              <w:t>$313.78</w:t>
            </w:r>
          </w:p>
        </w:tc>
        <w:tc>
          <w:tcPr>
            <w:tcW w:w="1094" w:type="pct"/>
            <w:shd w:val="clear" w:color="auto" w:fill="auto"/>
          </w:tcPr>
          <w:p w14:paraId="30D2CA85" w14:textId="7375C985" w:rsidR="00221A5D" w:rsidRPr="00484AE9" w:rsidRDefault="00696519" w:rsidP="00221A5D">
            <w:pPr>
              <w:pStyle w:val="TableText0"/>
              <w:jc w:val="center"/>
              <w:rPr>
                <w:i/>
                <w:iCs/>
                <w:szCs w:val="20"/>
                <w:highlight w:val="yellow"/>
              </w:rPr>
            </w:pPr>
            <w:r w:rsidRPr="00696519">
              <w:rPr>
                <w:rFonts w:cs="Calibri"/>
                <w:color w:val="000000"/>
                <w:szCs w:val="20"/>
              </w:rPr>
              <w:t xml:space="preserve"> </w:t>
            </w:r>
            <w:r w:rsidRPr="00696519">
              <w:rPr>
                <w:rFonts w:cs="Calibri"/>
                <w:color w:val="000000"/>
                <w:szCs w:val="20"/>
                <w:shd w:val="solid" w:color="000000" w:fill="000000"/>
                <w14:textFill>
                  <w14:solidFill>
                    <w14:srgbClr w14:val="000000">
                      <w14:alpha w14:val="100000"/>
                    </w14:srgbClr>
                  </w14:solidFill>
                </w14:textFill>
              </w:rPr>
              <w:t>|</w:t>
            </w:r>
            <w:r w:rsidRPr="00696519">
              <w:rPr>
                <w:rFonts w:cs="Calibri"/>
                <w:color w:val="000000"/>
                <w:szCs w:val="20"/>
              </w:rPr>
              <w:t xml:space="preserve"> </w:t>
            </w:r>
          </w:p>
        </w:tc>
        <w:tc>
          <w:tcPr>
            <w:tcW w:w="936" w:type="pct"/>
            <w:vMerge w:val="restart"/>
            <w:shd w:val="clear" w:color="auto" w:fill="auto"/>
            <w:vAlign w:val="center"/>
          </w:tcPr>
          <w:p w14:paraId="21B01B3F" w14:textId="443A32C7" w:rsidR="00221A5D" w:rsidRPr="00484AE9" w:rsidRDefault="00696519" w:rsidP="005E1DE9">
            <w:pPr>
              <w:pStyle w:val="TableText0"/>
              <w:jc w:val="center"/>
              <w:rPr>
                <w:iCs/>
                <w:szCs w:val="20"/>
              </w:rPr>
            </w:pPr>
            <w:r w:rsidRPr="00696519">
              <w:rPr>
                <w:rFonts w:cs="Calibri"/>
                <w:color w:val="000000"/>
                <w:szCs w:val="20"/>
              </w:rPr>
              <w:t xml:space="preserve"> </w:t>
            </w:r>
            <w:r w:rsidRPr="00696519">
              <w:rPr>
                <w:rFonts w:cs="Calibri"/>
                <w:color w:val="000000"/>
                <w:szCs w:val="20"/>
                <w:shd w:val="solid" w:color="000000" w:fill="000000"/>
                <w14:textFill>
                  <w14:solidFill>
                    <w14:srgbClr w14:val="000000">
                      <w14:alpha w14:val="100000"/>
                    </w14:srgbClr>
                  </w14:solidFill>
                </w14:textFill>
              </w:rPr>
              <w:t>|</w:t>
            </w:r>
            <w:r w:rsidR="00EC108B">
              <w:rPr>
                <w:rFonts w:cs="Calibri"/>
                <w:color w:val="000000"/>
                <w:szCs w:val="20"/>
                <w:vertAlign w:val="superscript"/>
              </w:rPr>
              <w:t>1</w:t>
            </w:r>
          </w:p>
        </w:tc>
      </w:tr>
      <w:tr w:rsidR="00221A5D" w:rsidRPr="00484AE9" w14:paraId="2A7B1D9A" w14:textId="77777777" w:rsidTr="00286436">
        <w:trPr>
          <w:cantSplit/>
        </w:trPr>
        <w:tc>
          <w:tcPr>
            <w:tcW w:w="935" w:type="pct"/>
            <w:shd w:val="clear" w:color="auto" w:fill="auto"/>
            <w:vAlign w:val="center"/>
          </w:tcPr>
          <w:p w14:paraId="5B60DE09" w14:textId="77777777" w:rsidR="00221A5D" w:rsidRPr="00484AE9" w:rsidRDefault="00221A5D" w:rsidP="00CA0B16">
            <w:pPr>
              <w:pStyle w:val="TableText0"/>
              <w:rPr>
                <w:i/>
                <w:iCs/>
                <w:szCs w:val="20"/>
                <w:highlight w:val="yellow"/>
              </w:rPr>
            </w:pPr>
            <w:r w:rsidRPr="00484AE9">
              <w:rPr>
                <w:iCs/>
                <w:szCs w:val="20"/>
              </w:rPr>
              <w:t>QALYS lost</w:t>
            </w:r>
          </w:p>
        </w:tc>
        <w:tc>
          <w:tcPr>
            <w:tcW w:w="1018" w:type="pct"/>
            <w:shd w:val="clear" w:color="auto" w:fill="auto"/>
          </w:tcPr>
          <w:p w14:paraId="2E32F62F" w14:textId="4CB39C1A" w:rsidR="00221A5D" w:rsidRPr="00484AE9" w:rsidRDefault="00221A5D" w:rsidP="00221A5D">
            <w:pPr>
              <w:pStyle w:val="TableText0"/>
              <w:jc w:val="center"/>
              <w:rPr>
                <w:i/>
                <w:iCs/>
                <w:szCs w:val="20"/>
                <w:highlight w:val="yellow"/>
              </w:rPr>
            </w:pPr>
            <w:r w:rsidRPr="00484AE9">
              <w:rPr>
                <w:rFonts w:cs="Calibri"/>
                <w:color w:val="000000"/>
                <w:szCs w:val="20"/>
              </w:rPr>
              <w:t>-0.0401</w:t>
            </w:r>
          </w:p>
        </w:tc>
        <w:tc>
          <w:tcPr>
            <w:tcW w:w="1017" w:type="pct"/>
            <w:shd w:val="clear" w:color="auto" w:fill="auto"/>
          </w:tcPr>
          <w:p w14:paraId="741B26AA" w14:textId="23C9E06B" w:rsidR="00221A5D" w:rsidRPr="00484AE9" w:rsidRDefault="00221A5D" w:rsidP="00221A5D">
            <w:pPr>
              <w:pStyle w:val="TableText0"/>
              <w:jc w:val="center"/>
              <w:rPr>
                <w:i/>
                <w:iCs/>
                <w:szCs w:val="20"/>
                <w:highlight w:val="yellow"/>
              </w:rPr>
            </w:pPr>
            <w:r w:rsidRPr="00484AE9">
              <w:rPr>
                <w:rFonts w:cs="Calibri"/>
                <w:color w:val="000000"/>
                <w:szCs w:val="20"/>
              </w:rPr>
              <w:t>-0.2336</w:t>
            </w:r>
          </w:p>
        </w:tc>
        <w:tc>
          <w:tcPr>
            <w:tcW w:w="1094" w:type="pct"/>
            <w:shd w:val="clear" w:color="auto" w:fill="auto"/>
          </w:tcPr>
          <w:p w14:paraId="50A72D6F" w14:textId="7E4D3D3D" w:rsidR="00221A5D" w:rsidRPr="00484AE9" w:rsidRDefault="00221A5D" w:rsidP="00221A5D">
            <w:pPr>
              <w:pStyle w:val="TableText0"/>
              <w:jc w:val="center"/>
              <w:rPr>
                <w:i/>
                <w:iCs/>
                <w:szCs w:val="20"/>
                <w:highlight w:val="yellow"/>
              </w:rPr>
            </w:pPr>
            <w:r w:rsidRPr="00484AE9">
              <w:rPr>
                <w:rFonts w:cs="Calibri"/>
                <w:color w:val="000000"/>
                <w:szCs w:val="20"/>
              </w:rPr>
              <w:t>0.1934</w:t>
            </w:r>
          </w:p>
        </w:tc>
        <w:tc>
          <w:tcPr>
            <w:tcW w:w="936" w:type="pct"/>
            <w:vMerge/>
            <w:shd w:val="clear" w:color="auto" w:fill="auto"/>
            <w:vAlign w:val="center"/>
          </w:tcPr>
          <w:p w14:paraId="3886E7E5" w14:textId="77777777" w:rsidR="00221A5D" w:rsidRPr="00484AE9" w:rsidRDefault="00221A5D" w:rsidP="00221A5D">
            <w:pPr>
              <w:pStyle w:val="TableText0"/>
              <w:jc w:val="center"/>
              <w:rPr>
                <w:iCs/>
                <w:szCs w:val="20"/>
              </w:rPr>
            </w:pPr>
          </w:p>
        </w:tc>
      </w:tr>
      <w:tr w:rsidR="0018480F" w:rsidRPr="00484AE9" w14:paraId="297C881D" w14:textId="77777777" w:rsidTr="00286436">
        <w:trPr>
          <w:cantSplit/>
          <w:tblHeader/>
        </w:trPr>
        <w:tc>
          <w:tcPr>
            <w:tcW w:w="5000" w:type="pct"/>
            <w:gridSpan w:val="5"/>
            <w:shd w:val="clear" w:color="auto" w:fill="auto"/>
            <w:vAlign w:val="center"/>
          </w:tcPr>
          <w:p w14:paraId="502B5584" w14:textId="77777777" w:rsidR="0018480F" w:rsidRPr="00484AE9" w:rsidRDefault="0018480F" w:rsidP="00CA0B16">
            <w:pPr>
              <w:pStyle w:val="TableText0"/>
              <w:rPr>
                <w:b/>
                <w:bCs w:val="0"/>
                <w:iCs/>
                <w:szCs w:val="20"/>
              </w:rPr>
            </w:pPr>
            <w:r w:rsidRPr="00484AE9">
              <w:rPr>
                <w:b/>
                <w:bCs w:val="0"/>
                <w:iCs/>
                <w:szCs w:val="20"/>
              </w:rPr>
              <w:t>Cohort: Aboriginal and Torres Strait Islander people aged ≥ 30 and ≥ 1 risk factor</w:t>
            </w:r>
          </w:p>
        </w:tc>
      </w:tr>
      <w:tr w:rsidR="00221A5D" w:rsidRPr="00484AE9" w14:paraId="2BBF72EE" w14:textId="77777777" w:rsidTr="00286436">
        <w:trPr>
          <w:cantSplit/>
        </w:trPr>
        <w:tc>
          <w:tcPr>
            <w:tcW w:w="935" w:type="pct"/>
            <w:shd w:val="clear" w:color="auto" w:fill="auto"/>
            <w:vAlign w:val="center"/>
          </w:tcPr>
          <w:p w14:paraId="297E8E3D" w14:textId="77777777" w:rsidR="00221A5D" w:rsidRPr="00484AE9" w:rsidRDefault="00221A5D" w:rsidP="00CA0B16">
            <w:pPr>
              <w:pStyle w:val="TableText0"/>
              <w:rPr>
                <w:i/>
                <w:iCs/>
                <w:szCs w:val="20"/>
                <w:highlight w:val="yellow"/>
              </w:rPr>
            </w:pPr>
            <w:r w:rsidRPr="00484AE9">
              <w:rPr>
                <w:iCs/>
                <w:szCs w:val="20"/>
              </w:rPr>
              <w:t>Costs</w:t>
            </w:r>
          </w:p>
        </w:tc>
        <w:tc>
          <w:tcPr>
            <w:tcW w:w="1018" w:type="pct"/>
            <w:shd w:val="clear" w:color="auto" w:fill="auto"/>
          </w:tcPr>
          <w:p w14:paraId="77237B7F" w14:textId="17B6B63A" w:rsidR="00221A5D" w:rsidRPr="00484AE9" w:rsidRDefault="00696519" w:rsidP="00221A5D">
            <w:pPr>
              <w:pStyle w:val="TableText0"/>
              <w:jc w:val="center"/>
              <w:rPr>
                <w:i/>
                <w:iCs/>
                <w:szCs w:val="20"/>
                <w:highlight w:val="yellow"/>
              </w:rPr>
            </w:pPr>
            <w:r w:rsidRPr="00696519">
              <w:rPr>
                <w:rFonts w:cs="Calibri"/>
                <w:color w:val="000000"/>
                <w:szCs w:val="20"/>
              </w:rPr>
              <w:t xml:space="preserve"> </w:t>
            </w:r>
            <w:r w:rsidRPr="00696519">
              <w:rPr>
                <w:rFonts w:cs="Calibri"/>
                <w:color w:val="000000"/>
                <w:szCs w:val="20"/>
                <w:shd w:val="solid" w:color="000000" w:fill="000000"/>
                <w14:textFill>
                  <w14:solidFill>
                    <w14:srgbClr w14:val="000000">
                      <w14:alpha w14:val="100000"/>
                    </w14:srgbClr>
                  </w14:solidFill>
                </w14:textFill>
              </w:rPr>
              <w:t>|</w:t>
            </w:r>
            <w:r w:rsidRPr="00696519">
              <w:rPr>
                <w:rFonts w:cs="Calibri"/>
                <w:color w:val="000000"/>
                <w:szCs w:val="20"/>
              </w:rPr>
              <w:t xml:space="preserve"> </w:t>
            </w:r>
          </w:p>
        </w:tc>
        <w:tc>
          <w:tcPr>
            <w:tcW w:w="1017" w:type="pct"/>
            <w:shd w:val="clear" w:color="auto" w:fill="auto"/>
          </w:tcPr>
          <w:p w14:paraId="27459FF7" w14:textId="29C883F5" w:rsidR="00221A5D" w:rsidRPr="00484AE9" w:rsidRDefault="00221A5D" w:rsidP="00221A5D">
            <w:pPr>
              <w:pStyle w:val="TableText0"/>
              <w:jc w:val="center"/>
              <w:rPr>
                <w:i/>
                <w:iCs/>
                <w:szCs w:val="20"/>
                <w:highlight w:val="yellow"/>
              </w:rPr>
            </w:pPr>
            <w:r w:rsidRPr="00484AE9">
              <w:rPr>
                <w:rFonts w:cs="Calibri"/>
                <w:color w:val="000000"/>
                <w:szCs w:val="20"/>
              </w:rPr>
              <w:t>$235.34</w:t>
            </w:r>
          </w:p>
        </w:tc>
        <w:tc>
          <w:tcPr>
            <w:tcW w:w="1094" w:type="pct"/>
            <w:shd w:val="clear" w:color="auto" w:fill="auto"/>
          </w:tcPr>
          <w:p w14:paraId="35167EB4" w14:textId="2949E177" w:rsidR="00221A5D" w:rsidRPr="00484AE9" w:rsidRDefault="00696519" w:rsidP="00221A5D">
            <w:pPr>
              <w:pStyle w:val="TableText0"/>
              <w:jc w:val="center"/>
              <w:rPr>
                <w:i/>
                <w:iCs/>
                <w:szCs w:val="20"/>
                <w:highlight w:val="yellow"/>
              </w:rPr>
            </w:pPr>
            <w:r w:rsidRPr="00696519">
              <w:rPr>
                <w:rFonts w:cs="Calibri"/>
                <w:color w:val="000000"/>
                <w:szCs w:val="20"/>
              </w:rPr>
              <w:t xml:space="preserve"> </w:t>
            </w:r>
            <w:r w:rsidRPr="00696519">
              <w:rPr>
                <w:rFonts w:cs="Calibri"/>
                <w:color w:val="000000"/>
                <w:szCs w:val="20"/>
                <w:shd w:val="solid" w:color="000000" w:fill="000000"/>
                <w14:textFill>
                  <w14:solidFill>
                    <w14:srgbClr w14:val="000000">
                      <w14:alpha w14:val="100000"/>
                    </w14:srgbClr>
                  </w14:solidFill>
                </w14:textFill>
              </w:rPr>
              <w:t>|</w:t>
            </w:r>
            <w:r w:rsidRPr="00696519">
              <w:rPr>
                <w:rFonts w:cs="Calibri"/>
                <w:color w:val="000000"/>
                <w:szCs w:val="20"/>
              </w:rPr>
              <w:t xml:space="preserve"> </w:t>
            </w:r>
          </w:p>
        </w:tc>
        <w:tc>
          <w:tcPr>
            <w:tcW w:w="936" w:type="pct"/>
            <w:vMerge w:val="restart"/>
            <w:shd w:val="clear" w:color="auto" w:fill="auto"/>
            <w:vAlign w:val="center"/>
          </w:tcPr>
          <w:p w14:paraId="3B078D2B" w14:textId="046836D3" w:rsidR="00221A5D" w:rsidRPr="00484AE9" w:rsidRDefault="00696519" w:rsidP="005E1DE9">
            <w:pPr>
              <w:pStyle w:val="TableText0"/>
              <w:jc w:val="center"/>
              <w:rPr>
                <w:iCs/>
                <w:szCs w:val="20"/>
              </w:rPr>
            </w:pPr>
            <w:r w:rsidRPr="00696519">
              <w:rPr>
                <w:rFonts w:cs="Calibri"/>
                <w:color w:val="000000"/>
                <w:szCs w:val="20"/>
              </w:rPr>
              <w:t xml:space="preserve"> </w:t>
            </w:r>
            <w:r w:rsidRPr="00696519">
              <w:rPr>
                <w:rFonts w:cs="Calibri"/>
                <w:color w:val="000000"/>
                <w:szCs w:val="20"/>
                <w:shd w:val="solid" w:color="000000" w:fill="000000"/>
                <w14:textFill>
                  <w14:solidFill>
                    <w14:srgbClr w14:val="000000">
                      <w14:alpha w14:val="100000"/>
                    </w14:srgbClr>
                  </w14:solidFill>
                </w14:textFill>
              </w:rPr>
              <w:t>|</w:t>
            </w:r>
            <w:r w:rsidR="00EC108B">
              <w:rPr>
                <w:rFonts w:cs="Calibri"/>
                <w:color w:val="000000"/>
                <w:szCs w:val="20"/>
                <w:vertAlign w:val="superscript"/>
              </w:rPr>
              <w:t>1</w:t>
            </w:r>
          </w:p>
        </w:tc>
      </w:tr>
      <w:tr w:rsidR="00221A5D" w:rsidRPr="00484AE9" w14:paraId="657D4AA1" w14:textId="77777777" w:rsidTr="00286436">
        <w:trPr>
          <w:cantSplit/>
        </w:trPr>
        <w:tc>
          <w:tcPr>
            <w:tcW w:w="935" w:type="pct"/>
            <w:shd w:val="clear" w:color="auto" w:fill="auto"/>
            <w:vAlign w:val="center"/>
          </w:tcPr>
          <w:p w14:paraId="6AA8D2CD" w14:textId="77777777" w:rsidR="00221A5D" w:rsidRPr="00484AE9" w:rsidRDefault="00221A5D" w:rsidP="00CA0B16">
            <w:pPr>
              <w:pStyle w:val="TableText0"/>
              <w:rPr>
                <w:i/>
                <w:iCs/>
                <w:szCs w:val="20"/>
                <w:highlight w:val="yellow"/>
              </w:rPr>
            </w:pPr>
            <w:r w:rsidRPr="00484AE9">
              <w:rPr>
                <w:iCs/>
                <w:szCs w:val="20"/>
              </w:rPr>
              <w:t>QALYS lost</w:t>
            </w:r>
          </w:p>
        </w:tc>
        <w:tc>
          <w:tcPr>
            <w:tcW w:w="1018" w:type="pct"/>
            <w:shd w:val="clear" w:color="auto" w:fill="auto"/>
          </w:tcPr>
          <w:p w14:paraId="69ABE11B" w14:textId="6C889E4D" w:rsidR="00221A5D" w:rsidRPr="00484AE9" w:rsidRDefault="00221A5D" w:rsidP="00221A5D">
            <w:pPr>
              <w:pStyle w:val="TableText0"/>
              <w:jc w:val="center"/>
              <w:rPr>
                <w:i/>
                <w:iCs/>
                <w:szCs w:val="20"/>
                <w:highlight w:val="yellow"/>
              </w:rPr>
            </w:pPr>
            <w:r w:rsidRPr="00484AE9">
              <w:rPr>
                <w:rFonts w:cs="Calibri"/>
                <w:color w:val="000000"/>
                <w:szCs w:val="20"/>
              </w:rPr>
              <w:t>-0.0221</w:t>
            </w:r>
          </w:p>
        </w:tc>
        <w:tc>
          <w:tcPr>
            <w:tcW w:w="1017" w:type="pct"/>
            <w:shd w:val="clear" w:color="auto" w:fill="auto"/>
          </w:tcPr>
          <w:p w14:paraId="01E7B276" w14:textId="09FFA728" w:rsidR="00221A5D" w:rsidRPr="00484AE9" w:rsidRDefault="00221A5D" w:rsidP="00221A5D">
            <w:pPr>
              <w:pStyle w:val="TableText0"/>
              <w:jc w:val="center"/>
              <w:rPr>
                <w:i/>
                <w:iCs/>
                <w:szCs w:val="20"/>
                <w:highlight w:val="yellow"/>
              </w:rPr>
            </w:pPr>
            <w:r w:rsidRPr="00484AE9">
              <w:rPr>
                <w:rFonts w:cs="Calibri"/>
                <w:color w:val="000000"/>
                <w:szCs w:val="20"/>
              </w:rPr>
              <w:t>-0.1300</w:t>
            </w:r>
          </w:p>
        </w:tc>
        <w:tc>
          <w:tcPr>
            <w:tcW w:w="1094" w:type="pct"/>
            <w:shd w:val="clear" w:color="auto" w:fill="auto"/>
          </w:tcPr>
          <w:p w14:paraId="30B610B1" w14:textId="660CE122" w:rsidR="00221A5D" w:rsidRPr="00484AE9" w:rsidRDefault="00221A5D" w:rsidP="00221A5D">
            <w:pPr>
              <w:pStyle w:val="TableText0"/>
              <w:jc w:val="center"/>
              <w:rPr>
                <w:i/>
                <w:iCs/>
                <w:szCs w:val="20"/>
                <w:highlight w:val="yellow"/>
              </w:rPr>
            </w:pPr>
            <w:r w:rsidRPr="00484AE9">
              <w:rPr>
                <w:rFonts w:cs="Calibri"/>
                <w:color w:val="000000"/>
                <w:szCs w:val="20"/>
              </w:rPr>
              <w:t>0.1079</w:t>
            </w:r>
          </w:p>
        </w:tc>
        <w:tc>
          <w:tcPr>
            <w:tcW w:w="936" w:type="pct"/>
            <w:vMerge/>
            <w:shd w:val="clear" w:color="auto" w:fill="auto"/>
            <w:vAlign w:val="center"/>
          </w:tcPr>
          <w:p w14:paraId="53AB1624" w14:textId="77777777" w:rsidR="00221A5D" w:rsidRPr="00484AE9" w:rsidRDefault="00221A5D" w:rsidP="00221A5D">
            <w:pPr>
              <w:pStyle w:val="TableText0"/>
              <w:jc w:val="center"/>
              <w:rPr>
                <w:iCs/>
                <w:szCs w:val="20"/>
              </w:rPr>
            </w:pPr>
          </w:p>
        </w:tc>
      </w:tr>
      <w:tr w:rsidR="0018480F" w:rsidRPr="00484AE9" w14:paraId="09001865" w14:textId="77777777" w:rsidTr="00286436">
        <w:trPr>
          <w:cantSplit/>
          <w:tblHeader/>
        </w:trPr>
        <w:tc>
          <w:tcPr>
            <w:tcW w:w="5000" w:type="pct"/>
            <w:gridSpan w:val="5"/>
            <w:shd w:val="clear" w:color="auto" w:fill="auto"/>
            <w:vAlign w:val="center"/>
          </w:tcPr>
          <w:p w14:paraId="5B0FD235" w14:textId="77777777" w:rsidR="0018480F" w:rsidRPr="00484AE9" w:rsidRDefault="0018480F" w:rsidP="00CA0B16">
            <w:pPr>
              <w:pStyle w:val="TableText0"/>
              <w:rPr>
                <w:b/>
                <w:bCs w:val="0"/>
                <w:iCs/>
                <w:szCs w:val="20"/>
              </w:rPr>
            </w:pPr>
            <w:r w:rsidRPr="00484AE9">
              <w:rPr>
                <w:b/>
                <w:bCs w:val="0"/>
                <w:iCs/>
                <w:szCs w:val="20"/>
              </w:rPr>
              <w:t>Cohort: Aged 50-69 &amp; ≥ 2 risk factors</w:t>
            </w:r>
          </w:p>
        </w:tc>
      </w:tr>
      <w:tr w:rsidR="00221A5D" w:rsidRPr="00484AE9" w14:paraId="5B019E62" w14:textId="77777777" w:rsidTr="00286436">
        <w:trPr>
          <w:cantSplit/>
        </w:trPr>
        <w:tc>
          <w:tcPr>
            <w:tcW w:w="935" w:type="pct"/>
            <w:shd w:val="clear" w:color="auto" w:fill="auto"/>
            <w:vAlign w:val="center"/>
          </w:tcPr>
          <w:p w14:paraId="63B485B3" w14:textId="77777777" w:rsidR="00221A5D" w:rsidRPr="00484AE9" w:rsidRDefault="00221A5D" w:rsidP="00CA0B16">
            <w:pPr>
              <w:pStyle w:val="TableText0"/>
              <w:rPr>
                <w:i/>
                <w:iCs/>
                <w:szCs w:val="20"/>
                <w:highlight w:val="yellow"/>
              </w:rPr>
            </w:pPr>
            <w:r w:rsidRPr="00484AE9">
              <w:rPr>
                <w:iCs/>
                <w:szCs w:val="20"/>
              </w:rPr>
              <w:t>Costs</w:t>
            </w:r>
          </w:p>
        </w:tc>
        <w:tc>
          <w:tcPr>
            <w:tcW w:w="1018" w:type="pct"/>
            <w:shd w:val="clear" w:color="auto" w:fill="auto"/>
          </w:tcPr>
          <w:p w14:paraId="1F7A07E9" w14:textId="319199A8" w:rsidR="00221A5D" w:rsidRPr="00484AE9" w:rsidRDefault="00696519" w:rsidP="00221A5D">
            <w:pPr>
              <w:pStyle w:val="TableText0"/>
              <w:jc w:val="center"/>
              <w:rPr>
                <w:i/>
                <w:iCs/>
                <w:szCs w:val="20"/>
                <w:highlight w:val="yellow"/>
              </w:rPr>
            </w:pPr>
            <w:r w:rsidRPr="00696519">
              <w:rPr>
                <w:rFonts w:cs="Calibri"/>
                <w:color w:val="000000"/>
                <w:szCs w:val="20"/>
              </w:rPr>
              <w:t xml:space="preserve"> </w:t>
            </w:r>
            <w:r w:rsidRPr="00696519">
              <w:rPr>
                <w:rFonts w:cs="Calibri"/>
                <w:color w:val="000000"/>
                <w:szCs w:val="20"/>
                <w:shd w:val="solid" w:color="000000" w:fill="000000"/>
                <w14:textFill>
                  <w14:solidFill>
                    <w14:srgbClr w14:val="000000">
                      <w14:alpha w14:val="100000"/>
                    </w14:srgbClr>
                  </w14:solidFill>
                </w14:textFill>
              </w:rPr>
              <w:t>|</w:t>
            </w:r>
            <w:r w:rsidRPr="00696519">
              <w:rPr>
                <w:rFonts w:cs="Calibri"/>
                <w:color w:val="000000"/>
                <w:szCs w:val="20"/>
              </w:rPr>
              <w:t xml:space="preserve"> </w:t>
            </w:r>
          </w:p>
        </w:tc>
        <w:tc>
          <w:tcPr>
            <w:tcW w:w="1017" w:type="pct"/>
            <w:shd w:val="clear" w:color="auto" w:fill="auto"/>
          </w:tcPr>
          <w:p w14:paraId="278E2DFE" w14:textId="5C8ED353" w:rsidR="00221A5D" w:rsidRPr="00484AE9" w:rsidRDefault="00221A5D" w:rsidP="00221A5D">
            <w:pPr>
              <w:pStyle w:val="TableText0"/>
              <w:jc w:val="center"/>
              <w:rPr>
                <w:i/>
                <w:iCs/>
                <w:szCs w:val="20"/>
                <w:highlight w:val="yellow"/>
              </w:rPr>
            </w:pPr>
            <w:r w:rsidRPr="00484AE9">
              <w:rPr>
                <w:rFonts w:cs="Calibri"/>
                <w:color w:val="000000"/>
                <w:szCs w:val="20"/>
              </w:rPr>
              <w:t>$142.64</w:t>
            </w:r>
          </w:p>
        </w:tc>
        <w:tc>
          <w:tcPr>
            <w:tcW w:w="1094" w:type="pct"/>
            <w:shd w:val="clear" w:color="auto" w:fill="auto"/>
          </w:tcPr>
          <w:p w14:paraId="14873388" w14:textId="01CB83F6" w:rsidR="00221A5D" w:rsidRPr="00484AE9" w:rsidRDefault="00696519" w:rsidP="00221A5D">
            <w:pPr>
              <w:pStyle w:val="TableText0"/>
              <w:jc w:val="center"/>
              <w:rPr>
                <w:i/>
                <w:iCs/>
                <w:szCs w:val="20"/>
                <w:highlight w:val="yellow"/>
              </w:rPr>
            </w:pPr>
            <w:r w:rsidRPr="00696519">
              <w:rPr>
                <w:rFonts w:cs="Calibri"/>
                <w:color w:val="000000"/>
                <w:szCs w:val="20"/>
              </w:rPr>
              <w:t xml:space="preserve"> </w:t>
            </w:r>
            <w:r w:rsidRPr="00696519">
              <w:rPr>
                <w:rFonts w:cs="Calibri"/>
                <w:color w:val="000000"/>
                <w:szCs w:val="20"/>
                <w:shd w:val="solid" w:color="000000" w:fill="000000"/>
                <w14:textFill>
                  <w14:solidFill>
                    <w14:srgbClr w14:val="000000">
                      <w14:alpha w14:val="100000"/>
                    </w14:srgbClr>
                  </w14:solidFill>
                </w14:textFill>
              </w:rPr>
              <w:t>|</w:t>
            </w:r>
            <w:r w:rsidRPr="00696519">
              <w:rPr>
                <w:rFonts w:cs="Calibri"/>
                <w:color w:val="000000"/>
                <w:szCs w:val="20"/>
              </w:rPr>
              <w:t xml:space="preserve"> </w:t>
            </w:r>
          </w:p>
        </w:tc>
        <w:tc>
          <w:tcPr>
            <w:tcW w:w="936" w:type="pct"/>
            <w:vMerge w:val="restart"/>
            <w:shd w:val="clear" w:color="auto" w:fill="auto"/>
            <w:vAlign w:val="center"/>
          </w:tcPr>
          <w:p w14:paraId="21D09C1C" w14:textId="0F9029A8" w:rsidR="00221A5D" w:rsidRPr="00484AE9" w:rsidRDefault="00696519" w:rsidP="005E1DE9">
            <w:pPr>
              <w:pStyle w:val="TableText0"/>
              <w:jc w:val="center"/>
              <w:rPr>
                <w:iCs/>
                <w:szCs w:val="20"/>
              </w:rPr>
            </w:pPr>
            <w:r w:rsidRPr="00696519">
              <w:rPr>
                <w:rFonts w:cs="Calibri"/>
                <w:color w:val="000000"/>
                <w:szCs w:val="20"/>
              </w:rPr>
              <w:t xml:space="preserve"> </w:t>
            </w:r>
            <w:r w:rsidRPr="00696519">
              <w:rPr>
                <w:rFonts w:cs="Calibri"/>
                <w:color w:val="000000"/>
                <w:szCs w:val="20"/>
                <w:shd w:val="solid" w:color="000000" w:fill="000000"/>
                <w14:textFill>
                  <w14:solidFill>
                    <w14:srgbClr w14:val="000000">
                      <w14:alpha w14:val="100000"/>
                    </w14:srgbClr>
                  </w14:solidFill>
                </w14:textFill>
              </w:rPr>
              <w:t>|</w:t>
            </w:r>
            <w:r w:rsidR="00EC108B">
              <w:rPr>
                <w:rFonts w:cs="Calibri"/>
                <w:color w:val="000000"/>
                <w:szCs w:val="20"/>
                <w:vertAlign w:val="superscript"/>
              </w:rPr>
              <w:t>2</w:t>
            </w:r>
          </w:p>
        </w:tc>
      </w:tr>
      <w:tr w:rsidR="00221A5D" w:rsidRPr="00484AE9" w14:paraId="0456BBB8" w14:textId="77777777" w:rsidTr="00286436">
        <w:trPr>
          <w:cantSplit/>
          <w:trHeight w:val="301"/>
        </w:trPr>
        <w:tc>
          <w:tcPr>
            <w:tcW w:w="935" w:type="pct"/>
            <w:shd w:val="clear" w:color="auto" w:fill="auto"/>
            <w:vAlign w:val="center"/>
          </w:tcPr>
          <w:p w14:paraId="682608FD" w14:textId="77777777" w:rsidR="00221A5D" w:rsidRPr="00484AE9" w:rsidRDefault="00221A5D" w:rsidP="00CA0B16">
            <w:pPr>
              <w:pStyle w:val="TableText0"/>
              <w:rPr>
                <w:i/>
                <w:iCs/>
                <w:szCs w:val="20"/>
                <w:highlight w:val="yellow"/>
              </w:rPr>
            </w:pPr>
            <w:r w:rsidRPr="00484AE9">
              <w:rPr>
                <w:iCs/>
                <w:szCs w:val="20"/>
              </w:rPr>
              <w:t>QALYS lost</w:t>
            </w:r>
          </w:p>
        </w:tc>
        <w:tc>
          <w:tcPr>
            <w:tcW w:w="1018" w:type="pct"/>
            <w:shd w:val="clear" w:color="auto" w:fill="auto"/>
          </w:tcPr>
          <w:p w14:paraId="1633C7A0" w14:textId="3F82646F" w:rsidR="00221A5D" w:rsidRPr="00484AE9" w:rsidRDefault="00221A5D" w:rsidP="00221A5D">
            <w:pPr>
              <w:pStyle w:val="TableText0"/>
              <w:jc w:val="center"/>
              <w:rPr>
                <w:i/>
                <w:iCs/>
                <w:szCs w:val="20"/>
                <w:highlight w:val="yellow"/>
              </w:rPr>
            </w:pPr>
            <w:r w:rsidRPr="00484AE9">
              <w:rPr>
                <w:rFonts w:cs="Calibri"/>
                <w:color w:val="000000"/>
                <w:szCs w:val="20"/>
              </w:rPr>
              <w:t>-0.0103</w:t>
            </w:r>
          </w:p>
        </w:tc>
        <w:tc>
          <w:tcPr>
            <w:tcW w:w="1017" w:type="pct"/>
            <w:shd w:val="clear" w:color="auto" w:fill="auto"/>
          </w:tcPr>
          <w:p w14:paraId="5B7E0650" w14:textId="0FF8C8DE" w:rsidR="00221A5D" w:rsidRPr="00484AE9" w:rsidRDefault="00221A5D" w:rsidP="00221A5D">
            <w:pPr>
              <w:pStyle w:val="TableText0"/>
              <w:jc w:val="center"/>
              <w:rPr>
                <w:i/>
                <w:iCs/>
                <w:szCs w:val="20"/>
                <w:highlight w:val="yellow"/>
              </w:rPr>
            </w:pPr>
            <w:r w:rsidRPr="00484AE9">
              <w:rPr>
                <w:rFonts w:cs="Calibri"/>
                <w:color w:val="000000"/>
                <w:szCs w:val="20"/>
              </w:rPr>
              <w:t>-0.0609</w:t>
            </w:r>
          </w:p>
        </w:tc>
        <w:tc>
          <w:tcPr>
            <w:tcW w:w="1094" w:type="pct"/>
            <w:shd w:val="clear" w:color="auto" w:fill="auto"/>
          </w:tcPr>
          <w:p w14:paraId="0CC505F4" w14:textId="3CAB70A0" w:rsidR="00221A5D" w:rsidRPr="00484AE9" w:rsidRDefault="00221A5D" w:rsidP="00221A5D">
            <w:pPr>
              <w:pStyle w:val="TableText0"/>
              <w:jc w:val="center"/>
              <w:rPr>
                <w:i/>
                <w:iCs/>
                <w:szCs w:val="20"/>
                <w:highlight w:val="yellow"/>
              </w:rPr>
            </w:pPr>
            <w:r w:rsidRPr="00484AE9">
              <w:rPr>
                <w:rFonts w:cs="Calibri"/>
                <w:color w:val="000000"/>
                <w:szCs w:val="20"/>
              </w:rPr>
              <w:t>0.0506</w:t>
            </w:r>
          </w:p>
        </w:tc>
        <w:tc>
          <w:tcPr>
            <w:tcW w:w="936" w:type="pct"/>
            <w:vMerge/>
            <w:shd w:val="clear" w:color="auto" w:fill="auto"/>
            <w:vAlign w:val="center"/>
          </w:tcPr>
          <w:p w14:paraId="7D8221C7" w14:textId="77777777" w:rsidR="00221A5D" w:rsidRPr="00484AE9" w:rsidRDefault="00221A5D" w:rsidP="00221A5D">
            <w:pPr>
              <w:pStyle w:val="TableText0"/>
              <w:jc w:val="center"/>
              <w:rPr>
                <w:iCs/>
                <w:szCs w:val="20"/>
              </w:rPr>
            </w:pPr>
          </w:p>
        </w:tc>
      </w:tr>
      <w:tr w:rsidR="0018480F" w:rsidRPr="00484AE9" w14:paraId="40FA703F" w14:textId="77777777" w:rsidTr="00286436">
        <w:trPr>
          <w:cantSplit/>
          <w:tblHeader/>
        </w:trPr>
        <w:tc>
          <w:tcPr>
            <w:tcW w:w="5000" w:type="pct"/>
            <w:gridSpan w:val="5"/>
            <w:shd w:val="clear" w:color="auto" w:fill="auto"/>
            <w:vAlign w:val="center"/>
          </w:tcPr>
          <w:p w14:paraId="14274122" w14:textId="612C1F86" w:rsidR="0018480F" w:rsidRPr="00484AE9" w:rsidRDefault="00733844" w:rsidP="00CA0B16">
            <w:pPr>
              <w:pStyle w:val="TableText0"/>
              <w:rPr>
                <w:b/>
                <w:bCs w:val="0"/>
                <w:iCs/>
                <w:szCs w:val="20"/>
              </w:rPr>
            </w:pPr>
            <w:r w:rsidRPr="00484AE9">
              <w:rPr>
                <w:b/>
                <w:bCs w:val="0"/>
                <w:iCs/>
                <w:szCs w:val="20"/>
              </w:rPr>
              <w:t xml:space="preserve">MSA </w:t>
            </w:r>
            <w:r w:rsidR="0018480F" w:rsidRPr="00484AE9">
              <w:rPr>
                <w:b/>
                <w:bCs w:val="0"/>
                <w:iCs/>
                <w:szCs w:val="20"/>
              </w:rPr>
              <w:t>2RF Scenario</w:t>
            </w:r>
            <w:r w:rsidR="0018480F" w:rsidRPr="00484AE9">
              <w:rPr>
                <w:b/>
                <w:bCs w:val="0"/>
                <w:iCs/>
                <w:szCs w:val="20"/>
                <w:vertAlign w:val="superscript"/>
              </w:rPr>
              <w:t>a</w:t>
            </w:r>
            <w:r w:rsidR="0018480F" w:rsidRPr="00484AE9">
              <w:rPr>
                <w:b/>
                <w:bCs w:val="0"/>
                <w:iCs/>
                <w:szCs w:val="20"/>
              </w:rPr>
              <w:t xml:space="preserve"> – Overall ICER with requirement for ≥ 2 risk factors for cohort aged 50-69, all other settings same as current scenario</w:t>
            </w:r>
          </w:p>
        </w:tc>
      </w:tr>
      <w:tr w:rsidR="00221A5D" w:rsidRPr="00484AE9" w14:paraId="789DD43D" w14:textId="77777777" w:rsidTr="00286436">
        <w:trPr>
          <w:cantSplit/>
        </w:trPr>
        <w:tc>
          <w:tcPr>
            <w:tcW w:w="935" w:type="pct"/>
            <w:shd w:val="clear" w:color="auto" w:fill="auto"/>
            <w:vAlign w:val="center"/>
          </w:tcPr>
          <w:p w14:paraId="62B0F1E2" w14:textId="77777777" w:rsidR="00221A5D" w:rsidRPr="00484AE9" w:rsidRDefault="00221A5D" w:rsidP="00CA0B16">
            <w:pPr>
              <w:pStyle w:val="TableText0"/>
              <w:rPr>
                <w:i/>
                <w:iCs/>
                <w:szCs w:val="20"/>
                <w:highlight w:val="yellow"/>
              </w:rPr>
            </w:pPr>
            <w:r w:rsidRPr="00484AE9">
              <w:rPr>
                <w:iCs/>
                <w:szCs w:val="20"/>
              </w:rPr>
              <w:t>Costs</w:t>
            </w:r>
          </w:p>
        </w:tc>
        <w:tc>
          <w:tcPr>
            <w:tcW w:w="1018" w:type="pct"/>
            <w:shd w:val="clear" w:color="auto" w:fill="auto"/>
          </w:tcPr>
          <w:p w14:paraId="393C5281" w14:textId="4C578018" w:rsidR="00221A5D" w:rsidRPr="00484AE9" w:rsidRDefault="00696519" w:rsidP="00221A5D">
            <w:pPr>
              <w:pStyle w:val="TableText0"/>
              <w:jc w:val="center"/>
              <w:rPr>
                <w:i/>
                <w:iCs/>
                <w:szCs w:val="20"/>
                <w:highlight w:val="yellow"/>
              </w:rPr>
            </w:pPr>
            <w:r w:rsidRPr="00696519">
              <w:rPr>
                <w:rFonts w:cs="Calibri"/>
                <w:color w:val="000000"/>
                <w:szCs w:val="20"/>
              </w:rPr>
              <w:t xml:space="preserve"> </w:t>
            </w:r>
            <w:r w:rsidRPr="00696519">
              <w:rPr>
                <w:rFonts w:cs="Calibri"/>
                <w:color w:val="000000"/>
                <w:szCs w:val="20"/>
                <w:shd w:val="solid" w:color="000000" w:fill="000000"/>
                <w14:textFill>
                  <w14:solidFill>
                    <w14:srgbClr w14:val="000000">
                      <w14:alpha w14:val="100000"/>
                    </w14:srgbClr>
                  </w14:solidFill>
                </w14:textFill>
              </w:rPr>
              <w:t>|</w:t>
            </w:r>
            <w:r w:rsidRPr="00696519">
              <w:rPr>
                <w:rFonts w:cs="Calibri"/>
                <w:color w:val="000000"/>
                <w:szCs w:val="20"/>
              </w:rPr>
              <w:t xml:space="preserve"> </w:t>
            </w:r>
          </w:p>
        </w:tc>
        <w:tc>
          <w:tcPr>
            <w:tcW w:w="1017" w:type="pct"/>
            <w:shd w:val="clear" w:color="auto" w:fill="auto"/>
          </w:tcPr>
          <w:p w14:paraId="5A35EBD0" w14:textId="6B25F55E" w:rsidR="00221A5D" w:rsidRPr="00484AE9" w:rsidRDefault="00221A5D" w:rsidP="00221A5D">
            <w:pPr>
              <w:pStyle w:val="TableText0"/>
              <w:jc w:val="center"/>
              <w:rPr>
                <w:i/>
                <w:iCs/>
                <w:szCs w:val="20"/>
                <w:highlight w:val="yellow"/>
              </w:rPr>
            </w:pPr>
            <w:r w:rsidRPr="00484AE9">
              <w:rPr>
                <w:rFonts w:cs="Calibri"/>
                <w:color w:val="000000"/>
                <w:szCs w:val="20"/>
              </w:rPr>
              <w:t>$11,197.23</w:t>
            </w:r>
          </w:p>
        </w:tc>
        <w:tc>
          <w:tcPr>
            <w:tcW w:w="1094" w:type="pct"/>
            <w:shd w:val="clear" w:color="auto" w:fill="auto"/>
          </w:tcPr>
          <w:p w14:paraId="61A4794E" w14:textId="6345E7A0" w:rsidR="00221A5D" w:rsidRPr="00484AE9" w:rsidRDefault="00696519" w:rsidP="00221A5D">
            <w:pPr>
              <w:pStyle w:val="TableText0"/>
              <w:jc w:val="center"/>
              <w:rPr>
                <w:i/>
                <w:iCs/>
                <w:szCs w:val="20"/>
                <w:highlight w:val="yellow"/>
              </w:rPr>
            </w:pPr>
            <w:r w:rsidRPr="00696519">
              <w:rPr>
                <w:rFonts w:cs="Calibri"/>
                <w:color w:val="000000"/>
                <w:szCs w:val="20"/>
              </w:rPr>
              <w:t xml:space="preserve"> </w:t>
            </w:r>
            <w:r w:rsidRPr="00696519">
              <w:rPr>
                <w:rFonts w:cs="Calibri"/>
                <w:color w:val="000000"/>
                <w:szCs w:val="20"/>
                <w:shd w:val="solid" w:color="000000" w:fill="000000"/>
                <w14:textFill>
                  <w14:solidFill>
                    <w14:srgbClr w14:val="000000">
                      <w14:alpha w14:val="100000"/>
                    </w14:srgbClr>
                  </w14:solidFill>
                </w14:textFill>
              </w:rPr>
              <w:t>|</w:t>
            </w:r>
            <w:r w:rsidRPr="00696519">
              <w:rPr>
                <w:rFonts w:cs="Calibri"/>
                <w:color w:val="000000"/>
                <w:szCs w:val="20"/>
              </w:rPr>
              <w:t xml:space="preserve"> </w:t>
            </w:r>
          </w:p>
        </w:tc>
        <w:tc>
          <w:tcPr>
            <w:tcW w:w="936" w:type="pct"/>
            <w:vMerge w:val="restart"/>
            <w:shd w:val="clear" w:color="auto" w:fill="auto"/>
            <w:vAlign w:val="center"/>
          </w:tcPr>
          <w:p w14:paraId="7DCE9101" w14:textId="134096C4" w:rsidR="00221A5D" w:rsidRPr="00484AE9" w:rsidRDefault="00696519" w:rsidP="00221A5D">
            <w:pPr>
              <w:pStyle w:val="TableText0"/>
              <w:jc w:val="center"/>
              <w:rPr>
                <w:iCs/>
                <w:szCs w:val="20"/>
              </w:rPr>
            </w:pPr>
            <w:r w:rsidRPr="00696519">
              <w:rPr>
                <w:rFonts w:cs="Calibri"/>
                <w:color w:val="000000"/>
                <w:szCs w:val="20"/>
              </w:rPr>
              <w:t xml:space="preserve"> </w:t>
            </w:r>
            <w:r w:rsidRPr="00696519">
              <w:rPr>
                <w:rFonts w:cs="Calibri"/>
                <w:color w:val="000000"/>
                <w:szCs w:val="20"/>
                <w:shd w:val="solid" w:color="000000" w:fill="000000"/>
                <w14:textFill>
                  <w14:solidFill>
                    <w14:srgbClr w14:val="000000">
                      <w14:alpha w14:val="100000"/>
                    </w14:srgbClr>
                  </w14:solidFill>
                </w14:textFill>
              </w:rPr>
              <w:t>|</w:t>
            </w:r>
            <w:r w:rsidR="00EC108B">
              <w:rPr>
                <w:rFonts w:cs="Calibri"/>
                <w:color w:val="000000"/>
                <w:szCs w:val="20"/>
                <w:vertAlign w:val="superscript"/>
              </w:rPr>
              <w:t>1</w:t>
            </w:r>
          </w:p>
        </w:tc>
      </w:tr>
      <w:tr w:rsidR="00221A5D" w:rsidRPr="00484AE9" w14:paraId="7FD31A29" w14:textId="77777777" w:rsidTr="00286436">
        <w:trPr>
          <w:cantSplit/>
        </w:trPr>
        <w:tc>
          <w:tcPr>
            <w:tcW w:w="935" w:type="pct"/>
            <w:shd w:val="clear" w:color="auto" w:fill="auto"/>
            <w:vAlign w:val="center"/>
          </w:tcPr>
          <w:p w14:paraId="59E4122F" w14:textId="77777777" w:rsidR="00221A5D" w:rsidRPr="00484AE9" w:rsidRDefault="00221A5D" w:rsidP="00CA0B16">
            <w:pPr>
              <w:pStyle w:val="TableText0"/>
              <w:rPr>
                <w:i/>
                <w:iCs/>
                <w:szCs w:val="20"/>
                <w:highlight w:val="yellow"/>
              </w:rPr>
            </w:pPr>
            <w:r w:rsidRPr="00484AE9">
              <w:rPr>
                <w:iCs/>
                <w:szCs w:val="20"/>
              </w:rPr>
              <w:t>QALYS lost</w:t>
            </w:r>
          </w:p>
        </w:tc>
        <w:tc>
          <w:tcPr>
            <w:tcW w:w="1018" w:type="pct"/>
            <w:shd w:val="clear" w:color="auto" w:fill="auto"/>
          </w:tcPr>
          <w:p w14:paraId="1D9A6FD1" w14:textId="6BD1E53E" w:rsidR="00221A5D" w:rsidRPr="00484AE9" w:rsidRDefault="00221A5D" w:rsidP="00221A5D">
            <w:pPr>
              <w:pStyle w:val="TableText0"/>
              <w:jc w:val="center"/>
              <w:rPr>
                <w:i/>
                <w:iCs/>
                <w:szCs w:val="20"/>
                <w:highlight w:val="yellow"/>
              </w:rPr>
            </w:pPr>
            <w:r w:rsidRPr="00484AE9">
              <w:rPr>
                <w:rFonts w:cs="Calibri"/>
                <w:color w:val="000000"/>
                <w:szCs w:val="20"/>
              </w:rPr>
              <w:t>-0.0184</w:t>
            </w:r>
          </w:p>
        </w:tc>
        <w:tc>
          <w:tcPr>
            <w:tcW w:w="1017" w:type="pct"/>
            <w:shd w:val="clear" w:color="auto" w:fill="auto"/>
          </w:tcPr>
          <w:p w14:paraId="48C05721" w14:textId="36AEA7D6" w:rsidR="00221A5D" w:rsidRPr="00484AE9" w:rsidRDefault="00221A5D" w:rsidP="00221A5D">
            <w:pPr>
              <w:pStyle w:val="TableText0"/>
              <w:jc w:val="center"/>
              <w:rPr>
                <w:i/>
                <w:iCs/>
                <w:szCs w:val="20"/>
                <w:highlight w:val="yellow"/>
              </w:rPr>
            </w:pPr>
            <w:r w:rsidRPr="00484AE9">
              <w:rPr>
                <w:rFonts w:cs="Calibri"/>
                <w:color w:val="000000"/>
                <w:szCs w:val="20"/>
              </w:rPr>
              <w:t>-0.1072</w:t>
            </w:r>
          </w:p>
        </w:tc>
        <w:tc>
          <w:tcPr>
            <w:tcW w:w="1094" w:type="pct"/>
            <w:shd w:val="clear" w:color="auto" w:fill="auto"/>
          </w:tcPr>
          <w:p w14:paraId="15DB5B4B" w14:textId="1F6F1C0B" w:rsidR="00221A5D" w:rsidRPr="00484AE9" w:rsidRDefault="00221A5D" w:rsidP="00221A5D">
            <w:pPr>
              <w:pStyle w:val="TableText0"/>
              <w:jc w:val="center"/>
              <w:rPr>
                <w:i/>
                <w:iCs/>
                <w:szCs w:val="20"/>
                <w:highlight w:val="yellow"/>
              </w:rPr>
            </w:pPr>
            <w:r w:rsidRPr="00484AE9">
              <w:rPr>
                <w:rFonts w:cs="Calibri"/>
                <w:color w:val="000000"/>
                <w:szCs w:val="20"/>
              </w:rPr>
              <w:t>0.0888</w:t>
            </w:r>
          </w:p>
        </w:tc>
        <w:tc>
          <w:tcPr>
            <w:tcW w:w="936" w:type="pct"/>
            <w:vMerge/>
            <w:shd w:val="clear" w:color="auto" w:fill="auto"/>
            <w:vAlign w:val="center"/>
          </w:tcPr>
          <w:p w14:paraId="1B49F89B" w14:textId="77777777" w:rsidR="00221A5D" w:rsidRPr="00484AE9" w:rsidRDefault="00221A5D" w:rsidP="00221A5D">
            <w:pPr>
              <w:pStyle w:val="TableText0"/>
              <w:jc w:val="center"/>
              <w:rPr>
                <w:iCs/>
                <w:szCs w:val="20"/>
              </w:rPr>
            </w:pPr>
          </w:p>
        </w:tc>
      </w:tr>
      <w:tr w:rsidR="0018480F" w:rsidRPr="00484AE9" w14:paraId="69E369CB" w14:textId="77777777" w:rsidTr="00286436">
        <w:trPr>
          <w:cantSplit/>
        </w:trPr>
        <w:tc>
          <w:tcPr>
            <w:tcW w:w="5000" w:type="pct"/>
            <w:gridSpan w:val="5"/>
            <w:shd w:val="clear" w:color="auto" w:fill="auto"/>
            <w:vAlign w:val="center"/>
          </w:tcPr>
          <w:p w14:paraId="2180EBD1" w14:textId="3E46C382" w:rsidR="0018480F" w:rsidRPr="00484AE9" w:rsidRDefault="00733844" w:rsidP="00CA0B16">
            <w:pPr>
              <w:pStyle w:val="Tabletext"/>
              <w:keepNext/>
              <w:rPr>
                <w:b/>
                <w:bCs/>
                <w:iCs/>
                <w:szCs w:val="20"/>
              </w:rPr>
            </w:pPr>
            <w:r w:rsidRPr="00484AE9">
              <w:rPr>
                <w:b/>
                <w:bCs/>
                <w:iCs/>
                <w:szCs w:val="20"/>
              </w:rPr>
              <w:t xml:space="preserve">MSA </w:t>
            </w:r>
            <w:r w:rsidR="0018480F" w:rsidRPr="00484AE9">
              <w:rPr>
                <w:b/>
                <w:bCs/>
                <w:iCs/>
                <w:szCs w:val="20"/>
              </w:rPr>
              <w:t xml:space="preserve">Revised </w:t>
            </w:r>
            <w:r w:rsidRPr="00484AE9">
              <w:rPr>
                <w:b/>
                <w:bCs/>
                <w:iCs/>
                <w:szCs w:val="20"/>
              </w:rPr>
              <w:t xml:space="preserve">Scenario </w:t>
            </w:r>
            <w:r w:rsidR="0018480F" w:rsidRPr="00484AE9">
              <w:rPr>
                <w:b/>
                <w:bCs/>
                <w:iCs/>
                <w:szCs w:val="20"/>
              </w:rPr>
              <w:t>with price reduction</w:t>
            </w:r>
            <w:r w:rsidR="0018480F" w:rsidRPr="00484AE9">
              <w:rPr>
                <w:b/>
                <w:bCs/>
                <w:iCs/>
                <w:szCs w:val="20"/>
                <w:vertAlign w:val="superscript"/>
              </w:rPr>
              <w:t>b—</w:t>
            </w:r>
            <w:r w:rsidR="0018480F" w:rsidRPr="00484AE9">
              <w:rPr>
                <w:b/>
                <w:bCs/>
                <w:iCs/>
                <w:szCs w:val="20"/>
              </w:rPr>
              <w:t xml:space="preserve">Overall ICER with price reduction corresponding to PBAC advice (ICER ≤$15,000/QALY in all subgroups and </w:t>
            </w:r>
            <w:r w:rsidR="0018480F" w:rsidRPr="00484AE9">
              <w:rPr>
                <w:b/>
                <w:iCs/>
                <w:szCs w:val="20"/>
              </w:rPr>
              <w:t>requirement for ≥ 2 risk factors for cohort aged 50-69)</w:t>
            </w:r>
          </w:p>
        </w:tc>
      </w:tr>
      <w:tr w:rsidR="00132DCC" w:rsidRPr="00484AE9" w14:paraId="1FF4916D" w14:textId="77777777" w:rsidTr="00286436">
        <w:trPr>
          <w:cantSplit/>
          <w:trHeight w:val="71"/>
        </w:trPr>
        <w:tc>
          <w:tcPr>
            <w:tcW w:w="935" w:type="pct"/>
            <w:shd w:val="clear" w:color="auto" w:fill="auto"/>
            <w:vAlign w:val="center"/>
          </w:tcPr>
          <w:p w14:paraId="545E8BC7" w14:textId="77777777" w:rsidR="00132DCC" w:rsidRPr="00484AE9" w:rsidRDefault="00132DCC" w:rsidP="00CA0B16">
            <w:pPr>
              <w:pStyle w:val="TableText0"/>
              <w:rPr>
                <w:iCs/>
                <w:szCs w:val="20"/>
              </w:rPr>
            </w:pPr>
            <w:r w:rsidRPr="00484AE9">
              <w:rPr>
                <w:iCs/>
                <w:szCs w:val="20"/>
              </w:rPr>
              <w:t>Costs</w:t>
            </w:r>
          </w:p>
        </w:tc>
        <w:tc>
          <w:tcPr>
            <w:tcW w:w="1018" w:type="pct"/>
            <w:shd w:val="clear" w:color="auto" w:fill="auto"/>
          </w:tcPr>
          <w:p w14:paraId="4A2534DF" w14:textId="6FC74B3B" w:rsidR="00132DCC" w:rsidRPr="00484AE9" w:rsidRDefault="00696519" w:rsidP="00132DCC">
            <w:pPr>
              <w:pStyle w:val="TableText0"/>
              <w:jc w:val="center"/>
              <w:rPr>
                <w:iCs/>
                <w:szCs w:val="20"/>
                <w:highlight w:val="yellow"/>
              </w:rPr>
            </w:pPr>
            <w:r w:rsidRPr="00696519">
              <w:t xml:space="preserve"> </w:t>
            </w:r>
            <w:r w:rsidRPr="00696519">
              <w:rPr>
                <w:color w:val="000000"/>
                <w:shd w:val="solid" w:color="000000" w:fill="000000"/>
                <w14:textFill>
                  <w14:solidFill>
                    <w14:srgbClr w14:val="000000">
                      <w14:alpha w14:val="100000"/>
                    </w14:srgbClr>
                  </w14:solidFill>
                </w14:textFill>
              </w:rPr>
              <w:t>|</w:t>
            </w:r>
            <w:r w:rsidRPr="00696519">
              <w:t xml:space="preserve"> </w:t>
            </w:r>
          </w:p>
        </w:tc>
        <w:tc>
          <w:tcPr>
            <w:tcW w:w="1017" w:type="pct"/>
            <w:shd w:val="clear" w:color="auto" w:fill="auto"/>
          </w:tcPr>
          <w:p w14:paraId="106A3837" w14:textId="56BD4264" w:rsidR="00132DCC" w:rsidRPr="00484AE9" w:rsidRDefault="00132DCC" w:rsidP="00132DCC">
            <w:pPr>
              <w:pStyle w:val="TableText0"/>
              <w:jc w:val="center"/>
              <w:rPr>
                <w:iCs/>
                <w:szCs w:val="20"/>
                <w:highlight w:val="yellow"/>
              </w:rPr>
            </w:pPr>
            <w:r w:rsidRPr="00484AE9">
              <w:t>$310.47</w:t>
            </w:r>
          </w:p>
        </w:tc>
        <w:tc>
          <w:tcPr>
            <w:tcW w:w="1094" w:type="pct"/>
            <w:shd w:val="clear" w:color="auto" w:fill="auto"/>
          </w:tcPr>
          <w:p w14:paraId="55FB4A5B" w14:textId="1A4C75FA" w:rsidR="00132DCC" w:rsidRPr="00484AE9" w:rsidRDefault="00696519" w:rsidP="00132DCC">
            <w:pPr>
              <w:pStyle w:val="TableText0"/>
              <w:jc w:val="center"/>
              <w:rPr>
                <w:iCs/>
                <w:szCs w:val="20"/>
                <w:highlight w:val="yellow"/>
              </w:rPr>
            </w:pPr>
            <w:r w:rsidRPr="00696519">
              <w:t xml:space="preserve"> </w:t>
            </w:r>
            <w:r w:rsidRPr="00696519">
              <w:rPr>
                <w:color w:val="000000"/>
                <w:shd w:val="solid" w:color="000000" w:fill="000000"/>
                <w14:textFill>
                  <w14:solidFill>
                    <w14:srgbClr w14:val="000000">
                      <w14:alpha w14:val="100000"/>
                    </w14:srgbClr>
                  </w14:solidFill>
                </w14:textFill>
              </w:rPr>
              <w:t>|</w:t>
            </w:r>
            <w:r w:rsidRPr="00696519">
              <w:t xml:space="preserve"> </w:t>
            </w:r>
          </w:p>
        </w:tc>
        <w:tc>
          <w:tcPr>
            <w:tcW w:w="936" w:type="pct"/>
            <w:vMerge w:val="restart"/>
            <w:shd w:val="clear" w:color="auto" w:fill="auto"/>
            <w:vAlign w:val="center"/>
          </w:tcPr>
          <w:p w14:paraId="24605DA0" w14:textId="18147B98" w:rsidR="00132DCC" w:rsidRPr="00484AE9" w:rsidRDefault="00696519" w:rsidP="00132DCC">
            <w:pPr>
              <w:pStyle w:val="TableText0"/>
              <w:jc w:val="center"/>
              <w:rPr>
                <w:iCs/>
                <w:szCs w:val="20"/>
                <w:highlight w:val="magenta"/>
              </w:rPr>
            </w:pPr>
            <w:r w:rsidRPr="00696519">
              <w:rPr>
                <w:iCs/>
                <w:szCs w:val="20"/>
              </w:rPr>
              <w:t xml:space="preserve"> </w:t>
            </w:r>
            <w:r w:rsidRPr="00696519">
              <w:rPr>
                <w:iCs/>
                <w:color w:val="000000"/>
                <w:szCs w:val="20"/>
                <w:shd w:val="solid" w:color="000000" w:fill="000000"/>
                <w14:textFill>
                  <w14:solidFill>
                    <w14:srgbClr w14:val="000000">
                      <w14:alpha w14:val="100000"/>
                    </w14:srgbClr>
                  </w14:solidFill>
                </w14:textFill>
              </w:rPr>
              <w:t>|</w:t>
            </w:r>
            <w:r w:rsidR="00EC108B">
              <w:rPr>
                <w:rFonts w:cs="Calibri"/>
                <w:color w:val="000000"/>
                <w:szCs w:val="20"/>
                <w:vertAlign w:val="superscript"/>
              </w:rPr>
              <w:t>1</w:t>
            </w:r>
          </w:p>
        </w:tc>
      </w:tr>
      <w:tr w:rsidR="00132DCC" w:rsidRPr="00484AE9" w14:paraId="60167494" w14:textId="77777777" w:rsidTr="00286436">
        <w:trPr>
          <w:cantSplit/>
        </w:trPr>
        <w:tc>
          <w:tcPr>
            <w:tcW w:w="935" w:type="pct"/>
            <w:shd w:val="clear" w:color="auto" w:fill="auto"/>
            <w:vAlign w:val="center"/>
          </w:tcPr>
          <w:p w14:paraId="047BD553" w14:textId="77777777" w:rsidR="00132DCC" w:rsidRPr="00484AE9" w:rsidRDefault="00132DCC" w:rsidP="00CA0B16">
            <w:pPr>
              <w:pStyle w:val="TableText0"/>
              <w:rPr>
                <w:iCs/>
                <w:szCs w:val="20"/>
              </w:rPr>
            </w:pPr>
            <w:r w:rsidRPr="00484AE9">
              <w:rPr>
                <w:iCs/>
                <w:szCs w:val="20"/>
              </w:rPr>
              <w:t>QALYS lost</w:t>
            </w:r>
          </w:p>
        </w:tc>
        <w:tc>
          <w:tcPr>
            <w:tcW w:w="1018" w:type="pct"/>
            <w:shd w:val="clear" w:color="auto" w:fill="auto"/>
          </w:tcPr>
          <w:p w14:paraId="1DB372A6" w14:textId="2A47C0D4" w:rsidR="00132DCC" w:rsidRPr="00484AE9" w:rsidRDefault="00132DCC" w:rsidP="00132DCC">
            <w:pPr>
              <w:pStyle w:val="TableText0"/>
              <w:jc w:val="center"/>
              <w:rPr>
                <w:iCs/>
                <w:szCs w:val="20"/>
                <w:highlight w:val="yellow"/>
              </w:rPr>
            </w:pPr>
            <w:r w:rsidRPr="00484AE9">
              <w:t>-0.0184</w:t>
            </w:r>
          </w:p>
        </w:tc>
        <w:tc>
          <w:tcPr>
            <w:tcW w:w="1017" w:type="pct"/>
            <w:shd w:val="clear" w:color="auto" w:fill="auto"/>
          </w:tcPr>
          <w:p w14:paraId="08420534" w14:textId="03AAD7B8" w:rsidR="00132DCC" w:rsidRPr="00484AE9" w:rsidRDefault="00132DCC" w:rsidP="00132DCC">
            <w:pPr>
              <w:pStyle w:val="TableText0"/>
              <w:jc w:val="center"/>
              <w:rPr>
                <w:iCs/>
                <w:szCs w:val="20"/>
                <w:highlight w:val="yellow"/>
              </w:rPr>
            </w:pPr>
            <w:r w:rsidRPr="00484AE9">
              <w:t>-0.1072</w:t>
            </w:r>
          </w:p>
        </w:tc>
        <w:tc>
          <w:tcPr>
            <w:tcW w:w="1094" w:type="pct"/>
            <w:shd w:val="clear" w:color="auto" w:fill="auto"/>
          </w:tcPr>
          <w:p w14:paraId="67CE4686" w14:textId="5E19172B" w:rsidR="00132DCC" w:rsidRPr="00484AE9" w:rsidRDefault="00132DCC" w:rsidP="00132DCC">
            <w:pPr>
              <w:pStyle w:val="TableText0"/>
              <w:jc w:val="center"/>
              <w:rPr>
                <w:iCs/>
                <w:szCs w:val="20"/>
                <w:highlight w:val="yellow"/>
              </w:rPr>
            </w:pPr>
            <w:r w:rsidRPr="00484AE9">
              <w:t>0.0888</w:t>
            </w:r>
          </w:p>
        </w:tc>
        <w:tc>
          <w:tcPr>
            <w:tcW w:w="936" w:type="pct"/>
            <w:vMerge/>
            <w:shd w:val="clear" w:color="auto" w:fill="auto"/>
          </w:tcPr>
          <w:p w14:paraId="6F746A14" w14:textId="77777777" w:rsidR="00132DCC" w:rsidRPr="00484AE9" w:rsidRDefault="00132DCC" w:rsidP="00132DCC">
            <w:pPr>
              <w:pStyle w:val="TableText0"/>
              <w:jc w:val="center"/>
              <w:rPr>
                <w:iCs/>
                <w:szCs w:val="20"/>
              </w:rPr>
            </w:pPr>
          </w:p>
        </w:tc>
      </w:tr>
    </w:tbl>
    <w:p w14:paraId="7DC0B257" w14:textId="62B56963" w:rsidR="00826E25" w:rsidRPr="00826E25" w:rsidRDefault="00826E25" w:rsidP="00826E25">
      <w:pPr>
        <w:rPr>
          <w:rFonts w:ascii="Arial Narrow" w:hAnsi="Arial Narrow"/>
          <w:sz w:val="18"/>
          <w:szCs w:val="18"/>
        </w:rPr>
      </w:pPr>
      <w:bookmarkStart w:id="156" w:name="_Toc22897646"/>
      <w:bookmarkStart w:id="157" w:name="_Toc144920976"/>
      <w:bookmarkStart w:id="158" w:name="_Toc145506604"/>
      <w:r w:rsidRPr="00826E25">
        <w:rPr>
          <w:rFonts w:ascii="Arial Narrow" w:hAnsi="Arial Narrow"/>
          <w:sz w:val="18"/>
          <w:szCs w:val="18"/>
        </w:rPr>
        <w:t xml:space="preserve">a The price of nirmatrelvir and ritonavir applied is the requested DPMQ in the pre-PBAC response, </w:t>
      </w:r>
      <w:r w:rsidRPr="00603C67">
        <w:rPr>
          <w:rFonts w:ascii="Arial Narrow" w:hAnsi="Arial Narrow"/>
          <w:sz w:val="18"/>
          <w:szCs w:val="18"/>
        </w:rPr>
        <w:t xml:space="preserve">of </w:t>
      </w:r>
      <w:r w:rsidR="00696519" w:rsidRPr="00696519">
        <w:rPr>
          <w:rFonts w:ascii="Arial Narrow" w:hAnsi="Arial Narrow"/>
          <w:sz w:val="18"/>
          <w:szCs w:val="18"/>
        </w:rPr>
        <w:t>$</w:t>
      </w:r>
      <w:r w:rsidR="00696519" w:rsidRPr="00822E49">
        <w:rPr>
          <w:rFonts w:ascii="Arial Narrow" w:hAnsi="Arial Narrow"/>
          <w:color w:val="000000"/>
          <w:spacing w:val="81"/>
          <w:sz w:val="18"/>
          <w:szCs w:val="18"/>
          <w:shd w:val="solid" w:color="000000" w:fill="000000"/>
          <w:fitText w:val="280" w:id="-1032088825"/>
          <w14:textFill>
            <w14:solidFill>
              <w14:srgbClr w14:val="000000">
                <w14:alpha w14:val="100000"/>
              </w14:srgbClr>
            </w14:solidFill>
          </w14:textFill>
        </w:rPr>
        <w:t xml:space="preserve">| </w:t>
      </w:r>
      <w:r w:rsidR="00696519" w:rsidRPr="00822E49">
        <w:rPr>
          <w:rFonts w:ascii="Arial Narrow" w:hAnsi="Arial Narrow"/>
          <w:color w:val="000000"/>
          <w:spacing w:val="1"/>
          <w:sz w:val="18"/>
          <w:szCs w:val="18"/>
          <w:shd w:val="solid" w:color="000000" w:fill="000000"/>
          <w:fitText w:val="280" w:id="-1032088825"/>
          <w14:textFill>
            <w14:solidFill>
              <w14:srgbClr w14:val="000000">
                <w14:alpha w14:val="100000"/>
              </w14:srgbClr>
            </w14:solidFill>
          </w14:textFill>
        </w:rPr>
        <w:t>|</w:t>
      </w:r>
      <w:r w:rsidR="00696519" w:rsidRPr="00696519">
        <w:rPr>
          <w:rFonts w:ascii="Arial Narrow" w:hAnsi="Arial Narrow"/>
          <w:sz w:val="18"/>
          <w:szCs w:val="18"/>
        </w:rPr>
        <w:t xml:space="preserve"> </w:t>
      </w:r>
      <w:r w:rsidRPr="00EC108B">
        <w:rPr>
          <w:rFonts w:ascii="Arial Narrow" w:hAnsi="Arial Narrow"/>
          <w:sz w:val="18"/>
          <w:szCs w:val="18"/>
        </w:rPr>
        <w:t>(</w:t>
      </w:r>
      <w:r w:rsidRPr="00826E25">
        <w:rPr>
          <w:rFonts w:ascii="Arial Narrow" w:hAnsi="Arial Narrow"/>
          <w:sz w:val="18"/>
          <w:szCs w:val="18"/>
        </w:rPr>
        <w:t>based on AEMP of</w:t>
      </w:r>
      <w:r w:rsidR="00696519" w:rsidRPr="00696519">
        <w:rPr>
          <w:rFonts w:ascii="Arial Narrow" w:hAnsi="Arial Narrow"/>
          <w:sz w:val="18"/>
          <w:szCs w:val="18"/>
        </w:rPr>
        <w:t xml:space="preserve"> </w:t>
      </w:r>
      <w:r w:rsidR="00696519" w:rsidRPr="00696519">
        <w:rPr>
          <w:rFonts w:ascii="Arial Narrow" w:hAnsi="Arial Narrow"/>
          <w:color w:val="000000"/>
          <w:spacing w:val="76"/>
          <w:sz w:val="18"/>
          <w:szCs w:val="18"/>
          <w:shd w:val="solid" w:color="000000" w:fill="000000"/>
          <w:fitText w:val="270" w:id="-1032088824"/>
          <w14:textFill>
            <w14:solidFill>
              <w14:srgbClr w14:val="000000">
                <w14:alpha w14:val="100000"/>
              </w14:srgbClr>
            </w14:solidFill>
          </w14:textFill>
        </w:rPr>
        <w:t xml:space="preserve">| </w:t>
      </w:r>
      <w:r w:rsidR="00696519" w:rsidRPr="00696519">
        <w:rPr>
          <w:rFonts w:ascii="Arial Narrow" w:hAnsi="Arial Narrow"/>
          <w:color w:val="000000"/>
          <w:spacing w:val="1"/>
          <w:sz w:val="18"/>
          <w:szCs w:val="18"/>
          <w:shd w:val="solid" w:color="000000" w:fill="000000"/>
          <w:fitText w:val="270" w:id="-1032088824"/>
          <w14:textFill>
            <w14:solidFill>
              <w14:srgbClr w14:val="000000">
                <w14:alpha w14:val="100000"/>
              </w14:srgbClr>
            </w14:solidFill>
          </w14:textFill>
        </w:rPr>
        <w:t>|</w:t>
      </w:r>
      <w:r w:rsidRPr="00EC108B">
        <w:rPr>
          <w:rFonts w:ascii="Arial Narrow" w:hAnsi="Arial Narrow"/>
          <w:sz w:val="18"/>
          <w:szCs w:val="18"/>
        </w:rPr>
        <w:t>).</w:t>
      </w:r>
    </w:p>
    <w:p w14:paraId="6486A2B9" w14:textId="5C7EB4A9" w:rsidR="00826E25" w:rsidRPr="00826E25" w:rsidRDefault="00826E25" w:rsidP="00826E25">
      <w:pPr>
        <w:rPr>
          <w:rFonts w:ascii="Arial Narrow" w:hAnsi="Arial Narrow"/>
          <w:sz w:val="18"/>
          <w:szCs w:val="18"/>
        </w:rPr>
      </w:pPr>
      <w:r w:rsidRPr="00826E25">
        <w:rPr>
          <w:rFonts w:ascii="Arial Narrow" w:hAnsi="Arial Narrow"/>
          <w:sz w:val="18"/>
          <w:szCs w:val="18"/>
        </w:rPr>
        <w:t xml:space="preserve">b The nirmatrelvir and ritonavir weighted DPMQ in the revised scenario is </w:t>
      </w:r>
      <w:r w:rsidR="00696519" w:rsidRPr="00696519">
        <w:rPr>
          <w:rFonts w:ascii="Arial Narrow" w:hAnsi="Arial Narrow"/>
          <w:sz w:val="18"/>
          <w:szCs w:val="18"/>
        </w:rPr>
        <w:t>$</w:t>
      </w:r>
      <w:r w:rsidR="00696519" w:rsidRPr="00822E49">
        <w:rPr>
          <w:rFonts w:ascii="Arial Narrow" w:hAnsi="Arial Narrow"/>
          <w:color w:val="000000"/>
          <w:spacing w:val="81"/>
          <w:sz w:val="18"/>
          <w:szCs w:val="18"/>
          <w:shd w:val="solid" w:color="000000" w:fill="000000"/>
          <w:fitText w:val="280" w:id="-1032088823"/>
          <w14:textFill>
            <w14:solidFill>
              <w14:srgbClr w14:val="000000">
                <w14:alpha w14:val="100000"/>
              </w14:srgbClr>
            </w14:solidFill>
          </w14:textFill>
        </w:rPr>
        <w:t xml:space="preserve">| </w:t>
      </w:r>
      <w:r w:rsidR="00696519" w:rsidRPr="00822E49">
        <w:rPr>
          <w:rFonts w:ascii="Arial Narrow" w:hAnsi="Arial Narrow"/>
          <w:color w:val="000000"/>
          <w:spacing w:val="1"/>
          <w:sz w:val="18"/>
          <w:szCs w:val="18"/>
          <w:shd w:val="solid" w:color="000000" w:fill="000000"/>
          <w:fitText w:val="280" w:id="-1032088823"/>
          <w14:textFill>
            <w14:solidFill>
              <w14:srgbClr w14:val="000000">
                <w14:alpha w14:val="100000"/>
              </w14:srgbClr>
            </w14:solidFill>
          </w14:textFill>
        </w:rPr>
        <w:t>|</w:t>
      </w:r>
      <w:r w:rsidR="00696519" w:rsidRPr="00696519">
        <w:rPr>
          <w:rFonts w:ascii="Arial Narrow" w:hAnsi="Arial Narrow"/>
          <w:sz w:val="18"/>
          <w:szCs w:val="18"/>
        </w:rPr>
        <w:t xml:space="preserve"> </w:t>
      </w:r>
      <w:r w:rsidRPr="00826E25">
        <w:rPr>
          <w:rFonts w:ascii="Arial Narrow" w:hAnsi="Arial Narrow"/>
          <w:sz w:val="18"/>
          <w:szCs w:val="18"/>
        </w:rPr>
        <w:t>(</w:t>
      </w:r>
      <w:r w:rsidR="00696519" w:rsidRPr="00696519">
        <w:rPr>
          <w:rFonts w:ascii="Arial Narrow" w:hAnsi="Arial Narrow"/>
          <w:color w:val="000000"/>
          <w:spacing w:val="76"/>
          <w:sz w:val="18"/>
          <w:szCs w:val="18"/>
          <w:shd w:val="solid" w:color="000000" w:fill="000000"/>
          <w:fitText w:val="270" w:id="-1032088822"/>
          <w14:textFill>
            <w14:solidFill>
              <w14:srgbClr w14:val="000000">
                <w14:alpha w14:val="100000"/>
              </w14:srgbClr>
            </w14:solidFill>
          </w14:textFill>
        </w:rPr>
        <w:t xml:space="preserve">| </w:t>
      </w:r>
      <w:r w:rsidR="00696519" w:rsidRPr="00696519">
        <w:rPr>
          <w:rFonts w:ascii="Arial Narrow" w:hAnsi="Arial Narrow"/>
          <w:color w:val="000000"/>
          <w:spacing w:val="1"/>
          <w:sz w:val="18"/>
          <w:szCs w:val="18"/>
          <w:shd w:val="solid" w:color="000000" w:fill="000000"/>
          <w:fitText w:val="270" w:id="-1032088822"/>
          <w14:textFill>
            <w14:solidFill>
              <w14:srgbClr w14:val="000000">
                <w14:alpha w14:val="100000"/>
              </w14:srgbClr>
            </w14:solidFill>
          </w14:textFill>
        </w:rPr>
        <w:t>|</w:t>
      </w:r>
      <w:r w:rsidRPr="00826E25">
        <w:rPr>
          <w:rFonts w:ascii="Arial Narrow" w:hAnsi="Arial Narrow"/>
          <w:sz w:val="18"/>
          <w:szCs w:val="18"/>
        </w:rPr>
        <w:t xml:space="preserve">% reduction from the proposed DPMQ in pre-PBAC response </w:t>
      </w:r>
      <w:r w:rsidRPr="00603C67">
        <w:rPr>
          <w:rFonts w:ascii="Arial Narrow" w:hAnsi="Arial Narrow"/>
          <w:sz w:val="18"/>
          <w:szCs w:val="18"/>
        </w:rPr>
        <w:t xml:space="preserve">of </w:t>
      </w:r>
      <w:r w:rsidR="00696519" w:rsidRPr="00696519">
        <w:rPr>
          <w:rFonts w:ascii="Arial Narrow" w:hAnsi="Arial Narrow"/>
          <w:sz w:val="18"/>
          <w:szCs w:val="18"/>
        </w:rPr>
        <w:t>$</w:t>
      </w:r>
      <w:r w:rsidR="00696519" w:rsidRPr="00822E49">
        <w:rPr>
          <w:rFonts w:ascii="Arial Narrow" w:hAnsi="Arial Narrow"/>
          <w:color w:val="000000"/>
          <w:spacing w:val="81"/>
          <w:sz w:val="18"/>
          <w:szCs w:val="18"/>
          <w:shd w:val="solid" w:color="000000" w:fill="000000"/>
          <w:fitText w:val="280" w:id="-1032088821"/>
          <w14:textFill>
            <w14:solidFill>
              <w14:srgbClr w14:val="000000">
                <w14:alpha w14:val="100000"/>
              </w14:srgbClr>
            </w14:solidFill>
          </w14:textFill>
        </w:rPr>
        <w:t xml:space="preserve">| </w:t>
      </w:r>
      <w:r w:rsidR="00696519" w:rsidRPr="00822E49">
        <w:rPr>
          <w:rFonts w:ascii="Arial Narrow" w:hAnsi="Arial Narrow"/>
          <w:color w:val="000000"/>
          <w:spacing w:val="1"/>
          <w:sz w:val="18"/>
          <w:szCs w:val="18"/>
          <w:shd w:val="solid" w:color="000000" w:fill="000000"/>
          <w:fitText w:val="280" w:id="-1032088821"/>
          <w14:textFill>
            <w14:solidFill>
              <w14:srgbClr w14:val="000000">
                <w14:alpha w14:val="100000"/>
              </w14:srgbClr>
            </w14:solidFill>
          </w14:textFill>
        </w:rPr>
        <w:t>|</w:t>
      </w:r>
      <w:r w:rsidR="00696519" w:rsidRPr="00696519">
        <w:rPr>
          <w:rFonts w:ascii="Arial Narrow" w:hAnsi="Arial Narrow"/>
          <w:sz w:val="18"/>
          <w:szCs w:val="18"/>
        </w:rPr>
        <w:t xml:space="preserve"> </w:t>
      </w:r>
      <w:r w:rsidRPr="00826E25">
        <w:rPr>
          <w:rFonts w:ascii="Arial Narrow" w:hAnsi="Arial Narrow"/>
          <w:sz w:val="18"/>
          <w:szCs w:val="18"/>
        </w:rPr>
        <w:t>(based on AEMP of</w:t>
      </w:r>
      <w:r w:rsidR="00696519" w:rsidRPr="00696519">
        <w:rPr>
          <w:rFonts w:ascii="Arial Narrow" w:hAnsi="Arial Narrow"/>
          <w:sz w:val="18"/>
          <w:szCs w:val="18"/>
        </w:rPr>
        <w:t xml:space="preserve"> </w:t>
      </w:r>
      <w:r w:rsidR="00696519" w:rsidRPr="00696519">
        <w:rPr>
          <w:rFonts w:ascii="Arial Narrow" w:hAnsi="Arial Narrow"/>
          <w:color w:val="000000"/>
          <w:spacing w:val="76"/>
          <w:sz w:val="18"/>
          <w:szCs w:val="18"/>
          <w:shd w:val="solid" w:color="000000" w:fill="000000"/>
          <w:fitText w:val="270" w:id="-1032088820"/>
          <w14:textFill>
            <w14:solidFill>
              <w14:srgbClr w14:val="000000">
                <w14:alpha w14:val="100000"/>
              </w14:srgbClr>
            </w14:solidFill>
          </w14:textFill>
        </w:rPr>
        <w:t xml:space="preserve">| </w:t>
      </w:r>
      <w:r w:rsidR="00696519" w:rsidRPr="00696519">
        <w:rPr>
          <w:rFonts w:ascii="Arial Narrow" w:hAnsi="Arial Narrow"/>
          <w:color w:val="000000"/>
          <w:spacing w:val="1"/>
          <w:sz w:val="18"/>
          <w:szCs w:val="18"/>
          <w:shd w:val="solid" w:color="000000" w:fill="000000"/>
          <w:fitText w:val="270" w:id="-1032088820"/>
          <w14:textFill>
            <w14:solidFill>
              <w14:srgbClr w14:val="000000">
                <w14:alpha w14:val="100000"/>
              </w14:srgbClr>
            </w14:solidFill>
          </w14:textFill>
        </w:rPr>
        <w:t>|</w:t>
      </w:r>
      <w:r w:rsidRPr="00EC108B">
        <w:rPr>
          <w:rFonts w:ascii="Arial Narrow" w:hAnsi="Arial Narrow"/>
          <w:sz w:val="18"/>
          <w:szCs w:val="18"/>
        </w:rPr>
        <w:t>).</w:t>
      </w:r>
      <w:r w:rsidR="00F76D9A">
        <w:rPr>
          <w:rFonts w:ascii="Arial Narrow" w:hAnsi="Arial Narrow"/>
          <w:sz w:val="18"/>
          <w:szCs w:val="18"/>
        </w:rPr>
        <w:t xml:space="preserve"> </w:t>
      </w:r>
    </w:p>
    <w:p w14:paraId="7BE7915E" w14:textId="1B1052C8" w:rsidR="00826E25" w:rsidRDefault="00826E25" w:rsidP="00F23EA5">
      <w:pPr>
        <w:rPr>
          <w:rFonts w:ascii="Arial Narrow" w:hAnsi="Arial Narrow"/>
          <w:sz w:val="18"/>
          <w:szCs w:val="18"/>
        </w:rPr>
      </w:pPr>
      <w:r w:rsidRPr="00826E25">
        <w:rPr>
          <w:rFonts w:ascii="Arial Narrow" w:hAnsi="Arial Narrow"/>
          <w:sz w:val="18"/>
          <w:szCs w:val="18"/>
        </w:rPr>
        <w:t xml:space="preserve">c. The proportions applied in this analysis are 70+= 55%; 50-69 with risk factors =20%; 30+ First Nations with risk factors =16%; 18+ immunocompromised or previously hospitalised for COVID-19 =9%, shown in </w:t>
      </w:r>
      <w:r w:rsidRPr="00826E25">
        <w:rPr>
          <w:rFonts w:ascii="Arial Narrow" w:hAnsi="Arial Narrow"/>
          <w:sz w:val="18"/>
          <w:szCs w:val="18"/>
        </w:rPr>
        <w:fldChar w:fldCharType="begin"/>
      </w:r>
      <w:r w:rsidRPr="00826E25">
        <w:rPr>
          <w:rFonts w:ascii="Arial Narrow" w:hAnsi="Arial Narrow"/>
          <w:sz w:val="18"/>
          <w:szCs w:val="18"/>
        </w:rPr>
        <w:instrText xml:space="preserve"> REF _Ref150005603 \h  \* MERGEFORMAT </w:instrText>
      </w:r>
      <w:r w:rsidRPr="00826E25">
        <w:rPr>
          <w:rFonts w:ascii="Arial Narrow" w:hAnsi="Arial Narrow"/>
          <w:sz w:val="18"/>
          <w:szCs w:val="18"/>
        </w:rPr>
      </w:r>
      <w:r w:rsidRPr="00826E25">
        <w:rPr>
          <w:rFonts w:ascii="Arial Narrow" w:hAnsi="Arial Narrow"/>
          <w:sz w:val="18"/>
          <w:szCs w:val="18"/>
        </w:rPr>
        <w:fldChar w:fldCharType="separate"/>
      </w:r>
      <w:r w:rsidR="00872657" w:rsidRPr="00872657">
        <w:rPr>
          <w:rFonts w:ascii="Arial Narrow" w:hAnsi="Arial Narrow"/>
          <w:sz w:val="18"/>
          <w:szCs w:val="18"/>
        </w:rPr>
        <w:t>Table 26</w:t>
      </w:r>
      <w:r w:rsidRPr="00826E25">
        <w:rPr>
          <w:rFonts w:ascii="Arial Narrow" w:hAnsi="Arial Narrow"/>
          <w:sz w:val="18"/>
          <w:szCs w:val="18"/>
        </w:rPr>
        <w:fldChar w:fldCharType="end"/>
      </w:r>
      <w:r w:rsidRPr="00826E25">
        <w:rPr>
          <w:rFonts w:ascii="Arial Narrow" w:hAnsi="Arial Narrow"/>
          <w:sz w:val="18"/>
          <w:szCs w:val="18"/>
        </w:rPr>
        <w:t>.</w:t>
      </w:r>
    </w:p>
    <w:p w14:paraId="78BE8057" w14:textId="77777777" w:rsidR="00A559D7" w:rsidRPr="00F23EA5" w:rsidRDefault="00A559D7" w:rsidP="00F23EA5">
      <w:pPr>
        <w:rPr>
          <w:rFonts w:ascii="Arial Narrow" w:hAnsi="Arial Narrow"/>
          <w:i/>
          <w:iCs/>
          <w:sz w:val="18"/>
          <w:szCs w:val="18"/>
        </w:rPr>
      </w:pPr>
      <w:bookmarkStart w:id="159" w:name="_Hlk155855996"/>
      <w:r w:rsidRPr="00F23EA5">
        <w:rPr>
          <w:rFonts w:ascii="Arial Narrow" w:hAnsi="Arial Narrow"/>
          <w:i/>
          <w:iCs/>
          <w:sz w:val="18"/>
          <w:szCs w:val="18"/>
        </w:rPr>
        <w:t>The redacted values correspond to the following ranges:</w:t>
      </w:r>
    </w:p>
    <w:bookmarkEnd w:id="159"/>
    <w:p w14:paraId="44069091" w14:textId="58530160" w:rsidR="00A559D7" w:rsidRPr="00F23EA5" w:rsidRDefault="00EC108B" w:rsidP="00F23EA5">
      <w:pPr>
        <w:rPr>
          <w:rFonts w:ascii="Arial Narrow" w:hAnsi="Arial Narrow"/>
          <w:i/>
          <w:iCs/>
          <w:sz w:val="18"/>
          <w:szCs w:val="18"/>
        </w:rPr>
      </w:pPr>
      <w:r>
        <w:rPr>
          <w:rFonts w:ascii="Arial Narrow" w:hAnsi="Arial Narrow"/>
          <w:i/>
          <w:iCs/>
          <w:sz w:val="18"/>
          <w:szCs w:val="18"/>
          <w:vertAlign w:val="superscript"/>
        </w:rPr>
        <w:t>1</w:t>
      </w:r>
      <w:r w:rsidR="00A559D7" w:rsidRPr="00F23EA5">
        <w:rPr>
          <w:rFonts w:ascii="Arial Narrow" w:hAnsi="Arial Narrow"/>
          <w:i/>
          <w:iCs/>
          <w:sz w:val="18"/>
          <w:szCs w:val="18"/>
        </w:rPr>
        <w:t xml:space="preserve"> $5,000 to &lt; $15,000 </w:t>
      </w:r>
    </w:p>
    <w:p w14:paraId="697224B1" w14:textId="67F65999" w:rsidR="00A559D7" w:rsidRPr="00826E25" w:rsidRDefault="00EC108B" w:rsidP="00826E25">
      <w:pPr>
        <w:spacing w:after="120"/>
        <w:rPr>
          <w:rFonts w:ascii="Arial Narrow" w:hAnsi="Arial Narrow"/>
          <w:sz w:val="18"/>
          <w:szCs w:val="18"/>
        </w:rPr>
      </w:pPr>
      <w:r>
        <w:rPr>
          <w:rFonts w:ascii="Arial Narrow" w:hAnsi="Arial Narrow"/>
          <w:i/>
          <w:iCs/>
          <w:sz w:val="18"/>
          <w:szCs w:val="18"/>
          <w:vertAlign w:val="superscript"/>
        </w:rPr>
        <w:t>2</w:t>
      </w:r>
      <w:r w:rsidR="00A559D7" w:rsidRPr="00F23EA5">
        <w:rPr>
          <w:rFonts w:ascii="Arial Narrow" w:hAnsi="Arial Narrow"/>
          <w:i/>
          <w:iCs/>
          <w:sz w:val="18"/>
          <w:szCs w:val="18"/>
        </w:rPr>
        <w:t xml:space="preserve"> $15,000 to &lt; $25,000</w:t>
      </w:r>
    </w:p>
    <w:p w14:paraId="472842D7" w14:textId="32F4FF01" w:rsidR="00C25D9C" w:rsidRPr="00484AE9" w:rsidRDefault="00C25D9C" w:rsidP="00F40641">
      <w:pPr>
        <w:pStyle w:val="4-SubsectionHeading"/>
      </w:pPr>
      <w:r w:rsidRPr="00484AE9">
        <w:t>Drug cost/patient/course</w:t>
      </w:r>
      <w:bookmarkEnd w:id="156"/>
      <w:bookmarkEnd w:id="157"/>
      <w:bookmarkEnd w:id="158"/>
    </w:p>
    <w:p w14:paraId="176E740D" w14:textId="3F30A08B" w:rsidR="00475FB9" w:rsidRPr="00484AE9" w:rsidRDefault="006637A5" w:rsidP="00680304">
      <w:pPr>
        <w:pStyle w:val="3-BodyText"/>
      </w:pPr>
      <w:bookmarkStart w:id="160" w:name="_Ref104805102"/>
      <w:r w:rsidRPr="00484AE9">
        <w:t xml:space="preserve">The proposed </w:t>
      </w:r>
      <w:r w:rsidR="0009230F" w:rsidRPr="00484AE9">
        <w:t>dispensed price</w:t>
      </w:r>
      <w:r w:rsidRPr="00484AE9">
        <w:t xml:space="preserve"> per course</w:t>
      </w:r>
      <w:r w:rsidR="0009230F" w:rsidRPr="00484AE9">
        <w:t xml:space="preserve"> of treatment with nirmatrelvir and ritonavir is </w:t>
      </w:r>
      <w:r w:rsidR="00696519" w:rsidRPr="00696519">
        <w:t>$</w:t>
      </w:r>
      <w:r w:rsidR="00696519" w:rsidRPr="00872657">
        <w:rPr>
          <w:color w:val="000000"/>
          <w:w w:val="15"/>
          <w:shd w:val="solid" w:color="000000" w:fill="000000"/>
          <w:fitText w:val="-20" w:id="-1032088819"/>
          <w14:textFill>
            <w14:solidFill>
              <w14:srgbClr w14:val="000000">
                <w14:alpha w14:val="100000"/>
              </w14:srgbClr>
            </w14:solidFill>
          </w14:textFill>
        </w:rPr>
        <w:t xml:space="preserve">| </w:t>
      </w:r>
      <w:r w:rsidR="00696519" w:rsidRPr="00872657">
        <w:rPr>
          <w:color w:val="000000"/>
          <w:spacing w:val="-61"/>
          <w:w w:val="15"/>
          <w:shd w:val="solid" w:color="000000" w:fill="000000"/>
          <w:fitText w:val="-20" w:id="-1032088819"/>
          <w14:textFill>
            <w14:solidFill>
              <w14:srgbClr w14:val="000000">
                <w14:alpha w14:val="100000"/>
              </w14:srgbClr>
            </w14:solidFill>
          </w14:textFill>
        </w:rPr>
        <w:t>|</w:t>
      </w:r>
      <w:r w:rsidR="00F23EA5">
        <w:t xml:space="preserve"> </w:t>
      </w:r>
      <w:r w:rsidR="00EC108B">
        <w:t>b</w:t>
      </w:r>
      <w:r w:rsidR="00B75309" w:rsidRPr="00484AE9">
        <w:t>ased on the price proposed in the pre-PBAC response.</w:t>
      </w:r>
    </w:p>
    <w:p w14:paraId="268768EF" w14:textId="3626F292" w:rsidR="00B60939" w:rsidRPr="00484AE9" w:rsidRDefault="00B60939" w:rsidP="00F40641">
      <w:pPr>
        <w:pStyle w:val="4-SubsectionHeading"/>
      </w:pPr>
      <w:bookmarkStart w:id="161" w:name="_Toc22897647"/>
      <w:bookmarkStart w:id="162" w:name="_Toc144920977"/>
      <w:bookmarkStart w:id="163" w:name="_Toc145506605"/>
      <w:bookmarkEnd w:id="160"/>
      <w:r w:rsidRPr="00484AE9">
        <w:t>Estimated PBS usage &amp; financial implications</w:t>
      </w:r>
      <w:bookmarkEnd w:id="161"/>
      <w:bookmarkEnd w:id="162"/>
      <w:bookmarkEnd w:id="163"/>
    </w:p>
    <w:p w14:paraId="1957E899" w14:textId="34EDBF02" w:rsidR="0019649C" w:rsidRPr="00484AE9" w:rsidRDefault="0019649C" w:rsidP="0019649C">
      <w:pPr>
        <w:pStyle w:val="3-BodyText"/>
      </w:pPr>
      <w:r w:rsidRPr="00484AE9">
        <w:t>This submission was considered by DUSC.</w:t>
      </w:r>
    </w:p>
    <w:p w14:paraId="5C8303BB" w14:textId="77777777" w:rsidR="0019649C" w:rsidRPr="00484AE9" w:rsidRDefault="0019649C" w:rsidP="0019649C">
      <w:pPr>
        <w:pStyle w:val="3-BodyText"/>
      </w:pPr>
      <w:r w:rsidRPr="00484AE9">
        <w:t>The submission used an epidemiological approach to estimate utilisation of nirmatrelvir and ritonavir and the associated financial implications for the PBS. As noted by the submission,</w:t>
      </w:r>
      <w:bookmarkStart w:id="164" w:name="_Hlk144742231"/>
      <w:r w:rsidRPr="00484AE9">
        <w:t xml:space="preserve"> any set of estimates of PBS expenditure into the future will be associated with a high level of uncertainty due to the unknown characteristics of future COVID-19 variants e.g., transmissibility, severity of symptoms and risk of hospitalisation.</w:t>
      </w:r>
      <w:bookmarkEnd w:id="164"/>
    </w:p>
    <w:p w14:paraId="29330815" w14:textId="77777777" w:rsidR="0019649C" w:rsidRPr="00484AE9" w:rsidRDefault="0019649C" w:rsidP="00445429">
      <w:pPr>
        <w:pStyle w:val="3-BodyText"/>
      </w:pPr>
      <w:r w:rsidRPr="00484AE9">
        <w:lastRenderedPageBreak/>
        <w:t>The steps taken and the sources of data used in deriving estimates of use of nirmatrelvir and ritonavir were:</w:t>
      </w:r>
    </w:p>
    <w:p w14:paraId="25C9DDBB" w14:textId="77777777" w:rsidR="0019649C" w:rsidRPr="00484AE9" w:rsidRDefault="0019649C" w:rsidP="00445429">
      <w:pPr>
        <w:pStyle w:val="3-BodyText"/>
        <w:numPr>
          <w:ilvl w:val="2"/>
          <w:numId w:val="1"/>
        </w:numPr>
        <w:ind w:left="1080"/>
        <w:rPr>
          <w:rFonts w:eastAsia="Calibri"/>
          <w:iCs/>
        </w:rPr>
      </w:pPr>
      <w:r w:rsidRPr="00484AE9">
        <w:rPr>
          <w:rFonts w:eastAsia="Calibri"/>
          <w:iCs/>
        </w:rPr>
        <w:t xml:space="preserve">Estimation of total number of cases of </w:t>
      </w:r>
      <w:r w:rsidRPr="00484AE9">
        <w:rPr>
          <w:rStyle w:val="normaltextrun"/>
          <w:rFonts w:eastAsia="Calibri"/>
          <w:iCs/>
        </w:rPr>
        <w:t>COVID</w:t>
      </w:r>
      <w:r w:rsidRPr="00484AE9">
        <w:rPr>
          <w:rStyle w:val="normaltextrun"/>
          <w:rFonts w:eastAsia="Calibri"/>
          <w:iCs/>
        </w:rPr>
        <w:noBreakHyphen/>
        <w:t xml:space="preserve">19 in Australia: estimated by </w:t>
      </w:r>
      <w:r w:rsidRPr="00445429">
        <w:rPr>
          <w:rFonts w:eastAsia="Calibri"/>
        </w:rPr>
        <w:t>applying rates per 100,000 population by age group for the wave experienced between 15 December 2021 - 7 May 2023 (as reported in COVID-19 Australia report, Epidemiology Report 74) to the ABS population (3222.0 Series B) estimates of persons by age.</w:t>
      </w:r>
    </w:p>
    <w:p w14:paraId="4C4C0914" w14:textId="77777777" w:rsidR="0019649C" w:rsidRPr="00484AE9" w:rsidRDefault="0019649C" w:rsidP="00445429">
      <w:pPr>
        <w:pStyle w:val="3-BodyText"/>
        <w:numPr>
          <w:ilvl w:val="2"/>
          <w:numId w:val="1"/>
        </w:numPr>
        <w:ind w:left="1080"/>
        <w:rPr>
          <w:rFonts w:eastAsia="Calibri" w:cstheme="minorHAnsi"/>
          <w:iCs/>
        </w:rPr>
      </w:pPr>
      <w:r w:rsidRPr="00484AE9">
        <w:rPr>
          <w:rFonts w:eastAsia="Calibri"/>
          <w:iCs/>
        </w:rPr>
        <w:t>Estimation of proportion of patients with COVID-19 at increased risk of severe disease (to estimate patients eligible for treatment under the PBS) were based on:</w:t>
      </w:r>
    </w:p>
    <w:p w14:paraId="1C051C4F" w14:textId="29913093" w:rsidR="0019649C" w:rsidRPr="00484AE9" w:rsidRDefault="0019649C" w:rsidP="0019649C">
      <w:pPr>
        <w:pStyle w:val="ListParagraph"/>
        <w:numPr>
          <w:ilvl w:val="4"/>
          <w:numId w:val="4"/>
        </w:numPr>
        <w:ind w:left="1418" w:hanging="284"/>
        <w:contextualSpacing/>
        <w:rPr>
          <w:rFonts w:eastAsia="Calibri" w:cstheme="minorHAnsi"/>
          <w:iCs/>
        </w:rPr>
      </w:pPr>
      <w:r w:rsidRPr="00484AE9">
        <w:rPr>
          <w:rFonts w:eastAsia="Calibri"/>
          <w:iCs/>
        </w:rPr>
        <w:t xml:space="preserve">MacIntyre et al, 2018, who estimated the proportion of patients aged 18-49 who were immunosuppressed; MacIntyre 2018 estimated the immunosuppressed populations based on estimates of the populations living with cancer, HIV, organ transplants, respiratory syndromes such as asthma and chronic obstructive pulmonary disease, dialysis and autoimmune diseases and divided these populations into two immunosuppression categories. Severe immunosuppression was defined as a condition in which quantifiable data existed to demonstrate a risk for infection more than twice that of an immunocompetent person. Immunosuppressed persons were considered to have no residual immunity from vaccination. The PBS restriction for persons aged ≥ 18 years with immunosuppression includes several other conditions that are associated with immunosuppression. The </w:t>
      </w:r>
      <w:r w:rsidR="0038433F" w:rsidRPr="00484AE9">
        <w:rPr>
          <w:rFonts w:eastAsia="Calibri"/>
          <w:iCs/>
        </w:rPr>
        <w:t xml:space="preserve">evaluation considered that the </w:t>
      </w:r>
      <w:r w:rsidRPr="00484AE9">
        <w:rPr>
          <w:rFonts w:eastAsia="Calibri"/>
          <w:iCs/>
        </w:rPr>
        <w:t>method adopted potentially underestimate</w:t>
      </w:r>
      <w:r w:rsidR="0038433F" w:rsidRPr="00484AE9">
        <w:rPr>
          <w:rFonts w:eastAsia="Calibri"/>
          <w:iCs/>
        </w:rPr>
        <w:t>d</w:t>
      </w:r>
      <w:r w:rsidRPr="00484AE9">
        <w:rPr>
          <w:rFonts w:eastAsia="Calibri"/>
          <w:iCs/>
        </w:rPr>
        <w:t xml:space="preserve"> the amount of immunosuppression in the population; and</w:t>
      </w:r>
    </w:p>
    <w:p w14:paraId="0B1BC696" w14:textId="77777777" w:rsidR="0019649C" w:rsidRPr="00445429" w:rsidRDefault="0019649C" w:rsidP="00445429">
      <w:pPr>
        <w:pStyle w:val="3-BodyText"/>
        <w:numPr>
          <w:ilvl w:val="2"/>
          <w:numId w:val="1"/>
        </w:numPr>
        <w:ind w:left="1080"/>
        <w:rPr>
          <w:rFonts w:eastAsia="Calibri"/>
          <w:iCs/>
        </w:rPr>
      </w:pPr>
      <w:r w:rsidRPr="00484AE9">
        <w:rPr>
          <w:rFonts w:eastAsia="Calibri"/>
          <w:iCs/>
        </w:rPr>
        <w:t xml:space="preserve">Clark et al, 2020 who estimated the proportion of the population with one identified risk condition (for COVID-19) across Oceania in people aged </w:t>
      </w:r>
      <w:r w:rsidRPr="00445429">
        <w:rPr>
          <w:rFonts w:eastAsia="Calibri"/>
          <w:iCs/>
        </w:rPr>
        <w:t>≥ 50 years.</w:t>
      </w:r>
    </w:p>
    <w:p w14:paraId="439E31B2" w14:textId="77777777" w:rsidR="0019649C" w:rsidRPr="00484AE9" w:rsidRDefault="0019649C" w:rsidP="00445429">
      <w:pPr>
        <w:pStyle w:val="3-BodyText"/>
        <w:numPr>
          <w:ilvl w:val="2"/>
          <w:numId w:val="1"/>
        </w:numPr>
        <w:ind w:left="1080"/>
        <w:rPr>
          <w:rFonts w:eastAsia="Calibri"/>
          <w:iCs/>
        </w:rPr>
      </w:pPr>
      <w:r w:rsidRPr="00484AE9">
        <w:rPr>
          <w:rFonts w:eastAsia="Calibri"/>
          <w:iCs/>
        </w:rPr>
        <w:t>Estimation of uptake of oral antivirals in the eligible population: estimated based on PBS services for nirmatrelvir and ritonavir and for molnupiravir.</w:t>
      </w:r>
    </w:p>
    <w:p w14:paraId="26E56543" w14:textId="7CF21815" w:rsidR="0019649C" w:rsidRPr="00484AE9" w:rsidRDefault="0019649C" w:rsidP="00445429">
      <w:pPr>
        <w:pStyle w:val="3-BodyText"/>
        <w:numPr>
          <w:ilvl w:val="2"/>
          <w:numId w:val="1"/>
        </w:numPr>
        <w:ind w:left="1080"/>
        <w:rPr>
          <w:rFonts w:eastAsia="Calibri"/>
          <w:iCs/>
        </w:rPr>
      </w:pPr>
      <w:r w:rsidRPr="00484AE9">
        <w:rPr>
          <w:rFonts w:eastAsia="Calibri"/>
          <w:iCs/>
        </w:rPr>
        <w:t xml:space="preserve">Estimation of market share for nirmatrelvir and ritonavir: estimated based on PBS data and sponsor’s anticipations of market share into the future given the extensions to the restrictions for </w:t>
      </w:r>
      <w:r w:rsidRPr="00445429">
        <w:rPr>
          <w:rFonts w:eastAsia="Calibri"/>
          <w:iCs/>
        </w:rPr>
        <w:t>nirmatrelvir and ritonavir but not molnupiravir</w:t>
      </w:r>
      <w:r w:rsidRPr="00484AE9">
        <w:rPr>
          <w:rFonts w:eastAsia="Calibri"/>
          <w:iCs/>
        </w:rPr>
        <w:t xml:space="preserve">. The submission presented a survey of 400 GPs conducted by IQVIA. The submission claimed the sample was representative of 35,000 GPs in Australia. The majority (60%) of GPs surveyed appear to have been aware of recent changes to the PBS eligibility criteria for COVID-19 antiviral treatments including extension of eligibility criteria for </w:t>
      </w:r>
      <w:r w:rsidRPr="00484AE9">
        <w:rPr>
          <w:rFonts w:eastAsia="Calibri"/>
          <w:iCs/>
          <w:color w:val="000000" w:themeColor="text1"/>
        </w:rPr>
        <w:t>nirmatrelvir and ritonavir</w:t>
      </w:r>
      <w:r w:rsidRPr="00484AE9">
        <w:rPr>
          <w:rFonts w:eastAsia="Calibri"/>
          <w:iCs/>
        </w:rPr>
        <w:t xml:space="preserve"> however</w:t>
      </w:r>
      <w:r w:rsidRPr="00484AE9">
        <w:rPr>
          <w:rFonts w:eastAsia="Calibri"/>
          <w:iCs/>
          <w:color w:val="000000" w:themeColor="text1"/>
        </w:rPr>
        <w:t xml:space="preserve">, as shown in </w:t>
      </w:r>
      <w:r w:rsidRPr="00484AE9">
        <w:rPr>
          <w:rFonts w:eastAsia="Calibri"/>
          <w:iCs/>
          <w:color w:val="000000" w:themeColor="text1"/>
        </w:rPr>
        <w:fldChar w:fldCharType="begin"/>
      </w:r>
      <w:r w:rsidRPr="00484AE9">
        <w:rPr>
          <w:rFonts w:eastAsia="Calibri"/>
          <w:iCs/>
          <w:color w:val="000000" w:themeColor="text1"/>
        </w:rPr>
        <w:instrText xml:space="preserve"> REF _Ref144920713 \h </w:instrText>
      </w:r>
      <w:r w:rsidRPr="00484AE9">
        <w:rPr>
          <w:rFonts w:eastAsia="Calibri"/>
          <w:iCs/>
          <w:color w:val="000000" w:themeColor="text1"/>
        </w:rPr>
      </w:r>
      <w:r w:rsidRPr="00484AE9">
        <w:rPr>
          <w:rFonts w:eastAsia="Calibri"/>
          <w:iCs/>
          <w:color w:val="000000" w:themeColor="text1"/>
        </w:rPr>
        <w:fldChar w:fldCharType="separate"/>
      </w:r>
      <w:r w:rsidR="00872657" w:rsidRPr="00484AE9">
        <w:t xml:space="preserve">Figure </w:t>
      </w:r>
      <w:r w:rsidR="00872657">
        <w:rPr>
          <w:noProof/>
        </w:rPr>
        <w:t>11</w:t>
      </w:r>
      <w:r w:rsidRPr="00484AE9">
        <w:rPr>
          <w:rFonts w:eastAsia="Calibri"/>
          <w:iCs/>
          <w:color w:val="000000" w:themeColor="text1"/>
        </w:rPr>
        <w:fldChar w:fldCharType="end"/>
      </w:r>
      <w:r w:rsidRPr="00484AE9">
        <w:rPr>
          <w:rFonts w:eastAsia="Calibri"/>
          <w:iCs/>
          <w:color w:val="000000" w:themeColor="text1"/>
        </w:rPr>
        <w:t xml:space="preserve">, </w:t>
      </w:r>
      <w:r w:rsidRPr="00484AE9">
        <w:rPr>
          <w:rFonts w:eastAsia="Calibri"/>
          <w:iCs/>
        </w:rPr>
        <w:t xml:space="preserve">the PBS data have not indicated any corresponding meaningful change to the market share of </w:t>
      </w:r>
      <w:r w:rsidRPr="00484AE9">
        <w:rPr>
          <w:rFonts w:eastAsia="Calibri"/>
          <w:iCs/>
          <w:color w:val="000000" w:themeColor="text1"/>
        </w:rPr>
        <w:t>nirmatrelvir and ritonavir</w:t>
      </w:r>
      <w:r w:rsidRPr="00484AE9">
        <w:rPr>
          <w:rFonts w:eastAsia="Calibri"/>
          <w:iCs/>
        </w:rPr>
        <w:t xml:space="preserve">. </w:t>
      </w:r>
      <w:r w:rsidR="0038433F" w:rsidRPr="00484AE9">
        <w:rPr>
          <w:rFonts w:eastAsia="Calibri"/>
          <w:iCs/>
        </w:rPr>
        <w:t xml:space="preserve">The evaluation considered it was </w:t>
      </w:r>
      <w:r w:rsidRPr="00484AE9">
        <w:rPr>
          <w:rFonts w:eastAsia="Calibri"/>
          <w:iCs/>
        </w:rPr>
        <w:t>likely that the submission’s estimates of market share into the future are overestimates.</w:t>
      </w:r>
    </w:p>
    <w:p w14:paraId="17F86240" w14:textId="18CCA02D" w:rsidR="0019649C" w:rsidRPr="00484AE9" w:rsidRDefault="0019649C" w:rsidP="0019649C">
      <w:pPr>
        <w:pStyle w:val="3-BodyText"/>
      </w:pPr>
      <w:r w:rsidRPr="00484AE9">
        <w:t xml:space="preserve">The key inputs to the calculation of estimates of number of patients to be prescribed nirmatrelvir and ritonavir are summarised in </w:t>
      </w:r>
      <w:r w:rsidRPr="00484AE9">
        <w:fldChar w:fldCharType="begin"/>
      </w:r>
      <w:r w:rsidRPr="00484AE9">
        <w:instrText xml:space="preserve"> REF _Ref104805262 \h </w:instrText>
      </w:r>
      <w:r w:rsidRPr="00484AE9">
        <w:fldChar w:fldCharType="separate"/>
      </w:r>
      <w:r w:rsidR="00872657" w:rsidRPr="00484AE9">
        <w:t xml:space="preserve">Table </w:t>
      </w:r>
      <w:r w:rsidR="00872657">
        <w:rPr>
          <w:noProof/>
        </w:rPr>
        <w:t>28</w:t>
      </w:r>
      <w:r w:rsidRPr="00484AE9">
        <w:fldChar w:fldCharType="end"/>
      </w:r>
      <w:r w:rsidRPr="00484AE9">
        <w:t>.</w:t>
      </w:r>
    </w:p>
    <w:p w14:paraId="0A6FC452" w14:textId="2219ECA9" w:rsidR="0038433F" w:rsidRPr="00484AE9" w:rsidRDefault="0019649C" w:rsidP="00BB7311">
      <w:pPr>
        <w:pStyle w:val="Caption"/>
        <w:rPr>
          <w:b w:val="0"/>
          <w:bCs w:val="0"/>
        </w:rPr>
      </w:pPr>
      <w:bookmarkStart w:id="165" w:name="_Ref104805262"/>
      <w:r w:rsidRPr="00484AE9">
        <w:lastRenderedPageBreak/>
        <w:t xml:space="preserve">Table </w:t>
      </w:r>
      <w:fldSimple w:instr=" SEQ Table \* ARABIC ">
        <w:r w:rsidR="00872657">
          <w:rPr>
            <w:noProof/>
          </w:rPr>
          <w:t>28</w:t>
        </w:r>
      </w:fldSimple>
      <w:bookmarkEnd w:id="165"/>
      <w:r w:rsidRPr="00484AE9">
        <w:t>:</w:t>
      </w:r>
      <w:r w:rsidRPr="00484AE9">
        <w:rPr>
          <w:rStyle w:val="CommentReference"/>
          <w:b/>
          <w:szCs w:val="24"/>
        </w:rPr>
        <w:t xml:space="preserve"> </w:t>
      </w:r>
      <w:r w:rsidR="0038433F" w:rsidRPr="00484AE9">
        <w:t>Data sources and parameter values applied in the utilisation and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3"/>
        <w:gridCol w:w="2983"/>
        <w:gridCol w:w="2552"/>
        <w:gridCol w:w="2359"/>
      </w:tblGrid>
      <w:tr w:rsidR="0038433F" w:rsidRPr="00484AE9" w14:paraId="0DE56D44" w14:textId="77777777" w:rsidTr="00F1122F">
        <w:trPr>
          <w:tblHeader/>
        </w:trPr>
        <w:tc>
          <w:tcPr>
            <w:tcW w:w="623" w:type="pct"/>
            <w:shd w:val="clear" w:color="auto" w:fill="auto"/>
            <w:vAlign w:val="center"/>
          </w:tcPr>
          <w:p w14:paraId="7CCB2A98" w14:textId="77777777" w:rsidR="0038433F" w:rsidRPr="00484AE9" w:rsidRDefault="0038433F" w:rsidP="00F1122F">
            <w:pPr>
              <w:jc w:val="left"/>
              <w:rPr>
                <w:rFonts w:ascii="Arial Narrow" w:eastAsiaTheme="majorEastAsia" w:hAnsi="Arial Narrow" w:cs="Times New Roman"/>
                <w:b/>
                <w:sz w:val="20"/>
              </w:rPr>
            </w:pPr>
            <w:r w:rsidRPr="00484AE9">
              <w:rPr>
                <w:rFonts w:ascii="Arial Narrow" w:eastAsiaTheme="majorEastAsia" w:hAnsi="Arial Narrow" w:cs="Times New Roman"/>
                <w:b/>
                <w:sz w:val="20"/>
              </w:rPr>
              <w:t>Parameter</w:t>
            </w:r>
          </w:p>
        </w:tc>
        <w:tc>
          <w:tcPr>
            <w:tcW w:w="1654" w:type="pct"/>
            <w:shd w:val="clear" w:color="auto" w:fill="auto"/>
            <w:vAlign w:val="center"/>
          </w:tcPr>
          <w:p w14:paraId="192DFAE3" w14:textId="77777777" w:rsidR="0038433F" w:rsidRPr="00484AE9" w:rsidRDefault="0038433F" w:rsidP="00F1122F">
            <w:pPr>
              <w:jc w:val="left"/>
              <w:rPr>
                <w:rFonts w:ascii="Arial Narrow" w:eastAsiaTheme="majorEastAsia" w:hAnsi="Arial Narrow" w:cs="Times New Roman"/>
                <w:b/>
                <w:sz w:val="20"/>
              </w:rPr>
            </w:pPr>
            <w:r w:rsidRPr="00484AE9">
              <w:rPr>
                <w:rFonts w:ascii="Arial Narrow" w:eastAsiaTheme="majorEastAsia" w:hAnsi="Arial Narrow" w:cs="Times New Roman"/>
                <w:b/>
                <w:sz w:val="20"/>
              </w:rPr>
              <w:t>Value applied and source</w:t>
            </w:r>
          </w:p>
        </w:tc>
        <w:tc>
          <w:tcPr>
            <w:tcW w:w="1415" w:type="pct"/>
            <w:shd w:val="clear" w:color="auto" w:fill="auto"/>
            <w:vAlign w:val="center"/>
          </w:tcPr>
          <w:p w14:paraId="13FE9F13" w14:textId="77777777" w:rsidR="0038433F" w:rsidRPr="00484AE9" w:rsidRDefault="0038433F" w:rsidP="00F1122F">
            <w:pPr>
              <w:jc w:val="left"/>
              <w:rPr>
                <w:rFonts w:ascii="Arial Narrow" w:eastAsiaTheme="majorEastAsia" w:hAnsi="Arial Narrow" w:cs="Times New Roman"/>
                <w:b/>
                <w:sz w:val="20"/>
              </w:rPr>
            </w:pPr>
            <w:r w:rsidRPr="00484AE9">
              <w:rPr>
                <w:rFonts w:ascii="Arial Narrow" w:eastAsiaTheme="majorEastAsia" w:hAnsi="Arial Narrow" w:cs="Times New Roman"/>
                <w:b/>
                <w:sz w:val="20"/>
              </w:rPr>
              <w:t xml:space="preserve">Commentary on the submission </w:t>
            </w:r>
          </w:p>
        </w:tc>
        <w:tc>
          <w:tcPr>
            <w:tcW w:w="1308" w:type="pct"/>
          </w:tcPr>
          <w:p w14:paraId="2A294FC1" w14:textId="77777777" w:rsidR="0038433F" w:rsidRPr="00484AE9" w:rsidRDefault="0038433F" w:rsidP="00F1122F">
            <w:pPr>
              <w:jc w:val="left"/>
              <w:rPr>
                <w:rFonts w:ascii="Arial Narrow" w:eastAsiaTheme="majorEastAsia" w:hAnsi="Arial Narrow" w:cs="Times New Roman"/>
                <w:b/>
                <w:sz w:val="20"/>
              </w:rPr>
            </w:pPr>
            <w:r w:rsidRPr="00484AE9">
              <w:rPr>
                <w:rFonts w:ascii="Arial Narrow" w:eastAsiaTheme="majorEastAsia" w:hAnsi="Arial Narrow" w:cs="Times New Roman"/>
                <w:b/>
                <w:sz w:val="20"/>
              </w:rPr>
              <w:t xml:space="preserve">DUSC comments </w:t>
            </w:r>
          </w:p>
        </w:tc>
      </w:tr>
      <w:tr w:rsidR="0038433F" w:rsidRPr="00484AE9" w14:paraId="4B27597E" w14:textId="77777777" w:rsidTr="00F1122F">
        <w:tc>
          <w:tcPr>
            <w:tcW w:w="623" w:type="pct"/>
            <w:shd w:val="clear" w:color="auto" w:fill="auto"/>
            <w:vAlign w:val="center"/>
          </w:tcPr>
          <w:p w14:paraId="359D8E7D" w14:textId="77777777" w:rsidR="0038433F" w:rsidRPr="00484AE9" w:rsidRDefault="0038433F" w:rsidP="00F1122F">
            <w:pPr>
              <w:jc w:val="left"/>
              <w:rPr>
                <w:rFonts w:ascii="Arial Narrow" w:eastAsiaTheme="majorEastAsia" w:hAnsi="Arial Narrow" w:cstheme="majorBidi"/>
                <w:bCs/>
                <w:sz w:val="20"/>
              </w:rPr>
            </w:pPr>
            <w:r w:rsidRPr="00484AE9">
              <w:rPr>
                <w:rFonts w:ascii="Arial Narrow" w:eastAsiaTheme="majorEastAsia" w:hAnsi="Arial Narrow" w:cstheme="majorBidi"/>
                <w:bCs/>
                <w:sz w:val="20"/>
              </w:rPr>
              <w:t>Adult Australian population</w:t>
            </w:r>
          </w:p>
        </w:tc>
        <w:tc>
          <w:tcPr>
            <w:tcW w:w="1654" w:type="pct"/>
            <w:shd w:val="clear" w:color="auto" w:fill="auto"/>
          </w:tcPr>
          <w:p w14:paraId="78702181" w14:textId="77777777" w:rsidR="0038433F" w:rsidRPr="00484AE9" w:rsidRDefault="0038433F" w:rsidP="00F1122F">
            <w:pPr>
              <w:jc w:val="left"/>
              <w:rPr>
                <w:rFonts w:ascii="Arial Narrow" w:eastAsiaTheme="majorEastAsia" w:hAnsi="Arial Narrow" w:cstheme="majorBidi"/>
                <w:bCs/>
                <w:sz w:val="20"/>
              </w:rPr>
            </w:pPr>
            <w:r w:rsidRPr="00484AE9">
              <w:rPr>
                <w:rFonts w:ascii="Arial Narrow" w:eastAsiaTheme="majorEastAsia" w:hAnsi="Arial Narrow" w:cstheme="majorBidi"/>
                <w:bCs/>
                <w:sz w:val="20"/>
              </w:rPr>
              <w:t>Source: ABS Series B projections</w:t>
            </w:r>
          </w:p>
        </w:tc>
        <w:tc>
          <w:tcPr>
            <w:tcW w:w="1415" w:type="pct"/>
            <w:shd w:val="clear" w:color="auto" w:fill="auto"/>
            <w:vAlign w:val="center"/>
          </w:tcPr>
          <w:p w14:paraId="00C258BD" w14:textId="77777777" w:rsidR="0038433F" w:rsidRPr="00484AE9" w:rsidRDefault="0038433F" w:rsidP="00F1122F">
            <w:pPr>
              <w:jc w:val="left"/>
              <w:rPr>
                <w:rFonts w:ascii="Arial Narrow" w:eastAsiaTheme="majorEastAsia" w:hAnsi="Arial Narrow" w:cstheme="majorBidi"/>
                <w:bCs/>
                <w:sz w:val="20"/>
              </w:rPr>
            </w:pPr>
          </w:p>
        </w:tc>
        <w:tc>
          <w:tcPr>
            <w:tcW w:w="1308" w:type="pct"/>
          </w:tcPr>
          <w:p w14:paraId="3AD2FC57" w14:textId="77777777" w:rsidR="0038433F" w:rsidRPr="00484AE9" w:rsidRDefault="0038433F" w:rsidP="00F1122F">
            <w:pPr>
              <w:jc w:val="left"/>
              <w:rPr>
                <w:rFonts w:ascii="Arial Narrow" w:eastAsiaTheme="majorEastAsia" w:hAnsi="Arial Narrow" w:cstheme="majorBidi"/>
                <w:bCs/>
                <w:sz w:val="20"/>
              </w:rPr>
            </w:pPr>
          </w:p>
        </w:tc>
      </w:tr>
      <w:tr w:rsidR="0038433F" w:rsidRPr="00484AE9" w14:paraId="59D59768" w14:textId="77777777" w:rsidTr="00F1122F">
        <w:tc>
          <w:tcPr>
            <w:tcW w:w="623" w:type="pct"/>
            <w:shd w:val="clear" w:color="auto" w:fill="auto"/>
            <w:vAlign w:val="center"/>
          </w:tcPr>
          <w:p w14:paraId="3FA10B71" w14:textId="77777777" w:rsidR="0038433F" w:rsidRPr="00484AE9" w:rsidRDefault="0038433F" w:rsidP="00F1122F">
            <w:pPr>
              <w:jc w:val="left"/>
              <w:rPr>
                <w:rFonts w:ascii="Arial Narrow" w:eastAsiaTheme="majorEastAsia" w:hAnsi="Arial Narrow" w:cstheme="majorBidi"/>
                <w:bCs/>
                <w:sz w:val="20"/>
              </w:rPr>
            </w:pPr>
            <w:r w:rsidRPr="00484AE9">
              <w:rPr>
                <w:rFonts w:ascii="Arial Narrow" w:eastAsiaTheme="majorEastAsia" w:hAnsi="Arial Narrow" w:cstheme="majorBidi"/>
                <w:bCs/>
                <w:sz w:val="20"/>
              </w:rPr>
              <w:t>Estimated number of cases of COVID</w:t>
            </w:r>
            <w:r w:rsidRPr="00484AE9">
              <w:rPr>
                <w:rFonts w:ascii="Arial Narrow" w:eastAsiaTheme="majorEastAsia" w:hAnsi="Arial Narrow" w:cstheme="majorBidi"/>
                <w:bCs/>
                <w:sz w:val="20"/>
              </w:rPr>
              <w:noBreakHyphen/>
              <w:t>19 in the Adult population</w:t>
            </w:r>
          </w:p>
        </w:tc>
        <w:tc>
          <w:tcPr>
            <w:tcW w:w="1654" w:type="pct"/>
            <w:shd w:val="clear" w:color="auto" w:fill="auto"/>
            <w:vAlign w:val="center"/>
          </w:tcPr>
          <w:p w14:paraId="2040D1A2" w14:textId="77777777" w:rsidR="0038433F" w:rsidRPr="00484AE9" w:rsidRDefault="0038433F" w:rsidP="00F1122F">
            <w:pPr>
              <w:jc w:val="left"/>
              <w:rPr>
                <w:rFonts w:ascii="Arial Narrow" w:eastAsiaTheme="majorEastAsia" w:hAnsi="Arial Narrow" w:cstheme="majorBidi"/>
                <w:bCs/>
                <w:sz w:val="20"/>
              </w:rPr>
            </w:pPr>
            <w:r w:rsidRPr="00484AE9">
              <w:rPr>
                <w:rFonts w:ascii="Arial Narrow" w:eastAsiaTheme="majorEastAsia" w:hAnsi="Arial Narrow" w:cstheme="majorBidi"/>
                <w:bCs/>
                <w:sz w:val="20"/>
              </w:rPr>
              <w:t>Source: COVID-19 Australia report, Epidemiology Report 74</w:t>
            </w:r>
          </w:p>
          <w:p w14:paraId="71B6F6AF" w14:textId="77777777" w:rsidR="0038433F" w:rsidRPr="00484AE9" w:rsidRDefault="0038433F" w:rsidP="00F1122F">
            <w:pPr>
              <w:jc w:val="left"/>
              <w:rPr>
                <w:rFonts w:ascii="Arial Narrow" w:eastAsiaTheme="majorEastAsia" w:hAnsi="Arial Narrow" w:cstheme="majorBidi"/>
                <w:bCs/>
                <w:sz w:val="20"/>
              </w:rPr>
            </w:pPr>
            <w:r w:rsidRPr="00484AE9">
              <w:rPr>
                <w:rFonts w:ascii="Arial Narrow" w:eastAsiaTheme="majorEastAsia" w:hAnsi="Arial Narrow" w:cstheme="majorBidi"/>
                <w:bCs/>
                <w:sz w:val="20"/>
              </w:rPr>
              <w:t>COVID-19 cases per 100,000 people</w:t>
            </w:r>
            <w:r w:rsidRPr="00484AE9">
              <w:rPr>
                <w:rFonts w:ascii="Arial Narrow" w:eastAsiaTheme="majorEastAsia" w:hAnsi="Arial Narrow" w:cstheme="majorBidi"/>
                <w:bCs/>
                <w:sz w:val="20"/>
              </w:rPr>
              <w:br/>
              <w:t>(15 Dec 2021 - 7 May 2023)</w:t>
            </w:r>
          </w:p>
          <w:p w14:paraId="132298AE" w14:textId="085DB34E" w:rsidR="0038433F" w:rsidRPr="00484AE9" w:rsidRDefault="0038433F" w:rsidP="00F1122F">
            <w:pPr>
              <w:jc w:val="left"/>
              <w:rPr>
                <w:rFonts w:ascii="Arial Narrow" w:eastAsiaTheme="majorEastAsia" w:hAnsi="Arial Narrow" w:cstheme="majorBidi"/>
                <w:bCs/>
                <w:sz w:val="20"/>
              </w:rPr>
            </w:pPr>
            <w:r w:rsidRPr="00484AE9">
              <w:rPr>
                <w:rFonts w:ascii="Arial Narrow" w:eastAsiaTheme="majorEastAsia" w:hAnsi="Arial Narrow" w:cstheme="majorBidi"/>
                <w:bCs/>
                <w:sz w:val="20"/>
              </w:rPr>
              <w:t>18-29</w:t>
            </w:r>
            <w:r w:rsidR="00696519" w:rsidRPr="00696519">
              <w:rPr>
                <w:rFonts w:ascii="Arial Narrow" w:eastAsiaTheme="majorEastAsia" w:hAnsi="Arial Narrow" w:cstheme="majorBidi"/>
                <w:bCs/>
                <w:sz w:val="20"/>
              </w:rPr>
              <w:t xml:space="preserve"> </w:t>
            </w:r>
            <w:r w:rsidRPr="00484AE9">
              <w:rPr>
                <w:rFonts w:ascii="Arial Narrow" w:eastAsiaTheme="majorEastAsia" w:hAnsi="Arial Narrow" w:cstheme="majorBidi"/>
                <w:bCs/>
                <w:sz w:val="20"/>
              </w:rPr>
              <w:t>53,895.70</w:t>
            </w:r>
          </w:p>
          <w:p w14:paraId="3147FD7D" w14:textId="5B0B5AE9" w:rsidR="0038433F" w:rsidRPr="00484AE9" w:rsidRDefault="0038433F" w:rsidP="00F1122F">
            <w:pPr>
              <w:jc w:val="left"/>
              <w:rPr>
                <w:rFonts w:ascii="Arial Narrow" w:eastAsiaTheme="majorEastAsia" w:hAnsi="Arial Narrow" w:cstheme="majorBidi"/>
                <w:bCs/>
                <w:sz w:val="20"/>
              </w:rPr>
            </w:pPr>
            <w:r w:rsidRPr="00484AE9">
              <w:rPr>
                <w:rFonts w:ascii="Arial Narrow" w:eastAsiaTheme="majorEastAsia" w:hAnsi="Arial Narrow" w:cstheme="majorBidi"/>
                <w:bCs/>
                <w:sz w:val="20"/>
              </w:rPr>
              <w:t>30-39</w:t>
            </w:r>
            <w:r w:rsidR="00696519" w:rsidRPr="00696519">
              <w:rPr>
                <w:rFonts w:ascii="Arial Narrow" w:eastAsiaTheme="majorEastAsia" w:hAnsi="Arial Narrow" w:cstheme="majorBidi"/>
                <w:bCs/>
                <w:sz w:val="20"/>
              </w:rPr>
              <w:t xml:space="preserve"> </w:t>
            </w:r>
            <w:r w:rsidRPr="00484AE9">
              <w:rPr>
                <w:rFonts w:ascii="Arial Narrow" w:eastAsiaTheme="majorEastAsia" w:hAnsi="Arial Narrow" w:cstheme="majorBidi"/>
                <w:bCs/>
                <w:sz w:val="20"/>
              </w:rPr>
              <w:t>51,034.4</w:t>
            </w:r>
          </w:p>
          <w:p w14:paraId="31D479AE" w14:textId="15CAC646" w:rsidR="0038433F" w:rsidRPr="00484AE9" w:rsidRDefault="0038433F" w:rsidP="00F1122F">
            <w:pPr>
              <w:jc w:val="left"/>
              <w:rPr>
                <w:rFonts w:ascii="Arial Narrow" w:eastAsiaTheme="majorEastAsia" w:hAnsi="Arial Narrow" w:cstheme="majorBidi"/>
                <w:bCs/>
                <w:sz w:val="20"/>
              </w:rPr>
            </w:pPr>
            <w:r w:rsidRPr="00484AE9">
              <w:rPr>
                <w:rFonts w:ascii="Arial Narrow" w:eastAsiaTheme="majorEastAsia" w:hAnsi="Arial Narrow" w:cstheme="majorBidi"/>
                <w:bCs/>
                <w:sz w:val="20"/>
              </w:rPr>
              <w:t>40-49</w:t>
            </w:r>
            <w:r w:rsidR="00696519" w:rsidRPr="00696519">
              <w:rPr>
                <w:rFonts w:ascii="Arial Narrow" w:eastAsiaTheme="majorEastAsia" w:hAnsi="Arial Narrow" w:cstheme="majorBidi"/>
                <w:bCs/>
                <w:sz w:val="20"/>
              </w:rPr>
              <w:t xml:space="preserve"> </w:t>
            </w:r>
            <w:r w:rsidRPr="00484AE9">
              <w:rPr>
                <w:rFonts w:ascii="Arial Narrow" w:eastAsiaTheme="majorEastAsia" w:hAnsi="Arial Narrow" w:cstheme="majorBidi"/>
                <w:bCs/>
                <w:sz w:val="20"/>
              </w:rPr>
              <w:t>48,575.8</w:t>
            </w:r>
          </w:p>
          <w:p w14:paraId="3F4CD6D0" w14:textId="6FB7A996" w:rsidR="0038433F" w:rsidRPr="00484AE9" w:rsidRDefault="0038433F" w:rsidP="00F1122F">
            <w:pPr>
              <w:jc w:val="left"/>
              <w:rPr>
                <w:rFonts w:ascii="Arial Narrow" w:eastAsiaTheme="majorEastAsia" w:hAnsi="Arial Narrow" w:cstheme="majorBidi"/>
                <w:bCs/>
                <w:sz w:val="20"/>
              </w:rPr>
            </w:pPr>
            <w:r w:rsidRPr="00484AE9">
              <w:rPr>
                <w:rFonts w:ascii="Arial Narrow" w:eastAsiaTheme="majorEastAsia" w:hAnsi="Arial Narrow" w:cstheme="majorBidi"/>
                <w:bCs/>
                <w:sz w:val="20"/>
              </w:rPr>
              <w:t>50-59</w:t>
            </w:r>
            <w:r w:rsidR="00696519" w:rsidRPr="00696519">
              <w:rPr>
                <w:rFonts w:ascii="Arial Narrow" w:eastAsiaTheme="majorEastAsia" w:hAnsi="Arial Narrow" w:cstheme="majorBidi"/>
                <w:bCs/>
                <w:sz w:val="20"/>
              </w:rPr>
              <w:t xml:space="preserve"> </w:t>
            </w:r>
            <w:r w:rsidRPr="00484AE9">
              <w:rPr>
                <w:rFonts w:ascii="Arial Narrow" w:eastAsiaTheme="majorEastAsia" w:hAnsi="Arial Narrow" w:cstheme="majorBidi"/>
                <w:bCs/>
                <w:sz w:val="20"/>
              </w:rPr>
              <w:t>40,200.0</w:t>
            </w:r>
          </w:p>
          <w:p w14:paraId="01D9B1CC" w14:textId="1F989300" w:rsidR="0038433F" w:rsidRPr="00484AE9" w:rsidRDefault="0038433F" w:rsidP="00F1122F">
            <w:pPr>
              <w:jc w:val="left"/>
              <w:rPr>
                <w:rFonts w:ascii="Arial Narrow" w:eastAsiaTheme="majorEastAsia" w:hAnsi="Arial Narrow" w:cstheme="majorBidi"/>
                <w:bCs/>
                <w:sz w:val="20"/>
              </w:rPr>
            </w:pPr>
            <w:r w:rsidRPr="00484AE9">
              <w:rPr>
                <w:rFonts w:ascii="Arial Narrow" w:eastAsiaTheme="majorEastAsia" w:hAnsi="Arial Narrow" w:cstheme="majorBidi"/>
                <w:bCs/>
                <w:sz w:val="20"/>
              </w:rPr>
              <w:t>60-69</w:t>
            </w:r>
            <w:r w:rsidR="00696519" w:rsidRPr="00696519">
              <w:rPr>
                <w:rFonts w:ascii="Arial Narrow" w:eastAsiaTheme="majorEastAsia" w:hAnsi="Arial Narrow" w:cstheme="majorBidi"/>
                <w:bCs/>
                <w:sz w:val="20"/>
              </w:rPr>
              <w:t xml:space="preserve"> </w:t>
            </w:r>
            <w:r w:rsidRPr="00484AE9">
              <w:rPr>
                <w:rFonts w:ascii="Arial Narrow" w:eastAsiaTheme="majorEastAsia" w:hAnsi="Arial Narrow" w:cstheme="majorBidi"/>
                <w:bCs/>
                <w:sz w:val="20"/>
              </w:rPr>
              <w:t>31,595.3</w:t>
            </w:r>
          </w:p>
          <w:p w14:paraId="1786967C" w14:textId="761E5842" w:rsidR="0038433F" w:rsidRPr="00484AE9" w:rsidRDefault="0038433F" w:rsidP="00F1122F">
            <w:pPr>
              <w:jc w:val="left"/>
              <w:rPr>
                <w:rFonts w:ascii="Arial Narrow" w:eastAsiaTheme="majorEastAsia" w:hAnsi="Arial Narrow" w:cstheme="majorBidi"/>
                <w:bCs/>
                <w:sz w:val="20"/>
              </w:rPr>
            </w:pPr>
            <w:r w:rsidRPr="00484AE9">
              <w:rPr>
                <w:rFonts w:ascii="Arial Narrow" w:eastAsiaTheme="majorEastAsia" w:hAnsi="Arial Narrow" w:cstheme="majorBidi"/>
                <w:bCs/>
                <w:sz w:val="20"/>
              </w:rPr>
              <w:t>70-79</w:t>
            </w:r>
            <w:r w:rsidR="00696519" w:rsidRPr="00696519">
              <w:rPr>
                <w:rFonts w:ascii="Arial Narrow" w:eastAsiaTheme="majorEastAsia" w:hAnsi="Arial Narrow" w:cstheme="majorBidi"/>
                <w:bCs/>
                <w:sz w:val="20"/>
              </w:rPr>
              <w:t xml:space="preserve"> </w:t>
            </w:r>
            <w:r w:rsidRPr="00484AE9">
              <w:rPr>
                <w:rFonts w:ascii="Arial Narrow" w:eastAsiaTheme="majorEastAsia" w:hAnsi="Arial Narrow" w:cstheme="majorBidi"/>
                <w:bCs/>
                <w:sz w:val="20"/>
              </w:rPr>
              <w:t>25,582.6</w:t>
            </w:r>
          </w:p>
          <w:p w14:paraId="2147CF72" w14:textId="2524612B" w:rsidR="0038433F" w:rsidRPr="00484AE9" w:rsidRDefault="0038433F" w:rsidP="00F1122F">
            <w:pPr>
              <w:jc w:val="left"/>
              <w:rPr>
                <w:rFonts w:ascii="Arial Narrow" w:eastAsiaTheme="majorEastAsia" w:hAnsi="Arial Narrow" w:cstheme="majorBidi"/>
                <w:bCs/>
                <w:sz w:val="20"/>
              </w:rPr>
            </w:pPr>
            <w:r w:rsidRPr="00484AE9">
              <w:rPr>
                <w:rFonts w:ascii="Arial Narrow" w:eastAsiaTheme="majorEastAsia" w:hAnsi="Arial Narrow" w:cstheme="majorBidi"/>
                <w:bCs/>
                <w:sz w:val="20"/>
              </w:rPr>
              <w:t>80-89</w:t>
            </w:r>
            <w:r w:rsidR="00696519" w:rsidRPr="00696519">
              <w:rPr>
                <w:rFonts w:ascii="Arial Narrow" w:eastAsiaTheme="majorEastAsia" w:hAnsi="Arial Narrow" w:cstheme="majorBidi"/>
                <w:bCs/>
                <w:sz w:val="20"/>
              </w:rPr>
              <w:t xml:space="preserve"> </w:t>
            </w:r>
            <w:r w:rsidRPr="00484AE9">
              <w:rPr>
                <w:rFonts w:ascii="Arial Narrow" w:eastAsiaTheme="majorEastAsia" w:hAnsi="Arial Narrow" w:cstheme="majorBidi"/>
                <w:bCs/>
                <w:sz w:val="20"/>
              </w:rPr>
              <w:t>26,445.6</w:t>
            </w:r>
          </w:p>
          <w:p w14:paraId="5AEDFBF7" w14:textId="2D3D046B" w:rsidR="0038433F" w:rsidRPr="00484AE9" w:rsidRDefault="0038433F" w:rsidP="00F1122F">
            <w:pPr>
              <w:jc w:val="left"/>
              <w:rPr>
                <w:rFonts w:ascii="Arial Narrow" w:eastAsiaTheme="majorEastAsia" w:hAnsi="Arial Narrow" w:cstheme="majorBidi"/>
                <w:bCs/>
                <w:sz w:val="20"/>
              </w:rPr>
            </w:pPr>
            <w:r w:rsidRPr="00484AE9">
              <w:rPr>
                <w:rFonts w:ascii="Arial Narrow" w:eastAsiaTheme="majorEastAsia" w:hAnsi="Arial Narrow" w:cstheme="majorBidi"/>
                <w:bCs/>
                <w:sz w:val="20"/>
              </w:rPr>
              <w:t>90+</w:t>
            </w:r>
            <w:r w:rsidR="00696519" w:rsidRPr="00696519">
              <w:rPr>
                <w:rFonts w:ascii="Arial Narrow" w:eastAsiaTheme="majorEastAsia" w:hAnsi="Arial Narrow" w:cstheme="majorBidi"/>
                <w:bCs/>
                <w:sz w:val="20"/>
              </w:rPr>
              <w:t xml:space="preserve"> </w:t>
            </w:r>
            <w:r w:rsidR="00F76D9A">
              <w:rPr>
                <w:rFonts w:ascii="Arial Narrow" w:eastAsiaTheme="majorEastAsia" w:hAnsi="Arial Narrow" w:cstheme="majorBidi"/>
                <w:bCs/>
                <w:sz w:val="20"/>
              </w:rPr>
              <w:t xml:space="preserve"> </w:t>
            </w:r>
            <w:r w:rsidRPr="00484AE9">
              <w:rPr>
                <w:rFonts w:ascii="Arial Narrow" w:eastAsiaTheme="majorEastAsia" w:hAnsi="Arial Narrow" w:cstheme="majorBidi"/>
                <w:bCs/>
                <w:sz w:val="20"/>
              </w:rPr>
              <w:t>37,373.3</w:t>
            </w:r>
          </w:p>
        </w:tc>
        <w:tc>
          <w:tcPr>
            <w:tcW w:w="1415" w:type="pct"/>
            <w:shd w:val="clear" w:color="auto" w:fill="auto"/>
          </w:tcPr>
          <w:p w14:paraId="76E80B5E" w14:textId="77777777" w:rsidR="0038433F" w:rsidRPr="00484AE9" w:rsidRDefault="0038433F" w:rsidP="00F1122F">
            <w:pPr>
              <w:jc w:val="left"/>
              <w:rPr>
                <w:rFonts w:ascii="Arial Narrow" w:eastAsiaTheme="majorEastAsia" w:hAnsi="Arial Narrow" w:cstheme="majorBidi"/>
                <w:bCs/>
                <w:iCs/>
                <w:sz w:val="20"/>
              </w:rPr>
            </w:pPr>
            <w:r w:rsidRPr="00484AE9">
              <w:rPr>
                <w:rFonts w:ascii="Arial Narrow" w:eastAsiaTheme="majorEastAsia" w:hAnsi="Arial Narrow" w:cstheme="majorBidi"/>
                <w:bCs/>
                <w:iCs/>
                <w:sz w:val="20"/>
              </w:rPr>
              <w:t>The application of estimates from 2022 – mid 2023 introduces uncertainty in estimates as the past may not be a reliable predictor of the future.</w:t>
            </w:r>
          </w:p>
        </w:tc>
        <w:tc>
          <w:tcPr>
            <w:tcW w:w="1308" w:type="pct"/>
          </w:tcPr>
          <w:p w14:paraId="3F0910C8" w14:textId="061A4B8D" w:rsidR="0038433F" w:rsidRPr="00484AE9" w:rsidRDefault="0038433F" w:rsidP="00F1122F">
            <w:pPr>
              <w:jc w:val="left"/>
              <w:rPr>
                <w:rFonts w:ascii="Arial Narrow" w:eastAsiaTheme="majorEastAsia" w:hAnsi="Arial Narrow" w:cstheme="majorBidi"/>
                <w:bCs/>
                <w:i/>
                <w:sz w:val="20"/>
              </w:rPr>
            </w:pPr>
            <w:r w:rsidRPr="00484AE9">
              <w:rPr>
                <w:rFonts w:ascii="Arial Narrow" w:eastAsiaTheme="majorEastAsia" w:hAnsi="Arial Narrow" w:cstheme="majorBidi"/>
                <w:bCs/>
                <w:iCs/>
                <w:sz w:val="20"/>
              </w:rPr>
              <w:t xml:space="preserve">DUSC </w:t>
            </w:r>
            <w:r w:rsidR="00BB7311" w:rsidRPr="00484AE9">
              <w:rPr>
                <w:rFonts w:ascii="Arial Narrow" w:eastAsiaTheme="majorEastAsia" w:hAnsi="Arial Narrow" w:cstheme="majorBidi"/>
                <w:bCs/>
                <w:iCs/>
                <w:sz w:val="20"/>
              </w:rPr>
              <w:t>considered</w:t>
            </w:r>
            <w:r w:rsidRPr="00484AE9">
              <w:rPr>
                <w:rFonts w:ascii="Arial Narrow" w:eastAsiaTheme="majorEastAsia" w:hAnsi="Arial Narrow" w:cstheme="majorBidi"/>
                <w:bCs/>
                <w:iCs/>
                <w:sz w:val="20"/>
              </w:rPr>
              <w:t xml:space="preserve"> this </w:t>
            </w:r>
            <w:r w:rsidR="00BB7311" w:rsidRPr="00484AE9">
              <w:rPr>
                <w:rFonts w:ascii="Arial Narrow" w:eastAsiaTheme="majorEastAsia" w:hAnsi="Arial Narrow" w:cstheme="majorBidi"/>
                <w:bCs/>
                <w:iCs/>
                <w:sz w:val="20"/>
              </w:rPr>
              <w:t>may be</w:t>
            </w:r>
            <w:r w:rsidRPr="00484AE9">
              <w:rPr>
                <w:rFonts w:ascii="Arial Narrow" w:eastAsiaTheme="majorEastAsia" w:hAnsi="Arial Narrow" w:cstheme="majorBidi"/>
                <w:bCs/>
                <w:iCs/>
                <w:sz w:val="20"/>
              </w:rPr>
              <w:t xml:space="preserve"> overestimated. DUSC considered it would be unlikely for approximately 25%-50% of the Australian population to be infected with COVID-19 annually. DUSC considered whether influenza modelling could be used.</w:t>
            </w:r>
            <w:r w:rsidRPr="00484AE9">
              <w:rPr>
                <w:rFonts w:ascii="Arial Narrow" w:eastAsiaTheme="majorEastAsia" w:hAnsi="Arial Narrow" w:cstheme="majorBidi"/>
                <w:bCs/>
                <w:i/>
                <w:sz w:val="20"/>
              </w:rPr>
              <w:t xml:space="preserve"> </w:t>
            </w:r>
          </w:p>
        </w:tc>
      </w:tr>
      <w:tr w:rsidR="0038433F" w:rsidRPr="00484AE9" w14:paraId="62EAF8D1" w14:textId="77777777" w:rsidTr="00F1122F">
        <w:tc>
          <w:tcPr>
            <w:tcW w:w="623" w:type="pct"/>
            <w:shd w:val="clear" w:color="auto" w:fill="auto"/>
            <w:vAlign w:val="center"/>
          </w:tcPr>
          <w:p w14:paraId="721E46F2" w14:textId="77777777" w:rsidR="0038433F" w:rsidRPr="00484AE9" w:rsidRDefault="0038433F" w:rsidP="00F1122F">
            <w:pPr>
              <w:jc w:val="left"/>
              <w:rPr>
                <w:rFonts w:ascii="Arial Narrow" w:eastAsiaTheme="majorEastAsia" w:hAnsi="Arial Narrow" w:cstheme="majorBidi"/>
                <w:bCs/>
                <w:sz w:val="20"/>
              </w:rPr>
            </w:pPr>
            <w:r w:rsidRPr="00484AE9">
              <w:rPr>
                <w:rFonts w:ascii="Arial Narrow" w:eastAsiaTheme="majorEastAsia" w:hAnsi="Arial Narrow" w:cstheme="majorBidi"/>
                <w:bCs/>
                <w:sz w:val="20"/>
              </w:rPr>
              <w:t>Proportion of patients at increased risk of progression to severe COVID</w:t>
            </w:r>
          </w:p>
        </w:tc>
        <w:tc>
          <w:tcPr>
            <w:tcW w:w="1654" w:type="pct"/>
            <w:shd w:val="clear" w:color="auto" w:fill="auto"/>
            <w:vAlign w:val="center"/>
          </w:tcPr>
          <w:p w14:paraId="0E94ADC6" w14:textId="77777777" w:rsidR="0038433F" w:rsidRPr="00484AE9" w:rsidRDefault="0038433F" w:rsidP="00F1122F">
            <w:pPr>
              <w:jc w:val="left"/>
              <w:rPr>
                <w:rFonts w:ascii="Arial Narrow" w:eastAsiaTheme="majorEastAsia" w:hAnsi="Arial Narrow" w:cstheme="majorBidi"/>
                <w:bCs/>
                <w:sz w:val="20"/>
              </w:rPr>
            </w:pPr>
            <w:r w:rsidRPr="00484AE9">
              <w:rPr>
                <w:rFonts w:ascii="Arial Narrow" w:eastAsiaTheme="majorEastAsia" w:hAnsi="Arial Narrow" w:cstheme="majorBidi"/>
                <w:bCs/>
                <w:sz w:val="20"/>
              </w:rPr>
              <w:t>Source:</w:t>
            </w:r>
            <w:r w:rsidRPr="00484AE9">
              <w:rPr>
                <w:rFonts w:ascii="Arial Narrow" w:eastAsiaTheme="majorEastAsia" w:hAnsi="Arial Narrow" w:cstheme="majorBidi"/>
                <w:bCs/>
                <w:sz w:val="20"/>
              </w:rPr>
              <w:tab/>
            </w:r>
            <w:r w:rsidRPr="00484AE9">
              <w:rPr>
                <w:rFonts w:ascii="Arial Narrow" w:eastAsiaTheme="majorEastAsia" w:hAnsi="Arial Narrow" w:cstheme="majorBidi"/>
                <w:bCs/>
                <w:sz w:val="20"/>
              </w:rPr>
              <w:tab/>
              <w:t>Age grp</w:t>
            </w:r>
            <w:r w:rsidRPr="00484AE9">
              <w:rPr>
                <w:rFonts w:ascii="Arial Narrow" w:eastAsiaTheme="majorEastAsia" w:hAnsi="Arial Narrow" w:cstheme="majorBidi"/>
                <w:bCs/>
                <w:sz w:val="20"/>
              </w:rPr>
              <w:tab/>
              <w:t>Proportion</w:t>
            </w:r>
          </w:p>
          <w:p w14:paraId="78DB4225" w14:textId="77777777" w:rsidR="0038433F" w:rsidRPr="00484AE9" w:rsidRDefault="0038433F" w:rsidP="00F1122F">
            <w:pPr>
              <w:jc w:val="left"/>
              <w:rPr>
                <w:rFonts w:ascii="Arial Narrow" w:eastAsiaTheme="majorEastAsia" w:hAnsi="Arial Narrow" w:cstheme="majorBidi"/>
                <w:bCs/>
                <w:sz w:val="20"/>
              </w:rPr>
            </w:pPr>
            <w:r w:rsidRPr="00484AE9">
              <w:rPr>
                <w:rFonts w:ascii="Arial Narrow" w:eastAsiaTheme="majorEastAsia" w:hAnsi="Arial Narrow" w:cstheme="majorBidi"/>
                <w:bCs/>
                <w:sz w:val="20"/>
              </w:rPr>
              <w:t>MacIntyre 2018:</w:t>
            </w:r>
            <w:r w:rsidRPr="00484AE9">
              <w:rPr>
                <w:rFonts w:ascii="Arial Narrow" w:eastAsiaTheme="majorEastAsia" w:hAnsi="Arial Narrow" w:cstheme="majorBidi"/>
                <w:bCs/>
                <w:sz w:val="20"/>
              </w:rPr>
              <w:tab/>
              <w:t>18-49:</w:t>
            </w:r>
            <w:r w:rsidRPr="00484AE9">
              <w:rPr>
                <w:rFonts w:ascii="Arial Narrow" w:eastAsiaTheme="majorEastAsia" w:hAnsi="Arial Narrow" w:cstheme="majorBidi"/>
                <w:bCs/>
                <w:sz w:val="20"/>
              </w:rPr>
              <w:tab/>
              <w:t xml:space="preserve">3.76% </w:t>
            </w:r>
          </w:p>
          <w:p w14:paraId="0E856EA5" w14:textId="77777777" w:rsidR="0038433F" w:rsidRPr="00484AE9" w:rsidRDefault="0038433F" w:rsidP="00F1122F">
            <w:pPr>
              <w:jc w:val="left"/>
              <w:rPr>
                <w:rFonts w:ascii="Arial Narrow" w:eastAsiaTheme="majorEastAsia" w:hAnsi="Arial Narrow" w:cstheme="majorBidi"/>
                <w:bCs/>
                <w:sz w:val="20"/>
              </w:rPr>
            </w:pPr>
            <w:r w:rsidRPr="00484AE9">
              <w:rPr>
                <w:rFonts w:ascii="Arial Narrow" w:eastAsiaTheme="majorEastAsia" w:hAnsi="Arial Narrow" w:cstheme="majorBidi"/>
                <w:bCs/>
                <w:sz w:val="20"/>
              </w:rPr>
              <w:t>Clark 2020:</w:t>
            </w:r>
            <w:r w:rsidRPr="00484AE9">
              <w:rPr>
                <w:rFonts w:ascii="Arial Narrow" w:eastAsiaTheme="majorEastAsia" w:hAnsi="Arial Narrow" w:cstheme="majorBidi"/>
                <w:bCs/>
                <w:sz w:val="20"/>
              </w:rPr>
              <w:tab/>
              <w:t>50-54:</w:t>
            </w:r>
            <w:r w:rsidRPr="00484AE9">
              <w:rPr>
                <w:rFonts w:ascii="Arial Narrow" w:eastAsiaTheme="majorEastAsia" w:hAnsi="Arial Narrow" w:cstheme="majorBidi"/>
                <w:bCs/>
                <w:sz w:val="20"/>
              </w:rPr>
              <w:tab/>
              <w:t>26%</w:t>
            </w:r>
          </w:p>
          <w:p w14:paraId="2FF26451" w14:textId="77777777" w:rsidR="0038433F" w:rsidRPr="00484AE9" w:rsidRDefault="0038433F" w:rsidP="00F1122F">
            <w:pPr>
              <w:jc w:val="left"/>
              <w:rPr>
                <w:rFonts w:ascii="Arial Narrow" w:eastAsiaTheme="majorEastAsia" w:hAnsi="Arial Narrow" w:cstheme="majorBidi"/>
                <w:bCs/>
                <w:sz w:val="20"/>
              </w:rPr>
            </w:pPr>
            <w:r w:rsidRPr="00484AE9">
              <w:rPr>
                <w:rFonts w:ascii="Arial Narrow" w:eastAsiaTheme="majorEastAsia" w:hAnsi="Arial Narrow" w:cstheme="majorBidi"/>
                <w:bCs/>
                <w:sz w:val="20"/>
              </w:rPr>
              <w:t xml:space="preserve"> </w:t>
            </w:r>
            <w:r w:rsidRPr="00484AE9">
              <w:rPr>
                <w:rFonts w:ascii="Arial Narrow" w:eastAsiaTheme="majorEastAsia" w:hAnsi="Arial Narrow" w:cstheme="majorBidi"/>
                <w:bCs/>
                <w:sz w:val="20"/>
              </w:rPr>
              <w:tab/>
            </w:r>
            <w:r w:rsidRPr="00484AE9">
              <w:rPr>
                <w:rFonts w:ascii="Arial Narrow" w:eastAsiaTheme="majorEastAsia" w:hAnsi="Arial Narrow" w:cstheme="majorBidi"/>
                <w:bCs/>
                <w:sz w:val="20"/>
              </w:rPr>
              <w:tab/>
              <w:t>55-59:</w:t>
            </w:r>
            <w:r w:rsidRPr="00484AE9">
              <w:rPr>
                <w:rFonts w:ascii="Arial Narrow" w:eastAsiaTheme="majorEastAsia" w:hAnsi="Arial Narrow" w:cstheme="majorBidi"/>
                <w:bCs/>
                <w:sz w:val="20"/>
              </w:rPr>
              <w:tab/>
              <w:t xml:space="preserve">32% </w:t>
            </w:r>
          </w:p>
          <w:p w14:paraId="00FF4FFF" w14:textId="77777777" w:rsidR="0038433F" w:rsidRPr="00484AE9" w:rsidRDefault="0038433F" w:rsidP="00F1122F">
            <w:pPr>
              <w:jc w:val="left"/>
              <w:rPr>
                <w:rFonts w:ascii="Arial Narrow" w:eastAsiaTheme="majorEastAsia" w:hAnsi="Arial Narrow" w:cstheme="majorBidi"/>
                <w:bCs/>
                <w:sz w:val="20"/>
              </w:rPr>
            </w:pPr>
            <w:r w:rsidRPr="00484AE9">
              <w:rPr>
                <w:rFonts w:ascii="Arial Narrow" w:eastAsiaTheme="majorEastAsia" w:hAnsi="Arial Narrow" w:cstheme="majorBidi"/>
                <w:bCs/>
                <w:sz w:val="20"/>
              </w:rPr>
              <w:t xml:space="preserve"> </w:t>
            </w:r>
            <w:r w:rsidRPr="00484AE9">
              <w:rPr>
                <w:rFonts w:ascii="Arial Narrow" w:eastAsiaTheme="majorEastAsia" w:hAnsi="Arial Narrow" w:cstheme="majorBidi"/>
                <w:bCs/>
                <w:sz w:val="20"/>
              </w:rPr>
              <w:tab/>
            </w:r>
            <w:r w:rsidRPr="00484AE9">
              <w:rPr>
                <w:rFonts w:ascii="Arial Narrow" w:eastAsiaTheme="majorEastAsia" w:hAnsi="Arial Narrow" w:cstheme="majorBidi"/>
                <w:bCs/>
                <w:sz w:val="20"/>
              </w:rPr>
              <w:tab/>
              <w:t>60-64:</w:t>
            </w:r>
            <w:r w:rsidRPr="00484AE9">
              <w:rPr>
                <w:rFonts w:ascii="Arial Narrow" w:eastAsiaTheme="majorEastAsia" w:hAnsi="Arial Narrow" w:cstheme="majorBidi"/>
                <w:bCs/>
                <w:sz w:val="20"/>
              </w:rPr>
              <w:tab/>
              <w:t xml:space="preserve">35% </w:t>
            </w:r>
          </w:p>
          <w:p w14:paraId="5DAC9192" w14:textId="77777777" w:rsidR="0038433F" w:rsidRPr="00484AE9" w:rsidRDefault="0038433F" w:rsidP="00F1122F">
            <w:pPr>
              <w:jc w:val="left"/>
              <w:rPr>
                <w:rFonts w:ascii="Arial Narrow" w:eastAsiaTheme="majorEastAsia" w:hAnsi="Arial Narrow" w:cstheme="majorBidi"/>
                <w:bCs/>
                <w:sz w:val="20"/>
              </w:rPr>
            </w:pPr>
            <w:r w:rsidRPr="00484AE9">
              <w:rPr>
                <w:rFonts w:ascii="Arial Narrow" w:eastAsiaTheme="majorEastAsia" w:hAnsi="Arial Narrow" w:cstheme="majorBidi"/>
                <w:bCs/>
                <w:sz w:val="20"/>
              </w:rPr>
              <w:t xml:space="preserve"> </w:t>
            </w:r>
            <w:r w:rsidRPr="00484AE9">
              <w:rPr>
                <w:rFonts w:ascii="Arial Narrow" w:eastAsiaTheme="majorEastAsia" w:hAnsi="Arial Narrow" w:cstheme="majorBidi"/>
                <w:bCs/>
                <w:sz w:val="20"/>
              </w:rPr>
              <w:tab/>
            </w:r>
            <w:r w:rsidRPr="00484AE9">
              <w:rPr>
                <w:rFonts w:ascii="Arial Narrow" w:eastAsiaTheme="majorEastAsia" w:hAnsi="Arial Narrow" w:cstheme="majorBidi"/>
                <w:bCs/>
                <w:sz w:val="20"/>
              </w:rPr>
              <w:tab/>
              <w:t>65-69:</w:t>
            </w:r>
            <w:r w:rsidRPr="00484AE9">
              <w:rPr>
                <w:rFonts w:ascii="Arial Narrow" w:eastAsiaTheme="majorEastAsia" w:hAnsi="Arial Narrow" w:cstheme="majorBidi"/>
                <w:bCs/>
                <w:sz w:val="20"/>
              </w:rPr>
              <w:tab/>
              <w:t>38%</w:t>
            </w:r>
          </w:p>
          <w:p w14:paraId="40598720" w14:textId="77777777" w:rsidR="0038433F" w:rsidRPr="00484AE9" w:rsidRDefault="0038433F" w:rsidP="00F1122F">
            <w:pPr>
              <w:jc w:val="left"/>
              <w:rPr>
                <w:rFonts w:ascii="Arial Narrow" w:eastAsiaTheme="majorEastAsia" w:hAnsi="Arial Narrow" w:cstheme="majorBidi"/>
                <w:bCs/>
                <w:sz w:val="20"/>
              </w:rPr>
            </w:pPr>
            <w:r w:rsidRPr="00484AE9">
              <w:rPr>
                <w:rFonts w:ascii="Arial Narrow" w:eastAsiaTheme="majorEastAsia" w:hAnsi="Arial Narrow" w:cstheme="majorBidi"/>
                <w:bCs/>
                <w:sz w:val="20"/>
              </w:rPr>
              <w:tab/>
            </w:r>
            <w:r w:rsidRPr="00484AE9">
              <w:rPr>
                <w:rFonts w:ascii="Arial Narrow" w:eastAsiaTheme="majorEastAsia" w:hAnsi="Arial Narrow" w:cstheme="majorBidi"/>
                <w:bCs/>
                <w:sz w:val="20"/>
              </w:rPr>
              <w:tab/>
              <w:t>70-100:</w:t>
            </w:r>
            <w:r w:rsidRPr="00484AE9">
              <w:rPr>
                <w:rFonts w:ascii="Arial Narrow" w:eastAsiaTheme="majorEastAsia" w:hAnsi="Arial Narrow" w:cstheme="majorBidi"/>
                <w:bCs/>
                <w:sz w:val="20"/>
              </w:rPr>
              <w:tab/>
              <w:t>100%</w:t>
            </w:r>
          </w:p>
        </w:tc>
        <w:tc>
          <w:tcPr>
            <w:tcW w:w="1415" w:type="pct"/>
            <w:shd w:val="clear" w:color="auto" w:fill="auto"/>
            <w:vAlign w:val="center"/>
          </w:tcPr>
          <w:p w14:paraId="45A1A9F2" w14:textId="77777777" w:rsidR="0038433F" w:rsidRPr="00484AE9" w:rsidRDefault="0038433F" w:rsidP="00F1122F">
            <w:pPr>
              <w:jc w:val="left"/>
              <w:rPr>
                <w:rFonts w:ascii="Arial Narrow" w:eastAsiaTheme="majorEastAsia" w:hAnsi="Arial Narrow" w:cstheme="majorBidi"/>
                <w:bCs/>
                <w:iCs/>
                <w:sz w:val="20"/>
              </w:rPr>
            </w:pPr>
            <w:r w:rsidRPr="00484AE9">
              <w:rPr>
                <w:rFonts w:ascii="Arial Narrow" w:eastAsiaTheme="majorEastAsia" w:hAnsi="Arial Narrow" w:cstheme="majorBidi"/>
                <w:bCs/>
                <w:iCs/>
                <w:sz w:val="20"/>
              </w:rPr>
              <w:t xml:space="preserve">The application of estimates of the proportion of patients in the 18-49 year population with severe immunosuppressive conditions from MacIntyre 2018 appears appropriate as does the application of proportion of the population with risk factors as reported by Clark 2020 </w:t>
            </w:r>
          </w:p>
        </w:tc>
        <w:tc>
          <w:tcPr>
            <w:tcW w:w="1308" w:type="pct"/>
          </w:tcPr>
          <w:p w14:paraId="66018227" w14:textId="3C8E3614" w:rsidR="0038433F" w:rsidRPr="00484AE9" w:rsidRDefault="0038433F" w:rsidP="00F1122F">
            <w:pPr>
              <w:jc w:val="left"/>
              <w:rPr>
                <w:rFonts w:ascii="Arial Narrow" w:eastAsiaTheme="majorEastAsia" w:hAnsi="Arial Narrow" w:cstheme="majorBidi"/>
                <w:bCs/>
                <w:iCs/>
                <w:sz w:val="20"/>
              </w:rPr>
            </w:pPr>
            <w:r w:rsidRPr="00484AE9">
              <w:rPr>
                <w:rFonts w:ascii="Arial Narrow" w:eastAsiaTheme="majorEastAsia" w:hAnsi="Arial Narrow" w:cstheme="majorBidi"/>
                <w:bCs/>
                <w:iCs/>
                <w:sz w:val="20"/>
              </w:rPr>
              <w:t xml:space="preserve">DUSC noted the population risk factors for severe COVID-19 were determined early in the pandemic and </w:t>
            </w:r>
            <w:r w:rsidR="00BB7311" w:rsidRPr="00484AE9">
              <w:rPr>
                <w:rFonts w:ascii="Arial Narrow" w:eastAsiaTheme="majorEastAsia" w:hAnsi="Arial Narrow" w:cstheme="majorBidi"/>
                <w:bCs/>
                <w:iCs/>
                <w:sz w:val="20"/>
              </w:rPr>
              <w:t>there may be differences over time.</w:t>
            </w:r>
            <w:r w:rsidRPr="00484AE9">
              <w:rPr>
                <w:rFonts w:ascii="Arial Narrow" w:eastAsiaTheme="majorEastAsia" w:hAnsi="Arial Narrow" w:cstheme="majorBidi"/>
                <w:bCs/>
                <w:iCs/>
                <w:sz w:val="20"/>
              </w:rPr>
              <w:t xml:space="preserve"> </w:t>
            </w:r>
          </w:p>
        </w:tc>
      </w:tr>
      <w:tr w:rsidR="0038433F" w:rsidRPr="00484AE9" w14:paraId="5626BA8C" w14:textId="77777777" w:rsidTr="00F1122F">
        <w:tc>
          <w:tcPr>
            <w:tcW w:w="623" w:type="pct"/>
            <w:shd w:val="clear" w:color="auto" w:fill="auto"/>
          </w:tcPr>
          <w:p w14:paraId="6B586448" w14:textId="77777777" w:rsidR="0038433F" w:rsidRPr="00484AE9" w:rsidRDefault="0038433F" w:rsidP="00F1122F">
            <w:pPr>
              <w:jc w:val="left"/>
              <w:rPr>
                <w:rFonts w:ascii="Arial Narrow" w:eastAsiaTheme="majorEastAsia" w:hAnsi="Arial Narrow" w:cstheme="majorBidi"/>
                <w:bCs/>
                <w:sz w:val="20"/>
              </w:rPr>
            </w:pPr>
            <w:r w:rsidRPr="00484AE9">
              <w:rPr>
                <w:rFonts w:ascii="Arial Narrow" w:eastAsiaTheme="majorEastAsia" w:hAnsi="Arial Narrow" w:cstheme="majorBidi"/>
                <w:bCs/>
                <w:sz w:val="20"/>
              </w:rPr>
              <w:t>Uptake of antivirals</w:t>
            </w:r>
          </w:p>
        </w:tc>
        <w:tc>
          <w:tcPr>
            <w:tcW w:w="1654" w:type="pct"/>
            <w:shd w:val="clear" w:color="auto" w:fill="auto"/>
          </w:tcPr>
          <w:p w14:paraId="390C0FC0" w14:textId="77777777" w:rsidR="0038433F" w:rsidRPr="00484AE9" w:rsidRDefault="0038433F" w:rsidP="00F1122F">
            <w:pPr>
              <w:jc w:val="left"/>
              <w:rPr>
                <w:rFonts w:ascii="Arial Narrow" w:eastAsiaTheme="majorEastAsia" w:hAnsi="Arial Narrow" w:cstheme="majorBidi"/>
                <w:bCs/>
                <w:sz w:val="20"/>
              </w:rPr>
            </w:pPr>
            <w:r w:rsidRPr="00484AE9">
              <w:rPr>
                <w:rFonts w:ascii="Arial Narrow" w:eastAsiaTheme="majorEastAsia" w:hAnsi="Arial Narrow" w:cstheme="majorBidi"/>
                <w:bCs/>
                <w:sz w:val="20"/>
              </w:rPr>
              <w:t>Source: assumptions based on comparison of the estimated number of patients with COVID-19 using an epidemiological approach and the number of oral antiviral PBS prescriptions dispensed from 1 May 2022 to 30 April 2023 and adjustment for extensions to the PBS restrictions for nirmatrelvir and ritonavir after April 2023.</w:t>
            </w:r>
          </w:p>
          <w:p w14:paraId="1EC4FA51" w14:textId="77777777" w:rsidR="0038433F" w:rsidRPr="00484AE9" w:rsidRDefault="0038433F" w:rsidP="00F1122F">
            <w:pPr>
              <w:jc w:val="left"/>
              <w:rPr>
                <w:rFonts w:ascii="Arial Narrow" w:eastAsiaTheme="majorEastAsia" w:hAnsi="Arial Narrow" w:cstheme="majorBidi"/>
                <w:bCs/>
                <w:sz w:val="20"/>
              </w:rPr>
            </w:pPr>
            <w:r w:rsidRPr="00484AE9">
              <w:rPr>
                <w:rFonts w:ascii="Arial Narrow" w:eastAsiaTheme="majorEastAsia" w:hAnsi="Arial Narrow" w:cstheme="majorBidi"/>
                <w:bCs/>
                <w:sz w:val="20"/>
              </w:rPr>
              <w:t>Age group:</w:t>
            </w:r>
            <w:r w:rsidRPr="00484AE9">
              <w:rPr>
                <w:rFonts w:ascii="Arial Narrow" w:eastAsiaTheme="majorEastAsia" w:hAnsi="Arial Narrow" w:cstheme="majorBidi"/>
                <w:bCs/>
                <w:sz w:val="20"/>
              </w:rPr>
              <w:tab/>
              <w:t>Uptake</w:t>
            </w:r>
          </w:p>
          <w:p w14:paraId="05C3A66F" w14:textId="77777777" w:rsidR="0038433F" w:rsidRPr="00484AE9" w:rsidRDefault="0038433F" w:rsidP="00F1122F">
            <w:pPr>
              <w:jc w:val="left"/>
              <w:rPr>
                <w:rFonts w:ascii="Arial Narrow" w:eastAsiaTheme="majorEastAsia" w:hAnsi="Arial Narrow" w:cstheme="majorBidi"/>
                <w:bCs/>
                <w:sz w:val="20"/>
              </w:rPr>
            </w:pPr>
            <w:r w:rsidRPr="00484AE9">
              <w:rPr>
                <w:rFonts w:ascii="Arial Narrow" w:eastAsiaTheme="majorEastAsia" w:hAnsi="Arial Narrow" w:cstheme="majorBidi"/>
                <w:bCs/>
                <w:sz w:val="20"/>
              </w:rPr>
              <w:t xml:space="preserve">18-49: </w:t>
            </w:r>
            <w:r w:rsidRPr="00484AE9">
              <w:rPr>
                <w:rFonts w:ascii="Arial Narrow" w:eastAsiaTheme="majorEastAsia" w:hAnsi="Arial Narrow" w:cstheme="majorBidi"/>
                <w:bCs/>
                <w:sz w:val="20"/>
              </w:rPr>
              <w:tab/>
            </w:r>
            <w:r w:rsidRPr="00484AE9">
              <w:rPr>
                <w:rFonts w:ascii="Arial Narrow" w:eastAsiaTheme="majorEastAsia" w:hAnsi="Arial Narrow" w:cstheme="majorBidi"/>
                <w:bCs/>
                <w:sz w:val="20"/>
              </w:rPr>
              <w:tab/>
              <w:t xml:space="preserve">35% </w:t>
            </w:r>
          </w:p>
          <w:p w14:paraId="3DD49BDC" w14:textId="77777777" w:rsidR="0038433F" w:rsidRPr="00484AE9" w:rsidRDefault="0038433F" w:rsidP="00F1122F">
            <w:pPr>
              <w:jc w:val="left"/>
              <w:rPr>
                <w:rFonts w:ascii="Arial Narrow" w:eastAsiaTheme="majorEastAsia" w:hAnsi="Arial Narrow" w:cstheme="majorBidi"/>
                <w:bCs/>
                <w:sz w:val="20"/>
              </w:rPr>
            </w:pPr>
            <w:r w:rsidRPr="00484AE9">
              <w:rPr>
                <w:rFonts w:ascii="Arial Narrow" w:eastAsiaTheme="majorEastAsia" w:hAnsi="Arial Narrow" w:cstheme="majorBidi"/>
                <w:bCs/>
                <w:sz w:val="20"/>
              </w:rPr>
              <w:t xml:space="preserve">50-59: </w:t>
            </w:r>
            <w:r w:rsidRPr="00484AE9">
              <w:rPr>
                <w:rFonts w:ascii="Arial Narrow" w:eastAsiaTheme="majorEastAsia" w:hAnsi="Arial Narrow" w:cstheme="majorBidi"/>
                <w:bCs/>
                <w:sz w:val="20"/>
              </w:rPr>
              <w:tab/>
            </w:r>
            <w:r w:rsidRPr="00484AE9">
              <w:rPr>
                <w:rFonts w:ascii="Arial Narrow" w:eastAsiaTheme="majorEastAsia" w:hAnsi="Arial Narrow" w:cstheme="majorBidi"/>
                <w:bCs/>
                <w:sz w:val="20"/>
              </w:rPr>
              <w:tab/>
              <w:t>40%</w:t>
            </w:r>
          </w:p>
          <w:p w14:paraId="206C0EDB" w14:textId="77777777" w:rsidR="0038433F" w:rsidRPr="00484AE9" w:rsidRDefault="0038433F" w:rsidP="00F1122F">
            <w:pPr>
              <w:jc w:val="left"/>
              <w:rPr>
                <w:rFonts w:ascii="Arial Narrow" w:eastAsiaTheme="majorEastAsia" w:hAnsi="Arial Narrow" w:cstheme="majorBidi"/>
                <w:bCs/>
                <w:sz w:val="20"/>
              </w:rPr>
            </w:pPr>
            <w:r w:rsidRPr="00484AE9">
              <w:rPr>
                <w:rFonts w:ascii="Arial Narrow" w:eastAsiaTheme="majorEastAsia" w:hAnsi="Arial Narrow" w:cstheme="majorBidi"/>
                <w:bCs/>
                <w:sz w:val="20"/>
              </w:rPr>
              <w:t>60-69:</w:t>
            </w:r>
            <w:r w:rsidRPr="00484AE9">
              <w:rPr>
                <w:rFonts w:ascii="Arial Narrow" w:eastAsiaTheme="majorEastAsia" w:hAnsi="Arial Narrow" w:cstheme="majorBidi"/>
                <w:bCs/>
                <w:sz w:val="20"/>
              </w:rPr>
              <w:tab/>
            </w:r>
            <w:r w:rsidRPr="00484AE9">
              <w:rPr>
                <w:rFonts w:ascii="Arial Narrow" w:eastAsiaTheme="majorEastAsia" w:hAnsi="Arial Narrow" w:cstheme="majorBidi"/>
                <w:bCs/>
                <w:sz w:val="20"/>
              </w:rPr>
              <w:tab/>
              <w:t>43%</w:t>
            </w:r>
          </w:p>
          <w:p w14:paraId="6C82A96B" w14:textId="77777777" w:rsidR="0038433F" w:rsidRPr="00484AE9" w:rsidRDefault="0038433F" w:rsidP="00F1122F">
            <w:pPr>
              <w:jc w:val="left"/>
              <w:rPr>
                <w:rFonts w:ascii="Arial Narrow" w:eastAsiaTheme="majorEastAsia" w:hAnsi="Arial Narrow" w:cstheme="majorBidi"/>
                <w:bCs/>
                <w:sz w:val="20"/>
              </w:rPr>
            </w:pPr>
            <w:r w:rsidRPr="00484AE9">
              <w:rPr>
                <w:rFonts w:ascii="Arial Narrow" w:eastAsiaTheme="majorEastAsia" w:hAnsi="Arial Narrow" w:cstheme="majorBidi"/>
                <w:bCs/>
                <w:sz w:val="20"/>
              </w:rPr>
              <w:t xml:space="preserve">70+: </w:t>
            </w:r>
            <w:r w:rsidRPr="00484AE9">
              <w:rPr>
                <w:rFonts w:ascii="Arial Narrow" w:eastAsiaTheme="majorEastAsia" w:hAnsi="Arial Narrow" w:cstheme="majorBidi"/>
                <w:bCs/>
                <w:sz w:val="20"/>
              </w:rPr>
              <w:tab/>
            </w:r>
            <w:r w:rsidRPr="00484AE9">
              <w:rPr>
                <w:rFonts w:ascii="Arial Narrow" w:eastAsiaTheme="majorEastAsia" w:hAnsi="Arial Narrow" w:cstheme="majorBidi"/>
                <w:bCs/>
                <w:sz w:val="20"/>
              </w:rPr>
              <w:tab/>
              <w:t>45%</w:t>
            </w:r>
          </w:p>
        </w:tc>
        <w:tc>
          <w:tcPr>
            <w:tcW w:w="1415" w:type="pct"/>
            <w:shd w:val="clear" w:color="auto" w:fill="auto"/>
          </w:tcPr>
          <w:p w14:paraId="6BAA611C" w14:textId="77777777" w:rsidR="0038433F" w:rsidRPr="00484AE9" w:rsidRDefault="0038433F" w:rsidP="00F1122F">
            <w:pPr>
              <w:jc w:val="left"/>
              <w:rPr>
                <w:rFonts w:ascii="Arial Narrow" w:eastAsiaTheme="majorEastAsia" w:hAnsi="Arial Narrow" w:cstheme="majorBidi"/>
                <w:bCs/>
                <w:iCs/>
                <w:sz w:val="20"/>
              </w:rPr>
            </w:pPr>
            <w:r w:rsidRPr="00484AE9">
              <w:rPr>
                <w:rFonts w:ascii="Arial Narrow" w:eastAsiaTheme="majorEastAsia" w:hAnsi="Arial Narrow" w:cstheme="majorBidi"/>
                <w:bCs/>
                <w:iCs/>
                <w:sz w:val="20"/>
              </w:rPr>
              <w:t>The submission’s uptake assumptions were constant throughout the six year period of the estimates, and acknowledged difficulty in estimating the later years due to a high degree of uncertainty regarding the characteristics of future COVID-19 variants such as transmissibility, severity of symptoms and risk of hospitalisation.</w:t>
            </w:r>
          </w:p>
        </w:tc>
        <w:tc>
          <w:tcPr>
            <w:tcW w:w="1308" w:type="pct"/>
          </w:tcPr>
          <w:p w14:paraId="2B863186" w14:textId="4D95987C" w:rsidR="0038433F" w:rsidRPr="00484AE9" w:rsidRDefault="0038433F" w:rsidP="00F1122F">
            <w:pPr>
              <w:jc w:val="left"/>
              <w:rPr>
                <w:rFonts w:ascii="Arial Narrow" w:eastAsiaTheme="majorEastAsia" w:hAnsi="Arial Narrow" w:cstheme="majorBidi"/>
                <w:bCs/>
                <w:i/>
                <w:sz w:val="20"/>
              </w:rPr>
            </w:pPr>
            <w:r w:rsidRPr="00484AE9">
              <w:rPr>
                <w:rFonts w:ascii="Arial Narrow" w:eastAsiaTheme="majorEastAsia" w:hAnsi="Arial Narrow" w:cstheme="majorBidi"/>
                <w:bCs/>
                <w:iCs/>
                <w:sz w:val="20"/>
              </w:rPr>
              <w:t xml:space="preserve">DUSC considered the treatment uptake rate assumptions to be reasonable as they were consistent with existing PBS utilisation. </w:t>
            </w:r>
            <w:r w:rsidRPr="00484AE9">
              <w:rPr>
                <w:rStyle w:val="normaltextrun"/>
                <w:rFonts w:ascii="Arial Narrow" w:eastAsia="Calibri" w:hAnsi="Arial Narrow"/>
                <w:iCs/>
                <w:sz w:val="20"/>
                <w:szCs w:val="20"/>
              </w:rPr>
              <w:t>DUSC noted the closure of COVID-19 care clinics and the reduction in community testing.</w:t>
            </w:r>
            <w:r w:rsidRPr="00484AE9">
              <w:rPr>
                <w:rFonts w:ascii="Arial Narrow" w:eastAsiaTheme="majorEastAsia" w:hAnsi="Arial Narrow" w:cstheme="majorBidi"/>
                <w:bCs/>
                <w:iCs/>
                <w:sz w:val="20"/>
              </w:rPr>
              <w:t xml:space="preserve"> </w:t>
            </w:r>
          </w:p>
        </w:tc>
      </w:tr>
      <w:tr w:rsidR="0038433F" w:rsidRPr="00484AE9" w14:paraId="72BE8AE0" w14:textId="77777777" w:rsidTr="00F23EA5">
        <w:trPr>
          <w:cantSplit/>
        </w:trPr>
        <w:tc>
          <w:tcPr>
            <w:tcW w:w="623" w:type="pct"/>
            <w:shd w:val="clear" w:color="auto" w:fill="auto"/>
          </w:tcPr>
          <w:p w14:paraId="26CF67AD" w14:textId="77777777" w:rsidR="0038433F" w:rsidRPr="00484AE9" w:rsidRDefault="0038433F" w:rsidP="00F1122F">
            <w:pPr>
              <w:jc w:val="left"/>
              <w:rPr>
                <w:rFonts w:ascii="Arial Narrow" w:eastAsiaTheme="majorEastAsia" w:hAnsi="Arial Narrow" w:cstheme="majorBidi"/>
                <w:bCs/>
                <w:sz w:val="20"/>
              </w:rPr>
            </w:pPr>
            <w:r w:rsidRPr="00484AE9">
              <w:rPr>
                <w:rFonts w:ascii="Arial Narrow" w:eastAsiaTheme="majorEastAsia" w:hAnsi="Arial Narrow" w:cstheme="majorBidi"/>
                <w:bCs/>
                <w:sz w:val="20"/>
              </w:rPr>
              <w:lastRenderedPageBreak/>
              <w:t>Market share of nirmatrelvir and ritonavir</w:t>
            </w:r>
          </w:p>
        </w:tc>
        <w:tc>
          <w:tcPr>
            <w:tcW w:w="1654" w:type="pct"/>
            <w:shd w:val="clear" w:color="auto" w:fill="auto"/>
          </w:tcPr>
          <w:p w14:paraId="7DC91104" w14:textId="77777777" w:rsidR="0038433F" w:rsidRPr="00484AE9" w:rsidRDefault="0038433F" w:rsidP="00F1122F">
            <w:pPr>
              <w:jc w:val="left"/>
              <w:rPr>
                <w:rFonts w:ascii="Arial Narrow" w:eastAsiaTheme="majorEastAsia" w:hAnsi="Arial Narrow" w:cstheme="majorBidi"/>
                <w:bCs/>
                <w:sz w:val="20"/>
              </w:rPr>
            </w:pPr>
            <w:r w:rsidRPr="00484AE9">
              <w:rPr>
                <w:rFonts w:ascii="Arial Narrow" w:eastAsiaTheme="majorEastAsia" w:hAnsi="Arial Narrow" w:cstheme="majorBidi"/>
                <w:bCs/>
                <w:sz w:val="20"/>
              </w:rPr>
              <w:t xml:space="preserve">Source: </w:t>
            </w:r>
            <w:r w:rsidRPr="00484AE9">
              <w:rPr>
                <w:rFonts w:ascii="Arial Narrow" w:eastAsia="Calibri" w:hAnsi="Arial Narrow" w:cstheme="majorBidi"/>
                <w:bCs/>
                <w:iCs/>
                <w:sz w:val="20"/>
              </w:rPr>
              <w:t xml:space="preserve">Estimation of market share based on PBS data and sponsor’s assumptions. The submission assumed that </w:t>
            </w:r>
            <w:r w:rsidRPr="00484AE9">
              <w:rPr>
                <w:rFonts w:ascii="Arial Narrow" w:eastAsiaTheme="majorEastAsia" w:hAnsi="Arial Narrow" w:cstheme="majorBidi"/>
                <w:bCs/>
                <w:iCs/>
                <w:sz w:val="20"/>
              </w:rPr>
              <w:t xml:space="preserve">20% of the eligible population are contraindicated or otherwise unsuitable for treatment with </w:t>
            </w:r>
            <w:r w:rsidRPr="00484AE9">
              <w:rPr>
                <w:rFonts w:ascii="Arial Narrow" w:eastAsiaTheme="majorEastAsia" w:hAnsi="Arial Narrow" w:cstheme="majorBidi"/>
                <w:bCs/>
                <w:iCs/>
                <w:color w:val="000000" w:themeColor="text1"/>
                <w:sz w:val="20"/>
              </w:rPr>
              <w:t xml:space="preserve">nirmatrelvir and ritonavir </w:t>
            </w:r>
            <w:r w:rsidRPr="00484AE9">
              <w:rPr>
                <w:rFonts w:ascii="Arial Narrow" w:eastAsiaTheme="majorEastAsia" w:hAnsi="Arial Narrow" w:cstheme="majorBidi"/>
                <w:bCs/>
                <w:iCs/>
                <w:sz w:val="20"/>
              </w:rPr>
              <w:t>and would be suitable for treatment with molnupiravir.</w:t>
            </w:r>
            <w:r w:rsidRPr="00484AE9">
              <w:rPr>
                <w:rFonts w:ascii="Arial Narrow" w:eastAsia="Calibri" w:hAnsi="Arial Narrow" w:cstheme="majorBidi"/>
                <w:bCs/>
                <w:iCs/>
                <w:sz w:val="20"/>
              </w:rPr>
              <w:t xml:space="preserve"> The submission also presented a survey of 400 GPs.</w:t>
            </w:r>
          </w:p>
          <w:p w14:paraId="259EB6FF" w14:textId="77777777" w:rsidR="0038433F" w:rsidRPr="00484AE9" w:rsidRDefault="0038433F" w:rsidP="00F1122F">
            <w:pPr>
              <w:jc w:val="left"/>
              <w:rPr>
                <w:rFonts w:ascii="Arial Narrow" w:eastAsiaTheme="majorEastAsia" w:hAnsi="Arial Narrow" w:cstheme="majorBidi"/>
                <w:bCs/>
                <w:sz w:val="20"/>
              </w:rPr>
            </w:pPr>
            <w:r w:rsidRPr="00484AE9">
              <w:rPr>
                <w:rFonts w:ascii="Arial Narrow" w:eastAsiaTheme="majorEastAsia" w:hAnsi="Arial Narrow" w:cstheme="majorBidi"/>
                <w:bCs/>
                <w:sz w:val="20"/>
              </w:rPr>
              <w:t>Assumptions:</w:t>
            </w:r>
          </w:p>
          <w:p w14:paraId="54DF27E2" w14:textId="497BE7E5" w:rsidR="0038433F" w:rsidRPr="00484AE9" w:rsidRDefault="0038433F" w:rsidP="00F1122F">
            <w:pPr>
              <w:jc w:val="left"/>
              <w:rPr>
                <w:rFonts w:ascii="Arial Narrow" w:eastAsiaTheme="majorEastAsia" w:hAnsi="Arial Narrow" w:cstheme="majorBidi"/>
                <w:bCs/>
                <w:sz w:val="20"/>
              </w:rPr>
            </w:pPr>
            <w:r w:rsidRPr="00484AE9">
              <w:rPr>
                <w:rFonts w:ascii="Arial Narrow" w:eastAsiaTheme="majorEastAsia" w:hAnsi="Arial Narrow" w:cstheme="majorBidi"/>
                <w:bCs/>
                <w:sz w:val="20"/>
              </w:rPr>
              <w:t>2023;</w:t>
            </w:r>
            <w:r w:rsidR="00696519" w:rsidRPr="00696519">
              <w:rPr>
                <w:rFonts w:ascii="Arial Narrow" w:eastAsiaTheme="majorEastAsia" w:hAnsi="Arial Narrow" w:cstheme="majorBidi"/>
                <w:bCs/>
                <w:sz w:val="20"/>
              </w:rPr>
              <w:t xml:space="preserve"> </w:t>
            </w:r>
            <w:r w:rsidR="00696519" w:rsidRPr="00696519">
              <w:rPr>
                <w:rFonts w:ascii="Arial Narrow" w:eastAsiaTheme="majorEastAsia" w:hAnsi="Arial Narrow" w:cstheme="majorBidi"/>
                <w:bCs/>
                <w:color w:val="000000"/>
                <w:spacing w:val="53"/>
                <w:sz w:val="20"/>
                <w:shd w:val="solid" w:color="000000" w:fill="000000"/>
                <w:fitText w:val="330" w:id="-1032088818"/>
                <w14:textFill>
                  <w14:solidFill>
                    <w14:srgbClr w14:val="000000">
                      <w14:alpha w14:val="100000"/>
                    </w14:srgbClr>
                  </w14:solidFill>
                </w14:textFill>
              </w:rPr>
              <w:t>|||</w:t>
            </w:r>
            <w:r w:rsidR="00696519" w:rsidRPr="00696519">
              <w:rPr>
                <w:rFonts w:ascii="Arial Narrow" w:eastAsiaTheme="majorEastAsia" w:hAnsi="Arial Narrow" w:cstheme="majorBidi"/>
                <w:bCs/>
                <w:color w:val="000000"/>
                <w:spacing w:val="1"/>
                <w:sz w:val="20"/>
                <w:shd w:val="solid" w:color="000000" w:fill="000000"/>
                <w:fitText w:val="330" w:id="-1032088818"/>
                <w14:textFill>
                  <w14:solidFill>
                    <w14:srgbClr w14:val="000000">
                      <w14:alpha w14:val="100000"/>
                    </w14:srgbClr>
                  </w14:solidFill>
                </w14:textFill>
              </w:rPr>
              <w:t>|</w:t>
            </w:r>
            <w:r w:rsidRPr="00484AE9">
              <w:rPr>
                <w:rFonts w:ascii="Arial Narrow" w:eastAsiaTheme="majorEastAsia" w:hAnsi="Arial Narrow" w:cstheme="majorBidi"/>
                <w:bCs/>
                <w:sz w:val="20"/>
              </w:rPr>
              <w:t>% (average YTD)</w:t>
            </w:r>
          </w:p>
          <w:p w14:paraId="1009DB60" w14:textId="008E40C6" w:rsidR="0038433F" w:rsidRPr="00484AE9" w:rsidRDefault="0038433F" w:rsidP="00F1122F">
            <w:pPr>
              <w:jc w:val="left"/>
              <w:rPr>
                <w:rFonts w:ascii="Arial Narrow" w:eastAsiaTheme="majorEastAsia" w:hAnsi="Arial Narrow" w:cstheme="majorBidi"/>
                <w:bCs/>
                <w:sz w:val="20"/>
              </w:rPr>
            </w:pPr>
            <w:r w:rsidRPr="00484AE9">
              <w:rPr>
                <w:rFonts w:ascii="Arial Narrow" w:eastAsiaTheme="majorEastAsia" w:hAnsi="Arial Narrow" w:cstheme="majorBidi"/>
                <w:bCs/>
                <w:sz w:val="20"/>
              </w:rPr>
              <w:t>2024:</w:t>
            </w:r>
            <w:r w:rsidR="00696519" w:rsidRPr="00696519">
              <w:rPr>
                <w:rFonts w:ascii="Arial Narrow" w:eastAsiaTheme="majorEastAsia" w:hAnsi="Arial Narrow" w:cstheme="majorBidi"/>
                <w:bCs/>
                <w:sz w:val="20"/>
              </w:rPr>
              <w:t xml:space="preserve"> </w:t>
            </w:r>
            <w:r w:rsidR="00696519" w:rsidRPr="00696519">
              <w:rPr>
                <w:rFonts w:ascii="Arial Narrow" w:eastAsiaTheme="majorEastAsia" w:hAnsi="Arial Narrow" w:cstheme="majorBidi"/>
                <w:bCs/>
                <w:color w:val="000000"/>
                <w:spacing w:val="53"/>
                <w:sz w:val="20"/>
                <w:shd w:val="solid" w:color="000000" w:fill="000000"/>
                <w:fitText w:val="330" w:id="-1032088817"/>
                <w14:textFill>
                  <w14:solidFill>
                    <w14:srgbClr w14:val="000000">
                      <w14:alpha w14:val="100000"/>
                    </w14:srgbClr>
                  </w14:solidFill>
                </w14:textFill>
              </w:rPr>
              <w:t>|||</w:t>
            </w:r>
            <w:r w:rsidR="00696519" w:rsidRPr="00696519">
              <w:rPr>
                <w:rFonts w:ascii="Arial Narrow" w:eastAsiaTheme="majorEastAsia" w:hAnsi="Arial Narrow" w:cstheme="majorBidi"/>
                <w:bCs/>
                <w:color w:val="000000"/>
                <w:spacing w:val="1"/>
                <w:sz w:val="20"/>
                <w:shd w:val="solid" w:color="000000" w:fill="000000"/>
                <w:fitText w:val="330" w:id="-1032088817"/>
                <w14:textFill>
                  <w14:solidFill>
                    <w14:srgbClr w14:val="000000">
                      <w14:alpha w14:val="100000"/>
                    </w14:srgbClr>
                  </w14:solidFill>
                </w14:textFill>
              </w:rPr>
              <w:t>|</w:t>
            </w:r>
            <w:r w:rsidRPr="00484AE9">
              <w:rPr>
                <w:rFonts w:ascii="Arial Narrow" w:eastAsiaTheme="majorEastAsia" w:hAnsi="Arial Narrow" w:cstheme="majorBidi"/>
                <w:bCs/>
                <w:sz w:val="20"/>
              </w:rPr>
              <w:t>%</w:t>
            </w:r>
          </w:p>
          <w:p w14:paraId="6531B648" w14:textId="75944C98" w:rsidR="0038433F" w:rsidRPr="00484AE9" w:rsidRDefault="0038433F" w:rsidP="00F1122F">
            <w:pPr>
              <w:jc w:val="left"/>
              <w:rPr>
                <w:rFonts w:ascii="Arial Narrow" w:eastAsiaTheme="majorEastAsia" w:hAnsi="Arial Narrow" w:cstheme="majorBidi"/>
                <w:bCs/>
                <w:sz w:val="20"/>
              </w:rPr>
            </w:pPr>
            <w:r w:rsidRPr="00484AE9">
              <w:rPr>
                <w:rFonts w:ascii="Arial Narrow" w:eastAsiaTheme="majorEastAsia" w:hAnsi="Arial Narrow" w:cstheme="majorBidi"/>
                <w:bCs/>
                <w:sz w:val="20"/>
              </w:rPr>
              <w:t>2025:</w:t>
            </w:r>
            <w:r w:rsidR="00696519" w:rsidRPr="00696519">
              <w:rPr>
                <w:rFonts w:ascii="Arial Narrow" w:eastAsiaTheme="majorEastAsia" w:hAnsi="Arial Narrow" w:cstheme="majorBidi"/>
                <w:bCs/>
                <w:sz w:val="20"/>
              </w:rPr>
              <w:t xml:space="preserve"> </w:t>
            </w:r>
            <w:r w:rsidR="00696519" w:rsidRPr="00696519">
              <w:rPr>
                <w:rFonts w:ascii="Arial Narrow" w:eastAsiaTheme="majorEastAsia" w:hAnsi="Arial Narrow" w:cstheme="majorBidi"/>
                <w:bCs/>
                <w:color w:val="000000"/>
                <w:spacing w:val="53"/>
                <w:sz w:val="20"/>
                <w:shd w:val="solid" w:color="000000" w:fill="000000"/>
                <w:fitText w:val="330" w:id="-1032088816"/>
                <w14:textFill>
                  <w14:solidFill>
                    <w14:srgbClr w14:val="000000">
                      <w14:alpha w14:val="100000"/>
                    </w14:srgbClr>
                  </w14:solidFill>
                </w14:textFill>
              </w:rPr>
              <w:t>|||</w:t>
            </w:r>
            <w:r w:rsidR="00696519" w:rsidRPr="00696519">
              <w:rPr>
                <w:rFonts w:ascii="Arial Narrow" w:eastAsiaTheme="majorEastAsia" w:hAnsi="Arial Narrow" w:cstheme="majorBidi"/>
                <w:bCs/>
                <w:color w:val="000000"/>
                <w:spacing w:val="1"/>
                <w:sz w:val="20"/>
                <w:shd w:val="solid" w:color="000000" w:fill="000000"/>
                <w:fitText w:val="330" w:id="-1032088816"/>
                <w14:textFill>
                  <w14:solidFill>
                    <w14:srgbClr w14:val="000000">
                      <w14:alpha w14:val="100000"/>
                    </w14:srgbClr>
                  </w14:solidFill>
                </w14:textFill>
              </w:rPr>
              <w:t>|</w:t>
            </w:r>
            <w:r w:rsidRPr="00484AE9">
              <w:rPr>
                <w:rFonts w:ascii="Arial Narrow" w:eastAsiaTheme="majorEastAsia" w:hAnsi="Arial Narrow" w:cstheme="majorBidi"/>
                <w:bCs/>
                <w:sz w:val="20"/>
              </w:rPr>
              <w:t>%</w:t>
            </w:r>
          </w:p>
          <w:p w14:paraId="3F2AE224" w14:textId="462C8F42" w:rsidR="0038433F" w:rsidRPr="00484AE9" w:rsidRDefault="0038433F" w:rsidP="00F1122F">
            <w:pPr>
              <w:jc w:val="left"/>
              <w:rPr>
                <w:rFonts w:ascii="Arial Narrow" w:eastAsiaTheme="majorEastAsia" w:hAnsi="Arial Narrow" w:cstheme="majorBidi"/>
                <w:bCs/>
                <w:sz w:val="20"/>
              </w:rPr>
            </w:pPr>
            <w:r w:rsidRPr="00484AE9">
              <w:rPr>
                <w:rFonts w:ascii="Arial Narrow" w:eastAsiaTheme="majorEastAsia" w:hAnsi="Arial Narrow" w:cstheme="majorBidi"/>
                <w:bCs/>
                <w:sz w:val="20"/>
              </w:rPr>
              <w:t>2026:</w:t>
            </w:r>
            <w:r w:rsidR="00696519" w:rsidRPr="00696519">
              <w:rPr>
                <w:rFonts w:ascii="Arial Narrow" w:eastAsiaTheme="majorEastAsia" w:hAnsi="Arial Narrow" w:cstheme="majorBidi"/>
                <w:bCs/>
                <w:sz w:val="20"/>
              </w:rPr>
              <w:t xml:space="preserve"> </w:t>
            </w:r>
            <w:r w:rsidR="00696519" w:rsidRPr="00696519">
              <w:rPr>
                <w:rFonts w:ascii="Arial Narrow" w:eastAsiaTheme="majorEastAsia" w:hAnsi="Arial Narrow" w:cstheme="majorBidi"/>
                <w:bCs/>
                <w:color w:val="000000"/>
                <w:spacing w:val="53"/>
                <w:sz w:val="20"/>
                <w:shd w:val="solid" w:color="000000" w:fill="000000"/>
                <w:fitText w:val="330" w:id="-1032088832"/>
                <w14:textFill>
                  <w14:solidFill>
                    <w14:srgbClr w14:val="000000">
                      <w14:alpha w14:val="100000"/>
                    </w14:srgbClr>
                  </w14:solidFill>
                </w14:textFill>
              </w:rPr>
              <w:t>|||</w:t>
            </w:r>
            <w:r w:rsidR="00696519" w:rsidRPr="00696519">
              <w:rPr>
                <w:rFonts w:ascii="Arial Narrow" w:eastAsiaTheme="majorEastAsia" w:hAnsi="Arial Narrow" w:cstheme="majorBidi"/>
                <w:bCs/>
                <w:color w:val="000000"/>
                <w:spacing w:val="1"/>
                <w:sz w:val="20"/>
                <w:shd w:val="solid" w:color="000000" w:fill="000000"/>
                <w:fitText w:val="330" w:id="-1032088832"/>
                <w14:textFill>
                  <w14:solidFill>
                    <w14:srgbClr w14:val="000000">
                      <w14:alpha w14:val="100000"/>
                    </w14:srgbClr>
                  </w14:solidFill>
                </w14:textFill>
              </w:rPr>
              <w:t>|</w:t>
            </w:r>
            <w:r w:rsidRPr="00484AE9">
              <w:rPr>
                <w:rFonts w:ascii="Arial Narrow" w:eastAsiaTheme="majorEastAsia" w:hAnsi="Arial Narrow" w:cstheme="majorBidi"/>
                <w:bCs/>
                <w:sz w:val="20"/>
              </w:rPr>
              <w:t>%</w:t>
            </w:r>
          </w:p>
          <w:p w14:paraId="6B324DD3" w14:textId="04F4921B" w:rsidR="0038433F" w:rsidRPr="00484AE9" w:rsidRDefault="0038433F" w:rsidP="00F1122F">
            <w:pPr>
              <w:jc w:val="left"/>
              <w:rPr>
                <w:rFonts w:ascii="Arial Narrow" w:eastAsiaTheme="majorEastAsia" w:hAnsi="Arial Narrow" w:cstheme="majorBidi"/>
                <w:bCs/>
                <w:sz w:val="20"/>
              </w:rPr>
            </w:pPr>
            <w:r w:rsidRPr="00484AE9">
              <w:rPr>
                <w:rFonts w:ascii="Arial Narrow" w:eastAsiaTheme="majorEastAsia" w:hAnsi="Arial Narrow" w:cstheme="majorBidi"/>
                <w:bCs/>
                <w:sz w:val="20"/>
              </w:rPr>
              <w:t>2027:</w:t>
            </w:r>
            <w:r w:rsidR="00696519" w:rsidRPr="00696519">
              <w:rPr>
                <w:rFonts w:ascii="Arial Narrow" w:eastAsiaTheme="majorEastAsia" w:hAnsi="Arial Narrow" w:cstheme="majorBidi"/>
                <w:bCs/>
                <w:sz w:val="20"/>
              </w:rPr>
              <w:t xml:space="preserve"> </w:t>
            </w:r>
            <w:r w:rsidR="00696519" w:rsidRPr="00696519">
              <w:rPr>
                <w:rFonts w:ascii="Arial Narrow" w:eastAsiaTheme="majorEastAsia" w:hAnsi="Arial Narrow" w:cstheme="majorBidi"/>
                <w:bCs/>
                <w:color w:val="000000"/>
                <w:spacing w:val="53"/>
                <w:sz w:val="20"/>
                <w:shd w:val="solid" w:color="000000" w:fill="000000"/>
                <w:fitText w:val="330" w:id="-1032088831"/>
                <w14:textFill>
                  <w14:solidFill>
                    <w14:srgbClr w14:val="000000">
                      <w14:alpha w14:val="100000"/>
                    </w14:srgbClr>
                  </w14:solidFill>
                </w14:textFill>
              </w:rPr>
              <w:t>|||</w:t>
            </w:r>
            <w:r w:rsidR="00696519" w:rsidRPr="00696519">
              <w:rPr>
                <w:rFonts w:ascii="Arial Narrow" w:eastAsiaTheme="majorEastAsia" w:hAnsi="Arial Narrow" w:cstheme="majorBidi"/>
                <w:bCs/>
                <w:color w:val="000000"/>
                <w:spacing w:val="1"/>
                <w:sz w:val="20"/>
                <w:shd w:val="solid" w:color="000000" w:fill="000000"/>
                <w:fitText w:val="330" w:id="-1032088831"/>
                <w14:textFill>
                  <w14:solidFill>
                    <w14:srgbClr w14:val="000000">
                      <w14:alpha w14:val="100000"/>
                    </w14:srgbClr>
                  </w14:solidFill>
                </w14:textFill>
              </w:rPr>
              <w:t>|</w:t>
            </w:r>
            <w:r w:rsidRPr="00484AE9">
              <w:rPr>
                <w:rFonts w:ascii="Arial Narrow" w:eastAsiaTheme="majorEastAsia" w:hAnsi="Arial Narrow" w:cstheme="majorBidi"/>
                <w:bCs/>
                <w:sz w:val="20"/>
              </w:rPr>
              <w:t>%</w:t>
            </w:r>
          </w:p>
          <w:p w14:paraId="03E09430" w14:textId="4F4C1C33" w:rsidR="0038433F" w:rsidRPr="00484AE9" w:rsidRDefault="0038433F" w:rsidP="00F1122F">
            <w:pPr>
              <w:jc w:val="left"/>
              <w:rPr>
                <w:rFonts w:ascii="Arial Narrow" w:eastAsiaTheme="majorEastAsia" w:hAnsi="Arial Narrow" w:cstheme="majorBidi"/>
                <w:bCs/>
                <w:sz w:val="20"/>
              </w:rPr>
            </w:pPr>
            <w:r w:rsidRPr="00484AE9">
              <w:rPr>
                <w:rFonts w:ascii="Arial Narrow" w:eastAsiaTheme="majorEastAsia" w:hAnsi="Arial Narrow" w:cstheme="majorBidi"/>
                <w:bCs/>
                <w:sz w:val="20"/>
              </w:rPr>
              <w:t>2028:</w:t>
            </w:r>
            <w:r w:rsidR="00696519" w:rsidRPr="00696519">
              <w:rPr>
                <w:rFonts w:ascii="Arial Narrow" w:eastAsiaTheme="majorEastAsia" w:hAnsi="Arial Narrow" w:cstheme="majorBidi"/>
                <w:bCs/>
                <w:sz w:val="20"/>
              </w:rPr>
              <w:t xml:space="preserve"> </w:t>
            </w:r>
            <w:r w:rsidR="00696519" w:rsidRPr="00696519">
              <w:rPr>
                <w:rFonts w:ascii="Arial Narrow" w:eastAsiaTheme="majorEastAsia" w:hAnsi="Arial Narrow" w:cstheme="majorBidi"/>
                <w:bCs/>
                <w:color w:val="000000"/>
                <w:spacing w:val="53"/>
                <w:sz w:val="20"/>
                <w:shd w:val="solid" w:color="000000" w:fill="000000"/>
                <w:fitText w:val="330" w:id="-1032088830"/>
                <w14:textFill>
                  <w14:solidFill>
                    <w14:srgbClr w14:val="000000">
                      <w14:alpha w14:val="100000"/>
                    </w14:srgbClr>
                  </w14:solidFill>
                </w14:textFill>
              </w:rPr>
              <w:t>|||</w:t>
            </w:r>
            <w:r w:rsidR="00696519" w:rsidRPr="00696519">
              <w:rPr>
                <w:rFonts w:ascii="Arial Narrow" w:eastAsiaTheme="majorEastAsia" w:hAnsi="Arial Narrow" w:cstheme="majorBidi"/>
                <w:bCs/>
                <w:color w:val="000000"/>
                <w:spacing w:val="1"/>
                <w:sz w:val="20"/>
                <w:shd w:val="solid" w:color="000000" w:fill="000000"/>
                <w:fitText w:val="330" w:id="-1032088830"/>
                <w14:textFill>
                  <w14:solidFill>
                    <w14:srgbClr w14:val="000000">
                      <w14:alpha w14:val="100000"/>
                    </w14:srgbClr>
                  </w14:solidFill>
                </w14:textFill>
              </w:rPr>
              <w:t>|</w:t>
            </w:r>
            <w:r w:rsidRPr="00484AE9">
              <w:rPr>
                <w:rFonts w:ascii="Arial Narrow" w:eastAsiaTheme="majorEastAsia" w:hAnsi="Arial Narrow" w:cstheme="majorBidi"/>
                <w:bCs/>
                <w:sz w:val="20"/>
              </w:rPr>
              <w:t>%</w:t>
            </w:r>
          </w:p>
          <w:p w14:paraId="59A1A4B7" w14:textId="52DCD343" w:rsidR="0038433F" w:rsidRPr="00484AE9" w:rsidRDefault="0038433F" w:rsidP="00F1122F">
            <w:pPr>
              <w:jc w:val="left"/>
              <w:rPr>
                <w:rFonts w:ascii="Arial Narrow" w:eastAsiaTheme="majorEastAsia" w:hAnsi="Arial Narrow" w:cstheme="majorBidi"/>
                <w:bCs/>
                <w:sz w:val="20"/>
              </w:rPr>
            </w:pPr>
            <w:r w:rsidRPr="00484AE9">
              <w:rPr>
                <w:rFonts w:ascii="Arial Narrow" w:eastAsiaTheme="majorEastAsia" w:hAnsi="Arial Narrow" w:cstheme="majorBidi"/>
                <w:bCs/>
                <w:sz w:val="20"/>
              </w:rPr>
              <w:t>2029:</w:t>
            </w:r>
            <w:r w:rsidR="00696519" w:rsidRPr="00696519">
              <w:rPr>
                <w:rFonts w:ascii="Arial Narrow" w:eastAsiaTheme="majorEastAsia" w:hAnsi="Arial Narrow" w:cstheme="majorBidi"/>
                <w:bCs/>
                <w:sz w:val="20"/>
              </w:rPr>
              <w:t xml:space="preserve"> </w:t>
            </w:r>
            <w:r w:rsidR="00696519" w:rsidRPr="00696519">
              <w:rPr>
                <w:rFonts w:ascii="Arial Narrow" w:eastAsiaTheme="majorEastAsia" w:hAnsi="Arial Narrow" w:cstheme="majorBidi"/>
                <w:bCs/>
                <w:color w:val="000000"/>
                <w:spacing w:val="53"/>
                <w:sz w:val="20"/>
                <w:shd w:val="solid" w:color="000000" w:fill="000000"/>
                <w:fitText w:val="330" w:id="-1032088829"/>
                <w14:textFill>
                  <w14:solidFill>
                    <w14:srgbClr w14:val="000000">
                      <w14:alpha w14:val="100000"/>
                    </w14:srgbClr>
                  </w14:solidFill>
                </w14:textFill>
              </w:rPr>
              <w:t>|||</w:t>
            </w:r>
            <w:r w:rsidR="00696519" w:rsidRPr="00696519">
              <w:rPr>
                <w:rFonts w:ascii="Arial Narrow" w:eastAsiaTheme="majorEastAsia" w:hAnsi="Arial Narrow" w:cstheme="majorBidi"/>
                <w:bCs/>
                <w:color w:val="000000"/>
                <w:spacing w:val="1"/>
                <w:sz w:val="20"/>
                <w:shd w:val="solid" w:color="000000" w:fill="000000"/>
                <w:fitText w:val="330" w:id="-1032088829"/>
                <w14:textFill>
                  <w14:solidFill>
                    <w14:srgbClr w14:val="000000">
                      <w14:alpha w14:val="100000"/>
                    </w14:srgbClr>
                  </w14:solidFill>
                </w14:textFill>
              </w:rPr>
              <w:t>|</w:t>
            </w:r>
            <w:r w:rsidRPr="00484AE9">
              <w:rPr>
                <w:rFonts w:ascii="Arial Narrow" w:eastAsiaTheme="majorEastAsia" w:hAnsi="Arial Narrow" w:cstheme="majorBidi"/>
                <w:bCs/>
                <w:sz w:val="20"/>
              </w:rPr>
              <w:t>%</w:t>
            </w:r>
          </w:p>
        </w:tc>
        <w:tc>
          <w:tcPr>
            <w:tcW w:w="1415" w:type="pct"/>
            <w:shd w:val="clear" w:color="auto" w:fill="auto"/>
          </w:tcPr>
          <w:p w14:paraId="2938F1EC" w14:textId="2C7C357A" w:rsidR="0038433F" w:rsidRPr="00484AE9" w:rsidRDefault="0038433F" w:rsidP="00F1122F">
            <w:pPr>
              <w:jc w:val="left"/>
              <w:rPr>
                <w:rFonts w:ascii="Arial Narrow" w:eastAsiaTheme="majorEastAsia" w:hAnsi="Arial Narrow" w:cstheme="majorBidi"/>
                <w:bCs/>
                <w:iCs/>
                <w:sz w:val="20"/>
              </w:rPr>
            </w:pPr>
            <w:r w:rsidRPr="00484AE9">
              <w:rPr>
                <w:rFonts w:ascii="Arial Narrow" w:eastAsiaTheme="majorEastAsia" w:hAnsi="Arial Narrow" w:cstheme="majorBidi"/>
                <w:bCs/>
                <w:iCs/>
                <w:sz w:val="20"/>
              </w:rPr>
              <w:t xml:space="preserve">Likely overestimated, particularly beyond 2026. </w:t>
            </w:r>
            <w:r w:rsidR="00461B3E" w:rsidRPr="00484AE9">
              <w:rPr>
                <w:rFonts w:ascii="Arial Narrow" w:eastAsiaTheme="majorEastAsia" w:hAnsi="Arial Narrow" w:cstheme="majorBidi"/>
                <w:bCs/>
                <w:iCs/>
                <w:sz w:val="20"/>
              </w:rPr>
              <w:t>The</w:t>
            </w:r>
            <w:r w:rsidRPr="00484AE9">
              <w:rPr>
                <w:rFonts w:ascii="Arial Narrow" w:eastAsiaTheme="majorEastAsia" w:hAnsi="Arial Narrow" w:cstheme="majorBidi"/>
                <w:bCs/>
                <w:iCs/>
                <w:sz w:val="20"/>
              </w:rPr>
              <w:t xml:space="preserve"> market share of </w:t>
            </w:r>
            <w:r w:rsidRPr="00484AE9">
              <w:rPr>
                <w:rFonts w:ascii="Arial Narrow" w:eastAsiaTheme="majorEastAsia" w:hAnsi="Arial Narrow" w:cstheme="majorBidi"/>
                <w:bCs/>
                <w:iCs/>
                <w:color w:val="000000" w:themeColor="text1"/>
                <w:sz w:val="20"/>
              </w:rPr>
              <w:t xml:space="preserve">nirmatrelvir and ritonavir appears to have stabilised at approximately 40%. </w:t>
            </w:r>
            <w:r w:rsidRPr="00484AE9">
              <w:rPr>
                <w:rFonts w:ascii="Arial Narrow" w:eastAsiaTheme="majorEastAsia" w:hAnsi="Arial Narrow" w:cstheme="majorBidi"/>
                <w:bCs/>
                <w:iCs/>
                <w:sz w:val="20"/>
              </w:rPr>
              <w:t>It is possible that, given the time pressures faced by prescribers, they may prescribe molnupiravir when a patient is on any therapy that could potentially interact with nirmatrelvir and ritonavir even though it may be theoretically possible to manage the potential for an interaction.</w:t>
            </w:r>
          </w:p>
        </w:tc>
        <w:tc>
          <w:tcPr>
            <w:tcW w:w="1308" w:type="pct"/>
          </w:tcPr>
          <w:p w14:paraId="67563F12" w14:textId="158B9055" w:rsidR="0038433F" w:rsidRPr="00484AE9" w:rsidRDefault="0038433F" w:rsidP="00F23EA5">
            <w:pPr>
              <w:pStyle w:val="ListBullet"/>
              <w:numPr>
                <w:ilvl w:val="0"/>
                <w:numId w:val="0"/>
              </w:numPr>
              <w:spacing w:after="120"/>
              <w:jc w:val="left"/>
              <w:rPr>
                <w:rFonts w:eastAsiaTheme="majorEastAsia"/>
              </w:rPr>
            </w:pPr>
            <w:r w:rsidRPr="00484AE9">
              <w:rPr>
                <w:rFonts w:ascii="Arial Narrow" w:hAnsi="Arial Narrow"/>
                <w:sz w:val="20"/>
                <w:szCs w:val="20"/>
              </w:rPr>
              <w:t>DUSC considered the market share would likely increase as clinicians become more familiar with managing drug-drug interactions and noted increased utilisation in jurisdictions where</w:t>
            </w:r>
            <w:r w:rsidRPr="00484AE9">
              <w:rPr>
                <w:rFonts w:ascii="Arial Narrow" w:hAnsi="Arial Narrow"/>
              </w:rPr>
              <w:t xml:space="preserve"> </w:t>
            </w:r>
            <w:r w:rsidRPr="00484AE9">
              <w:rPr>
                <w:rFonts w:ascii="Arial Narrow" w:hAnsi="Arial Narrow"/>
                <w:sz w:val="20"/>
                <w:szCs w:val="20"/>
              </w:rPr>
              <w:t xml:space="preserve">programs were implemented to support </w:t>
            </w:r>
            <w:r w:rsidRPr="00484AE9">
              <w:rPr>
                <w:rFonts w:ascii="Arial Narrow" w:hAnsi="Arial Narrow"/>
                <w:color w:val="000000" w:themeColor="text1"/>
                <w:sz w:val="20"/>
                <w:szCs w:val="20"/>
              </w:rPr>
              <w:t>nirmatrelvir and ritonavir utilisation.</w:t>
            </w:r>
            <w:r w:rsidRPr="00484AE9">
              <w:rPr>
                <w:rFonts w:ascii="Arial Narrow" w:hAnsi="Arial Narrow"/>
                <w:color w:val="000000" w:themeColor="text1"/>
              </w:rPr>
              <w:t xml:space="preserve"> </w:t>
            </w:r>
          </w:p>
        </w:tc>
      </w:tr>
      <w:tr w:rsidR="0038433F" w:rsidRPr="00484AE9" w14:paraId="144888C0" w14:textId="77777777" w:rsidTr="00F1122F">
        <w:tc>
          <w:tcPr>
            <w:tcW w:w="623" w:type="pct"/>
            <w:shd w:val="clear" w:color="auto" w:fill="auto"/>
          </w:tcPr>
          <w:p w14:paraId="12E29E73" w14:textId="77777777" w:rsidR="0038433F" w:rsidRPr="00484AE9" w:rsidRDefault="0038433F" w:rsidP="00F1122F">
            <w:pPr>
              <w:jc w:val="left"/>
              <w:rPr>
                <w:rFonts w:ascii="Arial Narrow" w:eastAsiaTheme="majorEastAsia" w:hAnsi="Arial Narrow" w:cstheme="majorBidi"/>
                <w:bCs/>
                <w:sz w:val="20"/>
              </w:rPr>
            </w:pPr>
            <w:r w:rsidRPr="00484AE9">
              <w:rPr>
                <w:rFonts w:ascii="Arial Narrow" w:eastAsiaTheme="majorEastAsia" w:hAnsi="Arial Narrow" w:cstheme="majorBidi"/>
                <w:bCs/>
                <w:sz w:val="20"/>
              </w:rPr>
              <w:t>Cost of antivirals</w:t>
            </w:r>
          </w:p>
        </w:tc>
        <w:tc>
          <w:tcPr>
            <w:tcW w:w="1654" w:type="pct"/>
            <w:shd w:val="clear" w:color="auto" w:fill="auto"/>
          </w:tcPr>
          <w:p w14:paraId="1AE56AFC" w14:textId="3FB7B49F" w:rsidR="0038433F" w:rsidRPr="00484AE9" w:rsidRDefault="0038433F" w:rsidP="00F1122F">
            <w:pPr>
              <w:jc w:val="left"/>
              <w:rPr>
                <w:rFonts w:ascii="Arial Narrow" w:eastAsiaTheme="majorEastAsia" w:hAnsi="Arial Narrow" w:cstheme="majorBidi"/>
                <w:bCs/>
                <w:sz w:val="20"/>
              </w:rPr>
            </w:pPr>
            <w:r w:rsidRPr="00484AE9">
              <w:rPr>
                <w:rFonts w:ascii="Arial Narrow" w:eastAsiaTheme="majorEastAsia" w:hAnsi="Arial Narrow" w:cstheme="majorBidi"/>
                <w:bCs/>
                <w:sz w:val="20"/>
              </w:rPr>
              <w:t xml:space="preserve">The cost applied for nirmatrelvir and ritonavir was the requested DPMQ of </w:t>
            </w:r>
            <w:r w:rsidR="00696519" w:rsidRPr="00696519">
              <w:rPr>
                <w:rFonts w:ascii="Arial Narrow" w:eastAsiaTheme="majorEastAsia" w:hAnsi="Arial Narrow" w:cstheme="majorBidi"/>
                <w:bCs/>
                <w:sz w:val="20"/>
              </w:rPr>
              <w:t>$</w:t>
            </w:r>
            <w:r w:rsidR="00696519" w:rsidRPr="00696519">
              <w:rPr>
                <w:rFonts w:ascii="Arial Narrow" w:eastAsiaTheme="majorEastAsia" w:hAnsi="Arial Narrow" w:cstheme="majorBidi"/>
                <w:bCs/>
                <w:color w:val="000000"/>
                <w:spacing w:val="52"/>
                <w:sz w:val="20"/>
                <w:shd w:val="solid" w:color="000000" w:fill="000000"/>
                <w:fitText w:val="330" w:id="-1032088828"/>
                <w14:textFill>
                  <w14:solidFill>
                    <w14:srgbClr w14:val="000000">
                      <w14:alpha w14:val="100000"/>
                    </w14:srgbClr>
                  </w14:solidFill>
                </w14:textFill>
              </w:rPr>
              <w:t>|||</w:t>
            </w:r>
            <w:r w:rsidR="00696519" w:rsidRPr="00696519">
              <w:rPr>
                <w:rFonts w:ascii="Arial Narrow" w:eastAsiaTheme="majorEastAsia" w:hAnsi="Arial Narrow" w:cstheme="majorBidi"/>
                <w:bCs/>
                <w:color w:val="000000"/>
                <w:spacing w:val="2"/>
                <w:sz w:val="20"/>
                <w:shd w:val="solid" w:color="000000" w:fill="000000"/>
                <w:fitText w:val="330" w:id="-1032088828"/>
                <w14:textFill>
                  <w14:solidFill>
                    <w14:srgbClr w14:val="000000">
                      <w14:alpha w14:val="100000"/>
                    </w14:srgbClr>
                  </w14:solidFill>
                </w14:textFill>
              </w:rPr>
              <w:t>|</w:t>
            </w:r>
            <w:r w:rsidRPr="009D6155">
              <w:rPr>
                <w:rFonts w:ascii="Arial Narrow" w:eastAsiaTheme="majorEastAsia" w:hAnsi="Arial Narrow" w:cstheme="majorBidi"/>
                <w:bCs/>
                <w:sz w:val="20"/>
              </w:rPr>
              <w:t>.</w:t>
            </w:r>
            <w:r w:rsidR="00F23EA5">
              <w:rPr>
                <w:rFonts w:ascii="Arial Narrow" w:eastAsiaTheme="majorEastAsia" w:hAnsi="Arial Narrow" w:cstheme="majorBidi"/>
                <w:bCs/>
                <w:sz w:val="20"/>
              </w:rPr>
              <w:t xml:space="preserve"> </w:t>
            </w:r>
            <w:r w:rsidRPr="00484AE9">
              <w:rPr>
                <w:rFonts w:ascii="Arial Narrow" w:eastAsiaTheme="majorEastAsia" w:hAnsi="Arial Narrow" w:cstheme="majorBidi"/>
                <w:bCs/>
                <w:sz w:val="20"/>
              </w:rPr>
              <w:t xml:space="preserve">The cost applied for molnupiravir was the DPMQ at the time of submission which </w:t>
            </w:r>
            <w:r w:rsidRPr="00EC108B">
              <w:rPr>
                <w:rFonts w:ascii="Arial Narrow" w:eastAsiaTheme="majorEastAsia" w:hAnsi="Arial Narrow" w:cstheme="majorBidi"/>
                <w:bCs/>
                <w:sz w:val="20"/>
              </w:rPr>
              <w:t>was</w:t>
            </w:r>
            <w:r w:rsidRPr="009D6155">
              <w:rPr>
                <w:rFonts w:ascii="Arial Narrow" w:eastAsiaTheme="majorEastAsia" w:hAnsi="Arial Narrow" w:cstheme="majorBidi"/>
                <w:bCs/>
                <w:sz w:val="20"/>
              </w:rPr>
              <w:t xml:space="preserve"> $1,102.24 </w:t>
            </w:r>
            <w:r w:rsidRPr="00484AE9">
              <w:rPr>
                <w:rFonts w:ascii="Arial Narrow" w:eastAsiaTheme="majorEastAsia" w:hAnsi="Arial Narrow" w:cstheme="majorBidi"/>
                <w:bCs/>
                <w:sz w:val="20"/>
              </w:rPr>
              <w:t>(July 2023).</w:t>
            </w:r>
          </w:p>
        </w:tc>
        <w:tc>
          <w:tcPr>
            <w:tcW w:w="1415" w:type="pct"/>
            <w:shd w:val="clear" w:color="auto" w:fill="auto"/>
          </w:tcPr>
          <w:p w14:paraId="6E460AC7" w14:textId="5B6B20A2" w:rsidR="0038433F" w:rsidRPr="00484AE9" w:rsidRDefault="0038433F" w:rsidP="00F1122F">
            <w:pPr>
              <w:jc w:val="left"/>
              <w:rPr>
                <w:rFonts w:ascii="Arial Narrow" w:eastAsiaTheme="majorEastAsia" w:hAnsi="Arial Narrow" w:cstheme="majorBidi"/>
                <w:bCs/>
                <w:iCs/>
                <w:sz w:val="20"/>
              </w:rPr>
            </w:pPr>
            <w:r w:rsidRPr="00484AE9">
              <w:rPr>
                <w:rFonts w:ascii="Arial Narrow" w:eastAsiaTheme="majorEastAsia" w:hAnsi="Arial Narrow" w:cstheme="majorBidi"/>
                <w:bCs/>
                <w:iCs/>
                <w:sz w:val="20"/>
              </w:rPr>
              <w:t>The submission assumed that the price of nirmatrelvir and ritonavir was</w:t>
            </w:r>
            <w:r w:rsidR="00696519" w:rsidRPr="00696519">
              <w:rPr>
                <w:rFonts w:ascii="Arial Narrow" w:eastAsiaTheme="majorEastAsia" w:hAnsi="Arial Narrow" w:cstheme="majorBidi"/>
                <w:bCs/>
                <w:iCs/>
                <w:sz w:val="20"/>
              </w:rPr>
              <w:t xml:space="preserve"> </w:t>
            </w:r>
            <w:r w:rsidR="00696519" w:rsidRPr="00696519">
              <w:rPr>
                <w:rFonts w:ascii="Arial Narrow" w:eastAsiaTheme="majorEastAsia" w:hAnsi="Arial Narrow" w:cstheme="majorBidi"/>
                <w:bCs/>
                <w:iCs/>
                <w:color w:val="000000"/>
                <w:spacing w:val="53"/>
                <w:sz w:val="20"/>
                <w:shd w:val="solid" w:color="000000" w:fill="000000"/>
                <w:fitText w:val="330" w:id="-1032088827"/>
                <w14:textFill>
                  <w14:solidFill>
                    <w14:srgbClr w14:val="000000">
                      <w14:alpha w14:val="100000"/>
                    </w14:srgbClr>
                  </w14:solidFill>
                </w14:textFill>
              </w:rPr>
              <w:t>|||</w:t>
            </w:r>
            <w:r w:rsidR="00696519" w:rsidRPr="00696519">
              <w:rPr>
                <w:rFonts w:ascii="Arial Narrow" w:eastAsiaTheme="majorEastAsia" w:hAnsi="Arial Narrow" w:cstheme="majorBidi"/>
                <w:bCs/>
                <w:iCs/>
                <w:color w:val="000000"/>
                <w:spacing w:val="1"/>
                <w:sz w:val="20"/>
                <w:shd w:val="solid" w:color="000000" w:fill="000000"/>
                <w:fitText w:val="330" w:id="-1032088827"/>
                <w14:textFill>
                  <w14:solidFill>
                    <w14:srgbClr w14:val="000000">
                      <w14:alpha w14:val="100000"/>
                    </w14:srgbClr>
                  </w14:solidFill>
                </w14:textFill>
              </w:rPr>
              <w:t>|</w:t>
            </w:r>
            <w:r w:rsidRPr="00484AE9">
              <w:rPr>
                <w:rFonts w:ascii="Arial Narrow" w:eastAsiaTheme="majorEastAsia" w:hAnsi="Arial Narrow" w:cstheme="majorBidi"/>
                <w:bCs/>
                <w:iCs/>
                <w:sz w:val="20"/>
              </w:rPr>
              <w:t>% higher than the cost of molnupiravir</w:t>
            </w:r>
            <w:r w:rsidR="00A62B3A" w:rsidRPr="00484AE9">
              <w:rPr>
                <w:rFonts w:ascii="Arial Narrow" w:eastAsiaTheme="majorEastAsia" w:hAnsi="Arial Narrow" w:cstheme="majorBidi"/>
                <w:bCs/>
                <w:iCs/>
                <w:sz w:val="20"/>
              </w:rPr>
              <w:t xml:space="preserve">. </w:t>
            </w:r>
            <w:r w:rsidRPr="00484AE9">
              <w:rPr>
                <w:rFonts w:ascii="Arial Narrow" w:eastAsiaTheme="majorEastAsia" w:hAnsi="Arial Narrow" w:cstheme="majorBidi"/>
                <w:bCs/>
                <w:iCs/>
                <w:sz w:val="20"/>
              </w:rPr>
              <w:t xml:space="preserve">The submission assumed cost offsets from increased rates of substitution of molnupiravir with nirmatrelvir and ritonavir, therefore the difference between prices of the treatments had a significant impact on the net costs estimated by the submission. </w:t>
            </w:r>
          </w:p>
        </w:tc>
        <w:tc>
          <w:tcPr>
            <w:tcW w:w="1308" w:type="pct"/>
          </w:tcPr>
          <w:p w14:paraId="10186E34" w14:textId="77777777" w:rsidR="0038433F" w:rsidRPr="00484AE9" w:rsidRDefault="0038433F" w:rsidP="00F1122F">
            <w:pPr>
              <w:jc w:val="left"/>
              <w:rPr>
                <w:rFonts w:ascii="Arial Narrow" w:eastAsiaTheme="majorEastAsia" w:hAnsi="Arial Narrow" w:cstheme="majorBidi"/>
                <w:bCs/>
                <w:i/>
                <w:sz w:val="20"/>
              </w:rPr>
            </w:pPr>
          </w:p>
        </w:tc>
      </w:tr>
    </w:tbl>
    <w:p w14:paraId="051B100C" w14:textId="36006542" w:rsidR="00825041" w:rsidRPr="0028793B" w:rsidRDefault="0019649C" w:rsidP="00F23EA5">
      <w:pPr>
        <w:pStyle w:val="Tablefootnote"/>
        <w:spacing w:after="120"/>
        <w:rPr>
          <w:i/>
          <w:iCs/>
          <w:szCs w:val="18"/>
        </w:rPr>
      </w:pPr>
      <w:r w:rsidRPr="00484AE9">
        <w:t>Source: Table 4.13 on pp217-218 of the submission</w:t>
      </w:r>
      <w:r w:rsidR="0038433F" w:rsidRPr="00484AE9">
        <w:t xml:space="preserve"> and DUSC Advice Table 5.</w:t>
      </w:r>
      <w:bookmarkStart w:id="166" w:name="_Hlk155856945"/>
    </w:p>
    <w:bookmarkEnd w:id="166"/>
    <w:p w14:paraId="1F9E9024" w14:textId="77777777" w:rsidR="00825041" w:rsidRPr="00484AE9" w:rsidRDefault="00825041" w:rsidP="0019649C">
      <w:pPr>
        <w:pStyle w:val="FooterTableFigure"/>
      </w:pPr>
    </w:p>
    <w:p w14:paraId="4F3B5C9F" w14:textId="5E0C8D66" w:rsidR="0019649C" w:rsidRPr="00484AE9" w:rsidRDefault="0019649C" w:rsidP="0019649C">
      <w:pPr>
        <w:pStyle w:val="Caption"/>
      </w:pPr>
      <w:bookmarkStart w:id="167" w:name="_Ref144920713"/>
      <w:r w:rsidRPr="00484AE9">
        <w:lastRenderedPageBreak/>
        <w:t xml:space="preserve">Figure </w:t>
      </w:r>
      <w:fldSimple w:instr=" SEQ Figure \* ARABIC ">
        <w:r w:rsidR="00872657">
          <w:rPr>
            <w:noProof/>
          </w:rPr>
          <w:t>11</w:t>
        </w:r>
      </w:fldSimple>
      <w:bookmarkEnd w:id="167"/>
      <w:r w:rsidRPr="00484AE9">
        <w:t>: Total prescriptions dispensed for nirmatrelvir and ritonavir and for molnupiravir by month</w:t>
      </w:r>
    </w:p>
    <w:p w14:paraId="335D1BA0" w14:textId="211E2F6C" w:rsidR="0019649C" w:rsidRPr="00484AE9" w:rsidRDefault="0019649C" w:rsidP="0019649C">
      <w:r w:rsidRPr="00484AE9">
        <w:rPr>
          <w:noProof/>
        </w:rPr>
        <w:drawing>
          <wp:inline distT="0" distB="0" distL="0" distR="0" wp14:anchorId="4E239ADD" wp14:editId="48EC1965">
            <wp:extent cx="5823827" cy="3800902"/>
            <wp:effectExtent l="0" t="0" r="5715" b="9525"/>
            <wp:docPr id="2064025150" name="Picture 2064025150" descr="Figure 11: Total prescriptions dispensed for nirmatrelvir and ritonavir and for molnupiravir by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025150" name="Picture 2064025150" descr="Figure 11: Total prescriptions dispensed for nirmatrelvir and ritonavir and for molnupiravir by month"/>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29638" cy="3804694"/>
                    </a:xfrm>
                    <a:prstGeom prst="rect">
                      <a:avLst/>
                    </a:prstGeom>
                    <a:noFill/>
                  </pic:spPr>
                </pic:pic>
              </a:graphicData>
            </a:graphic>
          </wp:inline>
        </w:drawing>
      </w:r>
    </w:p>
    <w:p w14:paraId="15F99721" w14:textId="1179ABAB" w:rsidR="0019649C" w:rsidRPr="00484AE9" w:rsidRDefault="0019649C" w:rsidP="0019649C">
      <w:pPr>
        <w:pStyle w:val="FooterTableFigure"/>
      </w:pPr>
      <w:r w:rsidRPr="00484AE9">
        <w:t>Source: PBS data from 1 Mar 2022 to 31 July 2023</w:t>
      </w:r>
    </w:p>
    <w:p w14:paraId="232783D6" w14:textId="4CAE158F" w:rsidR="0019649C" w:rsidRPr="00484AE9" w:rsidRDefault="0019649C" w:rsidP="0019649C">
      <w:pPr>
        <w:pStyle w:val="3-BodyText"/>
        <w:rPr>
          <w:i/>
          <w:iCs/>
        </w:rPr>
      </w:pPr>
      <w:r w:rsidRPr="00484AE9">
        <w:t xml:space="preserve">Based on an assumption of one prescription per patient, the submission’s estimates of the number of units of nirmatrelvir and ritonavir that will be dispensed from 2024 to 2029 are summarised in </w:t>
      </w:r>
      <w:r w:rsidRPr="00484AE9">
        <w:fldChar w:fldCharType="begin"/>
      </w:r>
      <w:r w:rsidRPr="00484AE9">
        <w:instrText xml:space="preserve"> REF _Ref104805295 \h </w:instrText>
      </w:r>
      <w:r w:rsidRPr="00484AE9">
        <w:fldChar w:fldCharType="separate"/>
      </w:r>
      <w:r w:rsidR="00872657" w:rsidRPr="00484AE9">
        <w:t xml:space="preserve">Table </w:t>
      </w:r>
      <w:r w:rsidR="00872657">
        <w:rPr>
          <w:noProof/>
        </w:rPr>
        <w:t>29</w:t>
      </w:r>
      <w:r w:rsidRPr="00484AE9">
        <w:fldChar w:fldCharType="end"/>
      </w:r>
      <w:r w:rsidRPr="00484AE9">
        <w:t xml:space="preserve">. To put the estimates in </w:t>
      </w:r>
      <w:r w:rsidRPr="00484AE9">
        <w:fldChar w:fldCharType="begin"/>
      </w:r>
      <w:r w:rsidRPr="00484AE9">
        <w:instrText xml:space="preserve"> REF _Ref104805295 \h  \* MERGEFORMAT </w:instrText>
      </w:r>
      <w:r w:rsidRPr="00484AE9">
        <w:fldChar w:fldCharType="separate"/>
      </w:r>
      <w:r w:rsidR="00872657" w:rsidRPr="00484AE9">
        <w:t xml:space="preserve">Table </w:t>
      </w:r>
      <w:r w:rsidR="00872657">
        <w:t>29</w:t>
      </w:r>
      <w:r w:rsidRPr="00484AE9">
        <w:fldChar w:fldCharType="end"/>
      </w:r>
      <w:r w:rsidRPr="00484AE9">
        <w:t xml:space="preserve"> into context, the number of units of both antiviral products (nirmatrelvir and ritonavir; and molnupiravir) dispensed in the year ending 31 July 2023 was </w:t>
      </w:r>
      <w:r w:rsidR="009D6155" w:rsidRPr="009D6155">
        <w:t>700,000 to &lt;</w:t>
      </w:r>
      <w:r w:rsidR="00F76D9A">
        <w:t xml:space="preserve"> </w:t>
      </w:r>
      <w:r w:rsidR="009D6155" w:rsidRPr="009D6155">
        <w:t>800,000</w:t>
      </w:r>
      <w:r w:rsidRPr="00484AE9">
        <w:t xml:space="preserve"> and market share of nirmatrelvir and ritonavir has been relatively stable at approximately</w:t>
      </w:r>
      <w:r w:rsidR="00696519" w:rsidRPr="00696519">
        <w:t xml:space="preserve"> </w:t>
      </w:r>
      <w:r w:rsidR="00696519" w:rsidRPr="00872657">
        <w:rPr>
          <w:color w:val="000000"/>
          <w:w w:val="15"/>
          <w:shd w:val="solid" w:color="000000" w:fill="000000"/>
          <w:fitText w:val="-20" w:id="-1032088826"/>
          <w14:textFill>
            <w14:solidFill>
              <w14:srgbClr w14:val="000000">
                <w14:alpha w14:val="100000"/>
              </w14:srgbClr>
            </w14:solidFill>
          </w14:textFill>
        </w:rPr>
        <w:t xml:space="preserve">| </w:t>
      </w:r>
      <w:r w:rsidR="00696519" w:rsidRPr="00872657">
        <w:rPr>
          <w:color w:val="000000"/>
          <w:spacing w:val="-61"/>
          <w:w w:val="15"/>
          <w:shd w:val="solid" w:color="000000" w:fill="000000"/>
          <w:fitText w:val="-20" w:id="-1032088826"/>
          <w14:textFill>
            <w14:solidFill>
              <w14:srgbClr w14:val="000000">
                <w14:alpha w14:val="100000"/>
              </w14:srgbClr>
            </w14:solidFill>
          </w14:textFill>
        </w:rPr>
        <w:t>|</w:t>
      </w:r>
      <w:r w:rsidRPr="00484AE9">
        <w:t xml:space="preserve">% since February 2023. If market share was stable over a year, this would equate to approximately </w:t>
      </w:r>
      <w:r w:rsidR="009D6155" w:rsidRPr="009D6155">
        <w:t>300,000 to &lt; 400,000</w:t>
      </w:r>
      <w:r w:rsidRPr="00484AE9">
        <w:t xml:space="preserve"> prescriptions for nirmatrelvir and ritonavir.</w:t>
      </w:r>
    </w:p>
    <w:p w14:paraId="3DF98115" w14:textId="20CD79AA" w:rsidR="0019649C" w:rsidRPr="00484AE9" w:rsidRDefault="0019649C" w:rsidP="0019649C">
      <w:pPr>
        <w:pStyle w:val="Caption"/>
      </w:pPr>
      <w:bookmarkStart w:id="168" w:name="_Ref104805295"/>
      <w:r w:rsidRPr="00484AE9">
        <w:lastRenderedPageBreak/>
        <w:t xml:space="preserve">Table </w:t>
      </w:r>
      <w:fldSimple w:instr=" SEQ Table \* ARABIC ">
        <w:r w:rsidR="00872657">
          <w:rPr>
            <w:noProof/>
          </w:rPr>
          <w:t>29</w:t>
        </w:r>
      </w:fldSimple>
      <w:bookmarkEnd w:id="168"/>
      <w:r w:rsidRPr="00484AE9">
        <w:t>:</w:t>
      </w:r>
      <w:r w:rsidRPr="00484AE9">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38"/>
        <w:gridCol w:w="1196"/>
        <w:gridCol w:w="1197"/>
        <w:gridCol w:w="1196"/>
        <w:gridCol w:w="1197"/>
        <w:gridCol w:w="1196"/>
        <w:gridCol w:w="1197"/>
      </w:tblGrid>
      <w:tr w:rsidR="0019649C" w:rsidRPr="00484AE9" w14:paraId="77AEA82C" w14:textId="77777777" w:rsidTr="00F1122F">
        <w:trPr>
          <w:tblHeader/>
        </w:trPr>
        <w:tc>
          <w:tcPr>
            <w:tcW w:w="1019" w:type="pct"/>
            <w:shd w:val="clear" w:color="auto" w:fill="auto"/>
            <w:vAlign w:val="center"/>
          </w:tcPr>
          <w:p w14:paraId="27D9E264" w14:textId="77777777" w:rsidR="0019649C" w:rsidRPr="00484AE9" w:rsidRDefault="0019649C" w:rsidP="00F1122F">
            <w:pPr>
              <w:pStyle w:val="In-tableHeading"/>
              <w:jc w:val="center"/>
              <w:rPr>
                <w:lang w:val="en-AU"/>
              </w:rPr>
            </w:pPr>
          </w:p>
        </w:tc>
        <w:tc>
          <w:tcPr>
            <w:tcW w:w="663" w:type="pct"/>
            <w:shd w:val="clear" w:color="auto" w:fill="auto"/>
          </w:tcPr>
          <w:p w14:paraId="6CCECF0C" w14:textId="77777777" w:rsidR="0019649C" w:rsidRPr="00484AE9" w:rsidRDefault="0019649C" w:rsidP="00F1122F">
            <w:pPr>
              <w:pStyle w:val="In-tableHeading"/>
              <w:jc w:val="center"/>
              <w:rPr>
                <w:lang w:val="en-AU"/>
              </w:rPr>
            </w:pPr>
            <w:r w:rsidRPr="00484AE9">
              <w:rPr>
                <w:lang w:val="en-AU"/>
              </w:rPr>
              <w:t>2024</w:t>
            </w:r>
          </w:p>
        </w:tc>
        <w:tc>
          <w:tcPr>
            <w:tcW w:w="664" w:type="pct"/>
            <w:shd w:val="clear" w:color="auto" w:fill="auto"/>
          </w:tcPr>
          <w:p w14:paraId="54E9EC74" w14:textId="77777777" w:rsidR="0019649C" w:rsidRPr="00484AE9" w:rsidRDefault="0019649C" w:rsidP="00F1122F">
            <w:pPr>
              <w:pStyle w:val="In-tableHeading"/>
              <w:jc w:val="center"/>
              <w:rPr>
                <w:lang w:val="en-AU"/>
              </w:rPr>
            </w:pPr>
            <w:r w:rsidRPr="00484AE9">
              <w:rPr>
                <w:lang w:val="en-AU"/>
              </w:rPr>
              <w:t>2025</w:t>
            </w:r>
          </w:p>
        </w:tc>
        <w:tc>
          <w:tcPr>
            <w:tcW w:w="663" w:type="pct"/>
            <w:shd w:val="clear" w:color="auto" w:fill="auto"/>
          </w:tcPr>
          <w:p w14:paraId="2D2109F7" w14:textId="77777777" w:rsidR="0019649C" w:rsidRPr="00484AE9" w:rsidRDefault="0019649C" w:rsidP="00F1122F">
            <w:pPr>
              <w:pStyle w:val="In-tableHeading"/>
              <w:jc w:val="center"/>
              <w:rPr>
                <w:lang w:val="en-AU"/>
              </w:rPr>
            </w:pPr>
            <w:r w:rsidRPr="00484AE9">
              <w:rPr>
                <w:lang w:val="en-AU"/>
              </w:rPr>
              <w:t>2026</w:t>
            </w:r>
          </w:p>
        </w:tc>
        <w:tc>
          <w:tcPr>
            <w:tcW w:w="664" w:type="pct"/>
            <w:shd w:val="clear" w:color="auto" w:fill="auto"/>
          </w:tcPr>
          <w:p w14:paraId="67880AD1" w14:textId="77777777" w:rsidR="0019649C" w:rsidRPr="00484AE9" w:rsidRDefault="0019649C" w:rsidP="00F1122F">
            <w:pPr>
              <w:pStyle w:val="In-tableHeading"/>
              <w:jc w:val="center"/>
              <w:rPr>
                <w:lang w:val="en-AU"/>
              </w:rPr>
            </w:pPr>
            <w:r w:rsidRPr="00484AE9">
              <w:rPr>
                <w:lang w:val="en-AU"/>
              </w:rPr>
              <w:t>2027</w:t>
            </w:r>
          </w:p>
        </w:tc>
        <w:tc>
          <w:tcPr>
            <w:tcW w:w="663" w:type="pct"/>
            <w:shd w:val="clear" w:color="auto" w:fill="auto"/>
          </w:tcPr>
          <w:p w14:paraId="6913D5B4" w14:textId="77777777" w:rsidR="0019649C" w:rsidRPr="00484AE9" w:rsidRDefault="0019649C" w:rsidP="00F1122F">
            <w:pPr>
              <w:pStyle w:val="In-tableHeading"/>
              <w:jc w:val="center"/>
              <w:rPr>
                <w:lang w:val="en-AU"/>
              </w:rPr>
            </w:pPr>
            <w:r w:rsidRPr="00484AE9">
              <w:rPr>
                <w:lang w:val="en-AU"/>
              </w:rPr>
              <w:t>2028</w:t>
            </w:r>
          </w:p>
        </w:tc>
        <w:tc>
          <w:tcPr>
            <w:tcW w:w="664" w:type="pct"/>
          </w:tcPr>
          <w:p w14:paraId="38FA5C2B" w14:textId="77777777" w:rsidR="0019649C" w:rsidRPr="00484AE9" w:rsidRDefault="0019649C" w:rsidP="00F1122F">
            <w:pPr>
              <w:pStyle w:val="In-tableHeading"/>
              <w:jc w:val="center"/>
              <w:rPr>
                <w:lang w:val="en-AU"/>
              </w:rPr>
            </w:pPr>
            <w:r w:rsidRPr="00484AE9">
              <w:rPr>
                <w:lang w:val="en-AU"/>
              </w:rPr>
              <w:t>2029</w:t>
            </w:r>
          </w:p>
        </w:tc>
      </w:tr>
      <w:tr w:rsidR="0019649C" w:rsidRPr="00484AE9" w14:paraId="1A6254FB" w14:textId="77777777" w:rsidTr="00F1122F">
        <w:tc>
          <w:tcPr>
            <w:tcW w:w="5000" w:type="pct"/>
            <w:gridSpan w:val="7"/>
            <w:shd w:val="clear" w:color="auto" w:fill="auto"/>
            <w:vAlign w:val="center"/>
          </w:tcPr>
          <w:p w14:paraId="027695ED" w14:textId="37D2EC6C" w:rsidR="0019649C" w:rsidRPr="00484AE9" w:rsidRDefault="0019649C" w:rsidP="00F1122F">
            <w:pPr>
              <w:pStyle w:val="In-tableHeading"/>
              <w:rPr>
                <w:bCs/>
                <w:lang w:val="en-AU"/>
              </w:rPr>
            </w:pPr>
            <w:r w:rsidRPr="00484AE9">
              <w:rPr>
                <w:bCs/>
                <w:lang w:val="en-AU"/>
              </w:rPr>
              <w:t>Estimated extent of use</w:t>
            </w:r>
            <w:r w:rsidR="000C109D" w:rsidRPr="00484AE9">
              <w:rPr>
                <w:bCs/>
                <w:lang w:val="en-AU"/>
              </w:rPr>
              <w:t xml:space="preserve"> – assuming continuation of current restrictions</w:t>
            </w:r>
          </w:p>
        </w:tc>
      </w:tr>
      <w:tr w:rsidR="0019649C" w:rsidRPr="00484AE9" w14:paraId="2B25C150" w14:textId="77777777" w:rsidTr="00F1122F">
        <w:tc>
          <w:tcPr>
            <w:tcW w:w="1019" w:type="pct"/>
            <w:shd w:val="clear" w:color="auto" w:fill="auto"/>
            <w:vAlign w:val="center"/>
          </w:tcPr>
          <w:p w14:paraId="4962D749" w14:textId="77777777" w:rsidR="0019649C" w:rsidRPr="00484AE9" w:rsidRDefault="0019649C" w:rsidP="00F1122F">
            <w:pPr>
              <w:pStyle w:val="TableText0"/>
            </w:pPr>
            <w:r w:rsidRPr="00484AE9">
              <w:t>Estimated number of patients eligible to be prescribed an oral antiviral on the PBS</w:t>
            </w:r>
          </w:p>
        </w:tc>
        <w:tc>
          <w:tcPr>
            <w:tcW w:w="663" w:type="pct"/>
            <w:shd w:val="clear" w:color="auto" w:fill="auto"/>
            <w:vAlign w:val="center"/>
          </w:tcPr>
          <w:p w14:paraId="6FE9DB8A" w14:textId="42209209" w:rsidR="0019649C" w:rsidRPr="00F23EA5" w:rsidRDefault="00696519" w:rsidP="00F1122F">
            <w:pPr>
              <w:pStyle w:val="TableText0"/>
              <w:jc w:val="center"/>
              <w:rPr>
                <w:highlight w:val="darkGray"/>
              </w:rPr>
            </w:pPr>
            <w:r w:rsidRPr="00696519">
              <w:t xml:space="preserve"> </w:t>
            </w:r>
            <w:r w:rsidRPr="00696519">
              <w:rPr>
                <w:rFonts w:hint="eastAsia"/>
                <w:color w:val="000000"/>
                <w:w w:val="15"/>
                <w:shd w:val="solid" w:color="000000" w:fill="000000"/>
                <w:fitText w:val="30" w:id="-1032088825"/>
                <w14:textFill>
                  <w14:solidFill>
                    <w14:srgbClr w14:val="000000">
                      <w14:alpha w14:val="100000"/>
                    </w14:srgbClr>
                  </w14:solidFill>
                </w14:textFill>
              </w:rPr>
              <w:t xml:space="preserve">　</w:t>
            </w:r>
            <w:r w:rsidRPr="00696519">
              <w:rPr>
                <w:color w:val="000000"/>
                <w:w w:val="15"/>
                <w:shd w:val="solid" w:color="000000" w:fill="000000"/>
                <w:fitText w:val="30" w:id="-1032088825"/>
                <w14:textFill>
                  <w14:solidFill>
                    <w14:srgbClr w14:val="000000">
                      <w14:alpha w14:val="100000"/>
                    </w14:srgbClr>
                  </w14:solidFill>
                </w14:textFill>
              </w:rPr>
              <w:t>|</w:t>
            </w:r>
            <w:r w:rsidRPr="00696519">
              <w:rPr>
                <w:rFonts w:hint="eastAsia"/>
                <w:color w:val="000000"/>
                <w:spacing w:val="-35"/>
                <w:w w:val="15"/>
                <w:shd w:val="solid" w:color="000000" w:fill="000000"/>
                <w:fitText w:val="30" w:id="-1032088825"/>
                <w14:textFill>
                  <w14:solidFill>
                    <w14:srgbClr w14:val="000000">
                      <w14:alpha w14:val="100000"/>
                    </w14:srgbClr>
                  </w14:solidFill>
                </w14:textFill>
              </w:rPr>
              <w:t xml:space="preserve">　</w:t>
            </w:r>
            <w:r w:rsidR="009D6155" w:rsidRPr="00F23EA5">
              <w:rPr>
                <w:vertAlign w:val="superscript"/>
              </w:rPr>
              <w:t>1</w:t>
            </w:r>
            <w:r w:rsidR="009D6155" w:rsidRPr="00F23EA5">
              <w:t xml:space="preserve"> </w:t>
            </w:r>
          </w:p>
        </w:tc>
        <w:tc>
          <w:tcPr>
            <w:tcW w:w="664" w:type="pct"/>
            <w:shd w:val="clear" w:color="auto" w:fill="auto"/>
            <w:vAlign w:val="center"/>
          </w:tcPr>
          <w:p w14:paraId="79983D08" w14:textId="3DD6BAAB" w:rsidR="0019649C" w:rsidRPr="00F23EA5" w:rsidRDefault="00696519" w:rsidP="00F1122F">
            <w:pPr>
              <w:pStyle w:val="TableText0"/>
              <w:jc w:val="center"/>
              <w:rPr>
                <w:highlight w:val="darkGray"/>
              </w:rPr>
            </w:pPr>
            <w:r w:rsidRPr="00696519">
              <w:t xml:space="preserve"> </w:t>
            </w:r>
            <w:r w:rsidRPr="00696519">
              <w:rPr>
                <w:rFonts w:hint="eastAsia"/>
                <w:color w:val="000000"/>
                <w:w w:val="15"/>
                <w:shd w:val="solid" w:color="000000" w:fill="000000"/>
                <w:fitText w:val="30" w:id="-1032088824"/>
                <w14:textFill>
                  <w14:solidFill>
                    <w14:srgbClr w14:val="000000">
                      <w14:alpha w14:val="100000"/>
                    </w14:srgbClr>
                  </w14:solidFill>
                </w14:textFill>
              </w:rPr>
              <w:t xml:space="preserve">　</w:t>
            </w:r>
            <w:r w:rsidRPr="00696519">
              <w:rPr>
                <w:color w:val="000000"/>
                <w:w w:val="15"/>
                <w:shd w:val="solid" w:color="000000" w:fill="000000"/>
                <w:fitText w:val="30" w:id="-1032088824"/>
                <w14:textFill>
                  <w14:solidFill>
                    <w14:srgbClr w14:val="000000">
                      <w14:alpha w14:val="100000"/>
                    </w14:srgbClr>
                  </w14:solidFill>
                </w14:textFill>
              </w:rPr>
              <w:t>|</w:t>
            </w:r>
            <w:r w:rsidRPr="00696519">
              <w:rPr>
                <w:rFonts w:hint="eastAsia"/>
                <w:color w:val="000000"/>
                <w:spacing w:val="-35"/>
                <w:w w:val="15"/>
                <w:shd w:val="solid" w:color="000000" w:fill="000000"/>
                <w:fitText w:val="30" w:id="-1032088824"/>
                <w14:textFill>
                  <w14:solidFill>
                    <w14:srgbClr w14:val="000000">
                      <w14:alpha w14:val="100000"/>
                    </w14:srgbClr>
                  </w14:solidFill>
                </w14:textFill>
              </w:rPr>
              <w:t xml:space="preserve">　</w:t>
            </w:r>
            <w:r w:rsidR="009D6155" w:rsidRPr="00EB7BFE">
              <w:rPr>
                <w:vertAlign w:val="superscript"/>
              </w:rPr>
              <w:t>1</w:t>
            </w:r>
          </w:p>
        </w:tc>
        <w:tc>
          <w:tcPr>
            <w:tcW w:w="663" w:type="pct"/>
            <w:shd w:val="clear" w:color="auto" w:fill="auto"/>
            <w:vAlign w:val="center"/>
          </w:tcPr>
          <w:p w14:paraId="606A5E81" w14:textId="7A07A9CD" w:rsidR="0019649C" w:rsidRPr="00F23EA5" w:rsidRDefault="00696519" w:rsidP="00F1122F">
            <w:pPr>
              <w:pStyle w:val="TableText0"/>
              <w:jc w:val="center"/>
              <w:rPr>
                <w:highlight w:val="darkGray"/>
              </w:rPr>
            </w:pPr>
            <w:r w:rsidRPr="00696519">
              <w:t xml:space="preserve"> </w:t>
            </w:r>
            <w:r w:rsidRPr="00696519">
              <w:rPr>
                <w:rFonts w:hint="eastAsia"/>
                <w:color w:val="000000"/>
                <w:w w:val="15"/>
                <w:shd w:val="solid" w:color="000000" w:fill="000000"/>
                <w:fitText w:val="30" w:id="-1032088823"/>
                <w14:textFill>
                  <w14:solidFill>
                    <w14:srgbClr w14:val="000000">
                      <w14:alpha w14:val="100000"/>
                    </w14:srgbClr>
                  </w14:solidFill>
                </w14:textFill>
              </w:rPr>
              <w:t xml:space="preserve">　</w:t>
            </w:r>
            <w:r w:rsidRPr="00696519">
              <w:rPr>
                <w:color w:val="000000"/>
                <w:w w:val="15"/>
                <w:shd w:val="solid" w:color="000000" w:fill="000000"/>
                <w:fitText w:val="30" w:id="-1032088823"/>
                <w14:textFill>
                  <w14:solidFill>
                    <w14:srgbClr w14:val="000000">
                      <w14:alpha w14:val="100000"/>
                    </w14:srgbClr>
                  </w14:solidFill>
                </w14:textFill>
              </w:rPr>
              <w:t>|</w:t>
            </w:r>
            <w:r w:rsidRPr="00696519">
              <w:rPr>
                <w:rFonts w:hint="eastAsia"/>
                <w:color w:val="000000"/>
                <w:spacing w:val="-35"/>
                <w:w w:val="15"/>
                <w:shd w:val="solid" w:color="000000" w:fill="000000"/>
                <w:fitText w:val="30" w:id="-1032088823"/>
                <w14:textFill>
                  <w14:solidFill>
                    <w14:srgbClr w14:val="000000">
                      <w14:alpha w14:val="100000"/>
                    </w14:srgbClr>
                  </w14:solidFill>
                </w14:textFill>
              </w:rPr>
              <w:t xml:space="preserve">　</w:t>
            </w:r>
            <w:r w:rsidR="009D6155" w:rsidRPr="00EB7BFE">
              <w:rPr>
                <w:vertAlign w:val="superscript"/>
              </w:rPr>
              <w:t>1</w:t>
            </w:r>
          </w:p>
        </w:tc>
        <w:tc>
          <w:tcPr>
            <w:tcW w:w="664" w:type="pct"/>
            <w:shd w:val="clear" w:color="auto" w:fill="auto"/>
            <w:vAlign w:val="center"/>
          </w:tcPr>
          <w:p w14:paraId="6BB86BC7" w14:textId="597D8CC3" w:rsidR="0019649C" w:rsidRPr="00F23EA5" w:rsidRDefault="00696519" w:rsidP="00F1122F">
            <w:pPr>
              <w:pStyle w:val="TableText0"/>
              <w:jc w:val="center"/>
              <w:rPr>
                <w:highlight w:val="darkGray"/>
              </w:rPr>
            </w:pPr>
            <w:r w:rsidRPr="00696519">
              <w:t xml:space="preserve"> </w:t>
            </w:r>
            <w:r w:rsidRPr="00696519">
              <w:rPr>
                <w:rFonts w:hint="eastAsia"/>
                <w:color w:val="000000"/>
                <w:w w:val="15"/>
                <w:shd w:val="solid" w:color="000000" w:fill="000000"/>
                <w:fitText w:val="30" w:id="-1032088822"/>
                <w14:textFill>
                  <w14:solidFill>
                    <w14:srgbClr w14:val="000000">
                      <w14:alpha w14:val="100000"/>
                    </w14:srgbClr>
                  </w14:solidFill>
                </w14:textFill>
              </w:rPr>
              <w:t xml:space="preserve">　</w:t>
            </w:r>
            <w:r w:rsidRPr="00696519">
              <w:rPr>
                <w:color w:val="000000"/>
                <w:w w:val="15"/>
                <w:shd w:val="solid" w:color="000000" w:fill="000000"/>
                <w:fitText w:val="30" w:id="-1032088822"/>
                <w14:textFill>
                  <w14:solidFill>
                    <w14:srgbClr w14:val="000000">
                      <w14:alpha w14:val="100000"/>
                    </w14:srgbClr>
                  </w14:solidFill>
                </w14:textFill>
              </w:rPr>
              <w:t>|</w:t>
            </w:r>
            <w:r w:rsidRPr="00696519">
              <w:rPr>
                <w:rFonts w:hint="eastAsia"/>
                <w:color w:val="000000"/>
                <w:spacing w:val="-35"/>
                <w:w w:val="15"/>
                <w:shd w:val="solid" w:color="000000" w:fill="000000"/>
                <w:fitText w:val="30" w:id="-1032088822"/>
                <w14:textFill>
                  <w14:solidFill>
                    <w14:srgbClr w14:val="000000">
                      <w14:alpha w14:val="100000"/>
                    </w14:srgbClr>
                  </w14:solidFill>
                </w14:textFill>
              </w:rPr>
              <w:t xml:space="preserve">　</w:t>
            </w:r>
            <w:r w:rsidR="009D6155" w:rsidRPr="00EB7BFE">
              <w:rPr>
                <w:vertAlign w:val="superscript"/>
              </w:rPr>
              <w:t>1</w:t>
            </w:r>
          </w:p>
        </w:tc>
        <w:tc>
          <w:tcPr>
            <w:tcW w:w="663" w:type="pct"/>
            <w:shd w:val="clear" w:color="auto" w:fill="auto"/>
            <w:vAlign w:val="center"/>
          </w:tcPr>
          <w:p w14:paraId="1D0BA73C" w14:textId="5EBB5065" w:rsidR="0019649C" w:rsidRPr="00F23EA5" w:rsidRDefault="00696519" w:rsidP="00F1122F">
            <w:pPr>
              <w:pStyle w:val="TableText0"/>
              <w:jc w:val="center"/>
              <w:rPr>
                <w:highlight w:val="darkGray"/>
              </w:rPr>
            </w:pPr>
            <w:r w:rsidRPr="00696519">
              <w:t xml:space="preserve"> </w:t>
            </w:r>
            <w:r w:rsidRPr="00696519">
              <w:rPr>
                <w:rFonts w:hint="eastAsia"/>
                <w:color w:val="000000"/>
                <w:w w:val="15"/>
                <w:shd w:val="solid" w:color="000000" w:fill="000000"/>
                <w:fitText w:val="30" w:id="-1032088821"/>
                <w14:textFill>
                  <w14:solidFill>
                    <w14:srgbClr w14:val="000000">
                      <w14:alpha w14:val="100000"/>
                    </w14:srgbClr>
                  </w14:solidFill>
                </w14:textFill>
              </w:rPr>
              <w:t xml:space="preserve">　</w:t>
            </w:r>
            <w:r w:rsidRPr="00696519">
              <w:rPr>
                <w:color w:val="000000"/>
                <w:w w:val="15"/>
                <w:shd w:val="solid" w:color="000000" w:fill="000000"/>
                <w:fitText w:val="30" w:id="-1032088821"/>
                <w14:textFill>
                  <w14:solidFill>
                    <w14:srgbClr w14:val="000000">
                      <w14:alpha w14:val="100000"/>
                    </w14:srgbClr>
                  </w14:solidFill>
                </w14:textFill>
              </w:rPr>
              <w:t>|</w:t>
            </w:r>
            <w:r w:rsidRPr="00696519">
              <w:rPr>
                <w:rFonts w:hint="eastAsia"/>
                <w:color w:val="000000"/>
                <w:spacing w:val="-35"/>
                <w:w w:val="15"/>
                <w:shd w:val="solid" w:color="000000" w:fill="000000"/>
                <w:fitText w:val="30" w:id="-1032088821"/>
                <w14:textFill>
                  <w14:solidFill>
                    <w14:srgbClr w14:val="000000">
                      <w14:alpha w14:val="100000"/>
                    </w14:srgbClr>
                  </w14:solidFill>
                </w14:textFill>
              </w:rPr>
              <w:t xml:space="preserve">　</w:t>
            </w:r>
            <w:r w:rsidR="009D6155" w:rsidRPr="00EB7BFE">
              <w:rPr>
                <w:vertAlign w:val="superscript"/>
              </w:rPr>
              <w:t>1</w:t>
            </w:r>
            <w:r w:rsidR="009D6155">
              <w:rPr>
                <w:vertAlign w:val="superscript"/>
              </w:rPr>
              <w:t xml:space="preserve"> </w:t>
            </w:r>
          </w:p>
        </w:tc>
        <w:tc>
          <w:tcPr>
            <w:tcW w:w="664" w:type="pct"/>
            <w:vAlign w:val="center"/>
          </w:tcPr>
          <w:p w14:paraId="631B58AD" w14:textId="4167152C" w:rsidR="0019649C" w:rsidRPr="00F23EA5" w:rsidRDefault="00696519" w:rsidP="00F1122F">
            <w:pPr>
              <w:pStyle w:val="TableText0"/>
              <w:jc w:val="center"/>
              <w:rPr>
                <w:highlight w:val="darkGray"/>
              </w:rPr>
            </w:pPr>
            <w:r w:rsidRPr="00696519">
              <w:t xml:space="preserve"> </w:t>
            </w:r>
            <w:r w:rsidRPr="00696519">
              <w:rPr>
                <w:rFonts w:hint="eastAsia"/>
                <w:color w:val="000000"/>
                <w:w w:val="15"/>
                <w:shd w:val="solid" w:color="000000" w:fill="000000"/>
                <w:fitText w:val="30" w:id="-1032088820"/>
                <w14:textFill>
                  <w14:solidFill>
                    <w14:srgbClr w14:val="000000">
                      <w14:alpha w14:val="100000"/>
                    </w14:srgbClr>
                  </w14:solidFill>
                </w14:textFill>
              </w:rPr>
              <w:t xml:space="preserve">　</w:t>
            </w:r>
            <w:r w:rsidRPr="00696519">
              <w:rPr>
                <w:color w:val="000000"/>
                <w:w w:val="15"/>
                <w:shd w:val="solid" w:color="000000" w:fill="000000"/>
                <w:fitText w:val="30" w:id="-1032088820"/>
                <w14:textFill>
                  <w14:solidFill>
                    <w14:srgbClr w14:val="000000">
                      <w14:alpha w14:val="100000"/>
                    </w14:srgbClr>
                  </w14:solidFill>
                </w14:textFill>
              </w:rPr>
              <w:t>|</w:t>
            </w:r>
            <w:r w:rsidRPr="00696519">
              <w:rPr>
                <w:rFonts w:hint="eastAsia"/>
                <w:color w:val="000000"/>
                <w:spacing w:val="-35"/>
                <w:w w:val="15"/>
                <w:shd w:val="solid" w:color="000000" w:fill="000000"/>
                <w:fitText w:val="30" w:id="-1032088820"/>
                <w14:textFill>
                  <w14:solidFill>
                    <w14:srgbClr w14:val="000000">
                      <w14:alpha w14:val="100000"/>
                    </w14:srgbClr>
                  </w14:solidFill>
                </w14:textFill>
              </w:rPr>
              <w:t xml:space="preserve">　</w:t>
            </w:r>
            <w:r w:rsidR="009D6155" w:rsidRPr="00EB7BFE">
              <w:rPr>
                <w:vertAlign w:val="superscript"/>
              </w:rPr>
              <w:t>1</w:t>
            </w:r>
          </w:p>
        </w:tc>
      </w:tr>
      <w:tr w:rsidR="0019649C" w:rsidRPr="00484AE9" w14:paraId="598F9C09" w14:textId="77777777" w:rsidTr="00F1122F">
        <w:tc>
          <w:tcPr>
            <w:tcW w:w="1019" w:type="pct"/>
            <w:shd w:val="clear" w:color="auto" w:fill="auto"/>
            <w:vAlign w:val="center"/>
          </w:tcPr>
          <w:p w14:paraId="6275D315" w14:textId="77777777" w:rsidR="0019649C" w:rsidRPr="00484AE9" w:rsidRDefault="0019649C" w:rsidP="00F1122F">
            <w:pPr>
              <w:pStyle w:val="TableText0"/>
            </w:pPr>
            <w:r w:rsidRPr="00484AE9">
              <w:t>Total number of prescriptions for antivirals dispensed*</w:t>
            </w:r>
          </w:p>
        </w:tc>
        <w:tc>
          <w:tcPr>
            <w:tcW w:w="663" w:type="pct"/>
            <w:shd w:val="clear" w:color="auto" w:fill="auto"/>
            <w:vAlign w:val="center"/>
          </w:tcPr>
          <w:p w14:paraId="5D2FAF3C" w14:textId="312A89FD" w:rsidR="0019649C" w:rsidRPr="00F23EA5" w:rsidRDefault="00696519" w:rsidP="00F1122F">
            <w:pPr>
              <w:pStyle w:val="TableText0"/>
              <w:jc w:val="center"/>
              <w:rPr>
                <w:i/>
                <w:iCs/>
                <w:highlight w:val="darkGray"/>
              </w:rPr>
            </w:pPr>
            <w:r w:rsidRPr="00696519">
              <w:rPr>
                <w:i/>
                <w:iCs/>
              </w:rPr>
              <w:t xml:space="preserve"> </w:t>
            </w:r>
            <w:r w:rsidRPr="00696519">
              <w:rPr>
                <w:rFonts w:hint="eastAsia"/>
                <w:i/>
                <w:iCs/>
                <w:color w:val="000000"/>
                <w:w w:val="15"/>
                <w:shd w:val="solid" w:color="000000" w:fill="000000"/>
                <w:fitText w:val="30" w:id="-1032088819"/>
                <w14:textFill>
                  <w14:solidFill>
                    <w14:srgbClr w14:val="000000">
                      <w14:alpha w14:val="100000"/>
                    </w14:srgbClr>
                  </w14:solidFill>
                </w14:textFill>
              </w:rPr>
              <w:t xml:space="preserve">　</w:t>
            </w:r>
            <w:r w:rsidRPr="00696519">
              <w:rPr>
                <w:i/>
                <w:iCs/>
                <w:color w:val="000000"/>
                <w:w w:val="15"/>
                <w:shd w:val="solid" w:color="000000" w:fill="000000"/>
                <w:fitText w:val="30" w:id="-1032088819"/>
                <w14:textFill>
                  <w14:solidFill>
                    <w14:srgbClr w14:val="000000">
                      <w14:alpha w14:val="100000"/>
                    </w14:srgbClr>
                  </w14:solidFill>
                </w14:textFill>
              </w:rPr>
              <w:t>|</w:t>
            </w:r>
            <w:r w:rsidRPr="00696519">
              <w:rPr>
                <w:rFonts w:hint="eastAsia"/>
                <w:i/>
                <w:iCs/>
                <w:color w:val="000000"/>
                <w:spacing w:val="-35"/>
                <w:w w:val="15"/>
                <w:shd w:val="solid" w:color="000000" w:fill="000000"/>
                <w:fitText w:val="30" w:id="-1032088819"/>
                <w14:textFill>
                  <w14:solidFill>
                    <w14:srgbClr w14:val="000000">
                      <w14:alpha w14:val="100000"/>
                    </w14:srgbClr>
                  </w14:solidFill>
                </w14:textFill>
              </w:rPr>
              <w:t xml:space="preserve">　</w:t>
            </w:r>
            <w:r w:rsidR="00C715FA" w:rsidRPr="00F23EA5">
              <w:rPr>
                <w:i/>
                <w:iCs/>
                <w:vertAlign w:val="superscript"/>
              </w:rPr>
              <w:t>2</w:t>
            </w:r>
          </w:p>
        </w:tc>
        <w:tc>
          <w:tcPr>
            <w:tcW w:w="664" w:type="pct"/>
            <w:shd w:val="clear" w:color="auto" w:fill="auto"/>
            <w:vAlign w:val="center"/>
          </w:tcPr>
          <w:p w14:paraId="09626C23" w14:textId="1E193F9E" w:rsidR="0019649C" w:rsidRPr="00F23EA5" w:rsidRDefault="00696519" w:rsidP="00F1122F">
            <w:pPr>
              <w:pStyle w:val="TableText0"/>
              <w:jc w:val="center"/>
              <w:rPr>
                <w:i/>
                <w:iCs/>
                <w:highlight w:val="darkGray"/>
              </w:rPr>
            </w:pPr>
            <w:r w:rsidRPr="00696519">
              <w:rPr>
                <w:i/>
                <w:iCs/>
              </w:rPr>
              <w:t xml:space="preserve"> </w:t>
            </w:r>
            <w:r w:rsidRPr="00696519">
              <w:rPr>
                <w:rFonts w:hint="eastAsia"/>
                <w:i/>
                <w:iCs/>
                <w:color w:val="000000"/>
                <w:w w:val="15"/>
                <w:shd w:val="solid" w:color="000000" w:fill="000000"/>
                <w:fitText w:val="30" w:id="-1032088818"/>
                <w14:textFill>
                  <w14:solidFill>
                    <w14:srgbClr w14:val="000000">
                      <w14:alpha w14:val="100000"/>
                    </w14:srgbClr>
                  </w14:solidFill>
                </w14:textFill>
              </w:rPr>
              <w:t xml:space="preserve">　</w:t>
            </w:r>
            <w:r w:rsidRPr="00696519">
              <w:rPr>
                <w:i/>
                <w:iCs/>
                <w:color w:val="000000"/>
                <w:w w:val="15"/>
                <w:shd w:val="solid" w:color="000000" w:fill="000000"/>
                <w:fitText w:val="30" w:id="-1032088818"/>
                <w14:textFill>
                  <w14:solidFill>
                    <w14:srgbClr w14:val="000000">
                      <w14:alpha w14:val="100000"/>
                    </w14:srgbClr>
                  </w14:solidFill>
                </w14:textFill>
              </w:rPr>
              <w:t>|</w:t>
            </w:r>
            <w:r w:rsidRPr="00696519">
              <w:rPr>
                <w:rFonts w:hint="eastAsia"/>
                <w:i/>
                <w:iCs/>
                <w:color w:val="000000"/>
                <w:spacing w:val="-35"/>
                <w:w w:val="15"/>
                <w:shd w:val="solid" w:color="000000" w:fill="000000"/>
                <w:fitText w:val="30" w:id="-1032088818"/>
                <w14:textFill>
                  <w14:solidFill>
                    <w14:srgbClr w14:val="000000">
                      <w14:alpha w14:val="100000"/>
                    </w14:srgbClr>
                  </w14:solidFill>
                </w14:textFill>
              </w:rPr>
              <w:t xml:space="preserve">　</w:t>
            </w:r>
            <w:r w:rsidR="00C715FA" w:rsidRPr="00EB7BFE">
              <w:rPr>
                <w:i/>
                <w:iCs/>
                <w:vertAlign w:val="superscript"/>
              </w:rPr>
              <w:t>2</w:t>
            </w:r>
          </w:p>
        </w:tc>
        <w:tc>
          <w:tcPr>
            <w:tcW w:w="663" w:type="pct"/>
            <w:shd w:val="clear" w:color="auto" w:fill="auto"/>
            <w:vAlign w:val="center"/>
          </w:tcPr>
          <w:p w14:paraId="1FDB3E4D" w14:textId="600EF7A3" w:rsidR="0019649C" w:rsidRPr="00F23EA5" w:rsidRDefault="00696519" w:rsidP="00F1122F">
            <w:pPr>
              <w:pStyle w:val="TableText0"/>
              <w:jc w:val="center"/>
              <w:rPr>
                <w:i/>
                <w:iCs/>
                <w:highlight w:val="darkGray"/>
              </w:rPr>
            </w:pPr>
            <w:r w:rsidRPr="00696519">
              <w:rPr>
                <w:i/>
                <w:iCs/>
              </w:rPr>
              <w:t xml:space="preserve"> </w:t>
            </w:r>
            <w:r w:rsidRPr="00696519">
              <w:rPr>
                <w:rFonts w:hint="eastAsia"/>
                <w:i/>
                <w:iCs/>
                <w:color w:val="000000"/>
                <w:w w:val="15"/>
                <w:shd w:val="solid" w:color="000000" w:fill="000000"/>
                <w:fitText w:val="30" w:id="-1032088817"/>
                <w14:textFill>
                  <w14:solidFill>
                    <w14:srgbClr w14:val="000000">
                      <w14:alpha w14:val="100000"/>
                    </w14:srgbClr>
                  </w14:solidFill>
                </w14:textFill>
              </w:rPr>
              <w:t xml:space="preserve">　</w:t>
            </w:r>
            <w:r w:rsidRPr="00696519">
              <w:rPr>
                <w:i/>
                <w:iCs/>
                <w:color w:val="000000"/>
                <w:w w:val="15"/>
                <w:shd w:val="solid" w:color="000000" w:fill="000000"/>
                <w:fitText w:val="30" w:id="-1032088817"/>
                <w14:textFill>
                  <w14:solidFill>
                    <w14:srgbClr w14:val="000000">
                      <w14:alpha w14:val="100000"/>
                    </w14:srgbClr>
                  </w14:solidFill>
                </w14:textFill>
              </w:rPr>
              <w:t>|</w:t>
            </w:r>
            <w:r w:rsidRPr="00696519">
              <w:rPr>
                <w:rFonts w:hint="eastAsia"/>
                <w:i/>
                <w:iCs/>
                <w:color w:val="000000"/>
                <w:spacing w:val="-35"/>
                <w:w w:val="15"/>
                <w:shd w:val="solid" w:color="000000" w:fill="000000"/>
                <w:fitText w:val="30" w:id="-1032088817"/>
                <w14:textFill>
                  <w14:solidFill>
                    <w14:srgbClr w14:val="000000">
                      <w14:alpha w14:val="100000"/>
                    </w14:srgbClr>
                  </w14:solidFill>
                </w14:textFill>
              </w:rPr>
              <w:t xml:space="preserve">　</w:t>
            </w:r>
            <w:r w:rsidR="00C715FA" w:rsidRPr="00EB7BFE">
              <w:rPr>
                <w:i/>
                <w:iCs/>
                <w:vertAlign w:val="superscript"/>
              </w:rPr>
              <w:t>2</w:t>
            </w:r>
          </w:p>
        </w:tc>
        <w:tc>
          <w:tcPr>
            <w:tcW w:w="664" w:type="pct"/>
            <w:shd w:val="clear" w:color="auto" w:fill="auto"/>
            <w:vAlign w:val="center"/>
          </w:tcPr>
          <w:p w14:paraId="38F1E3AB" w14:textId="2AD36BCC" w:rsidR="0019649C" w:rsidRPr="00F23EA5" w:rsidRDefault="00696519" w:rsidP="00F1122F">
            <w:pPr>
              <w:pStyle w:val="TableText0"/>
              <w:jc w:val="center"/>
              <w:rPr>
                <w:i/>
                <w:iCs/>
                <w:highlight w:val="darkGray"/>
              </w:rPr>
            </w:pPr>
            <w:r w:rsidRPr="00696519">
              <w:rPr>
                <w:i/>
                <w:iCs/>
              </w:rPr>
              <w:t xml:space="preserve"> </w:t>
            </w:r>
            <w:r w:rsidRPr="00696519">
              <w:rPr>
                <w:rFonts w:hint="eastAsia"/>
                <w:i/>
                <w:iCs/>
                <w:color w:val="000000"/>
                <w:w w:val="15"/>
                <w:shd w:val="solid" w:color="000000" w:fill="000000"/>
                <w:fitText w:val="30" w:id="-1032088816"/>
                <w14:textFill>
                  <w14:solidFill>
                    <w14:srgbClr w14:val="000000">
                      <w14:alpha w14:val="100000"/>
                    </w14:srgbClr>
                  </w14:solidFill>
                </w14:textFill>
              </w:rPr>
              <w:t xml:space="preserve">　</w:t>
            </w:r>
            <w:r w:rsidRPr="00696519">
              <w:rPr>
                <w:i/>
                <w:iCs/>
                <w:color w:val="000000"/>
                <w:w w:val="15"/>
                <w:shd w:val="solid" w:color="000000" w:fill="000000"/>
                <w:fitText w:val="30" w:id="-1032088816"/>
                <w14:textFill>
                  <w14:solidFill>
                    <w14:srgbClr w14:val="000000">
                      <w14:alpha w14:val="100000"/>
                    </w14:srgbClr>
                  </w14:solidFill>
                </w14:textFill>
              </w:rPr>
              <w:t>|</w:t>
            </w:r>
            <w:r w:rsidRPr="00696519">
              <w:rPr>
                <w:rFonts w:hint="eastAsia"/>
                <w:i/>
                <w:iCs/>
                <w:color w:val="000000"/>
                <w:spacing w:val="-35"/>
                <w:w w:val="15"/>
                <w:shd w:val="solid" w:color="000000" w:fill="000000"/>
                <w:fitText w:val="30" w:id="-1032088816"/>
                <w14:textFill>
                  <w14:solidFill>
                    <w14:srgbClr w14:val="000000">
                      <w14:alpha w14:val="100000"/>
                    </w14:srgbClr>
                  </w14:solidFill>
                </w14:textFill>
              </w:rPr>
              <w:t xml:space="preserve">　</w:t>
            </w:r>
            <w:r w:rsidR="00C715FA" w:rsidRPr="00F23EA5">
              <w:rPr>
                <w:i/>
                <w:iCs/>
                <w:vertAlign w:val="superscript"/>
              </w:rPr>
              <w:t>3</w:t>
            </w:r>
          </w:p>
        </w:tc>
        <w:tc>
          <w:tcPr>
            <w:tcW w:w="663" w:type="pct"/>
            <w:shd w:val="clear" w:color="auto" w:fill="auto"/>
            <w:vAlign w:val="center"/>
          </w:tcPr>
          <w:p w14:paraId="32B7ECD7" w14:textId="24D421D5" w:rsidR="0019649C" w:rsidRPr="00F23EA5" w:rsidRDefault="00696519" w:rsidP="00F1122F">
            <w:pPr>
              <w:pStyle w:val="TableText0"/>
              <w:jc w:val="center"/>
              <w:rPr>
                <w:i/>
                <w:iCs/>
                <w:highlight w:val="darkGray"/>
              </w:rPr>
            </w:pPr>
            <w:r w:rsidRPr="00696519">
              <w:rPr>
                <w:i/>
                <w:iCs/>
              </w:rPr>
              <w:t xml:space="preserve"> </w:t>
            </w:r>
            <w:r w:rsidRPr="00696519">
              <w:rPr>
                <w:rFonts w:hint="eastAsia"/>
                <w:i/>
                <w:iCs/>
                <w:color w:val="000000"/>
                <w:w w:val="15"/>
                <w:shd w:val="solid" w:color="000000" w:fill="000000"/>
                <w:fitText w:val="30" w:id="-1032088832"/>
                <w14:textFill>
                  <w14:solidFill>
                    <w14:srgbClr w14:val="000000">
                      <w14:alpha w14:val="100000"/>
                    </w14:srgbClr>
                  </w14:solidFill>
                </w14:textFill>
              </w:rPr>
              <w:t xml:space="preserve">　</w:t>
            </w:r>
            <w:r w:rsidRPr="00696519">
              <w:rPr>
                <w:i/>
                <w:iCs/>
                <w:color w:val="000000"/>
                <w:w w:val="15"/>
                <w:shd w:val="solid" w:color="000000" w:fill="000000"/>
                <w:fitText w:val="30" w:id="-1032088832"/>
                <w14:textFill>
                  <w14:solidFill>
                    <w14:srgbClr w14:val="000000">
                      <w14:alpha w14:val="100000"/>
                    </w14:srgbClr>
                  </w14:solidFill>
                </w14:textFill>
              </w:rPr>
              <w:t>|</w:t>
            </w:r>
            <w:r w:rsidRPr="00696519">
              <w:rPr>
                <w:rFonts w:hint="eastAsia"/>
                <w:i/>
                <w:iCs/>
                <w:color w:val="000000"/>
                <w:spacing w:val="-35"/>
                <w:w w:val="15"/>
                <w:shd w:val="solid" w:color="000000" w:fill="000000"/>
                <w:fitText w:val="30" w:id="-1032088832"/>
                <w14:textFill>
                  <w14:solidFill>
                    <w14:srgbClr w14:val="000000">
                      <w14:alpha w14:val="100000"/>
                    </w14:srgbClr>
                  </w14:solidFill>
                </w14:textFill>
              </w:rPr>
              <w:t xml:space="preserve">　</w:t>
            </w:r>
            <w:r w:rsidR="00C715FA" w:rsidRPr="00EB7BFE">
              <w:rPr>
                <w:i/>
                <w:iCs/>
                <w:vertAlign w:val="superscript"/>
              </w:rPr>
              <w:t>3</w:t>
            </w:r>
          </w:p>
        </w:tc>
        <w:tc>
          <w:tcPr>
            <w:tcW w:w="664" w:type="pct"/>
            <w:vAlign w:val="center"/>
          </w:tcPr>
          <w:p w14:paraId="5505C627" w14:textId="225133A8" w:rsidR="0019649C" w:rsidRPr="00F23EA5" w:rsidRDefault="00696519" w:rsidP="00F1122F">
            <w:pPr>
              <w:pStyle w:val="TableText0"/>
              <w:jc w:val="center"/>
              <w:rPr>
                <w:i/>
                <w:iCs/>
                <w:highlight w:val="darkGray"/>
              </w:rPr>
            </w:pPr>
            <w:r w:rsidRPr="00696519">
              <w:rPr>
                <w:i/>
                <w:iCs/>
              </w:rPr>
              <w:t xml:space="preserve"> </w:t>
            </w:r>
            <w:r w:rsidRPr="00696519">
              <w:rPr>
                <w:rFonts w:hint="eastAsia"/>
                <w:i/>
                <w:iCs/>
                <w:color w:val="000000"/>
                <w:w w:val="15"/>
                <w:shd w:val="solid" w:color="000000" w:fill="000000"/>
                <w:fitText w:val="30" w:id="-1032088831"/>
                <w14:textFill>
                  <w14:solidFill>
                    <w14:srgbClr w14:val="000000">
                      <w14:alpha w14:val="100000"/>
                    </w14:srgbClr>
                  </w14:solidFill>
                </w14:textFill>
              </w:rPr>
              <w:t xml:space="preserve">　</w:t>
            </w:r>
            <w:r w:rsidRPr="00696519">
              <w:rPr>
                <w:i/>
                <w:iCs/>
                <w:color w:val="000000"/>
                <w:w w:val="15"/>
                <w:shd w:val="solid" w:color="000000" w:fill="000000"/>
                <w:fitText w:val="30" w:id="-1032088831"/>
                <w14:textFill>
                  <w14:solidFill>
                    <w14:srgbClr w14:val="000000">
                      <w14:alpha w14:val="100000"/>
                    </w14:srgbClr>
                  </w14:solidFill>
                </w14:textFill>
              </w:rPr>
              <w:t>|</w:t>
            </w:r>
            <w:r w:rsidRPr="00696519">
              <w:rPr>
                <w:rFonts w:hint="eastAsia"/>
                <w:i/>
                <w:iCs/>
                <w:color w:val="000000"/>
                <w:spacing w:val="-35"/>
                <w:w w:val="15"/>
                <w:shd w:val="solid" w:color="000000" w:fill="000000"/>
                <w:fitText w:val="30" w:id="-1032088831"/>
                <w14:textFill>
                  <w14:solidFill>
                    <w14:srgbClr w14:val="000000">
                      <w14:alpha w14:val="100000"/>
                    </w14:srgbClr>
                  </w14:solidFill>
                </w14:textFill>
              </w:rPr>
              <w:t xml:space="preserve">　</w:t>
            </w:r>
            <w:r w:rsidR="00C715FA" w:rsidRPr="00EB7BFE">
              <w:rPr>
                <w:i/>
                <w:iCs/>
                <w:vertAlign w:val="superscript"/>
              </w:rPr>
              <w:t>3</w:t>
            </w:r>
          </w:p>
        </w:tc>
      </w:tr>
      <w:tr w:rsidR="0019649C" w:rsidRPr="00484AE9" w14:paraId="43D68266" w14:textId="77777777" w:rsidTr="00F1122F">
        <w:tc>
          <w:tcPr>
            <w:tcW w:w="1019" w:type="pct"/>
            <w:shd w:val="clear" w:color="auto" w:fill="auto"/>
            <w:vAlign w:val="center"/>
          </w:tcPr>
          <w:p w14:paraId="7561E540" w14:textId="77777777" w:rsidR="0019649C" w:rsidRPr="00484AE9" w:rsidRDefault="0019649C" w:rsidP="00F1122F">
            <w:pPr>
              <w:pStyle w:val="TableText0"/>
              <w:rPr>
                <w:rFonts w:ascii="Times" w:hAnsi="Times"/>
              </w:rPr>
            </w:pPr>
            <w:r w:rsidRPr="00484AE9">
              <w:t>Number of prescriptions dispensed for nirmatrelvir and ritonavir</w:t>
            </w:r>
            <w:r w:rsidRPr="00484AE9">
              <w:rPr>
                <w:vertAlign w:val="superscript"/>
              </w:rPr>
              <w:t>a</w:t>
            </w:r>
            <w:r w:rsidRPr="00484AE9">
              <w:t xml:space="preserve"> </w:t>
            </w:r>
          </w:p>
        </w:tc>
        <w:tc>
          <w:tcPr>
            <w:tcW w:w="663" w:type="pct"/>
            <w:shd w:val="clear" w:color="auto" w:fill="auto"/>
            <w:vAlign w:val="center"/>
          </w:tcPr>
          <w:p w14:paraId="47A4BC3D" w14:textId="7186F1AF" w:rsidR="0019649C" w:rsidRPr="00F23EA5" w:rsidRDefault="00696519" w:rsidP="00F1122F">
            <w:pPr>
              <w:pStyle w:val="TableText0"/>
              <w:jc w:val="center"/>
              <w:rPr>
                <w:highlight w:val="darkGray"/>
              </w:rPr>
            </w:pPr>
            <w:r w:rsidRPr="00696519">
              <w:t xml:space="preserve"> </w:t>
            </w:r>
            <w:r w:rsidRPr="00696519">
              <w:rPr>
                <w:rFonts w:hint="eastAsia"/>
                <w:color w:val="000000"/>
                <w:w w:val="15"/>
                <w:shd w:val="solid" w:color="000000" w:fill="000000"/>
                <w:fitText w:val="30" w:id="-1032088830"/>
                <w14:textFill>
                  <w14:solidFill>
                    <w14:srgbClr w14:val="000000">
                      <w14:alpha w14:val="100000"/>
                    </w14:srgbClr>
                  </w14:solidFill>
                </w14:textFill>
              </w:rPr>
              <w:t xml:space="preserve">　</w:t>
            </w:r>
            <w:r w:rsidRPr="00696519">
              <w:rPr>
                <w:color w:val="000000"/>
                <w:w w:val="15"/>
                <w:shd w:val="solid" w:color="000000" w:fill="000000"/>
                <w:fitText w:val="30" w:id="-1032088830"/>
                <w14:textFill>
                  <w14:solidFill>
                    <w14:srgbClr w14:val="000000">
                      <w14:alpha w14:val="100000"/>
                    </w14:srgbClr>
                  </w14:solidFill>
                </w14:textFill>
              </w:rPr>
              <w:t>|</w:t>
            </w:r>
            <w:r w:rsidRPr="00696519">
              <w:rPr>
                <w:rFonts w:hint="eastAsia"/>
                <w:color w:val="000000"/>
                <w:spacing w:val="-35"/>
                <w:w w:val="15"/>
                <w:shd w:val="solid" w:color="000000" w:fill="000000"/>
                <w:fitText w:val="30" w:id="-1032088830"/>
                <w14:textFill>
                  <w14:solidFill>
                    <w14:srgbClr w14:val="000000">
                      <w14:alpha w14:val="100000"/>
                    </w14:srgbClr>
                  </w14:solidFill>
                </w14:textFill>
              </w:rPr>
              <w:t xml:space="preserve">　</w:t>
            </w:r>
            <w:r w:rsidR="00C715FA">
              <w:rPr>
                <w:szCs w:val="20"/>
                <w:vertAlign w:val="superscript"/>
              </w:rPr>
              <w:t>4</w:t>
            </w:r>
          </w:p>
        </w:tc>
        <w:tc>
          <w:tcPr>
            <w:tcW w:w="664" w:type="pct"/>
            <w:shd w:val="clear" w:color="auto" w:fill="auto"/>
            <w:vAlign w:val="center"/>
          </w:tcPr>
          <w:p w14:paraId="15D650E5" w14:textId="06B14893" w:rsidR="0019649C" w:rsidRPr="00F23EA5" w:rsidRDefault="00696519" w:rsidP="00F1122F">
            <w:pPr>
              <w:pStyle w:val="TableText0"/>
              <w:jc w:val="center"/>
              <w:rPr>
                <w:highlight w:val="darkGray"/>
              </w:rPr>
            </w:pPr>
            <w:r w:rsidRPr="00696519">
              <w:t xml:space="preserve"> </w:t>
            </w:r>
            <w:r w:rsidRPr="00696519">
              <w:rPr>
                <w:rFonts w:hint="eastAsia"/>
                <w:color w:val="000000"/>
                <w:w w:val="15"/>
                <w:shd w:val="solid" w:color="000000" w:fill="000000"/>
                <w:fitText w:val="30" w:id="-1032088829"/>
                <w14:textFill>
                  <w14:solidFill>
                    <w14:srgbClr w14:val="000000">
                      <w14:alpha w14:val="100000"/>
                    </w14:srgbClr>
                  </w14:solidFill>
                </w14:textFill>
              </w:rPr>
              <w:t xml:space="preserve">　</w:t>
            </w:r>
            <w:r w:rsidRPr="00696519">
              <w:rPr>
                <w:color w:val="000000"/>
                <w:w w:val="15"/>
                <w:shd w:val="solid" w:color="000000" w:fill="000000"/>
                <w:fitText w:val="30" w:id="-1032088829"/>
                <w14:textFill>
                  <w14:solidFill>
                    <w14:srgbClr w14:val="000000">
                      <w14:alpha w14:val="100000"/>
                    </w14:srgbClr>
                  </w14:solidFill>
                </w14:textFill>
              </w:rPr>
              <w:t>|</w:t>
            </w:r>
            <w:r w:rsidRPr="00696519">
              <w:rPr>
                <w:rFonts w:hint="eastAsia"/>
                <w:color w:val="000000"/>
                <w:spacing w:val="-35"/>
                <w:w w:val="15"/>
                <w:shd w:val="solid" w:color="000000" w:fill="000000"/>
                <w:fitText w:val="30" w:id="-1032088829"/>
                <w14:textFill>
                  <w14:solidFill>
                    <w14:srgbClr w14:val="000000">
                      <w14:alpha w14:val="100000"/>
                    </w14:srgbClr>
                  </w14:solidFill>
                </w14:textFill>
              </w:rPr>
              <w:t xml:space="preserve">　</w:t>
            </w:r>
            <w:r w:rsidR="00C715FA">
              <w:rPr>
                <w:vertAlign w:val="superscript"/>
              </w:rPr>
              <w:t>5</w:t>
            </w:r>
          </w:p>
        </w:tc>
        <w:tc>
          <w:tcPr>
            <w:tcW w:w="663" w:type="pct"/>
            <w:shd w:val="clear" w:color="auto" w:fill="auto"/>
            <w:vAlign w:val="center"/>
          </w:tcPr>
          <w:p w14:paraId="59EA27C6" w14:textId="0944C3CD" w:rsidR="0019649C" w:rsidRPr="00F23EA5" w:rsidRDefault="00696519" w:rsidP="00F1122F">
            <w:pPr>
              <w:pStyle w:val="TableText0"/>
              <w:jc w:val="center"/>
              <w:rPr>
                <w:highlight w:val="darkGray"/>
              </w:rPr>
            </w:pPr>
            <w:r w:rsidRPr="00696519">
              <w:t xml:space="preserve"> </w:t>
            </w:r>
            <w:r w:rsidRPr="00696519">
              <w:rPr>
                <w:rFonts w:hint="eastAsia"/>
                <w:color w:val="000000"/>
                <w:w w:val="15"/>
                <w:shd w:val="solid" w:color="000000" w:fill="000000"/>
                <w:fitText w:val="30" w:id="-1032088828"/>
                <w14:textFill>
                  <w14:solidFill>
                    <w14:srgbClr w14:val="000000">
                      <w14:alpha w14:val="100000"/>
                    </w14:srgbClr>
                  </w14:solidFill>
                </w14:textFill>
              </w:rPr>
              <w:t xml:space="preserve">　</w:t>
            </w:r>
            <w:r w:rsidRPr="00696519">
              <w:rPr>
                <w:color w:val="000000"/>
                <w:w w:val="15"/>
                <w:shd w:val="solid" w:color="000000" w:fill="000000"/>
                <w:fitText w:val="30" w:id="-1032088828"/>
                <w14:textFill>
                  <w14:solidFill>
                    <w14:srgbClr w14:val="000000">
                      <w14:alpha w14:val="100000"/>
                    </w14:srgbClr>
                  </w14:solidFill>
                </w14:textFill>
              </w:rPr>
              <w:t>|</w:t>
            </w:r>
            <w:r w:rsidRPr="00696519">
              <w:rPr>
                <w:rFonts w:hint="eastAsia"/>
                <w:color w:val="000000"/>
                <w:spacing w:val="-35"/>
                <w:w w:val="15"/>
                <w:shd w:val="solid" w:color="000000" w:fill="000000"/>
                <w:fitText w:val="30" w:id="-1032088828"/>
                <w14:textFill>
                  <w14:solidFill>
                    <w14:srgbClr w14:val="000000">
                      <w14:alpha w14:val="100000"/>
                    </w14:srgbClr>
                  </w14:solidFill>
                </w14:textFill>
              </w:rPr>
              <w:t xml:space="preserve">　</w:t>
            </w:r>
            <w:r w:rsidR="00C715FA">
              <w:rPr>
                <w:szCs w:val="20"/>
                <w:vertAlign w:val="superscript"/>
              </w:rPr>
              <w:t>6</w:t>
            </w:r>
          </w:p>
        </w:tc>
        <w:tc>
          <w:tcPr>
            <w:tcW w:w="664" w:type="pct"/>
            <w:shd w:val="clear" w:color="auto" w:fill="auto"/>
            <w:vAlign w:val="center"/>
          </w:tcPr>
          <w:p w14:paraId="0704B4D2" w14:textId="49B2036F" w:rsidR="0019649C" w:rsidRPr="00F23EA5" w:rsidRDefault="00696519" w:rsidP="00F1122F">
            <w:pPr>
              <w:pStyle w:val="TableText0"/>
              <w:jc w:val="center"/>
              <w:rPr>
                <w:highlight w:val="darkGray"/>
              </w:rPr>
            </w:pPr>
            <w:r w:rsidRPr="00696519">
              <w:t xml:space="preserve"> </w:t>
            </w:r>
            <w:r w:rsidRPr="00696519">
              <w:rPr>
                <w:rFonts w:hint="eastAsia"/>
                <w:color w:val="000000"/>
                <w:w w:val="15"/>
                <w:shd w:val="solid" w:color="000000" w:fill="000000"/>
                <w:fitText w:val="30" w:id="-1032088827"/>
                <w14:textFill>
                  <w14:solidFill>
                    <w14:srgbClr w14:val="000000">
                      <w14:alpha w14:val="100000"/>
                    </w14:srgbClr>
                  </w14:solidFill>
                </w14:textFill>
              </w:rPr>
              <w:t xml:space="preserve">　</w:t>
            </w:r>
            <w:r w:rsidRPr="00696519">
              <w:rPr>
                <w:color w:val="000000"/>
                <w:w w:val="15"/>
                <w:shd w:val="solid" w:color="000000" w:fill="000000"/>
                <w:fitText w:val="30" w:id="-1032088827"/>
                <w14:textFill>
                  <w14:solidFill>
                    <w14:srgbClr w14:val="000000">
                      <w14:alpha w14:val="100000"/>
                    </w14:srgbClr>
                  </w14:solidFill>
                </w14:textFill>
              </w:rPr>
              <w:t>|</w:t>
            </w:r>
            <w:r w:rsidRPr="00696519">
              <w:rPr>
                <w:rFonts w:hint="eastAsia"/>
                <w:color w:val="000000"/>
                <w:spacing w:val="-35"/>
                <w:w w:val="15"/>
                <w:shd w:val="solid" w:color="000000" w:fill="000000"/>
                <w:fitText w:val="30" w:id="-1032088827"/>
                <w14:textFill>
                  <w14:solidFill>
                    <w14:srgbClr w14:val="000000">
                      <w14:alpha w14:val="100000"/>
                    </w14:srgbClr>
                  </w14:solidFill>
                </w14:textFill>
              </w:rPr>
              <w:t xml:space="preserve">　</w:t>
            </w:r>
            <w:r w:rsidR="00C715FA">
              <w:rPr>
                <w:vertAlign w:val="superscript"/>
              </w:rPr>
              <w:t>7</w:t>
            </w:r>
          </w:p>
        </w:tc>
        <w:tc>
          <w:tcPr>
            <w:tcW w:w="663" w:type="pct"/>
            <w:shd w:val="clear" w:color="auto" w:fill="auto"/>
            <w:vAlign w:val="center"/>
          </w:tcPr>
          <w:p w14:paraId="5A998041" w14:textId="3CEE4E89" w:rsidR="0019649C" w:rsidRPr="00F23EA5" w:rsidRDefault="00696519" w:rsidP="00F1122F">
            <w:pPr>
              <w:pStyle w:val="TableText0"/>
              <w:jc w:val="center"/>
              <w:rPr>
                <w:highlight w:val="darkGray"/>
              </w:rPr>
            </w:pPr>
            <w:r w:rsidRPr="00696519">
              <w:t xml:space="preserve"> </w:t>
            </w:r>
            <w:r w:rsidRPr="00696519">
              <w:rPr>
                <w:rFonts w:hint="eastAsia"/>
                <w:color w:val="000000"/>
                <w:w w:val="15"/>
                <w:shd w:val="solid" w:color="000000" w:fill="000000"/>
                <w:fitText w:val="30" w:id="-1032088826"/>
                <w14:textFill>
                  <w14:solidFill>
                    <w14:srgbClr w14:val="000000">
                      <w14:alpha w14:val="100000"/>
                    </w14:srgbClr>
                  </w14:solidFill>
                </w14:textFill>
              </w:rPr>
              <w:t xml:space="preserve">　</w:t>
            </w:r>
            <w:r w:rsidRPr="00696519">
              <w:rPr>
                <w:color w:val="000000"/>
                <w:w w:val="15"/>
                <w:shd w:val="solid" w:color="000000" w:fill="000000"/>
                <w:fitText w:val="30" w:id="-1032088826"/>
                <w14:textFill>
                  <w14:solidFill>
                    <w14:srgbClr w14:val="000000">
                      <w14:alpha w14:val="100000"/>
                    </w14:srgbClr>
                  </w14:solidFill>
                </w14:textFill>
              </w:rPr>
              <w:t>|</w:t>
            </w:r>
            <w:r w:rsidRPr="00696519">
              <w:rPr>
                <w:rFonts w:hint="eastAsia"/>
                <w:color w:val="000000"/>
                <w:spacing w:val="-35"/>
                <w:w w:val="15"/>
                <w:shd w:val="solid" w:color="000000" w:fill="000000"/>
                <w:fitText w:val="30" w:id="-1032088826"/>
                <w14:textFill>
                  <w14:solidFill>
                    <w14:srgbClr w14:val="000000">
                      <w14:alpha w14:val="100000"/>
                    </w14:srgbClr>
                  </w14:solidFill>
                </w14:textFill>
              </w:rPr>
              <w:t xml:space="preserve">　</w:t>
            </w:r>
            <w:r w:rsidR="00C715FA">
              <w:rPr>
                <w:vertAlign w:val="superscript"/>
              </w:rPr>
              <w:t>7</w:t>
            </w:r>
          </w:p>
        </w:tc>
        <w:tc>
          <w:tcPr>
            <w:tcW w:w="664" w:type="pct"/>
            <w:vAlign w:val="center"/>
          </w:tcPr>
          <w:p w14:paraId="4DDA1EA5" w14:textId="437EB47C" w:rsidR="0019649C" w:rsidRPr="00F23EA5" w:rsidRDefault="00696519" w:rsidP="00F1122F">
            <w:pPr>
              <w:pStyle w:val="TableText0"/>
              <w:jc w:val="center"/>
              <w:rPr>
                <w:highlight w:val="darkGray"/>
              </w:rPr>
            </w:pPr>
            <w:r w:rsidRPr="00696519">
              <w:t xml:space="preserve"> </w:t>
            </w:r>
            <w:r w:rsidRPr="00696519">
              <w:rPr>
                <w:rFonts w:hint="eastAsia"/>
                <w:color w:val="000000"/>
                <w:w w:val="15"/>
                <w:shd w:val="solid" w:color="000000" w:fill="000000"/>
                <w:fitText w:val="30" w:id="-1032088825"/>
                <w14:textFill>
                  <w14:solidFill>
                    <w14:srgbClr w14:val="000000">
                      <w14:alpha w14:val="100000"/>
                    </w14:srgbClr>
                  </w14:solidFill>
                </w14:textFill>
              </w:rPr>
              <w:t xml:space="preserve">　</w:t>
            </w:r>
            <w:r w:rsidRPr="00696519">
              <w:rPr>
                <w:color w:val="000000"/>
                <w:w w:val="15"/>
                <w:shd w:val="solid" w:color="000000" w:fill="000000"/>
                <w:fitText w:val="30" w:id="-1032088825"/>
                <w14:textFill>
                  <w14:solidFill>
                    <w14:srgbClr w14:val="000000">
                      <w14:alpha w14:val="100000"/>
                    </w14:srgbClr>
                  </w14:solidFill>
                </w14:textFill>
              </w:rPr>
              <w:t>|</w:t>
            </w:r>
            <w:r w:rsidRPr="00696519">
              <w:rPr>
                <w:rFonts w:hint="eastAsia"/>
                <w:color w:val="000000"/>
                <w:spacing w:val="-35"/>
                <w:w w:val="15"/>
                <w:shd w:val="solid" w:color="000000" w:fill="000000"/>
                <w:fitText w:val="30" w:id="-1032088825"/>
                <w14:textFill>
                  <w14:solidFill>
                    <w14:srgbClr w14:val="000000">
                      <w14:alpha w14:val="100000"/>
                    </w14:srgbClr>
                  </w14:solidFill>
                </w14:textFill>
              </w:rPr>
              <w:t xml:space="preserve">　</w:t>
            </w:r>
            <w:r w:rsidR="00C715FA">
              <w:rPr>
                <w:vertAlign w:val="superscript"/>
              </w:rPr>
              <w:t>7</w:t>
            </w:r>
          </w:p>
        </w:tc>
      </w:tr>
      <w:tr w:rsidR="0019649C" w:rsidRPr="00484AE9" w14:paraId="3EFC6455" w14:textId="77777777" w:rsidTr="00F1122F">
        <w:tc>
          <w:tcPr>
            <w:tcW w:w="5000" w:type="pct"/>
            <w:gridSpan w:val="7"/>
            <w:shd w:val="clear" w:color="auto" w:fill="auto"/>
            <w:vAlign w:val="center"/>
          </w:tcPr>
          <w:p w14:paraId="17555075" w14:textId="77777777" w:rsidR="0019649C" w:rsidRPr="00484AE9" w:rsidRDefault="0019649C" w:rsidP="00F1122F">
            <w:pPr>
              <w:pStyle w:val="In-tableHeading"/>
              <w:rPr>
                <w:lang w:val="en-AU"/>
              </w:rPr>
            </w:pPr>
            <w:r w:rsidRPr="00484AE9">
              <w:rPr>
                <w:lang w:val="en-AU"/>
              </w:rPr>
              <w:t>Estimated financial implications of nirmatrelvir and ritonavir</w:t>
            </w:r>
          </w:p>
        </w:tc>
      </w:tr>
      <w:tr w:rsidR="0019649C" w:rsidRPr="00484AE9" w14:paraId="27180148" w14:textId="77777777" w:rsidTr="00F1122F">
        <w:tc>
          <w:tcPr>
            <w:tcW w:w="1019" w:type="pct"/>
            <w:shd w:val="clear" w:color="auto" w:fill="auto"/>
            <w:vAlign w:val="center"/>
          </w:tcPr>
          <w:p w14:paraId="73A1E3D2" w14:textId="24F3BB14" w:rsidR="0019649C" w:rsidRPr="00484AE9" w:rsidRDefault="0019649C" w:rsidP="00F1122F">
            <w:pPr>
              <w:pStyle w:val="TableText0"/>
              <w:rPr>
                <w:sz w:val="19"/>
                <w:szCs w:val="19"/>
              </w:rPr>
            </w:pPr>
            <w:r w:rsidRPr="00484AE9">
              <w:rPr>
                <w:sz w:val="19"/>
                <w:szCs w:val="19"/>
              </w:rPr>
              <w:t xml:space="preserve">Cost to PBS/RPBS less </w:t>
            </w:r>
            <w:r w:rsidR="00C82D49" w:rsidRPr="00484AE9">
              <w:rPr>
                <w:sz w:val="19"/>
                <w:szCs w:val="19"/>
              </w:rPr>
              <w:t>co-payments</w:t>
            </w:r>
          </w:p>
        </w:tc>
        <w:tc>
          <w:tcPr>
            <w:tcW w:w="663" w:type="pct"/>
            <w:shd w:val="clear" w:color="auto" w:fill="auto"/>
            <w:vAlign w:val="center"/>
          </w:tcPr>
          <w:p w14:paraId="24ADF26A" w14:textId="55DF06B4" w:rsidR="0019649C" w:rsidRPr="00F23EA5" w:rsidRDefault="00696519" w:rsidP="005455EF">
            <w:pPr>
              <w:pStyle w:val="TableText0"/>
              <w:jc w:val="right"/>
              <w:rPr>
                <w:sz w:val="18"/>
                <w:szCs w:val="22"/>
                <w:highlight w:val="darkGray"/>
              </w:rPr>
            </w:pPr>
            <w:r w:rsidRPr="00696519">
              <w:rPr>
                <w:sz w:val="18"/>
                <w:szCs w:val="22"/>
              </w:rPr>
              <w:t xml:space="preserve"> </w:t>
            </w:r>
            <w:r w:rsidRPr="00696519">
              <w:rPr>
                <w:color w:val="000000"/>
                <w:sz w:val="18"/>
                <w:szCs w:val="22"/>
                <w:shd w:val="solid" w:color="000000" w:fill="000000"/>
                <w14:textFill>
                  <w14:solidFill>
                    <w14:srgbClr w14:val="000000">
                      <w14:alpha w14:val="100000"/>
                    </w14:srgbClr>
                  </w14:solidFill>
                </w14:textFill>
              </w:rPr>
              <w:t>|</w:t>
            </w:r>
            <w:r w:rsidR="007D30AE">
              <w:rPr>
                <w:vertAlign w:val="superscript"/>
              </w:rPr>
              <w:t>8</w:t>
            </w:r>
          </w:p>
        </w:tc>
        <w:tc>
          <w:tcPr>
            <w:tcW w:w="664" w:type="pct"/>
            <w:shd w:val="clear" w:color="auto" w:fill="auto"/>
            <w:vAlign w:val="center"/>
          </w:tcPr>
          <w:p w14:paraId="4039A18D" w14:textId="33ABAD3F" w:rsidR="0019649C" w:rsidRPr="00F23EA5" w:rsidRDefault="00696519" w:rsidP="005455EF">
            <w:pPr>
              <w:pStyle w:val="TableText0"/>
              <w:jc w:val="right"/>
              <w:rPr>
                <w:sz w:val="18"/>
                <w:szCs w:val="22"/>
                <w:highlight w:val="darkGray"/>
              </w:rPr>
            </w:pPr>
            <w:r w:rsidRPr="00696519">
              <w:rPr>
                <w:sz w:val="18"/>
                <w:szCs w:val="22"/>
              </w:rPr>
              <w:t xml:space="preserve"> </w:t>
            </w:r>
            <w:r w:rsidRPr="00696519">
              <w:rPr>
                <w:color w:val="000000"/>
                <w:sz w:val="18"/>
                <w:szCs w:val="22"/>
                <w:shd w:val="solid" w:color="000000" w:fill="000000"/>
                <w14:textFill>
                  <w14:solidFill>
                    <w14:srgbClr w14:val="000000">
                      <w14:alpha w14:val="100000"/>
                    </w14:srgbClr>
                  </w14:solidFill>
                </w14:textFill>
              </w:rPr>
              <w:t>|</w:t>
            </w:r>
            <w:r w:rsidR="007D30AE">
              <w:rPr>
                <w:sz w:val="18"/>
                <w:szCs w:val="22"/>
                <w:vertAlign w:val="superscript"/>
              </w:rPr>
              <w:t>9</w:t>
            </w:r>
          </w:p>
        </w:tc>
        <w:tc>
          <w:tcPr>
            <w:tcW w:w="663" w:type="pct"/>
            <w:shd w:val="clear" w:color="auto" w:fill="auto"/>
            <w:vAlign w:val="center"/>
          </w:tcPr>
          <w:p w14:paraId="7DF77E47" w14:textId="6CA18708" w:rsidR="0019649C" w:rsidRPr="00F23EA5" w:rsidRDefault="00696519" w:rsidP="005455EF">
            <w:pPr>
              <w:pStyle w:val="TableText0"/>
              <w:jc w:val="right"/>
              <w:rPr>
                <w:sz w:val="18"/>
                <w:szCs w:val="22"/>
                <w:highlight w:val="darkGray"/>
              </w:rPr>
            </w:pPr>
            <w:r w:rsidRPr="00696519">
              <w:rPr>
                <w:sz w:val="18"/>
                <w:szCs w:val="22"/>
              </w:rPr>
              <w:t xml:space="preserve"> </w:t>
            </w:r>
            <w:r w:rsidRPr="00696519">
              <w:rPr>
                <w:color w:val="000000"/>
                <w:sz w:val="18"/>
                <w:szCs w:val="22"/>
                <w:shd w:val="solid" w:color="000000" w:fill="000000"/>
                <w14:textFill>
                  <w14:solidFill>
                    <w14:srgbClr w14:val="000000">
                      <w14:alpha w14:val="100000"/>
                    </w14:srgbClr>
                  </w14:solidFill>
                </w14:textFill>
              </w:rPr>
              <w:t>|</w:t>
            </w:r>
            <w:r w:rsidR="00F22828" w:rsidRPr="00F23EA5">
              <w:rPr>
                <w:sz w:val="18"/>
                <w:szCs w:val="22"/>
                <w:vertAlign w:val="superscript"/>
              </w:rPr>
              <w:t>1</w:t>
            </w:r>
            <w:r w:rsidR="007D30AE">
              <w:rPr>
                <w:sz w:val="18"/>
                <w:szCs w:val="22"/>
                <w:vertAlign w:val="superscript"/>
              </w:rPr>
              <w:t>0</w:t>
            </w:r>
          </w:p>
        </w:tc>
        <w:tc>
          <w:tcPr>
            <w:tcW w:w="664" w:type="pct"/>
            <w:shd w:val="clear" w:color="auto" w:fill="auto"/>
            <w:vAlign w:val="center"/>
          </w:tcPr>
          <w:p w14:paraId="1AB464C1" w14:textId="09B3DD00" w:rsidR="0019649C" w:rsidRPr="00F23EA5" w:rsidRDefault="00696519" w:rsidP="005455EF">
            <w:pPr>
              <w:pStyle w:val="TableText0"/>
              <w:jc w:val="right"/>
              <w:rPr>
                <w:sz w:val="18"/>
                <w:szCs w:val="22"/>
                <w:highlight w:val="darkGray"/>
              </w:rPr>
            </w:pPr>
            <w:r w:rsidRPr="00696519">
              <w:rPr>
                <w:sz w:val="18"/>
                <w:szCs w:val="22"/>
              </w:rPr>
              <w:t xml:space="preserve"> </w:t>
            </w:r>
            <w:r w:rsidRPr="00696519">
              <w:rPr>
                <w:color w:val="000000"/>
                <w:sz w:val="18"/>
                <w:szCs w:val="22"/>
                <w:shd w:val="solid" w:color="000000" w:fill="000000"/>
                <w14:textFill>
                  <w14:solidFill>
                    <w14:srgbClr w14:val="000000">
                      <w14:alpha w14:val="100000"/>
                    </w14:srgbClr>
                  </w14:solidFill>
                </w14:textFill>
              </w:rPr>
              <w:t>|</w:t>
            </w:r>
            <w:r w:rsidR="00F22828" w:rsidRPr="00F23EA5">
              <w:rPr>
                <w:sz w:val="18"/>
                <w:szCs w:val="22"/>
                <w:vertAlign w:val="superscript"/>
              </w:rPr>
              <w:t>1</w:t>
            </w:r>
            <w:r w:rsidR="007D30AE">
              <w:rPr>
                <w:sz w:val="18"/>
                <w:szCs w:val="22"/>
                <w:vertAlign w:val="superscript"/>
              </w:rPr>
              <w:t>1</w:t>
            </w:r>
          </w:p>
        </w:tc>
        <w:tc>
          <w:tcPr>
            <w:tcW w:w="663" w:type="pct"/>
            <w:shd w:val="clear" w:color="auto" w:fill="auto"/>
            <w:vAlign w:val="center"/>
          </w:tcPr>
          <w:p w14:paraId="1589F670" w14:textId="40099EA5" w:rsidR="0019649C" w:rsidRPr="00F23EA5" w:rsidRDefault="00696519" w:rsidP="005455EF">
            <w:pPr>
              <w:pStyle w:val="TableText0"/>
              <w:jc w:val="right"/>
              <w:rPr>
                <w:sz w:val="18"/>
                <w:szCs w:val="22"/>
                <w:highlight w:val="darkGray"/>
              </w:rPr>
            </w:pPr>
            <w:r w:rsidRPr="00696519">
              <w:rPr>
                <w:sz w:val="18"/>
                <w:szCs w:val="22"/>
              </w:rPr>
              <w:t xml:space="preserve"> </w:t>
            </w:r>
            <w:r w:rsidRPr="00696519">
              <w:rPr>
                <w:color w:val="000000"/>
                <w:sz w:val="18"/>
                <w:szCs w:val="22"/>
                <w:shd w:val="solid" w:color="000000" w:fill="000000"/>
                <w14:textFill>
                  <w14:solidFill>
                    <w14:srgbClr w14:val="000000">
                      <w14:alpha w14:val="100000"/>
                    </w14:srgbClr>
                  </w14:solidFill>
                </w14:textFill>
              </w:rPr>
              <w:t>|</w:t>
            </w:r>
            <w:r w:rsidR="00F22828" w:rsidRPr="0028793B">
              <w:rPr>
                <w:sz w:val="18"/>
                <w:szCs w:val="22"/>
                <w:vertAlign w:val="superscript"/>
              </w:rPr>
              <w:t>1</w:t>
            </w:r>
            <w:r w:rsidR="007D30AE">
              <w:rPr>
                <w:sz w:val="18"/>
                <w:szCs w:val="22"/>
                <w:vertAlign w:val="superscript"/>
              </w:rPr>
              <w:t>1</w:t>
            </w:r>
          </w:p>
        </w:tc>
        <w:tc>
          <w:tcPr>
            <w:tcW w:w="664" w:type="pct"/>
            <w:vAlign w:val="center"/>
          </w:tcPr>
          <w:p w14:paraId="68BFF49C" w14:textId="59B40D3B" w:rsidR="0019649C" w:rsidRPr="00F23EA5" w:rsidRDefault="00696519" w:rsidP="005455EF">
            <w:pPr>
              <w:pStyle w:val="TableText0"/>
              <w:jc w:val="right"/>
              <w:rPr>
                <w:sz w:val="18"/>
                <w:szCs w:val="22"/>
                <w:highlight w:val="darkGray"/>
              </w:rPr>
            </w:pPr>
            <w:r w:rsidRPr="00696519">
              <w:rPr>
                <w:sz w:val="18"/>
                <w:szCs w:val="22"/>
              </w:rPr>
              <w:t xml:space="preserve"> </w:t>
            </w:r>
            <w:r w:rsidRPr="00696519">
              <w:rPr>
                <w:color w:val="000000"/>
                <w:sz w:val="18"/>
                <w:szCs w:val="22"/>
                <w:shd w:val="solid" w:color="000000" w:fill="000000"/>
                <w14:textFill>
                  <w14:solidFill>
                    <w14:srgbClr w14:val="000000">
                      <w14:alpha w14:val="100000"/>
                    </w14:srgbClr>
                  </w14:solidFill>
                </w14:textFill>
              </w:rPr>
              <w:t>|</w:t>
            </w:r>
            <w:r w:rsidR="00F22828" w:rsidRPr="0028793B">
              <w:rPr>
                <w:sz w:val="18"/>
                <w:szCs w:val="22"/>
                <w:vertAlign w:val="superscript"/>
              </w:rPr>
              <w:t>1</w:t>
            </w:r>
            <w:r w:rsidR="007D30AE">
              <w:rPr>
                <w:sz w:val="18"/>
                <w:szCs w:val="22"/>
                <w:vertAlign w:val="superscript"/>
              </w:rPr>
              <w:t>1</w:t>
            </w:r>
          </w:p>
        </w:tc>
      </w:tr>
      <w:tr w:rsidR="0019649C" w:rsidRPr="00484AE9" w14:paraId="1935E600" w14:textId="77777777" w:rsidTr="00F1122F">
        <w:tc>
          <w:tcPr>
            <w:tcW w:w="5000" w:type="pct"/>
            <w:gridSpan w:val="7"/>
            <w:shd w:val="clear" w:color="auto" w:fill="auto"/>
            <w:vAlign w:val="center"/>
          </w:tcPr>
          <w:p w14:paraId="5EF5DD41" w14:textId="77777777" w:rsidR="0019649C" w:rsidRPr="00484AE9" w:rsidRDefault="0019649C" w:rsidP="00F1122F">
            <w:pPr>
              <w:pStyle w:val="TableText0"/>
              <w:rPr>
                <w:b/>
                <w:bCs w:val="0"/>
              </w:rPr>
            </w:pPr>
            <w:r w:rsidRPr="00484AE9">
              <w:rPr>
                <w:b/>
                <w:bCs w:val="0"/>
              </w:rPr>
              <w:t>Estimated financial implications for molnupiravir</w:t>
            </w:r>
          </w:p>
        </w:tc>
      </w:tr>
      <w:tr w:rsidR="0019649C" w:rsidRPr="00484AE9" w14:paraId="4047D28F" w14:textId="77777777" w:rsidTr="00F1122F">
        <w:tc>
          <w:tcPr>
            <w:tcW w:w="1019" w:type="pct"/>
            <w:shd w:val="clear" w:color="auto" w:fill="auto"/>
            <w:vAlign w:val="center"/>
          </w:tcPr>
          <w:p w14:paraId="43C54A3E" w14:textId="60E90585" w:rsidR="0019649C" w:rsidRPr="00484AE9" w:rsidRDefault="0019649C" w:rsidP="00F1122F">
            <w:pPr>
              <w:pStyle w:val="TableText0"/>
              <w:rPr>
                <w:sz w:val="19"/>
                <w:szCs w:val="19"/>
              </w:rPr>
            </w:pPr>
            <w:r w:rsidRPr="00484AE9">
              <w:rPr>
                <w:sz w:val="19"/>
                <w:szCs w:val="19"/>
              </w:rPr>
              <w:t xml:space="preserve">Cost to PBS/RPBS less </w:t>
            </w:r>
            <w:r w:rsidR="00C82D49" w:rsidRPr="00484AE9">
              <w:rPr>
                <w:sz w:val="19"/>
                <w:szCs w:val="19"/>
              </w:rPr>
              <w:t>co-payments</w:t>
            </w:r>
          </w:p>
        </w:tc>
        <w:tc>
          <w:tcPr>
            <w:tcW w:w="663" w:type="pct"/>
            <w:shd w:val="clear" w:color="auto" w:fill="auto"/>
            <w:vAlign w:val="center"/>
          </w:tcPr>
          <w:p w14:paraId="02BE07DD" w14:textId="66E1BCFC" w:rsidR="0019649C" w:rsidRPr="00F23EA5" w:rsidRDefault="00696519" w:rsidP="005455EF">
            <w:pPr>
              <w:pStyle w:val="TableText0"/>
              <w:jc w:val="right"/>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009944E1" w:rsidRPr="00F23EA5">
              <w:rPr>
                <w:vertAlign w:val="superscript"/>
              </w:rPr>
              <w:t>12</w:t>
            </w:r>
          </w:p>
        </w:tc>
        <w:tc>
          <w:tcPr>
            <w:tcW w:w="664" w:type="pct"/>
            <w:shd w:val="clear" w:color="auto" w:fill="auto"/>
            <w:vAlign w:val="center"/>
          </w:tcPr>
          <w:p w14:paraId="4F406CDF" w14:textId="6A3D58E5" w:rsidR="0019649C" w:rsidRPr="00F23EA5" w:rsidRDefault="00696519" w:rsidP="005455EF">
            <w:pPr>
              <w:pStyle w:val="TableText0"/>
              <w:jc w:val="right"/>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009944E1" w:rsidRPr="00EB7BFE">
              <w:rPr>
                <w:vertAlign w:val="superscript"/>
              </w:rPr>
              <w:t>12</w:t>
            </w:r>
          </w:p>
        </w:tc>
        <w:tc>
          <w:tcPr>
            <w:tcW w:w="663" w:type="pct"/>
            <w:shd w:val="clear" w:color="auto" w:fill="auto"/>
            <w:vAlign w:val="center"/>
          </w:tcPr>
          <w:p w14:paraId="759D7AB5" w14:textId="059F1436" w:rsidR="0019649C" w:rsidRPr="00F23EA5" w:rsidRDefault="00696519" w:rsidP="005455EF">
            <w:pPr>
              <w:pStyle w:val="TableText0"/>
              <w:jc w:val="right"/>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009944E1" w:rsidRPr="00EB7BFE">
              <w:rPr>
                <w:vertAlign w:val="superscript"/>
              </w:rPr>
              <w:t>12</w:t>
            </w:r>
          </w:p>
        </w:tc>
        <w:tc>
          <w:tcPr>
            <w:tcW w:w="664" w:type="pct"/>
            <w:shd w:val="clear" w:color="auto" w:fill="auto"/>
            <w:vAlign w:val="center"/>
          </w:tcPr>
          <w:p w14:paraId="35795E7A" w14:textId="73CB81EE" w:rsidR="0019649C" w:rsidRPr="00F23EA5" w:rsidRDefault="00696519" w:rsidP="005455EF">
            <w:pPr>
              <w:pStyle w:val="TableText0"/>
              <w:jc w:val="right"/>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009944E1" w:rsidRPr="00EB7BFE">
              <w:rPr>
                <w:vertAlign w:val="superscript"/>
              </w:rPr>
              <w:t>12</w:t>
            </w:r>
          </w:p>
        </w:tc>
        <w:tc>
          <w:tcPr>
            <w:tcW w:w="663" w:type="pct"/>
            <w:shd w:val="clear" w:color="auto" w:fill="auto"/>
            <w:vAlign w:val="center"/>
          </w:tcPr>
          <w:p w14:paraId="0C2A3761" w14:textId="4300A0A0" w:rsidR="0019649C" w:rsidRPr="00F23EA5" w:rsidRDefault="00696519" w:rsidP="005455EF">
            <w:pPr>
              <w:pStyle w:val="TableText0"/>
              <w:jc w:val="right"/>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009944E1" w:rsidRPr="00EB7BFE">
              <w:rPr>
                <w:vertAlign w:val="superscript"/>
              </w:rPr>
              <w:t>12</w:t>
            </w:r>
          </w:p>
        </w:tc>
        <w:tc>
          <w:tcPr>
            <w:tcW w:w="664" w:type="pct"/>
            <w:vAlign w:val="center"/>
          </w:tcPr>
          <w:p w14:paraId="4A9B3B89" w14:textId="0A7D4BBA" w:rsidR="0019649C" w:rsidRPr="00F23EA5" w:rsidRDefault="00696519" w:rsidP="005455EF">
            <w:pPr>
              <w:pStyle w:val="TableText0"/>
              <w:jc w:val="right"/>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009944E1" w:rsidRPr="00EB7BFE">
              <w:rPr>
                <w:vertAlign w:val="superscript"/>
              </w:rPr>
              <w:t>1</w:t>
            </w:r>
            <w:r w:rsidR="00FE2928">
              <w:rPr>
                <w:vertAlign w:val="superscript"/>
              </w:rPr>
              <w:t>2</w:t>
            </w:r>
          </w:p>
        </w:tc>
      </w:tr>
      <w:tr w:rsidR="0019649C" w:rsidRPr="00484AE9" w14:paraId="36C54484" w14:textId="77777777" w:rsidTr="00F1122F">
        <w:tc>
          <w:tcPr>
            <w:tcW w:w="5000" w:type="pct"/>
            <w:gridSpan w:val="7"/>
            <w:shd w:val="clear" w:color="auto" w:fill="auto"/>
            <w:vAlign w:val="center"/>
          </w:tcPr>
          <w:p w14:paraId="1E657EFC" w14:textId="77777777" w:rsidR="0019649C" w:rsidRPr="00484AE9" w:rsidRDefault="0019649C" w:rsidP="00F1122F">
            <w:pPr>
              <w:pStyle w:val="In-tableHeading"/>
              <w:rPr>
                <w:lang w:val="en-AU"/>
              </w:rPr>
            </w:pPr>
            <w:r w:rsidRPr="00484AE9">
              <w:rPr>
                <w:lang w:val="en-AU"/>
              </w:rPr>
              <w:t>Net financial implications</w:t>
            </w:r>
          </w:p>
        </w:tc>
      </w:tr>
      <w:tr w:rsidR="0019649C" w:rsidRPr="00484AE9" w14:paraId="1D7FCCC4" w14:textId="77777777" w:rsidTr="00F1122F">
        <w:tc>
          <w:tcPr>
            <w:tcW w:w="1019" w:type="pct"/>
            <w:shd w:val="clear" w:color="auto" w:fill="auto"/>
            <w:vAlign w:val="center"/>
          </w:tcPr>
          <w:p w14:paraId="48E253EB" w14:textId="77777777" w:rsidR="0019649C" w:rsidRPr="00484AE9" w:rsidRDefault="0019649C" w:rsidP="00F1122F">
            <w:pPr>
              <w:pStyle w:val="TableText0"/>
              <w:rPr>
                <w:sz w:val="19"/>
                <w:szCs w:val="19"/>
              </w:rPr>
            </w:pPr>
            <w:r w:rsidRPr="00484AE9">
              <w:rPr>
                <w:sz w:val="19"/>
                <w:szCs w:val="19"/>
              </w:rPr>
              <w:t>Net cost to PBS/RPBS</w:t>
            </w:r>
          </w:p>
        </w:tc>
        <w:tc>
          <w:tcPr>
            <w:tcW w:w="663" w:type="pct"/>
            <w:shd w:val="clear" w:color="auto" w:fill="auto"/>
          </w:tcPr>
          <w:p w14:paraId="2DBA41A7" w14:textId="608F6274" w:rsidR="0019649C" w:rsidRPr="00F23EA5" w:rsidRDefault="00696519" w:rsidP="005455EF">
            <w:pPr>
              <w:pStyle w:val="TableText0"/>
              <w:jc w:val="right"/>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007D30AE">
              <w:rPr>
                <w:vertAlign w:val="superscript"/>
              </w:rPr>
              <w:t>1</w:t>
            </w:r>
            <w:r w:rsidR="00C74CAB">
              <w:rPr>
                <w:vertAlign w:val="superscript"/>
              </w:rPr>
              <w:t>3</w:t>
            </w:r>
          </w:p>
        </w:tc>
        <w:tc>
          <w:tcPr>
            <w:tcW w:w="664" w:type="pct"/>
            <w:shd w:val="clear" w:color="auto" w:fill="auto"/>
          </w:tcPr>
          <w:p w14:paraId="5D7570FE" w14:textId="4A22D3D0" w:rsidR="0019649C" w:rsidRPr="00F23EA5" w:rsidRDefault="00696519" w:rsidP="005455EF">
            <w:pPr>
              <w:pStyle w:val="TableText0"/>
              <w:jc w:val="right"/>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007D30AE">
              <w:rPr>
                <w:vertAlign w:val="superscript"/>
              </w:rPr>
              <w:t>1</w:t>
            </w:r>
            <w:r w:rsidR="00C74CAB">
              <w:rPr>
                <w:vertAlign w:val="superscript"/>
              </w:rPr>
              <w:t>3</w:t>
            </w:r>
          </w:p>
        </w:tc>
        <w:tc>
          <w:tcPr>
            <w:tcW w:w="663" w:type="pct"/>
            <w:shd w:val="clear" w:color="auto" w:fill="auto"/>
          </w:tcPr>
          <w:p w14:paraId="7D7CAB7E" w14:textId="2D941D58" w:rsidR="0019649C" w:rsidRPr="00F23EA5" w:rsidRDefault="00696519" w:rsidP="005455EF">
            <w:pPr>
              <w:pStyle w:val="TableText0"/>
              <w:jc w:val="right"/>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009944E1">
              <w:rPr>
                <w:vertAlign w:val="superscript"/>
              </w:rPr>
              <w:t>1</w:t>
            </w:r>
            <w:r w:rsidR="00C74CAB">
              <w:rPr>
                <w:vertAlign w:val="superscript"/>
              </w:rPr>
              <w:t>4</w:t>
            </w:r>
          </w:p>
        </w:tc>
        <w:tc>
          <w:tcPr>
            <w:tcW w:w="664" w:type="pct"/>
            <w:shd w:val="clear" w:color="auto" w:fill="auto"/>
          </w:tcPr>
          <w:p w14:paraId="32CBFE34" w14:textId="325474C8" w:rsidR="0019649C" w:rsidRPr="00F23EA5" w:rsidRDefault="00696519" w:rsidP="005455EF">
            <w:pPr>
              <w:pStyle w:val="TableText0"/>
              <w:jc w:val="right"/>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Pr="00696519">
              <w:t xml:space="preserve"> </w:t>
            </w:r>
            <w:r w:rsidR="005A63E5">
              <w:rPr>
                <w:vertAlign w:val="superscript"/>
              </w:rPr>
              <w:t>8</w:t>
            </w:r>
          </w:p>
        </w:tc>
        <w:tc>
          <w:tcPr>
            <w:tcW w:w="663" w:type="pct"/>
            <w:shd w:val="clear" w:color="auto" w:fill="auto"/>
          </w:tcPr>
          <w:p w14:paraId="56E3ED6D" w14:textId="2650A4D2" w:rsidR="0019649C" w:rsidRPr="00F23EA5" w:rsidRDefault="00696519" w:rsidP="005455EF">
            <w:pPr>
              <w:pStyle w:val="TableText0"/>
              <w:jc w:val="right"/>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Pr="00696519">
              <w:t xml:space="preserve"> </w:t>
            </w:r>
            <w:r w:rsidR="007D30AE">
              <w:rPr>
                <w:vertAlign w:val="superscript"/>
              </w:rPr>
              <w:t>8</w:t>
            </w:r>
          </w:p>
        </w:tc>
        <w:tc>
          <w:tcPr>
            <w:tcW w:w="664" w:type="pct"/>
          </w:tcPr>
          <w:p w14:paraId="011854F4" w14:textId="5AF3D2CD" w:rsidR="0019649C" w:rsidRPr="00F23EA5" w:rsidRDefault="00696519" w:rsidP="005455EF">
            <w:pPr>
              <w:pStyle w:val="TableText0"/>
              <w:jc w:val="right"/>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Pr="00696519">
              <w:t xml:space="preserve"> </w:t>
            </w:r>
            <w:r w:rsidR="007D30AE">
              <w:rPr>
                <w:vertAlign w:val="superscript"/>
              </w:rPr>
              <w:t>8</w:t>
            </w:r>
          </w:p>
        </w:tc>
      </w:tr>
      <w:tr w:rsidR="0019649C" w:rsidRPr="00484AE9" w14:paraId="65949EA8" w14:textId="77777777" w:rsidTr="00F1122F">
        <w:tc>
          <w:tcPr>
            <w:tcW w:w="1019" w:type="pct"/>
            <w:shd w:val="clear" w:color="auto" w:fill="auto"/>
            <w:vAlign w:val="center"/>
          </w:tcPr>
          <w:p w14:paraId="4ADF308E" w14:textId="77777777" w:rsidR="0019649C" w:rsidRPr="00484AE9" w:rsidRDefault="0019649C" w:rsidP="00F1122F">
            <w:pPr>
              <w:pStyle w:val="TableText0"/>
              <w:rPr>
                <w:rFonts w:ascii="Times" w:hAnsi="Times"/>
              </w:rPr>
            </w:pPr>
            <w:r w:rsidRPr="00484AE9">
              <w:rPr>
                <w:sz w:val="19"/>
                <w:szCs w:val="19"/>
              </w:rPr>
              <w:t>Net cost to MBS</w:t>
            </w:r>
          </w:p>
        </w:tc>
        <w:tc>
          <w:tcPr>
            <w:tcW w:w="663" w:type="pct"/>
            <w:shd w:val="clear" w:color="auto" w:fill="auto"/>
            <w:vAlign w:val="center"/>
          </w:tcPr>
          <w:p w14:paraId="6F568326" w14:textId="6818E4F6" w:rsidR="0019649C" w:rsidRPr="00F23EA5" w:rsidRDefault="00696519" w:rsidP="005455EF">
            <w:pPr>
              <w:pStyle w:val="TableText0"/>
              <w:jc w:val="right"/>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Pr="00696519">
              <w:t xml:space="preserve"> </w:t>
            </w:r>
            <w:r w:rsidR="009944E1">
              <w:rPr>
                <w:vertAlign w:val="superscript"/>
              </w:rPr>
              <w:t>1</w:t>
            </w:r>
            <w:r w:rsidR="005A63E5">
              <w:rPr>
                <w:vertAlign w:val="superscript"/>
              </w:rPr>
              <w:t>5</w:t>
            </w:r>
          </w:p>
        </w:tc>
        <w:tc>
          <w:tcPr>
            <w:tcW w:w="664" w:type="pct"/>
            <w:shd w:val="clear" w:color="auto" w:fill="auto"/>
            <w:vAlign w:val="center"/>
          </w:tcPr>
          <w:p w14:paraId="64F23CF1" w14:textId="0D1AE92E" w:rsidR="0019649C" w:rsidRPr="00F23EA5" w:rsidRDefault="00696519" w:rsidP="005455EF">
            <w:pPr>
              <w:pStyle w:val="TableText0"/>
              <w:jc w:val="right"/>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Pr="00696519">
              <w:t xml:space="preserve"> </w:t>
            </w:r>
            <w:r w:rsidR="005A63E5">
              <w:rPr>
                <w:vertAlign w:val="superscript"/>
              </w:rPr>
              <w:t>15</w:t>
            </w:r>
          </w:p>
        </w:tc>
        <w:tc>
          <w:tcPr>
            <w:tcW w:w="663" w:type="pct"/>
            <w:shd w:val="clear" w:color="auto" w:fill="auto"/>
            <w:vAlign w:val="center"/>
          </w:tcPr>
          <w:p w14:paraId="3C18D85F" w14:textId="61756540" w:rsidR="0019649C" w:rsidRPr="00F23EA5" w:rsidRDefault="00696519" w:rsidP="005455EF">
            <w:pPr>
              <w:pStyle w:val="TableText0"/>
              <w:jc w:val="right"/>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Pr="00696519">
              <w:t xml:space="preserve"> </w:t>
            </w:r>
            <w:r w:rsidR="005A63E5">
              <w:rPr>
                <w:vertAlign w:val="superscript"/>
              </w:rPr>
              <w:t>15</w:t>
            </w:r>
          </w:p>
        </w:tc>
        <w:tc>
          <w:tcPr>
            <w:tcW w:w="664" w:type="pct"/>
            <w:shd w:val="clear" w:color="auto" w:fill="auto"/>
            <w:vAlign w:val="center"/>
          </w:tcPr>
          <w:p w14:paraId="203180CA" w14:textId="05D45648" w:rsidR="0019649C" w:rsidRPr="00F23EA5" w:rsidRDefault="00696519" w:rsidP="005455EF">
            <w:pPr>
              <w:pStyle w:val="TableText0"/>
              <w:jc w:val="right"/>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Pr="00696519">
              <w:t xml:space="preserve"> </w:t>
            </w:r>
            <w:r w:rsidR="005A63E5">
              <w:rPr>
                <w:vertAlign w:val="superscript"/>
              </w:rPr>
              <w:t>15</w:t>
            </w:r>
          </w:p>
        </w:tc>
        <w:tc>
          <w:tcPr>
            <w:tcW w:w="663" w:type="pct"/>
            <w:shd w:val="clear" w:color="auto" w:fill="auto"/>
            <w:vAlign w:val="center"/>
          </w:tcPr>
          <w:p w14:paraId="26269BC7" w14:textId="4143E976" w:rsidR="0019649C" w:rsidRPr="00F23EA5" w:rsidRDefault="00696519" w:rsidP="005455EF">
            <w:pPr>
              <w:pStyle w:val="TableText0"/>
              <w:jc w:val="right"/>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Pr="00696519">
              <w:t xml:space="preserve"> </w:t>
            </w:r>
            <w:r w:rsidR="005A63E5">
              <w:rPr>
                <w:vertAlign w:val="superscript"/>
              </w:rPr>
              <w:t>15</w:t>
            </w:r>
          </w:p>
        </w:tc>
        <w:tc>
          <w:tcPr>
            <w:tcW w:w="664" w:type="pct"/>
            <w:vAlign w:val="center"/>
          </w:tcPr>
          <w:p w14:paraId="3232E554" w14:textId="59C905EA" w:rsidR="0019649C" w:rsidRPr="00F23EA5" w:rsidRDefault="00696519" w:rsidP="005455EF">
            <w:pPr>
              <w:pStyle w:val="TableText0"/>
              <w:jc w:val="right"/>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Pr="00696519">
              <w:t xml:space="preserve"> </w:t>
            </w:r>
            <w:r w:rsidR="005A63E5">
              <w:rPr>
                <w:vertAlign w:val="superscript"/>
              </w:rPr>
              <w:t>15</w:t>
            </w:r>
          </w:p>
        </w:tc>
      </w:tr>
      <w:tr w:rsidR="0019649C" w:rsidRPr="00484AE9" w14:paraId="693BB5EE" w14:textId="77777777" w:rsidTr="00F1122F">
        <w:tc>
          <w:tcPr>
            <w:tcW w:w="1019" w:type="pct"/>
            <w:shd w:val="clear" w:color="auto" w:fill="auto"/>
            <w:vAlign w:val="center"/>
          </w:tcPr>
          <w:p w14:paraId="11977664" w14:textId="77777777" w:rsidR="0019649C" w:rsidRPr="00484AE9" w:rsidRDefault="0019649C" w:rsidP="00F1122F">
            <w:pPr>
              <w:pStyle w:val="TableText0"/>
              <w:rPr>
                <w:szCs w:val="20"/>
              </w:rPr>
            </w:pPr>
            <w:r w:rsidRPr="00484AE9">
              <w:rPr>
                <w:szCs w:val="20"/>
              </w:rPr>
              <w:t>Net cost to PBS/RPBS/MBS</w:t>
            </w:r>
          </w:p>
        </w:tc>
        <w:tc>
          <w:tcPr>
            <w:tcW w:w="663" w:type="pct"/>
            <w:shd w:val="clear" w:color="auto" w:fill="auto"/>
            <w:vAlign w:val="center"/>
          </w:tcPr>
          <w:p w14:paraId="7AA58842" w14:textId="36D386BC" w:rsidR="0019649C" w:rsidRPr="00F23EA5" w:rsidRDefault="00696519" w:rsidP="005455EF">
            <w:pPr>
              <w:pStyle w:val="TableText0"/>
              <w:jc w:val="right"/>
              <w:rPr>
                <w:szCs w:val="20"/>
                <w:highlight w:val="darkGray"/>
              </w:rPr>
            </w:pPr>
            <w:r w:rsidRPr="00696519">
              <w:rPr>
                <w:szCs w:val="20"/>
              </w:rPr>
              <w:t xml:space="preserve"> </w:t>
            </w:r>
            <w:r w:rsidRPr="00696519">
              <w:rPr>
                <w:color w:val="000000"/>
                <w:szCs w:val="20"/>
                <w:shd w:val="solid" w:color="000000" w:fill="000000"/>
                <w14:textFill>
                  <w14:solidFill>
                    <w14:srgbClr w14:val="000000">
                      <w14:alpha w14:val="100000"/>
                    </w14:srgbClr>
                  </w14:solidFill>
                </w14:textFill>
              </w:rPr>
              <w:t>|</w:t>
            </w:r>
            <w:r w:rsidR="007D30AE">
              <w:rPr>
                <w:vertAlign w:val="superscript"/>
              </w:rPr>
              <w:t>1</w:t>
            </w:r>
            <w:r w:rsidR="00C74CAB">
              <w:rPr>
                <w:vertAlign w:val="superscript"/>
              </w:rPr>
              <w:t>3</w:t>
            </w:r>
          </w:p>
        </w:tc>
        <w:tc>
          <w:tcPr>
            <w:tcW w:w="664" w:type="pct"/>
            <w:shd w:val="clear" w:color="auto" w:fill="auto"/>
            <w:vAlign w:val="center"/>
          </w:tcPr>
          <w:p w14:paraId="3B693314" w14:textId="570D8743" w:rsidR="0019649C" w:rsidRPr="00F23EA5" w:rsidRDefault="00696519" w:rsidP="005455EF">
            <w:pPr>
              <w:pStyle w:val="TableText0"/>
              <w:jc w:val="right"/>
              <w:rPr>
                <w:szCs w:val="20"/>
                <w:highlight w:val="darkGray"/>
              </w:rPr>
            </w:pPr>
            <w:r w:rsidRPr="00696519">
              <w:rPr>
                <w:szCs w:val="20"/>
              </w:rPr>
              <w:t xml:space="preserve"> </w:t>
            </w:r>
            <w:r w:rsidRPr="00696519">
              <w:rPr>
                <w:color w:val="000000"/>
                <w:szCs w:val="20"/>
                <w:shd w:val="solid" w:color="000000" w:fill="000000"/>
                <w14:textFill>
                  <w14:solidFill>
                    <w14:srgbClr w14:val="000000">
                      <w14:alpha w14:val="100000"/>
                    </w14:srgbClr>
                  </w14:solidFill>
                </w14:textFill>
              </w:rPr>
              <w:t>|</w:t>
            </w:r>
            <w:r w:rsidR="007D30AE">
              <w:rPr>
                <w:vertAlign w:val="superscript"/>
              </w:rPr>
              <w:t>1</w:t>
            </w:r>
            <w:r w:rsidR="00C74CAB">
              <w:rPr>
                <w:vertAlign w:val="superscript"/>
              </w:rPr>
              <w:t>3</w:t>
            </w:r>
          </w:p>
        </w:tc>
        <w:tc>
          <w:tcPr>
            <w:tcW w:w="663" w:type="pct"/>
            <w:shd w:val="clear" w:color="auto" w:fill="auto"/>
            <w:vAlign w:val="center"/>
          </w:tcPr>
          <w:p w14:paraId="4DD95DB5" w14:textId="12947BF9" w:rsidR="0019649C" w:rsidRPr="00F23EA5" w:rsidRDefault="00696519" w:rsidP="005455EF">
            <w:pPr>
              <w:pStyle w:val="TableText0"/>
              <w:jc w:val="right"/>
              <w:rPr>
                <w:szCs w:val="20"/>
                <w:highlight w:val="darkGray"/>
              </w:rPr>
            </w:pPr>
            <w:r w:rsidRPr="00696519">
              <w:rPr>
                <w:szCs w:val="20"/>
              </w:rPr>
              <w:t xml:space="preserve"> </w:t>
            </w:r>
            <w:r w:rsidRPr="00696519">
              <w:rPr>
                <w:color w:val="000000"/>
                <w:szCs w:val="20"/>
                <w:shd w:val="solid" w:color="000000" w:fill="000000"/>
                <w14:textFill>
                  <w14:solidFill>
                    <w14:srgbClr w14:val="000000">
                      <w14:alpha w14:val="100000"/>
                    </w14:srgbClr>
                  </w14:solidFill>
                </w14:textFill>
              </w:rPr>
              <w:t>|</w:t>
            </w:r>
            <w:r w:rsidR="009944E1">
              <w:rPr>
                <w:vertAlign w:val="superscript"/>
              </w:rPr>
              <w:t>1</w:t>
            </w:r>
            <w:r w:rsidR="00C74CAB">
              <w:rPr>
                <w:vertAlign w:val="superscript"/>
              </w:rPr>
              <w:t>4</w:t>
            </w:r>
          </w:p>
        </w:tc>
        <w:tc>
          <w:tcPr>
            <w:tcW w:w="664" w:type="pct"/>
            <w:shd w:val="clear" w:color="auto" w:fill="auto"/>
            <w:vAlign w:val="center"/>
          </w:tcPr>
          <w:p w14:paraId="26ECC19F" w14:textId="3D1A93A0" w:rsidR="0019649C" w:rsidRPr="00F23EA5" w:rsidRDefault="00696519" w:rsidP="005455EF">
            <w:pPr>
              <w:pStyle w:val="TableText0"/>
              <w:jc w:val="right"/>
              <w:rPr>
                <w:szCs w:val="20"/>
                <w:highlight w:val="darkGray"/>
              </w:rPr>
            </w:pPr>
            <w:r w:rsidRPr="00696519">
              <w:rPr>
                <w:szCs w:val="20"/>
              </w:rPr>
              <w:t xml:space="preserve"> </w:t>
            </w:r>
            <w:r w:rsidRPr="00696519">
              <w:rPr>
                <w:color w:val="000000"/>
                <w:szCs w:val="20"/>
                <w:shd w:val="solid" w:color="000000" w:fill="000000"/>
                <w14:textFill>
                  <w14:solidFill>
                    <w14:srgbClr w14:val="000000">
                      <w14:alpha w14:val="100000"/>
                    </w14:srgbClr>
                  </w14:solidFill>
                </w14:textFill>
              </w:rPr>
              <w:t>|</w:t>
            </w:r>
            <w:r w:rsidRPr="00696519">
              <w:rPr>
                <w:szCs w:val="20"/>
              </w:rPr>
              <w:t xml:space="preserve"> </w:t>
            </w:r>
            <w:r w:rsidR="007D30AE">
              <w:rPr>
                <w:vertAlign w:val="superscript"/>
              </w:rPr>
              <w:t>8</w:t>
            </w:r>
            <w:r w:rsidR="00F22828">
              <w:rPr>
                <w:vertAlign w:val="superscript"/>
              </w:rPr>
              <w:t xml:space="preserve"> </w:t>
            </w:r>
          </w:p>
        </w:tc>
        <w:tc>
          <w:tcPr>
            <w:tcW w:w="663" w:type="pct"/>
            <w:shd w:val="clear" w:color="auto" w:fill="auto"/>
            <w:vAlign w:val="center"/>
          </w:tcPr>
          <w:p w14:paraId="63CCB492" w14:textId="6C4D7005" w:rsidR="0019649C" w:rsidRPr="00F23EA5" w:rsidRDefault="00696519" w:rsidP="005455EF">
            <w:pPr>
              <w:pStyle w:val="TableText0"/>
              <w:jc w:val="right"/>
              <w:rPr>
                <w:szCs w:val="20"/>
                <w:highlight w:val="darkGray"/>
              </w:rPr>
            </w:pPr>
            <w:r w:rsidRPr="00696519">
              <w:rPr>
                <w:szCs w:val="20"/>
              </w:rPr>
              <w:t xml:space="preserve"> </w:t>
            </w:r>
            <w:r w:rsidRPr="00696519">
              <w:rPr>
                <w:color w:val="000000"/>
                <w:szCs w:val="20"/>
                <w:shd w:val="solid" w:color="000000" w:fill="000000"/>
                <w14:textFill>
                  <w14:solidFill>
                    <w14:srgbClr w14:val="000000">
                      <w14:alpha w14:val="100000"/>
                    </w14:srgbClr>
                  </w14:solidFill>
                </w14:textFill>
              </w:rPr>
              <w:t>|</w:t>
            </w:r>
            <w:r w:rsidRPr="00696519">
              <w:rPr>
                <w:szCs w:val="20"/>
              </w:rPr>
              <w:t xml:space="preserve"> </w:t>
            </w:r>
            <w:r w:rsidR="007D30AE">
              <w:rPr>
                <w:vertAlign w:val="superscript"/>
              </w:rPr>
              <w:t>8</w:t>
            </w:r>
          </w:p>
        </w:tc>
        <w:tc>
          <w:tcPr>
            <w:tcW w:w="664" w:type="pct"/>
            <w:vAlign w:val="center"/>
          </w:tcPr>
          <w:p w14:paraId="3F382DA4" w14:textId="1D7677BF" w:rsidR="0019649C" w:rsidRPr="00F23EA5" w:rsidRDefault="00696519" w:rsidP="005455EF">
            <w:pPr>
              <w:pStyle w:val="TableText0"/>
              <w:jc w:val="right"/>
              <w:rPr>
                <w:szCs w:val="20"/>
                <w:highlight w:val="darkGray"/>
              </w:rPr>
            </w:pPr>
            <w:r w:rsidRPr="00696519">
              <w:rPr>
                <w:szCs w:val="20"/>
              </w:rPr>
              <w:t xml:space="preserve"> </w:t>
            </w:r>
            <w:r w:rsidRPr="00696519">
              <w:rPr>
                <w:color w:val="000000"/>
                <w:szCs w:val="20"/>
                <w:shd w:val="solid" w:color="000000" w:fill="000000"/>
                <w14:textFill>
                  <w14:solidFill>
                    <w14:srgbClr w14:val="000000">
                      <w14:alpha w14:val="100000"/>
                    </w14:srgbClr>
                  </w14:solidFill>
                </w14:textFill>
              </w:rPr>
              <w:t>|</w:t>
            </w:r>
            <w:r w:rsidRPr="00696519">
              <w:rPr>
                <w:szCs w:val="20"/>
              </w:rPr>
              <w:t xml:space="preserve"> </w:t>
            </w:r>
            <w:r w:rsidR="007D30AE">
              <w:rPr>
                <w:vertAlign w:val="superscript"/>
              </w:rPr>
              <w:t>8</w:t>
            </w:r>
          </w:p>
        </w:tc>
      </w:tr>
      <w:tr w:rsidR="007458C4" w:rsidRPr="00484AE9" w14:paraId="6D34CE09" w14:textId="77777777" w:rsidTr="007458C4">
        <w:tc>
          <w:tcPr>
            <w:tcW w:w="5000" w:type="pct"/>
            <w:gridSpan w:val="7"/>
            <w:shd w:val="clear" w:color="auto" w:fill="auto"/>
            <w:vAlign w:val="center"/>
          </w:tcPr>
          <w:p w14:paraId="3F77AD01" w14:textId="465EBD61" w:rsidR="007458C4" w:rsidRPr="00484AE9" w:rsidRDefault="007458C4" w:rsidP="007458C4">
            <w:pPr>
              <w:pStyle w:val="TableText0"/>
              <w:rPr>
                <w:szCs w:val="20"/>
              </w:rPr>
            </w:pPr>
            <w:r w:rsidRPr="00484AE9">
              <w:rPr>
                <w:b/>
                <w:szCs w:val="20"/>
              </w:rPr>
              <w:t>Pre-PBAC response</w:t>
            </w:r>
            <w:r w:rsidR="000C109D" w:rsidRPr="00484AE9">
              <w:rPr>
                <w:b/>
                <w:szCs w:val="20"/>
              </w:rPr>
              <w:t xml:space="preserve"> – revised estimates assuming the restrictions applying prior to the temporary expansion (require at least 2 additional risk factors for the 50-69 age-group)</w:t>
            </w:r>
          </w:p>
        </w:tc>
      </w:tr>
      <w:tr w:rsidR="007458C4" w:rsidRPr="00484AE9" w14:paraId="35438EC8" w14:textId="77777777" w:rsidTr="005455EF">
        <w:tc>
          <w:tcPr>
            <w:tcW w:w="1019" w:type="pct"/>
            <w:shd w:val="clear" w:color="auto" w:fill="auto"/>
            <w:vAlign w:val="center"/>
          </w:tcPr>
          <w:p w14:paraId="12C45473" w14:textId="076FE43C" w:rsidR="007458C4" w:rsidRPr="00484AE9" w:rsidRDefault="007458C4" w:rsidP="007458C4">
            <w:pPr>
              <w:pStyle w:val="TableText0"/>
              <w:rPr>
                <w:szCs w:val="20"/>
              </w:rPr>
            </w:pPr>
            <w:r w:rsidRPr="00484AE9">
              <w:rPr>
                <w:szCs w:val="20"/>
              </w:rPr>
              <w:t>Total number of prescriptions for antivirals dispensed</w:t>
            </w:r>
          </w:p>
        </w:tc>
        <w:tc>
          <w:tcPr>
            <w:tcW w:w="663" w:type="pct"/>
            <w:shd w:val="clear" w:color="auto" w:fill="auto"/>
            <w:vAlign w:val="center"/>
          </w:tcPr>
          <w:p w14:paraId="10E86E03" w14:textId="67715EB4" w:rsidR="007458C4" w:rsidRPr="00484AE9" w:rsidRDefault="00696519" w:rsidP="007458C4">
            <w:pPr>
              <w:pStyle w:val="TableText0"/>
              <w:jc w:val="center"/>
              <w:rPr>
                <w:szCs w:val="20"/>
              </w:rPr>
            </w:pPr>
            <w:r w:rsidRPr="00696519">
              <w:rPr>
                <w:szCs w:val="20"/>
              </w:rPr>
              <w:t xml:space="preserve"> </w:t>
            </w:r>
            <w:r w:rsidRPr="00696519">
              <w:rPr>
                <w:rFonts w:hint="eastAsia"/>
                <w:color w:val="000000"/>
                <w:w w:val="15"/>
                <w:szCs w:val="20"/>
                <w:shd w:val="solid" w:color="000000" w:fill="000000"/>
                <w:fitText w:val="30" w:id="-1032088824"/>
                <w14:textFill>
                  <w14:solidFill>
                    <w14:srgbClr w14:val="000000">
                      <w14:alpha w14:val="100000"/>
                    </w14:srgbClr>
                  </w14:solidFill>
                </w14:textFill>
              </w:rPr>
              <w:t xml:space="preserve">　</w:t>
            </w:r>
            <w:r w:rsidRPr="00696519">
              <w:rPr>
                <w:color w:val="000000"/>
                <w:w w:val="15"/>
                <w:szCs w:val="20"/>
                <w:shd w:val="solid" w:color="000000" w:fill="000000"/>
                <w:fitText w:val="30" w:id="-1032088824"/>
                <w14:textFill>
                  <w14:solidFill>
                    <w14:srgbClr w14:val="000000">
                      <w14:alpha w14:val="100000"/>
                    </w14:srgbClr>
                  </w14:solidFill>
                </w14:textFill>
              </w:rPr>
              <w:t>|</w:t>
            </w:r>
            <w:r w:rsidRPr="00696519">
              <w:rPr>
                <w:rFonts w:hint="eastAsia"/>
                <w:color w:val="000000"/>
                <w:spacing w:val="-35"/>
                <w:w w:val="15"/>
                <w:szCs w:val="20"/>
                <w:shd w:val="solid" w:color="000000" w:fill="000000"/>
                <w:fitText w:val="30" w:id="-1032088824"/>
                <w14:textFill>
                  <w14:solidFill>
                    <w14:srgbClr w14:val="000000">
                      <w14:alpha w14:val="100000"/>
                    </w14:srgbClr>
                  </w14:solidFill>
                </w14:textFill>
              </w:rPr>
              <w:t xml:space="preserve">　</w:t>
            </w:r>
            <w:r w:rsidR="00C715FA" w:rsidRPr="00F23EA5">
              <w:rPr>
                <w:szCs w:val="20"/>
                <w:vertAlign w:val="superscript"/>
              </w:rPr>
              <w:t>6</w:t>
            </w:r>
          </w:p>
        </w:tc>
        <w:tc>
          <w:tcPr>
            <w:tcW w:w="664" w:type="pct"/>
            <w:shd w:val="clear" w:color="auto" w:fill="auto"/>
            <w:vAlign w:val="center"/>
          </w:tcPr>
          <w:p w14:paraId="3FD11F57" w14:textId="1BBA2771" w:rsidR="007458C4" w:rsidRPr="00F23EA5" w:rsidRDefault="00696519" w:rsidP="007458C4">
            <w:pPr>
              <w:pStyle w:val="TableText0"/>
              <w:jc w:val="center"/>
              <w:rPr>
                <w:szCs w:val="20"/>
                <w:highlight w:val="darkGray"/>
              </w:rPr>
            </w:pPr>
            <w:r w:rsidRPr="00696519">
              <w:rPr>
                <w:szCs w:val="20"/>
              </w:rPr>
              <w:t xml:space="preserve"> </w:t>
            </w:r>
            <w:r w:rsidRPr="00696519">
              <w:rPr>
                <w:rFonts w:hint="eastAsia"/>
                <w:color w:val="000000"/>
                <w:w w:val="15"/>
                <w:szCs w:val="20"/>
                <w:shd w:val="solid" w:color="000000" w:fill="000000"/>
                <w:fitText w:val="30" w:id="-1032088823"/>
                <w14:textFill>
                  <w14:solidFill>
                    <w14:srgbClr w14:val="000000">
                      <w14:alpha w14:val="100000"/>
                    </w14:srgbClr>
                  </w14:solidFill>
                </w14:textFill>
              </w:rPr>
              <w:t xml:space="preserve">　</w:t>
            </w:r>
            <w:r w:rsidRPr="00696519">
              <w:rPr>
                <w:color w:val="000000"/>
                <w:w w:val="15"/>
                <w:szCs w:val="20"/>
                <w:shd w:val="solid" w:color="000000" w:fill="000000"/>
                <w:fitText w:val="30" w:id="-1032088823"/>
                <w14:textFill>
                  <w14:solidFill>
                    <w14:srgbClr w14:val="000000">
                      <w14:alpha w14:val="100000"/>
                    </w14:srgbClr>
                  </w14:solidFill>
                </w14:textFill>
              </w:rPr>
              <w:t>|</w:t>
            </w:r>
            <w:r w:rsidRPr="00696519">
              <w:rPr>
                <w:rFonts w:hint="eastAsia"/>
                <w:color w:val="000000"/>
                <w:spacing w:val="-35"/>
                <w:w w:val="15"/>
                <w:szCs w:val="20"/>
                <w:shd w:val="solid" w:color="000000" w:fill="000000"/>
                <w:fitText w:val="30" w:id="-1032088823"/>
                <w14:textFill>
                  <w14:solidFill>
                    <w14:srgbClr w14:val="000000">
                      <w14:alpha w14:val="100000"/>
                    </w14:srgbClr>
                  </w14:solidFill>
                </w14:textFill>
              </w:rPr>
              <w:t xml:space="preserve">　</w:t>
            </w:r>
            <w:r w:rsidR="007D30AE" w:rsidRPr="00F23EA5">
              <w:rPr>
                <w:szCs w:val="20"/>
                <w:vertAlign w:val="superscript"/>
              </w:rPr>
              <w:t>7</w:t>
            </w:r>
          </w:p>
        </w:tc>
        <w:tc>
          <w:tcPr>
            <w:tcW w:w="663" w:type="pct"/>
            <w:shd w:val="clear" w:color="auto" w:fill="auto"/>
            <w:vAlign w:val="center"/>
          </w:tcPr>
          <w:p w14:paraId="54AC1390" w14:textId="5D41AD99" w:rsidR="007458C4" w:rsidRPr="00F23EA5" w:rsidRDefault="00696519" w:rsidP="007458C4">
            <w:pPr>
              <w:pStyle w:val="TableText0"/>
              <w:jc w:val="center"/>
              <w:rPr>
                <w:szCs w:val="20"/>
                <w:highlight w:val="darkGray"/>
              </w:rPr>
            </w:pPr>
            <w:r w:rsidRPr="00696519">
              <w:rPr>
                <w:szCs w:val="20"/>
              </w:rPr>
              <w:t xml:space="preserve"> </w:t>
            </w:r>
            <w:r w:rsidRPr="00696519">
              <w:rPr>
                <w:rFonts w:hint="eastAsia"/>
                <w:color w:val="000000"/>
                <w:w w:val="15"/>
                <w:szCs w:val="20"/>
                <w:shd w:val="solid" w:color="000000" w:fill="000000"/>
                <w:fitText w:val="30" w:id="-1032088822"/>
                <w14:textFill>
                  <w14:solidFill>
                    <w14:srgbClr w14:val="000000">
                      <w14:alpha w14:val="100000"/>
                    </w14:srgbClr>
                  </w14:solidFill>
                </w14:textFill>
              </w:rPr>
              <w:t xml:space="preserve">　</w:t>
            </w:r>
            <w:r w:rsidRPr="00696519">
              <w:rPr>
                <w:color w:val="000000"/>
                <w:w w:val="15"/>
                <w:szCs w:val="20"/>
                <w:shd w:val="solid" w:color="000000" w:fill="000000"/>
                <w:fitText w:val="30" w:id="-1032088822"/>
                <w14:textFill>
                  <w14:solidFill>
                    <w14:srgbClr w14:val="000000">
                      <w14:alpha w14:val="100000"/>
                    </w14:srgbClr>
                  </w14:solidFill>
                </w14:textFill>
              </w:rPr>
              <w:t>|</w:t>
            </w:r>
            <w:r w:rsidRPr="00696519">
              <w:rPr>
                <w:rFonts w:hint="eastAsia"/>
                <w:color w:val="000000"/>
                <w:spacing w:val="-35"/>
                <w:w w:val="15"/>
                <w:szCs w:val="20"/>
                <w:shd w:val="solid" w:color="000000" w:fill="000000"/>
                <w:fitText w:val="30" w:id="-1032088822"/>
                <w14:textFill>
                  <w14:solidFill>
                    <w14:srgbClr w14:val="000000">
                      <w14:alpha w14:val="100000"/>
                    </w14:srgbClr>
                  </w14:solidFill>
                </w14:textFill>
              </w:rPr>
              <w:t xml:space="preserve">　</w:t>
            </w:r>
            <w:r w:rsidR="007D30AE" w:rsidRPr="00EB7BFE">
              <w:rPr>
                <w:szCs w:val="20"/>
                <w:vertAlign w:val="superscript"/>
              </w:rPr>
              <w:t>7</w:t>
            </w:r>
          </w:p>
        </w:tc>
        <w:tc>
          <w:tcPr>
            <w:tcW w:w="664" w:type="pct"/>
            <w:shd w:val="clear" w:color="auto" w:fill="auto"/>
            <w:vAlign w:val="center"/>
          </w:tcPr>
          <w:p w14:paraId="687755AD" w14:textId="58DE97CD" w:rsidR="007458C4" w:rsidRPr="00F23EA5" w:rsidRDefault="00696519" w:rsidP="007458C4">
            <w:pPr>
              <w:pStyle w:val="TableText0"/>
              <w:jc w:val="center"/>
              <w:rPr>
                <w:szCs w:val="20"/>
                <w:highlight w:val="darkGray"/>
              </w:rPr>
            </w:pPr>
            <w:r w:rsidRPr="00696519">
              <w:rPr>
                <w:szCs w:val="20"/>
              </w:rPr>
              <w:t xml:space="preserve"> </w:t>
            </w:r>
            <w:r w:rsidRPr="00696519">
              <w:rPr>
                <w:rFonts w:hint="eastAsia"/>
                <w:color w:val="000000"/>
                <w:w w:val="15"/>
                <w:szCs w:val="20"/>
                <w:shd w:val="solid" w:color="000000" w:fill="000000"/>
                <w:fitText w:val="30" w:id="-1032088821"/>
                <w14:textFill>
                  <w14:solidFill>
                    <w14:srgbClr w14:val="000000">
                      <w14:alpha w14:val="100000"/>
                    </w14:srgbClr>
                  </w14:solidFill>
                </w14:textFill>
              </w:rPr>
              <w:t xml:space="preserve">　</w:t>
            </w:r>
            <w:r w:rsidRPr="00696519">
              <w:rPr>
                <w:color w:val="000000"/>
                <w:w w:val="15"/>
                <w:szCs w:val="20"/>
                <w:shd w:val="solid" w:color="000000" w:fill="000000"/>
                <w:fitText w:val="30" w:id="-1032088821"/>
                <w14:textFill>
                  <w14:solidFill>
                    <w14:srgbClr w14:val="000000">
                      <w14:alpha w14:val="100000"/>
                    </w14:srgbClr>
                  </w14:solidFill>
                </w14:textFill>
              </w:rPr>
              <w:t>|</w:t>
            </w:r>
            <w:r w:rsidRPr="00696519">
              <w:rPr>
                <w:rFonts w:hint="eastAsia"/>
                <w:color w:val="000000"/>
                <w:spacing w:val="-35"/>
                <w:w w:val="15"/>
                <w:szCs w:val="20"/>
                <w:shd w:val="solid" w:color="000000" w:fill="000000"/>
                <w:fitText w:val="30" w:id="-1032088821"/>
                <w14:textFill>
                  <w14:solidFill>
                    <w14:srgbClr w14:val="000000">
                      <w14:alpha w14:val="100000"/>
                    </w14:srgbClr>
                  </w14:solidFill>
                </w14:textFill>
              </w:rPr>
              <w:t xml:space="preserve">　</w:t>
            </w:r>
            <w:r w:rsidR="007D30AE" w:rsidRPr="00EB7BFE">
              <w:rPr>
                <w:szCs w:val="20"/>
                <w:vertAlign w:val="superscript"/>
              </w:rPr>
              <w:t>7</w:t>
            </w:r>
          </w:p>
        </w:tc>
        <w:tc>
          <w:tcPr>
            <w:tcW w:w="663" w:type="pct"/>
            <w:shd w:val="clear" w:color="auto" w:fill="auto"/>
            <w:vAlign w:val="center"/>
          </w:tcPr>
          <w:p w14:paraId="451EA9EF" w14:textId="1C681635" w:rsidR="007458C4" w:rsidRPr="00F23EA5" w:rsidRDefault="00696519" w:rsidP="007458C4">
            <w:pPr>
              <w:pStyle w:val="TableText0"/>
              <w:jc w:val="center"/>
              <w:rPr>
                <w:szCs w:val="20"/>
                <w:highlight w:val="darkGray"/>
              </w:rPr>
            </w:pPr>
            <w:r w:rsidRPr="00696519">
              <w:rPr>
                <w:szCs w:val="20"/>
              </w:rPr>
              <w:t xml:space="preserve"> </w:t>
            </w:r>
            <w:r w:rsidRPr="00696519">
              <w:rPr>
                <w:rFonts w:hint="eastAsia"/>
                <w:color w:val="000000"/>
                <w:w w:val="15"/>
                <w:szCs w:val="20"/>
                <w:shd w:val="solid" w:color="000000" w:fill="000000"/>
                <w:fitText w:val="30" w:id="-1032088820"/>
                <w14:textFill>
                  <w14:solidFill>
                    <w14:srgbClr w14:val="000000">
                      <w14:alpha w14:val="100000"/>
                    </w14:srgbClr>
                  </w14:solidFill>
                </w14:textFill>
              </w:rPr>
              <w:t xml:space="preserve">　</w:t>
            </w:r>
            <w:r w:rsidRPr="00696519">
              <w:rPr>
                <w:color w:val="000000"/>
                <w:w w:val="15"/>
                <w:szCs w:val="20"/>
                <w:shd w:val="solid" w:color="000000" w:fill="000000"/>
                <w:fitText w:val="30" w:id="-1032088820"/>
                <w14:textFill>
                  <w14:solidFill>
                    <w14:srgbClr w14:val="000000">
                      <w14:alpha w14:val="100000"/>
                    </w14:srgbClr>
                  </w14:solidFill>
                </w14:textFill>
              </w:rPr>
              <w:t>|</w:t>
            </w:r>
            <w:r w:rsidRPr="00696519">
              <w:rPr>
                <w:rFonts w:hint="eastAsia"/>
                <w:color w:val="000000"/>
                <w:spacing w:val="-35"/>
                <w:w w:val="15"/>
                <w:szCs w:val="20"/>
                <w:shd w:val="solid" w:color="000000" w:fill="000000"/>
                <w:fitText w:val="30" w:id="-1032088820"/>
                <w14:textFill>
                  <w14:solidFill>
                    <w14:srgbClr w14:val="000000">
                      <w14:alpha w14:val="100000"/>
                    </w14:srgbClr>
                  </w14:solidFill>
                </w14:textFill>
              </w:rPr>
              <w:t xml:space="preserve">　</w:t>
            </w:r>
            <w:r w:rsidR="007D30AE" w:rsidRPr="00EB7BFE">
              <w:rPr>
                <w:szCs w:val="20"/>
                <w:vertAlign w:val="superscript"/>
              </w:rPr>
              <w:t>7</w:t>
            </w:r>
          </w:p>
        </w:tc>
        <w:tc>
          <w:tcPr>
            <w:tcW w:w="664" w:type="pct"/>
            <w:vAlign w:val="center"/>
          </w:tcPr>
          <w:p w14:paraId="446A18BB" w14:textId="5BD3E45E" w:rsidR="007458C4" w:rsidRPr="00F23EA5" w:rsidRDefault="00696519" w:rsidP="007458C4">
            <w:pPr>
              <w:pStyle w:val="TableText0"/>
              <w:jc w:val="center"/>
              <w:rPr>
                <w:szCs w:val="20"/>
                <w:highlight w:val="darkGray"/>
              </w:rPr>
            </w:pPr>
            <w:r w:rsidRPr="00696519">
              <w:rPr>
                <w:szCs w:val="20"/>
              </w:rPr>
              <w:t xml:space="preserve"> </w:t>
            </w:r>
            <w:r w:rsidRPr="00696519">
              <w:rPr>
                <w:rFonts w:hint="eastAsia"/>
                <w:color w:val="000000"/>
                <w:w w:val="15"/>
                <w:szCs w:val="20"/>
                <w:shd w:val="solid" w:color="000000" w:fill="000000"/>
                <w:fitText w:val="30" w:id="-1032088819"/>
                <w14:textFill>
                  <w14:solidFill>
                    <w14:srgbClr w14:val="000000">
                      <w14:alpha w14:val="100000"/>
                    </w14:srgbClr>
                  </w14:solidFill>
                </w14:textFill>
              </w:rPr>
              <w:t xml:space="preserve">　</w:t>
            </w:r>
            <w:r w:rsidRPr="00696519">
              <w:rPr>
                <w:color w:val="000000"/>
                <w:w w:val="15"/>
                <w:szCs w:val="20"/>
                <w:shd w:val="solid" w:color="000000" w:fill="000000"/>
                <w:fitText w:val="30" w:id="-1032088819"/>
                <w14:textFill>
                  <w14:solidFill>
                    <w14:srgbClr w14:val="000000">
                      <w14:alpha w14:val="100000"/>
                    </w14:srgbClr>
                  </w14:solidFill>
                </w14:textFill>
              </w:rPr>
              <w:t>|</w:t>
            </w:r>
            <w:r w:rsidRPr="00696519">
              <w:rPr>
                <w:rFonts w:hint="eastAsia"/>
                <w:color w:val="000000"/>
                <w:spacing w:val="-35"/>
                <w:w w:val="15"/>
                <w:szCs w:val="20"/>
                <w:shd w:val="solid" w:color="000000" w:fill="000000"/>
                <w:fitText w:val="30" w:id="-1032088819"/>
                <w14:textFill>
                  <w14:solidFill>
                    <w14:srgbClr w14:val="000000">
                      <w14:alpha w14:val="100000"/>
                    </w14:srgbClr>
                  </w14:solidFill>
                </w14:textFill>
              </w:rPr>
              <w:t xml:space="preserve">　</w:t>
            </w:r>
            <w:r w:rsidR="007D30AE" w:rsidRPr="00EB7BFE">
              <w:rPr>
                <w:szCs w:val="20"/>
                <w:vertAlign w:val="superscript"/>
              </w:rPr>
              <w:t>7</w:t>
            </w:r>
          </w:p>
        </w:tc>
      </w:tr>
      <w:tr w:rsidR="007458C4" w:rsidRPr="00484AE9" w14:paraId="164B8C2F" w14:textId="77777777" w:rsidTr="00F1122F">
        <w:tc>
          <w:tcPr>
            <w:tcW w:w="1019" w:type="pct"/>
            <w:shd w:val="clear" w:color="auto" w:fill="auto"/>
            <w:vAlign w:val="center"/>
          </w:tcPr>
          <w:p w14:paraId="79BE33C5" w14:textId="5CA494D5" w:rsidR="007458C4" w:rsidRPr="00484AE9" w:rsidRDefault="007458C4" w:rsidP="007458C4">
            <w:pPr>
              <w:pStyle w:val="TableText0"/>
              <w:rPr>
                <w:szCs w:val="20"/>
              </w:rPr>
            </w:pPr>
            <w:r w:rsidRPr="00484AE9">
              <w:rPr>
                <w:szCs w:val="20"/>
              </w:rPr>
              <w:t>Nirmatrelvir and ritonavir market share</w:t>
            </w:r>
          </w:p>
        </w:tc>
        <w:tc>
          <w:tcPr>
            <w:tcW w:w="663" w:type="pct"/>
            <w:shd w:val="clear" w:color="auto" w:fill="auto"/>
            <w:vAlign w:val="center"/>
          </w:tcPr>
          <w:p w14:paraId="10D505E1" w14:textId="4370F04C" w:rsidR="007458C4" w:rsidRPr="009944E1" w:rsidRDefault="00696519" w:rsidP="007458C4">
            <w:pPr>
              <w:pStyle w:val="TableText0"/>
              <w:jc w:val="center"/>
              <w:rPr>
                <w:szCs w:val="20"/>
              </w:rPr>
            </w:pPr>
            <w:r w:rsidRPr="00696519">
              <w:rPr>
                <w:szCs w:val="20"/>
              </w:rPr>
              <w:t xml:space="preserve"> </w:t>
            </w:r>
            <w:r w:rsidRPr="00696519">
              <w:rPr>
                <w:rFonts w:hint="eastAsia"/>
                <w:color w:val="000000"/>
                <w:w w:val="15"/>
                <w:szCs w:val="20"/>
                <w:shd w:val="solid" w:color="000000" w:fill="000000"/>
                <w:fitText w:val="70" w:id="-1032088818"/>
                <w14:textFill>
                  <w14:solidFill>
                    <w14:srgbClr w14:val="000000">
                      <w14:alpha w14:val="100000"/>
                    </w14:srgbClr>
                  </w14:solidFill>
                </w14:textFill>
              </w:rPr>
              <w:t xml:space="preserve">　</w:t>
            </w:r>
            <w:r w:rsidRPr="00696519">
              <w:rPr>
                <w:color w:val="000000"/>
                <w:w w:val="15"/>
                <w:szCs w:val="20"/>
                <w:shd w:val="solid" w:color="000000" w:fill="000000"/>
                <w:fitText w:val="70" w:id="-1032088818"/>
                <w14:textFill>
                  <w14:solidFill>
                    <w14:srgbClr w14:val="000000">
                      <w14:alpha w14:val="100000"/>
                    </w14:srgbClr>
                  </w14:solidFill>
                </w14:textFill>
              </w:rPr>
              <w:t>|</w:t>
            </w:r>
            <w:r w:rsidRPr="00696519">
              <w:rPr>
                <w:rFonts w:hint="eastAsia"/>
                <w:color w:val="000000"/>
                <w:spacing w:val="4"/>
                <w:w w:val="15"/>
                <w:szCs w:val="20"/>
                <w:shd w:val="solid" w:color="000000" w:fill="000000"/>
                <w:fitText w:val="70" w:id="-1032088818"/>
                <w14:textFill>
                  <w14:solidFill>
                    <w14:srgbClr w14:val="000000">
                      <w14:alpha w14:val="100000"/>
                    </w14:srgbClr>
                  </w14:solidFill>
                </w14:textFill>
              </w:rPr>
              <w:t xml:space="preserve">　</w:t>
            </w:r>
            <w:r w:rsidR="007458C4" w:rsidRPr="009944E1">
              <w:rPr>
                <w:szCs w:val="20"/>
              </w:rPr>
              <w:t>%</w:t>
            </w:r>
          </w:p>
        </w:tc>
        <w:tc>
          <w:tcPr>
            <w:tcW w:w="664" w:type="pct"/>
            <w:shd w:val="clear" w:color="auto" w:fill="auto"/>
            <w:vAlign w:val="center"/>
          </w:tcPr>
          <w:p w14:paraId="574F3F36" w14:textId="7F2221A3" w:rsidR="007458C4" w:rsidRPr="009944E1" w:rsidRDefault="00696519" w:rsidP="007458C4">
            <w:pPr>
              <w:pStyle w:val="TableText0"/>
              <w:jc w:val="center"/>
              <w:rPr>
                <w:szCs w:val="20"/>
              </w:rPr>
            </w:pPr>
            <w:r w:rsidRPr="00696519">
              <w:rPr>
                <w:szCs w:val="20"/>
              </w:rPr>
              <w:t xml:space="preserve"> </w:t>
            </w:r>
            <w:r w:rsidRPr="00696519">
              <w:rPr>
                <w:rFonts w:hint="eastAsia"/>
                <w:color w:val="000000"/>
                <w:w w:val="15"/>
                <w:szCs w:val="20"/>
                <w:shd w:val="solid" w:color="000000" w:fill="000000"/>
                <w:fitText w:val="70" w:id="-1032088817"/>
                <w14:textFill>
                  <w14:solidFill>
                    <w14:srgbClr w14:val="000000">
                      <w14:alpha w14:val="100000"/>
                    </w14:srgbClr>
                  </w14:solidFill>
                </w14:textFill>
              </w:rPr>
              <w:t xml:space="preserve">　</w:t>
            </w:r>
            <w:r w:rsidRPr="00696519">
              <w:rPr>
                <w:color w:val="000000"/>
                <w:w w:val="15"/>
                <w:szCs w:val="20"/>
                <w:shd w:val="solid" w:color="000000" w:fill="000000"/>
                <w:fitText w:val="70" w:id="-1032088817"/>
                <w14:textFill>
                  <w14:solidFill>
                    <w14:srgbClr w14:val="000000">
                      <w14:alpha w14:val="100000"/>
                    </w14:srgbClr>
                  </w14:solidFill>
                </w14:textFill>
              </w:rPr>
              <w:t>|</w:t>
            </w:r>
            <w:r w:rsidRPr="00696519">
              <w:rPr>
                <w:rFonts w:hint="eastAsia"/>
                <w:color w:val="000000"/>
                <w:spacing w:val="4"/>
                <w:w w:val="15"/>
                <w:szCs w:val="20"/>
                <w:shd w:val="solid" w:color="000000" w:fill="000000"/>
                <w:fitText w:val="70" w:id="-1032088817"/>
                <w14:textFill>
                  <w14:solidFill>
                    <w14:srgbClr w14:val="000000">
                      <w14:alpha w14:val="100000"/>
                    </w14:srgbClr>
                  </w14:solidFill>
                </w14:textFill>
              </w:rPr>
              <w:t xml:space="preserve">　</w:t>
            </w:r>
            <w:r w:rsidR="007458C4" w:rsidRPr="009944E1">
              <w:rPr>
                <w:szCs w:val="20"/>
              </w:rPr>
              <w:t>%</w:t>
            </w:r>
          </w:p>
        </w:tc>
        <w:tc>
          <w:tcPr>
            <w:tcW w:w="663" w:type="pct"/>
            <w:shd w:val="clear" w:color="auto" w:fill="auto"/>
            <w:vAlign w:val="center"/>
          </w:tcPr>
          <w:p w14:paraId="1638D67B" w14:textId="24BEBC46" w:rsidR="007458C4" w:rsidRPr="009944E1" w:rsidRDefault="00696519" w:rsidP="007458C4">
            <w:pPr>
              <w:pStyle w:val="TableText0"/>
              <w:jc w:val="center"/>
              <w:rPr>
                <w:szCs w:val="20"/>
              </w:rPr>
            </w:pPr>
            <w:r w:rsidRPr="00696519">
              <w:rPr>
                <w:szCs w:val="20"/>
              </w:rPr>
              <w:t xml:space="preserve"> </w:t>
            </w:r>
            <w:r w:rsidRPr="00696519">
              <w:rPr>
                <w:rFonts w:hint="eastAsia"/>
                <w:color w:val="000000"/>
                <w:w w:val="15"/>
                <w:szCs w:val="20"/>
                <w:shd w:val="solid" w:color="000000" w:fill="000000"/>
                <w:fitText w:val="70" w:id="-1032088576"/>
                <w14:textFill>
                  <w14:solidFill>
                    <w14:srgbClr w14:val="000000">
                      <w14:alpha w14:val="100000"/>
                    </w14:srgbClr>
                  </w14:solidFill>
                </w14:textFill>
              </w:rPr>
              <w:t xml:space="preserve">　</w:t>
            </w:r>
            <w:r w:rsidRPr="00696519">
              <w:rPr>
                <w:color w:val="000000"/>
                <w:w w:val="15"/>
                <w:szCs w:val="20"/>
                <w:shd w:val="solid" w:color="000000" w:fill="000000"/>
                <w:fitText w:val="70" w:id="-1032088576"/>
                <w14:textFill>
                  <w14:solidFill>
                    <w14:srgbClr w14:val="000000">
                      <w14:alpha w14:val="100000"/>
                    </w14:srgbClr>
                  </w14:solidFill>
                </w14:textFill>
              </w:rPr>
              <w:t>|</w:t>
            </w:r>
            <w:r w:rsidRPr="00696519">
              <w:rPr>
                <w:rFonts w:hint="eastAsia"/>
                <w:color w:val="000000"/>
                <w:spacing w:val="4"/>
                <w:w w:val="15"/>
                <w:szCs w:val="20"/>
                <w:shd w:val="solid" w:color="000000" w:fill="000000"/>
                <w:fitText w:val="70" w:id="-1032088576"/>
                <w14:textFill>
                  <w14:solidFill>
                    <w14:srgbClr w14:val="000000">
                      <w14:alpha w14:val="100000"/>
                    </w14:srgbClr>
                  </w14:solidFill>
                </w14:textFill>
              </w:rPr>
              <w:t xml:space="preserve">　</w:t>
            </w:r>
            <w:r w:rsidR="007458C4" w:rsidRPr="009944E1">
              <w:rPr>
                <w:szCs w:val="20"/>
              </w:rPr>
              <w:t>%</w:t>
            </w:r>
          </w:p>
        </w:tc>
        <w:tc>
          <w:tcPr>
            <w:tcW w:w="664" w:type="pct"/>
            <w:shd w:val="clear" w:color="auto" w:fill="auto"/>
            <w:vAlign w:val="center"/>
          </w:tcPr>
          <w:p w14:paraId="1D88FAB0" w14:textId="30CF83CB" w:rsidR="007458C4" w:rsidRPr="009944E1" w:rsidRDefault="00696519" w:rsidP="007458C4">
            <w:pPr>
              <w:pStyle w:val="TableText0"/>
              <w:jc w:val="center"/>
              <w:rPr>
                <w:szCs w:val="20"/>
              </w:rPr>
            </w:pPr>
            <w:r w:rsidRPr="00696519">
              <w:rPr>
                <w:szCs w:val="20"/>
              </w:rPr>
              <w:t xml:space="preserve"> </w:t>
            </w:r>
            <w:r w:rsidRPr="00696519">
              <w:rPr>
                <w:rFonts w:hint="eastAsia"/>
                <w:color w:val="000000"/>
                <w:w w:val="15"/>
                <w:szCs w:val="20"/>
                <w:shd w:val="solid" w:color="000000" w:fill="000000"/>
                <w:fitText w:val="70" w:id="-1032088575"/>
                <w14:textFill>
                  <w14:solidFill>
                    <w14:srgbClr w14:val="000000">
                      <w14:alpha w14:val="100000"/>
                    </w14:srgbClr>
                  </w14:solidFill>
                </w14:textFill>
              </w:rPr>
              <w:t xml:space="preserve">　</w:t>
            </w:r>
            <w:r w:rsidRPr="00696519">
              <w:rPr>
                <w:color w:val="000000"/>
                <w:w w:val="15"/>
                <w:szCs w:val="20"/>
                <w:shd w:val="solid" w:color="000000" w:fill="000000"/>
                <w:fitText w:val="70" w:id="-1032088575"/>
                <w14:textFill>
                  <w14:solidFill>
                    <w14:srgbClr w14:val="000000">
                      <w14:alpha w14:val="100000"/>
                    </w14:srgbClr>
                  </w14:solidFill>
                </w14:textFill>
              </w:rPr>
              <w:t>|</w:t>
            </w:r>
            <w:r w:rsidRPr="00696519">
              <w:rPr>
                <w:rFonts w:hint="eastAsia"/>
                <w:color w:val="000000"/>
                <w:spacing w:val="4"/>
                <w:w w:val="15"/>
                <w:szCs w:val="20"/>
                <w:shd w:val="solid" w:color="000000" w:fill="000000"/>
                <w:fitText w:val="70" w:id="-1032088575"/>
                <w14:textFill>
                  <w14:solidFill>
                    <w14:srgbClr w14:val="000000">
                      <w14:alpha w14:val="100000"/>
                    </w14:srgbClr>
                  </w14:solidFill>
                </w14:textFill>
              </w:rPr>
              <w:t xml:space="preserve">　</w:t>
            </w:r>
            <w:r w:rsidR="007458C4" w:rsidRPr="009944E1">
              <w:rPr>
                <w:szCs w:val="20"/>
              </w:rPr>
              <w:t>%</w:t>
            </w:r>
          </w:p>
        </w:tc>
        <w:tc>
          <w:tcPr>
            <w:tcW w:w="663" w:type="pct"/>
            <w:shd w:val="clear" w:color="auto" w:fill="auto"/>
            <w:vAlign w:val="center"/>
          </w:tcPr>
          <w:p w14:paraId="2B05E8C9" w14:textId="2262C59A" w:rsidR="007458C4" w:rsidRPr="009944E1" w:rsidRDefault="00696519" w:rsidP="007458C4">
            <w:pPr>
              <w:pStyle w:val="TableText0"/>
              <w:jc w:val="center"/>
              <w:rPr>
                <w:szCs w:val="20"/>
              </w:rPr>
            </w:pPr>
            <w:r w:rsidRPr="00696519">
              <w:rPr>
                <w:szCs w:val="20"/>
              </w:rPr>
              <w:t xml:space="preserve"> </w:t>
            </w:r>
            <w:r w:rsidRPr="00696519">
              <w:rPr>
                <w:rFonts w:hint="eastAsia"/>
                <w:color w:val="000000"/>
                <w:w w:val="15"/>
                <w:szCs w:val="20"/>
                <w:shd w:val="solid" w:color="000000" w:fill="000000"/>
                <w:fitText w:val="70" w:id="-1032088574"/>
                <w14:textFill>
                  <w14:solidFill>
                    <w14:srgbClr w14:val="000000">
                      <w14:alpha w14:val="100000"/>
                    </w14:srgbClr>
                  </w14:solidFill>
                </w14:textFill>
              </w:rPr>
              <w:t xml:space="preserve">　</w:t>
            </w:r>
            <w:r w:rsidRPr="00696519">
              <w:rPr>
                <w:color w:val="000000"/>
                <w:w w:val="15"/>
                <w:szCs w:val="20"/>
                <w:shd w:val="solid" w:color="000000" w:fill="000000"/>
                <w:fitText w:val="70" w:id="-1032088574"/>
                <w14:textFill>
                  <w14:solidFill>
                    <w14:srgbClr w14:val="000000">
                      <w14:alpha w14:val="100000"/>
                    </w14:srgbClr>
                  </w14:solidFill>
                </w14:textFill>
              </w:rPr>
              <w:t>|</w:t>
            </w:r>
            <w:r w:rsidRPr="00696519">
              <w:rPr>
                <w:rFonts w:hint="eastAsia"/>
                <w:color w:val="000000"/>
                <w:spacing w:val="4"/>
                <w:w w:val="15"/>
                <w:szCs w:val="20"/>
                <w:shd w:val="solid" w:color="000000" w:fill="000000"/>
                <w:fitText w:val="70" w:id="-1032088574"/>
                <w14:textFill>
                  <w14:solidFill>
                    <w14:srgbClr w14:val="000000">
                      <w14:alpha w14:val="100000"/>
                    </w14:srgbClr>
                  </w14:solidFill>
                </w14:textFill>
              </w:rPr>
              <w:t xml:space="preserve">　</w:t>
            </w:r>
            <w:r w:rsidR="007458C4" w:rsidRPr="009944E1">
              <w:rPr>
                <w:szCs w:val="20"/>
              </w:rPr>
              <w:t>%</w:t>
            </w:r>
          </w:p>
        </w:tc>
        <w:tc>
          <w:tcPr>
            <w:tcW w:w="664" w:type="pct"/>
            <w:vAlign w:val="center"/>
          </w:tcPr>
          <w:p w14:paraId="1CC03F5D" w14:textId="039359B3" w:rsidR="007458C4" w:rsidRPr="009944E1" w:rsidRDefault="00696519" w:rsidP="007458C4">
            <w:pPr>
              <w:pStyle w:val="TableText0"/>
              <w:jc w:val="center"/>
              <w:rPr>
                <w:szCs w:val="20"/>
              </w:rPr>
            </w:pPr>
            <w:r w:rsidRPr="00696519">
              <w:rPr>
                <w:szCs w:val="20"/>
              </w:rPr>
              <w:t xml:space="preserve"> </w:t>
            </w:r>
            <w:r w:rsidRPr="00696519">
              <w:rPr>
                <w:rFonts w:hint="eastAsia"/>
                <w:color w:val="000000"/>
                <w:w w:val="15"/>
                <w:szCs w:val="20"/>
                <w:shd w:val="solid" w:color="000000" w:fill="000000"/>
                <w:fitText w:val="70" w:id="-1032088573"/>
                <w14:textFill>
                  <w14:solidFill>
                    <w14:srgbClr w14:val="000000">
                      <w14:alpha w14:val="100000"/>
                    </w14:srgbClr>
                  </w14:solidFill>
                </w14:textFill>
              </w:rPr>
              <w:t xml:space="preserve">　</w:t>
            </w:r>
            <w:r w:rsidRPr="00696519">
              <w:rPr>
                <w:color w:val="000000"/>
                <w:w w:val="15"/>
                <w:szCs w:val="20"/>
                <w:shd w:val="solid" w:color="000000" w:fill="000000"/>
                <w:fitText w:val="70" w:id="-1032088573"/>
                <w14:textFill>
                  <w14:solidFill>
                    <w14:srgbClr w14:val="000000">
                      <w14:alpha w14:val="100000"/>
                    </w14:srgbClr>
                  </w14:solidFill>
                </w14:textFill>
              </w:rPr>
              <w:t>|</w:t>
            </w:r>
            <w:r w:rsidRPr="00696519">
              <w:rPr>
                <w:rFonts w:hint="eastAsia"/>
                <w:color w:val="000000"/>
                <w:spacing w:val="4"/>
                <w:w w:val="15"/>
                <w:szCs w:val="20"/>
                <w:shd w:val="solid" w:color="000000" w:fill="000000"/>
                <w:fitText w:val="70" w:id="-1032088573"/>
                <w14:textFill>
                  <w14:solidFill>
                    <w14:srgbClr w14:val="000000">
                      <w14:alpha w14:val="100000"/>
                    </w14:srgbClr>
                  </w14:solidFill>
                </w14:textFill>
              </w:rPr>
              <w:t xml:space="preserve">　</w:t>
            </w:r>
            <w:r w:rsidR="007458C4" w:rsidRPr="009944E1">
              <w:rPr>
                <w:szCs w:val="20"/>
              </w:rPr>
              <w:t>%</w:t>
            </w:r>
          </w:p>
        </w:tc>
      </w:tr>
      <w:tr w:rsidR="007458C4" w:rsidRPr="00484AE9" w14:paraId="287CD691" w14:textId="77777777" w:rsidTr="005455EF">
        <w:tc>
          <w:tcPr>
            <w:tcW w:w="1019" w:type="pct"/>
            <w:shd w:val="clear" w:color="auto" w:fill="auto"/>
            <w:vAlign w:val="center"/>
          </w:tcPr>
          <w:p w14:paraId="66E03B2C" w14:textId="004CEEFD" w:rsidR="007458C4" w:rsidRPr="00484AE9" w:rsidRDefault="007458C4" w:rsidP="007458C4">
            <w:pPr>
              <w:pStyle w:val="TableText0"/>
              <w:rPr>
                <w:szCs w:val="20"/>
              </w:rPr>
            </w:pPr>
            <w:r w:rsidRPr="00484AE9">
              <w:rPr>
                <w:szCs w:val="20"/>
              </w:rPr>
              <w:t>Number of prescriptions dispensed for nirmatrelvir and ritonavir</w:t>
            </w:r>
          </w:p>
        </w:tc>
        <w:tc>
          <w:tcPr>
            <w:tcW w:w="663" w:type="pct"/>
            <w:shd w:val="clear" w:color="auto" w:fill="auto"/>
            <w:vAlign w:val="center"/>
          </w:tcPr>
          <w:p w14:paraId="434AEB77" w14:textId="054BF388" w:rsidR="007458C4" w:rsidRPr="00F23EA5" w:rsidRDefault="00696519" w:rsidP="007458C4">
            <w:pPr>
              <w:pStyle w:val="TableText0"/>
              <w:jc w:val="center"/>
              <w:rPr>
                <w:szCs w:val="20"/>
                <w:highlight w:val="darkGray"/>
              </w:rPr>
            </w:pPr>
            <w:r w:rsidRPr="00696519">
              <w:rPr>
                <w:szCs w:val="20"/>
              </w:rPr>
              <w:t xml:space="preserve"> </w:t>
            </w:r>
            <w:r w:rsidRPr="00696519">
              <w:rPr>
                <w:rFonts w:hint="eastAsia"/>
                <w:color w:val="000000"/>
                <w:w w:val="15"/>
                <w:szCs w:val="20"/>
                <w:shd w:val="solid" w:color="000000" w:fill="000000"/>
                <w:fitText w:val="60" w:id="-1032088572"/>
                <w14:textFill>
                  <w14:solidFill>
                    <w14:srgbClr w14:val="000000">
                      <w14:alpha w14:val="100000"/>
                    </w14:srgbClr>
                  </w14:solidFill>
                </w14:textFill>
              </w:rPr>
              <w:t xml:space="preserve">　</w:t>
            </w:r>
            <w:r w:rsidRPr="00696519">
              <w:rPr>
                <w:color w:val="000000"/>
                <w:w w:val="15"/>
                <w:szCs w:val="20"/>
                <w:shd w:val="solid" w:color="000000" w:fill="000000"/>
                <w:fitText w:val="60" w:id="-1032088572"/>
                <w14:textFill>
                  <w14:solidFill>
                    <w14:srgbClr w14:val="000000">
                      <w14:alpha w14:val="100000"/>
                    </w14:srgbClr>
                  </w14:solidFill>
                </w14:textFill>
              </w:rPr>
              <w:t>|</w:t>
            </w:r>
            <w:r w:rsidRPr="00696519">
              <w:rPr>
                <w:rFonts w:hint="eastAsia"/>
                <w:color w:val="000000"/>
                <w:spacing w:val="-5"/>
                <w:w w:val="15"/>
                <w:szCs w:val="20"/>
                <w:shd w:val="solid" w:color="000000" w:fill="000000"/>
                <w:fitText w:val="60" w:id="-1032088572"/>
                <w14:textFill>
                  <w14:solidFill>
                    <w14:srgbClr w14:val="000000">
                      <w14:alpha w14:val="100000"/>
                    </w14:srgbClr>
                  </w14:solidFill>
                </w14:textFill>
              </w:rPr>
              <w:t xml:space="preserve">　</w:t>
            </w:r>
            <w:r w:rsidR="00827654">
              <w:rPr>
                <w:szCs w:val="20"/>
                <w:vertAlign w:val="superscript"/>
              </w:rPr>
              <w:t>16</w:t>
            </w:r>
          </w:p>
        </w:tc>
        <w:tc>
          <w:tcPr>
            <w:tcW w:w="664" w:type="pct"/>
            <w:shd w:val="clear" w:color="auto" w:fill="auto"/>
            <w:vAlign w:val="center"/>
          </w:tcPr>
          <w:p w14:paraId="2C37FDF6" w14:textId="2C09EDB8" w:rsidR="007458C4" w:rsidRPr="00F23EA5" w:rsidRDefault="00696519" w:rsidP="007458C4">
            <w:pPr>
              <w:pStyle w:val="TableText0"/>
              <w:jc w:val="center"/>
              <w:rPr>
                <w:szCs w:val="20"/>
                <w:highlight w:val="darkGray"/>
              </w:rPr>
            </w:pPr>
            <w:r w:rsidRPr="00696519">
              <w:rPr>
                <w:szCs w:val="20"/>
              </w:rPr>
              <w:t xml:space="preserve"> </w:t>
            </w:r>
            <w:r w:rsidRPr="00696519">
              <w:rPr>
                <w:rFonts w:hint="eastAsia"/>
                <w:color w:val="000000"/>
                <w:w w:val="15"/>
                <w:szCs w:val="20"/>
                <w:shd w:val="solid" w:color="000000" w:fill="000000"/>
                <w:fitText w:val="30" w:id="-1032088571"/>
                <w14:textFill>
                  <w14:solidFill>
                    <w14:srgbClr w14:val="000000">
                      <w14:alpha w14:val="100000"/>
                    </w14:srgbClr>
                  </w14:solidFill>
                </w14:textFill>
              </w:rPr>
              <w:t xml:space="preserve">　</w:t>
            </w:r>
            <w:r w:rsidRPr="00696519">
              <w:rPr>
                <w:color w:val="000000"/>
                <w:w w:val="15"/>
                <w:szCs w:val="20"/>
                <w:shd w:val="solid" w:color="000000" w:fill="000000"/>
                <w:fitText w:val="30" w:id="-1032088571"/>
                <w14:textFill>
                  <w14:solidFill>
                    <w14:srgbClr w14:val="000000">
                      <w14:alpha w14:val="100000"/>
                    </w14:srgbClr>
                  </w14:solidFill>
                </w14:textFill>
              </w:rPr>
              <w:t>|</w:t>
            </w:r>
            <w:r w:rsidRPr="00696519">
              <w:rPr>
                <w:rFonts w:hint="eastAsia"/>
                <w:color w:val="000000"/>
                <w:spacing w:val="-35"/>
                <w:w w:val="15"/>
                <w:szCs w:val="20"/>
                <w:shd w:val="solid" w:color="000000" w:fill="000000"/>
                <w:fitText w:val="30" w:id="-1032088571"/>
                <w14:textFill>
                  <w14:solidFill>
                    <w14:srgbClr w14:val="000000">
                      <w14:alpha w14:val="100000"/>
                    </w14:srgbClr>
                  </w14:solidFill>
                </w14:textFill>
              </w:rPr>
              <w:t xml:space="preserve">　</w:t>
            </w:r>
            <w:r w:rsidR="00C715FA">
              <w:rPr>
                <w:szCs w:val="20"/>
                <w:vertAlign w:val="superscript"/>
              </w:rPr>
              <w:t>4</w:t>
            </w:r>
          </w:p>
        </w:tc>
        <w:tc>
          <w:tcPr>
            <w:tcW w:w="663" w:type="pct"/>
            <w:shd w:val="clear" w:color="auto" w:fill="auto"/>
            <w:vAlign w:val="center"/>
          </w:tcPr>
          <w:p w14:paraId="7B169603" w14:textId="3F2D7AAF" w:rsidR="007458C4" w:rsidRPr="00F23EA5" w:rsidRDefault="00696519" w:rsidP="007458C4">
            <w:pPr>
              <w:pStyle w:val="TableText0"/>
              <w:jc w:val="center"/>
              <w:rPr>
                <w:szCs w:val="20"/>
                <w:highlight w:val="darkGray"/>
              </w:rPr>
            </w:pPr>
            <w:r w:rsidRPr="00696519">
              <w:rPr>
                <w:szCs w:val="20"/>
              </w:rPr>
              <w:t xml:space="preserve"> </w:t>
            </w:r>
            <w:r w:rsidRPr="00696519">
              <w:rPr>
                <w:rFonts w:hint="eastAsia"/>
                <w:color w:val="000000"/>
                <w:w w:val="15"/>
                <w:szCs w:val="20"/>
                <w:shd w:val="solid" w:color="000000" w:fill="000000"/>
                <w:fitText w:val="30" w:id="-1032088570"/>
                <w14:textFill>
                  <w14:solidFill>
                    <w14:srgbClr w14:val="000000">
                      <w14:alpha w14:val="100000"/>
                    </w14:srgbClr>
                  </w14:solidFill>
                </w14:textFill>
              </w:rPr>
              <w:t xml:space="preserve">　</w:t>
            </w:r>
            <w:r w:rsidRPr="00696519">
              <w:rPr>
                <w:color w:val="000000"/>
                <w:w w:val="15"/>
                <w:szCs w:val="20"/>
                <w:shd w:val="solid" w:color="000000" w:fill="000000"/>
                <w:fitText w:val="30" w:id="-1032088570"/>
                <w14:textFill>
                  <w14:solidFill>
                    <w14:srgbClr w14:val="000000">
                      <w14:alpha w14:val="100000"/>
                    </w14:srgbClr>
                  </w14:solidFill>
                </w14:textFill>
              </w:rPr>
              <w:t>|</w:t>
            </w:r>
            <w:r w:rsidRPr="00696519">
              <w:rPr>
                <w:rFonts w:hint="eastAsia"/>
                <w:color w:val="000000"/>
                <w:spacing w:val="-35"/>
                <w:w w:val="15"/>
                <w:szCs w:val="20"/>
                <w:shd w:val="solid" w:color="000000" w:fill="000000"/>
                <w:fitText w:val="30" w:id="-1032088570"/>
                <w14:textFill>
                  <w14:solidFill>
                    <w14:srgbClr w14:val="000000">
                      <w14:alpha w14:val="100000"/>
                    </w14:srgbClr>
                  </w14:solidFill>
                </w14:textFill>
              </w:rPr>
              <w:t xml:space="preserve">　</w:t>
            </w:r>
            <w:r w:rsidR="00C715FA">
              <w:rPr>
                <w:vertAlign w:val="superscript"/>
              </w:rPr>
              <w:t>5</w:t>
            </w:r>
          </w:p>
        </w:tc>
        <w:tc>
          <w:tcPr>
            <w:tcW w:w="664" w:type="pct"/>
            <w:shd w:val="clear" w:color="auto" w:fill="auto"/>
            <w:vAlign w:val="center"/>
          </w:tcPr>
          <w:p w14:paraId="2C85F484" w14:textId="279622A0" w:rsidR="007458C4" w:rsidRPr="00F23EA5" w:rsidRDefault="00696519" w:rsidP="007458C4">
            <w:pPr>
              <w:pStyle w:val="TableText0"/>
              <w:jc w:val="center"/>
              <w:rPr>
                <w:szCs w:val="20"/>
                <w:highlight w:val="darkGray"/>
              </w:rPr>
            </w:pPr>
            <w:r w:rsidRPr="00696519">
              <w:rPr>
                <w:szCs w:val="20"/>
              </w:rPr>
              <w:t xml:space="preserve"> </w:t>
            </w:r>
            <w:r w:rsidRPr="00696519">
              <w:rPr>
                <w:rFonts w:hint="eastAsia"/>
                <w:color w:val="000000"/>
                <w:w w:val="15"/>
                <w:szCs w:val="20"/>
                <w:shd w:val="solid" w:color="000000" w:fill="000000"/>
                <w:fitText w:val="30" w:id="-1032088569"/>
                <w14:textFill>
                  <w14:solidFill>
                    <w14:srgbClr w14:val="000000">
                      <w14:alpha w14:val="100000"/>
                    </w14:srgbClr>
                  </w14:solidFill>
                </w14:textFill>
              </w:rPr>
              <w:t xml:space="preserve">　</w:t>
            </w:r>
            <w:r w:rsidRPr="00696519">
              <w:rPr>
                <w:color w:val="000000"/>
                <w:w w:val="15"/>
                <w:szCs w:val="20"/>
                <w:shd w:val="solid" w:color="000000" w:fill="000000"/>
                <w:fitText w:val="30" w:id="-1032088569"/>
                <w14:textFill>
                  <w14:solidFill>
                    <w14:srgbClr w14:val="000000">
                      <w14:alpha w14:val="100000"/>
                    </w14:srgbClr>
                  </w14:solidFill>
                </w14:textFill>
              </w:rPr>
              <w:t>|</w:t>
            </w:r>
            <w:r w:rsidRPr="00696519">
              <w:rPr>
                <w:rFonts w:hint="eastAsia"/>
                <w:color w:val="000000"/>
                <w:spacing w:val="-35"/>
                <w:w w:val="15"/>
                <w:szCs w:val="20"/>
                <w:shd w:val="solid" w:color="000000" w:fill="000000"/>
                <w:fitText w:val="30" w:id="-1032088569"/>
                <w14:textFill>
                  <w14:solidFill>
                    <w14:srgbClr w14:val="000000">
                      <w14:alpha w14:val="100000"/>
                    </w14:srgbClr>
                  </w14:solidFill>
                </w14:textFill>
              </w:rPr>
              <w:t xml:space="preserve">　</w:t>
            </w:r>
            <w:r w:rsidR="00C715FA">
              <w:rPr>
                <w:szCs w:val="20"/>
                <w:vertAlign w:val="superscript"/>
              </w:rPr>
              <w:t>6</w:t>
            </w:r>
          </w:p>
        </w:tc>
        <w:tc>
          <w:tcPr>
            <w:tcW w:w="663" w:type="pct"/>
            <w:shd w:val="clear" w:color="auto" w:fill="auto"/>
            <w:vAlign w:val="center"/>
          </w:tcPr>
          <w:p w14:paraId="2A023682" w14:textId="24D5226F" w:rsidR="007458C4" w:rsidRPr="00F23EA5" w:rsidRDefault="00696519" w:rsidP="007458C4">
            <w:pPr>
              <w:pStyle w:val="TableText0"/>
              <w:jc w:val="center"/>
              <w:rPr>
                <w:szCs w:val="20"/>
                <w:highlight w:val="darkGray"/>
              </w:rPr>
            </w:pPr>
            <w:r w:rsidRPr="00696519">
              <w:rPr>
                <w:szCs w:val="20"/>
              </w:rPr>
              <w:t xml:space="preserve"> </w:t>
            </w:r>
            <w:r w:rsidRPr="00696519">
              <w:rPr>
                <w:rFonts w:hint="eastAsia"/>
                <w:color w:val="000000"/>
                <w:w w:val="15"/>
                <w:szCs w:val="20"/>
                <w:shd w:val="solid" w:color="000000" w:fill="000000"/>
                <w:fitText w:val="30" w:id="-1032088568"/>
                <w14:textFill>
                  <w14:solidFill>
                    <w14:srgbClr w14:val="000000">
                      <w14:alpha w14:val="100000"/>
                    </w14:srgbClr>
                  </w14:solidFill>
                </w14:textFill>
              </w:rPr>
              <w:t xml:space="preserve">　</w:t>
            </w:r>
            <w:r w:rsidRPr="00696519">
              <w:rPr>
                <w:color w:val="000000"/>
                <w:w w:val="15"/>
                <w:szCs w:val="20"/>
                <w:shd w:val="solid" w:color="000000" w:fill="000000"/>
                <w:fitText w:val="30" w:id="-1032088568"/>
                <w14:textFill>
                  <w14:solidFill>
                    <w14:srgbClr w14:val="000000">
                      <w14:alpha w14:val="100000"/>
                    </w14:srgbClr>
                  </w14:solidFill>
                </w14:textFill>
              </w:rPr>
              <w:t>|</w:t>
            </w:r>
            <w:r w:rsidRPr="00696519">
              <w:rPr>
                <w:rFonts w:hint="eastAsia"/>
                <w:color w:val="000000"/>
                <w:spacing w:val="-35"/>
                <w:w w:val="15"/>
                <w:szCs w:val="20"/>
                <w:shd w:val="solid" w:color="000000" w:fill="000000"/>
                <w:fitText w:val="30" w:id="-1032088568"/>
                <w14:textFill>
                  <w14:solidFill>
                    <w14:srgbClr w14:val="000000">
                      <w14:alpha w14:val="100000"/>
                    </w14:srgbClr>
                  </w14:solidFill>
                </w14:textFill>
              </w:rPr>
              <w:t xml:space="preserve">　</w:t>
            </w:r>
            <w:r w:rsidR="00C715FA">
              <w:rPr>
                <w:szCs w:val="20"/>
                <w:vertAlign w:val="superscript"/>
              </w:rPr>
              <w:t>6</w:t>
            </w:r>
          </w:p>
        </w:tc>
        <w:tc>
          <w:tcPr>
            <w:tcW w:w="664" w:type="pct"/>
            <w:vAlign w:val="center"/>
          </w:tcPr>
          <w:p w14:paraId="31F1E8CD" w14:textId="0A6315F0" w:rsidR="007458C4" w:rsidRPr="00F23EA5" w:rsidRDefault="00696519" w:rsidP="007458C4">
            <w:pPr>
              <w:pStyle w:val="TableText0"/>
              <w:jc w:val="center"/>
              <w:rPr>
                <w:szCs w:val="20"/>
                <w:highlight w:val="darkGray"/>
              </w:rPr>
            </w:pPr>
            <w:r w:rsidRPr="00696519">
              <w:rPr>
                <w:szCs w:val="20"/>
              </w:rPr>
              <w:t xml:space="preserve"> </w:t>
            </w:r>
            <w:r w:rsidRPr="00696519">
              <w:rPr>
                <w:rFonts w:hint="eastAsia"/>
                <w:color w:val="000000"/>
                <w:w w:val="15"/>
                <w:szCs w:val="20"/>
                <w:shd w:val="solid" w:color="000000" w:fill="000000"/>
                <w:fitText w:val="30" w:id="-1032088567"/>
                <w14:textFill>
                  <w14:solidFill>
                    <w14:srgbClr w14:val="000000">
                      <w14:alpha w14:val="100000"/>
                    </w14:srgbClr>
                  </w14:solidFill>
                </w14:textFill>
              </w:rPr>
              <w:t xml:space="preserve">　</w:t>
            </w:r>
            <w:r w:rsidRPr="00696519">
              <w:rPr>
                <w:color w:val="000000"/>
                <w:w w:val="15"/>
                <w:szCs w:val="20"/>
                <w:shd w:val="solid" w:color="000000" w:fill="000000"/>
                <w:fitText w:val="30" w:id="-1032088567"/>
                <w14:textFill>
                  <w14:solidFill>
                    <w14:srgbClr w14:val="000000">
                      <w14:alpha w14:val="100000"/>
                    </w14:srgbClr>
                  </w14:solidFill>
                </w14:textFill>
              </w:rPr>
              <w:t>|</w:t>
            </w:r>
            <w:r w:rsidRPr="00696519">
              <w:rPr>
                <w:rFonts w:hint="eastAsia"/>
                <w:color w:val="000000"/>
                <w:spacing w:val="-35"/>
                <w:w w:val="15"/>
                <w:szCs w:val="20"/>
                <w:shd w:val="solid" w:color="000000" w:fill="000000"/>
                <w:fitText w:val="30" w:id="-1032088567"/>
                <w14:textFill>
                  <w14:solidFill>
                    <w14:srgbClr w14:val="000000">
                      <w14:alpha w14:val="100000"/>
                    </w14:srgbClr>
                  </w14:solidFill>
                </w14:textFill>
              </w:rPr>
              <w:t xml:space="preserve">　</w:t>
            </w:r>
            <w:r w:rsidR="00C715FA">
              <w:rPr>
                <w:szCs w:val="20"/>
                <w:vertAlign w:val="superscript"/>
              </w:rPr>
              <w:t>6</w:t>
            </w:r>
          </w:p>
        </w:tc>
      </w:tr>
      <w:tr w:rsidR="000C109D" w:rsidRPr="00484AE9" w14:paraId="70E0FA1B" w14:textId="77777777" w:rsidTr="005455EF">
        <w:tc>
          <w:tcPr>
            <w:tcW w:w="1019" w:type="pct"/>
            <w:shd w:val="clear" w:color="auto" w:fill="auto"/>
            <w:vAlign w:val="center"/>
          </w:tcPr>
          <w:p w14:paraId="3D265554" w14:textId="795AE34D" w:rsidR="000C109D" w:rsidRPr="00484AE9" w:rsidRDefault="000C109D" w:rsidP="000C109D">
            <w:pPr>
              <w:pStyle w:val="TableText0"/>
              <w:rPr>
                <w:szCs w:val="20"/>
              </w:rPr>
            </w:pPr>
            <w:r w:rsidRPr="00484AE9">
              <w:rPr>
                <w:szCs w:val="20"/>
              </w:rPr>
              <w:t xml:space="preserve">Reduction in prescriptions dispensed for nirmatrelvir and ritonavir, compared with submission </w:t>
            </w:r>
          </w:p>
        </w:tc>
        <w:tc>
          <w:tcPr>
            <w:tcW w:w="663" w:type="pct"/>
            <w:shd w:val="clear" w:color="auto" w:fill="auto"/>
            <w:vAlign w:val="center"/>
          </w:tcPr>
          <w:p w14:paraId="02A442AC" w14:textId="6005467E" w:rsidR="000C109D" w:rsidRPr="009944E1" w:rsidRDefault="000C109D" w:rsidP="000C109D">
            <w:pPr>
              <w:pStyle w:val="TableText0"/>
              <w:jc w:val="center"/>
              <w:rPr>
                <w:szCs w:val="20"/>
              </w:rPr>
            </w:pPr>
            <w:r w:rsidRPr="009944E1">
              <w:rPr>
                <w:szCs w:val="20"/>
              </w:rPr>
              <w:t>23%</w:t>
            </w:r>
          </w:p>
        </w:tc>
        <w:tc>
          <w:tcPr>
            <w:tcW w:w="664" w:type="pct"/>
            <w:shd w:val="clear" w:color="auto" w:fill="auto"/>
            <w:vAlign w:val="center"/>
          </w:tcPr>
          <w:p w14:paraId="729E7B13" w14:textId="01F5E375" w:rsidR="000C109D" w:rsidRPr="009944E1" w:rsidRDefault="000C109D" w:rsidP="000C109D">
            <w:pPr>
              <w:pStyle w:val="TableText0"/>
              <w:jc w:val="center"/>
              <w:rPr>
                <w:szCs w:val="20"/>
              </w:rPr>
            </w:pPr>
            <w:r w:rsidRPr="009944E1">
              <w:rPr>
                <w:szCs w:val="20"/>
              </w:rPr>
              <w:t>23%</w:t>
            </w:r>
          </w:p>
        </w:tc>
        <w:tc>
          <w:tcPr>
            <w:tcW w:w="663" w:type="pct"/>
            <w:shd w:val="clear" w:color="auto" w:fill="auto"/>
            <w:vAlign w:val="center"/>
          </w:tcPr>
          <w:p w14:paraId="44E489C1" w14:textId="6C6A3BB0" w:rsidR="000C109D" w:rsidRPr="009944E1" w:rsidRDefault="000C109D" w:rsidP="000C109D">
            <w:pPr>
              <w:pStyle w:val="TableText0"/>
              <w:jc w:val="center"/>
              <w:rPr>
                <w:szCs w:val="20"/>
              </w:rPr>
            </w:pPr>
            <w:r w:rsidRPr="009944E1">
              <w:rPr>
                <w:szCs w:val="20"/>
              </w:rPr>
              <w:t>23%</w:t>
            </w:r>
          </w:p>
        </w:tc>
        <w:tc>
          <w:tcPr>
            <w:tcW w:w="664" w:type="pct"/>
            <w:shd w:val="clear" w:color="auto" w:fill="auto"/>
            <w:vAlign w:val="center"/>
          </w:tcPr>
          <w:p w14:paraId="0E8599A4" w14:textId="6377528B" w:rsidR="000C109D" w:rsidRPr="009944E1" w:rsidRDefault="000C109D" w:rsidP="000C109D">
            <w:pPr>
              <w:pStyle w:val="TableText0"/>
              <w:jc w:val="center"/>
              <w:rPr>
                <w:szCs w:val="20"/>
              </w:rPr>
            </w:pPr>
            <w:r w:rsidRPr="009944E1">
              <w:rPr>
                <w:szCs w:val="20"/>
              </w:rPr>
              <w:t>22%</w:t>
            </w:r>
          </w:p>
        </w:tc>
        <w:tc>
          <w:tcPr>
            <w:tcW w:w="663" w:type="pct"/>
            <w:shd w:val="clear" w:color="auto" w:fill="auto"/>
            <w:vAlign w:val="center"/>
          </w:tcPr>
          <w:p w14:paraId="3663EAF7" w14:textId="3D227C19" w:rsidR="000C109D" w:rsidRPr="009944E1" w:rsidRDefault="000C109D" w:rsidP="000C109D">
            <w:pPr>
              <w:pStyle w:val="TableText0"/>
              <w:jc w:val="center"/>
              <w:rPr>
                <w:szCs w:val="20"/>
              </w:rPr>
            </w:pPr>
            <w:r w:rsidRPr="009944E1">
              <w:rPr>
                <w:szCs w:val="20"/>
              </w:rPr>
              <w:t>22%</w:t>
            </w:r>
          </w:p>
        </w:tc>
        <w:tc>
          <w:tcPr>
            <w:tcW w:w="664" w:type="pct"/>
            <w:vAlign w:val="center"/>
          </w:tcPr>
          <w:p w14:paraId="3239DD06" w14:textId="47CA48A1" w:rsidR="000C109D" w:rsidRPr="009944E1" w:rsidRDefault="000C109D" w:rsidP="000C109D">
            <w:pPr>
              <w:pStyle w:val="TableText0"/>
              <w:jc w:val="center"/>
              <w:rPr>
                <w:szCs w:val="20"/>
              </w:rPr>
            </w:pPr>
            <w:r w:rsidRPr="009944E1">
              <w:rPr>
                <w:szCs w:val="20"/>
              </w:rPr>
              <w:t>22%</w:t>
            </w:r>
          </w:p>
        </w:tc>
      </w:tr>
    </w:tbl>
    <w:p w14:paraId="32BF64FF" w14:textId="5ABA1D30" w:rsidR="0019649C" w:rsidRPr="00484AE9" w:rsidRDefault="0019649C" w:rsidP="0019649C">
      <w:pPr>
        <w:pStyle w:val="FooterTableFigure"/>
      </w:pPr>
      <w:r w:rsidRPr="00484AE9">
        <w:t xml:space="preserve">* Back-calculated during the submission by application of market share of nirmatrelvir and ritonavir (as projected in </w:t>
      </w:r>
      <w:r w:rsidRPr="00484AE9">
        <w:fldChar w:fldCharType="begin"/>
      </w:r>
      <w:r w:rsidRPr="00484AE9">
        <w:instrText xml:space="preserve"> REF _Ref104805262 \h </w:instrText>
      </w:r>
      <w:r w:rsidRPr="00484AE9">
        <w:fldChar w:fldCharType="separate"/>
      </w:r>
      <w:r w:rsidR="00872657" w:rsidRPr="00484AE9">
        <w:t xml:space="preserve">Table </w:t>
      </w:r>
      <w:r w:rsidR="00872657">
        <w:rPr>
          <w:noProof/>
        </w:rPr>
        <w:t>28</w:t>
      </w:r>
      <w:r w:rsidRPr="00484AE9">
        <w:fldChar w:fldCharType="end"/>
      </w:r>
      <w:r w:rsidRPr="00484AE9">
        <w:t>)</w:t>
      </w:r>
    </w:p>
    <w:p w14:paraId="739255F0" w14:textId="40D647FE" w:rsidR="0019649C" w:rsidRPr="00484AE9" w:rsidRDefault="0019649C" w:rsidP="0019649C">
      <w:pPr>
        <w:pStyle w:val="FooterTableFigure"/>
        <w:rPr>
          <w:rStyle w:val="CommentReference"/>
        </w:rPr>
      </w:pPr>
      <w:r w:rsidRPr="00484AE9">
        <w:t>Sources: Table 4.213 on p226 Table 4.3.2 on p227, Table 4.4.1 on p228, Tables 4.5.2 and 4.5.3 on p230 of the submission)</w:t>
      </w:r>
      <w:r w:rsidR="000C109D" w:rsidRPr="00484AE9">
        <w:t>, and pre-PBAC response</w:t>
      </w:r>
      <w:r w:rsidRPr="00484AE9">
        <w:t>.</w:t>
      </w:r>
    </w:p>
    <w:p w14:paraId="4FF7C715" w14:textId="42946DBE" w:rsidR="0019649C" w:rsidRDefault="0019649C" w:rsidP="0019649C">
      <w:pPr>
        <w:pStyle w:val="FooterTableFigure"/>
      </w:pPr>
      <w:r w:rsidRPr="00484AE9">
        <w:rPr>
          <w:vertAlign w:val="superscript"/>
        </w:rPr>
        <w:t>a</w:t>
      </w:r>
      <w:r w:rsidRPr="00484AE9">
        <w:t xml:space="preserve"> Assuming one prescription per patient per year as estimated by the submission.</w:t>
      </w:r>
    </w:p>
    <w:p w14:paraId="1A64ADF3" w14:textId="77777777" w:rsidR="009D6155" w:rsidRPr="00C74CAB" w:rsidRDefault="009D6155" w:rsidP="009D6155">
      <w:pPr>
        <w:pStyle w:val="FooterTableFigure"/>
        <w:rPr>
          <w:i/>
          <w:iCs/>
        </w:rPr>
      </w:pPr>
      <w:r w:rsidRPr="00C74CAB">
        <w:rPr>
          <w:i/>
          <w:iCs/>
        </w:rPr>
        <w:t>The redacted values correspond to the following ranges:</w:t>
      </w:r>
    </w:p>
    <w:p w14:paraId="0386938E" w14:textId="4FDE77BC" w:rsidR="009D6155" w:rsidRPr="00F23EA5" w:rsidRDefault="009D6155" w:rsidP="009D6155">
      <w:pPr>
        <w:pStyle w:val="FooterTableFigure"/>
        <w:rPr>
          <w:i/>
          <w:iCs/>
        </w:rPr>
      </w:pPr>
      <w:r w:rsidRPr="00F23EA5">
        <w:rPr>
          <w:i/>
          <w:iCs/>
          <w:vertAlign w:val="superscript"/>
        </w:rPr>
        <w:t>1</w:t>
      </w:r>
      <w:r w:rsidRPr="00F23EA5">
        <w:rPr>
          <w:i/>
          <w:iCs/>
        </w:rPr>
        <w:t xml:space="preserve"> 1,000,000 to &lt; 2,000,000</w:t>
      </w:r>
    </w:p>
    <w:p w14:paraId="2F38BDFA" w14:textId="7DDB8994" w:rsidR="00C715FA" w:rsidRPr="00F23EA5" w:rsidRDefault="00C715FA" w:rsidP="00C715FA">
      <w:pPr>
        <w:pStyle w:val="FooterTableFigure"/>
        <w:rPr>
          <w:i/>
          <w:iCs/>
        </w:rPr>
      </w:pPr>
      <w:r w:rsidRPr="00F23EA5">
        <w:rPr>
          <w:i/>
          <w:iCs/>
          <w:vertAlign w:val="superscript"/>
        </w:rPr>
        <w:t>2</w:t>
      </w:r>
      <w:r w:rsidRPr="00F23EA5">
        <w:rPr>
          <w:i/>
          <w:iCs/>
        </w:rPr>
        <w:t xml:space="preserve"> 700,000 to &lt; 800,000</w:t>
      </w:r>
    </w:p>
    <w:p w14:paraId="67956640" w14:textId="507FDDE8" w:rsidR="00C715FA" w:rsidRPr="00F23EA5" w:rsidRDefault="00C715FA" w:rsidP="00C715FA">
      <w:pPr>
        <w:pStyle w:val="FooterTableFigure"/>
        <w:rPr>
          <w:i/>
          <w:iCs/>
        </w:rPr>
      </w:pPr>
      <w:r w:rsidRPr="00F23EA5">
        <w:rPr>
          <w:i/>
          <w:iCs/>
          <w:vertAlign w:val="superscript"/>
        </w:rPr>
        <w:t>3</w:t>
      </w:r>
      <w:r w:rsidRPr="00F23EA5">
        <w:rPr>
          <w:i/>
          <w:iCs/>
        </w:rPr>
        <w:t xml:space="preserve"> 800,000 to &lt; 900,000</w:t>
      </w:r>
    </w:p>
    <w:p w14:paraId="1030F7FD" w14:textId="020A006F" w:rsidR="00C715FA" w:rsidRPr="00F23EA5" w:rsidRDefault="00C715FA" w:rsidP="00C715FA">
      <w:pPr>
        <w:pStyle w:val="FooterTableFigure"/>
        <w:rPr>
          <w:i/>
          <w:iCs/>
        </w:rPr>
      </w:pPr>
      <w:r w:rsidRPr="00F23EA5">
        <w:rPr>
          <w:i/>
          <w:iCs/>
          <w:vertAlign w:val="superscript"/>
        </w:rPr>
        <w:t>4</w:t>
      </w:r>
      <w:r w:rsidRPr="00F23EA5">
        <w:rPr>
          <w:i/>
          <w:iCs/>
        </w:rPr>
        <w:t xml:space="preserve"> 300,000 to &lt; 400,000</w:t>
      </w:r>
    </w:p>
    <w:p w14:paraId="4B0F0DDD" w14:textId="1A112665" w:rsidR="00C715FA" w:rsidRPr="00F23EA5" w:rsidRDefault="00C715FA" w:rsidP="00C715FA">
      <w:pPr>
        <w:pStyle w:val="FooterTableFigure"/>
        <w:rPr>
          <w:i/>
          <w:iCs/>
        </w:rPr>
      </w:pPr>
      <w:r w:rsidRPr="00F23EA5">
        <w:rPr>
          <w:i/>
          <w:iCs/>
          <w:vertAlign w:val="superscript"/>
        </w:rPr>
        <w:t>5</w:t>
      </w:r>
      <w:r w:rsidRPr="00F23EA5">
        <w:rPr>
          <w:i/>
          <w:iCs/>
        </w:rPr>
        <w:t xml:space="preserve"> 400,000 to &lt; 500,000</w:t>
      </w:r>
    </w:p>
    <w:p w14:paraId="4E789FF6" w14:textId="0D65893B" w:rsidR="00C715FA" w:rsidRPr="00F23EA5" w:rsidRDefault="00C715FA" w:rsidP="00C715FA">
      <w:pPr>
        <w:pStyle w:val="FooterTableFigure"/>
        <w:rPr>
          <w:i/>
          <w:iCs/>
        </w:rPr>
      </w:pPr>
      <w:r w:rsidRPr="00F23EA5">
        <w:rPr>
          <w:i/>
          <w:iCs/>
          <w:vertAlign w:val="superscript"/>
        </w:rPr>
        <w:t>6</w:t>
      </w:r>
      <w:r w:rsidRPr="00F23EA5">
        <w:rPr>
          <w:i/>
          <w:iCs/>
        </w:rPr>
        <w:t xml:space="preserve"> 500,000 to &lt; 600,000</w:t>
      </w:r>
    </w:p>
    <w:p w14:paraId="4AF9E003" w14:textId="12D547AB" w:rsidR="007D30AE" w:rsidRPr="00F23EA5" w:rsidRDefault="007D30AE" w:rsidP="007D30AE">
      <w:pPr>
        <w:pStyle w:val="FooterTableFigure"/>
        <w:rPr>
          <w:i/>
          <w:iCs/>
        </w:rPr>
      </w:pPr>
      <w:r w:rsidRPr="00F23EA5">
        <w:rPr>
          <w:i/>
          <w:iCs/>
          <w:vertAlign w:val="superscript"/>
        </w:rPr>
        <w:t>7</w:t>
      </w:r>
      <w:r w:rsidRPr="00F23EA5">
        <w:rPr>
          <w:i/>
          <w:iCs/>
        </w:rPr>
        <w:t xml:space="preserve"> 600,000 to &lt; 700,000</w:t>
      </w:r>
    </w:p>
    <w:p w14:paraId="41E78AEE" w14:textId="77777777" w:rsidR="007D30AE" w:rsidRPr="00C74CAB" w:rsidRDefault="007D30AE" w:rsidP="007D30AE">
      <w:pPr>
        <w:pStyle w:val="FooterTableFigure"/>
        <w:rPr>
          <w:i/>
          <w:iCs/>
        </w:rPr>
      </w:pPr>
      <w:r w:rsidRPr="00C74CAB">
        <w:rPr>
          <w:i/>
          <w:iCs/>
          <w:vertAlign w:val="superscript"/>
        </w:rPr>
        <w:t>8</w:t>
      </w:r>
      <w:r w:rsidRPr="00C74CAB">
        <w:rPr>
          <w:i/>
          <w:iCs/>
        </w:rPr>
        <w:t xml:space="preserve"> $600 million to &lt; $700 million</w:t>
      </w:r>
    </w:p>
    <w:p w14:paraId="050D2C97" w14:textId="0D6CE142" w:rsidR="007D30AE" w:rsidRPr="00C74CAB" w:rsidRDefault="007D30AE" w:rsidP="007D30AE">
      <w:pPr>
        <w:pStyle w:val="FooterTableFigure"/>
        <w:rPr>
          <w:i/>
          <w:iCs/>
        </w:rPr>
      </w:pPr>
      <w:r w:rsidRPr="00F23EA5">
        <w:rPr>
          <w:i/>
          <w:iCs/>
          <w:vertAlign w:val="superscript"/>
        </w:rPr>
        <w:t xml:space="preserve">9 </w:t>
      </w:r>
      <w:r w:rsidRPr="00C74CAB">
        <w:rPr>
          <w:i/>
          <w:iCs/>
        </w:rPr>
        <w:t>$700 million to &lt; $800 million</w:t>
      </w:r>
    </w:p>
    <w:p w14:paraId="33386117" w14:textId="365988D2" w:rsidR="007D30AE" w:rsidRPr="00C74CAB" w:rsidRDefault="007D30AE" w:rsidP="007D30AE">
      <w:pPr>
        <w:pStyle w:val="FooterTableFigure"/>
        <w:rPr>
          <w:i/>
          <w:iCs/>
        </w:rPr>
      </w:pPr>
      <w:r w:rsidRPr="00C74CAB">
        <w:rPr>
          <w:i/>
          <w:iCs/>
          <w:vertAlign w:val="superscript"/>
        </w:rPr>
        <w:t xml:space="preserve">10 </w:t>
      </w:r>
      <w:r w:rsidRPr="00C74CAB">
        <w:rPr>
          <w:i/>
          <w:iCs/>
        </w:rPr>
        <w:t>$800 million to &lt; $900 million</w:t>
      </w:r>
    </w:p>
    <w:p w14:paraId="792F5AAE" w14:textId="09AA8FDD" w:rsidR="007D30AE" w:rsidRPr="00C74CAB" w:rsidRDefault="007D30AE" w:rsidP="007D30AE">
      <w:pPr>
        <w:pStyle w:val="FooterTableFigure"/>
        <w:rPr>
          <w:i/>
          <w:iCs/>
        </w:rPr>
      </w:pPr>
      <w:r w:rsidRPr="00C74CAB">
        <w:rPr>
          <w:i/>
          <w:iCs/>
          <w:vertAlign w:val="superscript"/>
        </w:rPr>
        <w:t>11</w:t>
      </w:r>
      <w:r w:rsidRPr="00C74CAB">
        <w:rPr>
          <w:i/>
          <w:iCs/>
        </w:rPr>
        <w:t xml:space="preserve"> &gt; $1 billion</w:t>
      </w:r>
    </w:p>
    <w:p w14:paraId="6F5DC236" w14:textId="71E6314E" w:rsidR="00C74CAB" w:rsidRPr="00C74CAB" w:rsidRDefault="00C74CAB" w:rsidP="007D30AE">
      <w:pPr>
        <w:pStyle w:val="FooterTableFigure"/>
        <w:rPr>
          <w:i/>
          <w:iCs/>
        </w:rPr>
      </w:pPr>
      <w:r w:rsidRPr="00F23EA5">
        <w:rPr>
          <w:i/>
          <w:iCs/>
          <w:vertAlign w:val="superscript"/>
        </w:rPr>
        <w:lastRenderedPageBreak/>
        <w:t>12</w:t>
      </w:r>
      <w:r w:rsidRPr="00C74CAB">
        <w:rPr>
          <w:i/>
          <w:iCs/>
        </w:rPr>
        <w:t xml:space="preserve"> Net cost saving</w:t>
      </w:r>
    </w:p>
    <w:p w14:paraId="17666162" w14:textId="4CCF5CAD" w:rsidR="007D30AE" w:rsidRPr="00C74CAB" w:rsidRDefault="007D30AE" w:rsidP="007D30AE">
      <w:pPr>
        <w:pStyle w:val="FooterTableFigure"/>
        <w:rPr>
          <w:i/>
          <w:iCs/>
        </w:rPr>
      </w:pPr>
      <w:r w:rsidRPr="00F23EA5">
        <w:rPr>
          <w:i/>
          <w:iCs/>
          <w:vertAlign w:val="superscript"/>
        </w:rPr>
        <w:t>1</w:t>
      </w:r>
      <w:r w:rsidR="00C74CAB" w:rsidRPr="00C74CAB">
        <w:rPr>
          <w:i/>
          <w:iCs/>
          <w:vertAlign w:val="superscript"/>
        </w:rPr>
        <w:t xml:space="preserve">3 </w:t>
      </w:r>
      <w:r w:rsidRPr="00C74CAB">
        <w:rPr>
          <w:i/>
          <w:iCs/>
        </w:rPr>
        <w:t>$400 million to &lt; $500 million</w:t>
      </w:r>
    </w:p>
    <w:p w14:paraId="3347D6DE" w14:textId="509BF030" w:rsidR="009944E1" w:rsidRPr="00C74CAB" w:rsidRDefault="009944E1" w:rsidP="009944E1">
      <w:pPr>
        <w:pStyle w:val="FooterTableFigure"/>
        <w:rPr>
          <w:i/>
          <w:iCs/>
        </w:rPr>
      </w:pPr>
      <w:r w:rsidRPr="00C74CAB">
        <w:rPr>
          <w:i/>
          <w:iCs/>
          <w:vertAlign w:val="superscript"/>
        </w:rPr>
        <w:t>1</w:t>
      </w:r>
      <w:r w:rsidR="00C74CAB" w:rsidRPr="00C74CAB">
        <w:rPr>
          <w:i/>
          <w:iCs/>
          <w:vertAlign w:val="superscript"/>
        </w:rPr>
        <w:t>4</w:t>
      </w:r>
      <w:r w:rsidRPr="00C74CAB">
        <w:rPr>
          <w:i/>
          <w:iCs/>
        </w:rPr>
        <w:t xml:space="preserve"> $500 million to &lt; $600 million</w:t>
      </w:r>
    </w:p>
    <w:p w14:paraId="29323F77" w14:textId="6C797B07" w:rsidR="00827654" w:rsidRDefault="009944E1" w:rsidP="005A63E5">
      <w:pPr>
        <w:pStyle w:val="FooterTableFigure"/>
        <w:rPr>
          <w:i/>
          <w:iCs/>
        </w:rPr>
      </w:pPr>
      <w:r w:rsidRPr="00C74CAB">
        <w:rPr>
          <w:i/>
          <w:iCs/>
          <w:vertAlign w:val="superscript"/>
        </w:rPr>
        <w:t>1</w:t>
      </w:r>
      <w:r w:rsidR="00C74CAB" w:rsidRPr="00C74CAB">
        <w:rPr>
          <w:i/>
          <w:iCs/>
          <w:vertAlign w:val="superscript"/>
        </w:rPr>
        <w:t>5</w:t>
      </w:r>
      <w:r w:rsidR="00F76D9A">
        <w:rPr>
          <w:i/>
          <w:iCs/>
        </w:rPr>
        <w:t xml:space="preserve"> </w:t>
      </w:r>
      <w:r w:rsidRPr="00C74CAB">
        <w:rPr>
          <w:i/>
          <w:iCs/>
        </w:rPr>
        <w:t>$0 to &lt; $10 million</w:t>
      </w:r>
    </w:p>
    <w:p w14:paraId="139ABD25" w14:textId="771E4AEB" w:rsidR="00062906" w:rsidRPr="00484AE9" w:rsidRDefault="00827654" w:rsidP="005A63E5">
      <w:pPr>
        <w:pStyle w:val="FooterTableFigure"/>
      </w:pPr>
      <w:r w:rsidRPr="00C74CAB">
        <w:rPr>
          <w:i/>
          <w:iCs/>
          <w:vertAlign w:val="superscript"/>
        </w:rPr>
        <w:t>1</w:t>
      </w:r>
      <w:r>
        <w:rPr>
          <w:i/>
          <w:iCs/>
          <w:vertAlign w:val="superscript"/>
        </w:rPr>
        <w:t>6</w:t>
      </w:r>
      <w:r>
        <w:rPr>
          <w:i/>
          <w:iCs/>
        </w:rPr>
        <w:t xml:space="preserve"> 2</w:t>
      </w:r>
      <w:r w:rsidRPr="00486724">
        <w:rPr>
          <w:i/>
          <w:iCs/>
        </w:rPr>
        <w:t>00,000 to &lt; </w:t>
      </w:r>
      <w:r>
        <w:rPr>
          <w:i/>
          <w:iCs/>
        </w:rPr>
        <w:t>3</w:t>
      </w:r>
      <w:r w:rsidRPr="00486724">
        <w:rPr>
          <w:i/>
          <w:iCs/>
        </w:rPr>
        <w:t>00,000</w:t>
      </w:r>
    </w:p>
    <w:p w14:paraId="6F9D43DF" w14:textId="7EE0FE3C" w:rsidR="0019649C" w:rsidRPr="00484AE9" w:rsidRDefault="0019649C" w:rsidP="0019649C">
      <w:pPr>
        <w:pStyle w:val="3-BodyText"/>
      </w:pPr>
      <w:r w:rsidRPr="00484AE9">
        <w:t xml:space="preserve">The total cost to the PBS/RPBS of continued listing of nirmatrelvir and ritonavir was estimated to be </w:t>
      </w:r>
      <w:r w:rsidR="0010115B">
        <w:t>&gt;</w:t>
      </w:r>
      <w:r w:rsidRPr="00484AE9">
        <w:t>$</w:t>
      </w:r>
      <w:r w:rsidR="0010115B">
        <w:t xml:space="preserve">1 </w:t>
      </w:r>
      <w:r w:rsidRPr="00484AE9">
        <w:t xml:space="preserve">billion in Year 6, and a total of </w:t>
      </w:r>
      <w:r w:rsidR="0010115B">
        <w:t>&gt;</w:t>
      </w:r>
      <w:r w:rsidRPr="00484AE9">
        <w:t>$</w:t>
      </w:r>
      <w:r w:rsidR="0010115B">
        <w:t xml:space="preserve">1 </w:t>
      </w:r>
      <w:r w:rsidRPr="00484AE9">
        <w:t xml:space="preserve">billion in the first 6 years of listing based on assumptions of continued prescribing of antivirals for </w:t>
      </w:r>
      <w:r w:rsidRPr="00484AE9">
        <w:rPr>
          <w:rStyle w:val="normaltextrun"/>
        </w:rPr>
        <w:t>COVID</w:t>
      </w:r>
      <w:r w:rsidRPr="00484AE9">
        <w:rPr>
          <w:rStyle w:val="normaltextrun"/>
        </w:rPr>
        <w:noBreakHyphen/>
        <w:t>19</w:t>
      </w:r>
      <w:r w:rsidRPr="00484AE9">
        <w:t xml:space="preserve"> at the rates observed over the past year, with some additional use due to an assumption of continuation of the current PBS restrictions for nirmatrelvir and ritonavir. The net cost in Year 6 is estimated to be $</w:t>
      </w:r>
      <w:r w:rsidR="0010115B" w:rsidRPr="0010115B">
        <w:t>600 million to &lt; $700</w:t>
      </w:r>
      <w:r w:rsidR="00F76D9A">
        <w:t xml:space="preserve"> </w:t>
      </w:r>
      <w:r w:rsidRPr="00484AE9">
        <w:t xml:space="preserve">million in Year 6 due to offsets from increased rates of substitution of molnupiravir with nirmatrelvir and ritonavir. </w:t>
      </w:r>
    </w:p>
    <w:p w14:paraId="7F41BAA5" w14:textId="77777777" w:rsidR="0019649C" w:rsidRPr="00484AE9" w:rsidRDefault="0019649C" w:rsidP="0019649C">
      <w:pPr>
        <w:pStyle w:val="3-BodyText"/>
      </w:pPr>
      <w:r w:rsidRPr="00484AE9">
        <w:t>Any set of estimates of PBS expenditure into the future for treatments for COVID</w:t>
      </w:r>
      <w:r w:rsidRPr="00484AE9">
        <w:noBreakHyphen/>
        <w:t>19 will be associated with a high level of uncertainty due to the unknown characteristics of future COVID-19 variants e.g., transmissibility, severity of symptoms and risk of hospitalisation and due to unpredictable developments such as availability of new treatments and vaccines. However, the submission’s estimates of use of nirmatrelvir and ritonavir are likely overestimates given the assumption of a doubling of the market share of nirmatrelvir and ritonavir by 2027.</w:t>
      </w:r>
    </w:p>
    <w:p w14:paraId="17A236DE" w14:textId="337E554C" w:rsidR="0019649C" w:rsidRPr="00484AE9" w:rsidRDefault="0019649C" w:rsidP="0019649C">
      <w:pPr>
        <w:pStyle w:val="3-BodyText"/>
      </w:pPr>
      <w:r w:rsidRPr="00484AE9">
        <w:t>The sensitivity analyses presented by the submission indicated a high level of uncertainty, with annual net costs to the PBS/RPBS for nirmatrelvir and ritonavir, ranging between $</w:t>
      </w:r>
      <w:r w:rsidR="0010115B" w:rsidRPr="0010115B">
        <w:t xml:space="preserve">200 million to &lt; $300 </w:t>
      </w:r>
      <w:r w:rsidRPr="00484AE9">
        <w:t xml:space="preserve">million and </w:t>
      </w:r>
      <w:r w:rsidR="0010115B">
        <w:t>&gt;</w:t>
      </w:r>
      <w:r w:rsidRPr="00484AE9">
        <w:t>$</w:t>
      </w:r>
      <w:r w:rsidR="0010115B">
        <w:t xml:space="preserve">1 </w:t>
      </w:r>
      <w:r w:rsidRPr="00484AE9">
        <w:t>billion for Year 6 estimates compared with $</w:t>
      </w:r>
      <w:r w:rsidR="0010115B" w:rsidRPr="0010115B">
        <w:t>600 million to &lt; $700</w:t>
      </w:r>
      <w:r w:rsidR="0010115B">
        <w:t xml:space="preserve"> </w:t>
      </w:r>
      <w:r w:rsidRPr="00484AE9">
        <w:t>million in the submission’s base case (Submission Table 4.6.2).</w:t>
      </w:r>
    </w:p>
    <w:p w14:paraId="451F9DEB" w14:textId="46F51E93" w:rsidR="0019649C" w:rsidRPr="00484AE9" w:rsidRDefault="0019649C" w:rsidP="0019649C">
      <w:pPr>
        <w:pStyle w:val="3-BodyText"/>
      </w:pPr>
      <w:r w:rsidRPr="00484AE9">
        <w:t>An additional sensitivity analysis conducted during the evaluation (</w:t>
      </w:r>
      <w:r w:rsidRPr="00484AE9">
        <w:fldChar w:fldCharType="begin"/>
      </w:r>
      <w:r w:rsidRPr="00484AE9">
        <w:instrText xml:space="preserve"> REF _Ref145324149 \h </w:instrText>
      </w:r>
      <w:r w:rsidRPr="00484AE9">
        <w:fldChar w:fldCharType="separate"/>
      </w:r>
      <w:r w:rsidR="00872657" w:rsidRPr="00484AE9">
        <w:t xml:space="preserve">Table </w:t>
      </w:r>
      <w:r w:rsidR="00872657">
        <w:rPr>
          <w:noProof/>
        </w:rPr>
        <w:t>30</w:t>
      </w:r>
      <w:r w:rsidRPr="00484AE9">
        <w:fldChar w:fldCharType="end"/>
      </w:r>
      <w:r w:rsidRPr="00484AE9">
        <w:t xml:space="preserve">) shows that the financial implications are sensitive to variations in the market share assumed to be taken by </w:t>
      </w:r>
      <w:r w:rsidRPr="00484AE9">
        <w:rPr>
          <w:color w:val="000000" w:themeColor="text1"/>
        </w:rPr>
        <w:t>nirmatrelvir and ritonavir</w:t>
      </w:r>
      <w:r w:rsidR="00A62B3A" w:rsidRPr="00484AE9">
        <w:rPr>
          <w:color w:val="000000" w:themeColor="text1"/>
        </w:rPr>
        <w:t xml:space="preserve">. </w:t>
      </w:r>
      <w:r w:rsidRPr="00484AE9">
        <w:rPr>
          <w:color w:val="000000" w:themeColor="text1"/>
        </w:rPr>
        <w:t xml:space="preserve">The Year 6 </w:t>
      </w:r>
      <w:r w:rsidRPr="00484AE9">
        <w:t>net cost to the PBS/RPBS for nirmatrelvir and ritonavir was estimated to be $</w:t>
      </w:r>
      <w:r w:rsidR="0010115B" w:rsidRPr="0010115B">
        <w:t xml:space="preserve">100 million to &lt; $200 </w:t>
      </w:r>
      <w:r w:rsidRPr="00484AE9">
        <w:t xml:space="preserve">million in a sensitivity analysis that </w:t>
      </w:r>
      <w:r w:rsidRPr="00484AE9">
        <w:rPr>
          <w:color w:val="000000" w:themeColor="text1"/>
        </w:rPr>
        <w:t xml:space="preserve">assumed there was no change to market share of nirmatrelvir and ritonavir, </w:t>
      </w:r>
      <w:r w:rsidRPr="00484AE9">
        <w:t>compared with $</w:t>
      </w:r>
      <w:r w:rsidR="0010115B" w:rsidRPr="0010115B">
        <w:t xml:space="preserve">600 million to &lt; $700 </w:t>
      </w:r>
      <w:r w:rsidRPr="00484AE9">
        <w:t>million estimated in the submission’s base case.</w:t>
      </w:r>
    </w:p>
    <w:p w14:paraId="68FA0DD8" w14:textId="702843F4" w:rsidR="0019649C" w:rsidRPr="00484AE9" w:rsidRDefault="0019649C" w:rsidP="004D61FA">
      <w:pPr>
        <w:pStyle w:val="Caption"/>
      </w:pPr>
      <w:bookmarkStart w:id="169" w:name="_Ref145324149"/>
      <w:r w:rsidRPr="00484AE9">
        <w:lastRenderedPageBreak/>
        <w:t xml:space="preserve">Table </w:t>
      </w:r>
      <w:fldSimple w:instr=" SEQ Table \* ARABIC ">
        <w:r w:rsidR="00872657">
          <w:rPr>
            <w:noProof/>
          </w:rPr>
          <w:t>30</w:t>
        </w:r>
      </w:fldSimple>
      <w:bookmarkEnd w:id="169"/>
      <w:r w:rsidRPr="00484AE9">
        <w:t xml:space="preserve">: </w:t>
      </w:r>
      <w:r w:rsidRPr="00484AE9">
        <w:rPr>
          <w:rStyle w:val="CommentReference"/>
          <w:b/>
          <w:szCs w:val="24"/>
        </w:rPr>
        <w:t xml:space="preserve">Sensitivity analysis assuming no change to market share of </w:t>
      </w:r>
      <w:r w:rsidRPr="00484AE9">
        <w:rPr>
          <w:rStyle w:val="CommentReference"/>
          <w:b/>
          <w:color w:val="000000" w:themeColor="text1"/>
          <w:szCs w:val="24"/>
        </w:rPr>
        <w:t>nirmatrelvir and ritonavir*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38"/>
        <w:gridCol w:w="1196"/>
        <w:gridCol w:w="1197"/>
        <w:gridCol w:w="1196"/>
        <w:gridCol w:w="1197"/>
        <w:gridCol w:w="1196"/>
        <w:gridCol w:w="1197"/>
      </w:tblGrid>
      <w:tr w:rsidR="0019649C" w:rsidRPr="00484AE9" w14:paraId="72F98B1C" w14:textId="77777777" w:rsidTr="00F1122F">
        <w:trPr>
          <w:tblHeader/>
        </w:trPr>
        <w:tc>
          <w:tcPr>
            <w:tcW w:w="1019" w:type="pct"/>
            <w:shd w:val="clear" w:color="auto" w:fill="auto"/>
            <w:vAlign w:val="center"/>
          </w:tcPr>
          <w:p w14:paraId="5BF210A0" w14:textId="77777777" w:rsidR="0019649C" w:rsidRPr="00484AE9" w:rsidRDefault="0019649C" w:rsidP="004D61FA">
            <w:pPr>
              <w:pStyle w:val="In-tableHeading"/>
              <w:jc w:val="center"/>
              <w:rPr>
                <w:lang w:val="en-AU"/>
              </w:rPr>
            </w:pPr>
          </w:p>
        </w:tc>
        <w:tc>
          <w:tcPr>
            <w:tcW w:w="663" w:type="pct"/>
            <w:shd w:val="clear" w:color="auto" w:fill="auto"/>
          </w:tcPr>
          <w:p w14:paraId="7074BF4F" w14:textId="77777777" w:rsidR="0019649C" w:rsidRPr="00484AE9" w:rsidRDefault="0019649C" w:rsidP="004D61FA">
            <w:pPr>
              <w:pStyle w:val="In-tableHeading"/>
              <w:jc w:val="center"/>
              <w:rPr>
                <w:lang w:val="en-AU"/>
              </w:rPr>
            </w:pPr>
            <w:r w:rsidRPr="00484AE9">
              <w:rPr>
                <w:lang w:val="en-AU"/>
              </w:rPr>
              <w:t>2024</w:t>
            </w:r>
          </w:p>
        </w:tc>
        <w:tc>
          <w:tcPr>
            <w:tcW w:w="664" w:type="pct"/>
            <w:shd w:val="clear" w:color="auto" w:fill="auto"/>
          </w:tcPr>
          <w:p w14:paraId="49DC3D33" w14:textId="77777777" w:rsidR="0019649C" w:rsidRPr="00484AE9" w:rsidRDefault="0019649C" w:rsidP="004D61FA">
            <w:pPr>
              <w:pStyle w:val="In-tableHeading"/>
              <w:jc w:val="center"/>
              <w:rPr>
                <w:lang w:val="en-AU"/>
              </w:rPr>
            </w:pPr>
            <w:r w:rsidRPr="00484AE9">
              <w:rPr>
                <w:lang w:val="en-AU"/>
              </w:rPr>
              <w:t>2025</w:t>
            </w:r>
          </w:p>
        </w:tc>
        <w:tc>
          <w:tcPr>
            <w:tcW w:w="663" w:type="pct"/>
            <w:shd w:val="clear" w:color="auto" w:fill="auto"/>
          </w:tcPr>
          <w:p w14:paraId="21249EFA" w14:textId="77777777" w:rsidR="0019649C" w:rsidRPr="00484AE9" w:rsidRDefault="0019649C" w:rsidP="004D61FA">
            <w:pPr>
              <w:pStyle w:val="In-tableHeading"/>
              <w:jc w:val="center"/>
              <w:rPr>
                <w:lang w:val="en-AU"/>
              </w:rPr>
            </w:pPr>
            <w:r w:rsidRPr="00484AE9">
              <w:rPr>
                <w:lang w:val="en-AU"/>
              </w:rPr>
              <w:t>2026</w:t>
            </w:r>
          </w:p>
        </w:tc>
        <w:tc>
          <w:tcPr>
            <w:tcW w:w="664" w:type="pct"/>
            <w:shd w:val="clear" w:color="auto" w:fill="auto"/>
          </w:tcPr>
          <w:p w14:paraId="14F3A14F" w14:textId="77777777" w:rsidR="0019649C" w:rsidRPr="00484AE9" w:rsidRDefault="0019649C" w:rsidP="004D61FA">
            <w:pPr>
              <w:pStyle w:val="In-tableHeading"/>
              <w:jc w:val="center"/>
              <w:rPr>
                <w:lang w:val="en-AU"/>
              </w:rPr>
            </w:pPr>
            <w:r w:rsidRPr="00484AE9">
              <w:rPr>
                <w:lang w:val="en-AU"/>
              </w:rPr>
              <w:t>2027</w:t>
            </w:r>
          </w:p>
        </w:tc>
        <w:tc>
          <w:tcPr>
            <w:tcW w:w="663" w:type="pct"/>
            <w:shd w:val="clear" w:color="auto" w:fill="auto"/>
          </w:tcPr>
          <w:p w14:paraId="618007EC" w14:textId="77777777" w:rsidR="0019649C" w:rsidRPr="00484AE9" w:rsidRDefault="0019649C" w:rsidP="004D61FA">
            <w:pPr>
              <w:pStyle w:val="In-tableHeading"/>
              <w:jc w:val="center"/>
              <w:rPr>
                <w:lang w:val="en-AU"/>
              </w:rPr>
            </w:pPr>
            <w:r w:rsidRPr="00484AE9">
              <w:rPr>
                <w:lang w:val="en-AU"/>
              </w:rPr>
              <w:t>2028</w:t>
            </w:r>
          </w:p>
        </w:tc>
        <w:tc>
          <w:tcPr>
            <w:tcW w:w="664" w:type="pct"/>
          </w:tcPr>
          <w:p w14:paraId="07BCD9BB" w14:textId="77777777" w:rsidR="0019649C" w:rsidRPr="00484AE9" w:rsidRDefault="0019649C" w:rsidP="004D61FA">
            <w:pPr>
              <w:pStyle w:val="In-tableHeading"/>
              <w:jc w:val="center"/>
              <w:rPr>
                <w:lang w:val="en-AU"/>
              </w:rPr>
            </w:pPr>
            <w:r w:rsidRPr="00484AE9">
              <w:rPr>
                <w:lang w:val="en-AU"/>
              </w:rPr>
              <w:t>2029</w:t>
            </w:r>
          </w:p>
        </w:tc>
      </w:tr>
      <w:tr w:rsidR="0019649C" w:rsidRPr="00484AE9" w14:paraId="4CD8EDAA" w14:textId="77777777" w:rsidTr="00F1122F">
        <w:tc>
          <w:tcPr>
            <w:tcW w:w="1019" w:type="pct"/>
            <w:shd w:val="clear" w:color="auto" w:fill="auto"/>
            <w:vAlign w:val="center"/>
          </w:tcPr>
          <w:p w14:paraId="6A5AA981" w14:textId="2F544E9B" w:rsidR="0019649C" w:rsidRPr="00484AE9" w:rsidRDefault="0019649C" w:rsidP="004D61FA">
            <w:pPr>
              <w:pStyle w:val="TableText0"/>
            </w:pPr>
            <w:r w:rsidRPr="00484AE9">
              <w:rPr>
                <w:sz w:val="19"/>
                <w:szCs w:val="19"/>
              </w:rPr>
              <w:t xml:space="preserve">Cost of </w:t>
            </w:r>
            <w:r w:rsidRPr="00484AE9">
              <w:rPr>
                <w:color w:val="000000" w:themeColor="text1"/>
                <w:sz w:val="19"/>
                <w:szCs w:val="19"/>
              </w:rPr>
              <w:t>nirmatrelvir and ritonavir</w:t>
            </w:r>
            <w:r w:rsidRPr="00484AE9">
              <w:rPr>
                <w:sz w:val="19"/>
                <w:szCs w:val="19"/>
              </w:rPr>
              <w:t xml:space="preserve"> to PBS/RPBS less </w:t>
            </w:r>
            <w:r w:rsidR="00624B21" w:rsidRPr="00484AE9">
              <w:rPr>
                <w:sz w:val="19"/>
                <w:szCs w:val="19"/>
              </w:rPr>
              <w:t>co-payments</w:t>
            </w:r>
          </w:p>
        </w:tc>
        <w:tc>
          <w:tcPr>
            <w:tcW w:w="663" w:type="pct"/>
            <w:shd w:val="clear" w:color="auto" w:fill="auto"/>
            <w:vAlign w:val="center"/>
          </w:tcPr>
          <w:p w14:paraId="3325AF47" w14:textId="35225EBC" w:rsidR="0019649C" w:rsidRPr="00F23EA5" w:rsidRDefault="00696519" w:rsidP="004D61FA">
            <w:pPr>
              <w:pStyle w:val="TableText0"/>
              <w:jc w:val="right"/>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00C74CAB">
              <w:rPr>
                <w:vertAlign w:val="superscript"/>
              </w:rPr>
              <w:t>1</w:t>
            </w:r>
          </w:p>
        </w:tc>
        <w:tc>
          <w:tcPr>
            <w:tcW w:w="664" w:type="pct"/>
            <w:shd w:val="clear" w:color="auto" w:fill="auto"/>
            <w:vAlign w:val="center"/>
          </w:tcPr>
          <w:p w14:paraId="47C20278" w14:textId="493DD34B" w:rsidR="0019649C" w:rsidRPr="00F23EA5" w:rsidRDefault="00696519" w:rsidP="004D61FA">
            <w:pPr>
              <w:pStyle w:val="TableText0"/>
              <w:jc w:val="right"/>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00C74CAB">
              <w:rPr>
                <w:vertAlign w:val="superscript"/>
              </w:rPr>
              <w:t>2</w:t>
            </w:r>
          </w:p>
        </w:tc>
        <w:tc>
          <w:tcPr>
            <w:tcW w:w="663" w:type="pct"/>
            <w:shd w:val="clear" w:color="auto" w:fill="auto"/>
            <w:vAlign w:val="center"/>
          </w:tcPr>
          <w:p w14:paraId="78E5A0F6" w14:textId="5CE2B4AB" w:rsidR="0019649C" w:rsidRPr="00F23EA5" w:rsidRDefault="00696519" w:rsidP="004D61FA">
            <w:pPr>
              <w:pStyle w:val="TableText0"/>
              <w:jc w:val="right"/>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00C74CAB">
              <w:rPr>
                <w:vertAlign w:val="superscript"/>
              </w:rPr>
              <w:t>2</w:t>
            </w:r>
          </w:p>
        </w:tc>
        <w:tc>
          <w:tcPr>
            <w:tcW w:w="664" w:type="pct"/>
            <w:shd w:val="clear" w:color="auto" w:fill="auto"/>
            <w:vAlign w:val="center"/>
          </w:tcPr>
          <w:p w14:paraId="1C5D08BC" w14:textId="66A4B2DD" w:rsidR="0019649C" w:rsidRPr="00F23EA5" w:rsidRDefault="00696519" w:rsidP="004D61FA">
            <w:pPr>
              <w:pStyle w:val="TableText0"/>
              <w:jc w:val="right"/>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00C74CAB">
              <w:rPr>
                <w:vertAlign w:val="superscript"/>
              </w:rPr>
              <w:t>2</w:t>
            </w:r>
          </w:p>
        </w:tc>
        <w:tc>
          <w:tcPr>
            <w:tcW w:w="663" w:type="pct"/>
            <w:shd w:val="clear" w:color="auto" w:fill="auto"/>
            <w:vAlign w:val="center"/>
          </w:tcPr>
          <w:p w14:paraId="3824E871" w14:textId="756EC007" w:rsidR="0019649C" w:rsidRPr="00F23EA5" w:rsidRDefault="00696519" w:rsidP="004D61FA">
            <w:pPr>
              <w:pStyle w:val="TableText0"/>
              <w:jc w:val="right"/>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00C74CAB">
              <w:rPr>
                <w:vertAlign w:val="superscript"/>
              </w:rPr>
              <w:t>2</w:t>
            </w:r>
          </w:p>
        </w:tc>
        <w:tc>
          <w:tcPr>
            <w:tcW w:w="664" w:type="pct"/>
            <w:vAlign w:val="center"/>
          </w:tcPr>
          <w:p w14:paraId="7AF61036" w14:textId="7BB29B1B" w:rsidR="0019649C" w:rsidRPr="00F23EA5" w:rsidRDefault="00696519" w:rsidP="004D61FA">
            <w:pPr>
              <w:pStyle w:val="TableText0"/>
              <w:jc w:val="right"/>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00C74CAB">
              <w:rPr>
                <w:vertAlign w:val="superscript"/>
              </w:rPr>
              <w:t>2</w:t>
            </w:r>
          </w:p>
        </w:tc>
      </w:tr>
      <w:tr w:rsidR="0019649C" w:rsidRPr="00484AE9" w14:paraId="0A0E4805" w14:textId="77777777" w:rsidTr="00F1122F">
        <w:tc>
          <w:tcPr>
            <w:tcW w:w="1019" w:type="pct"/>
            <w:shd w:val="clear" w:color="auto" w:fill="auto"/>
            <w:vAlign w:val="center"/>
          </w:tcPr>
          <w:p w14:paraId="39226AF3" w14:textId="77777777" w:rsidR="0019649C" w:rsidRPr="00484AE9" w:rsidRDefault="0019649C" w:rsidP="004D61FA">
            <w:pPr>
              <w:pStyle w:val="TableText0"/>
              <w:rPr>
                <w:sz w:val="19"/>
                <w:szCs w:val="19"/>
              </w:rPr>
            </w:pPr>
            <w:r w:rsidRPr="00484AE9">
              <w:rPr>
                <w:sz w:val="19"/>
                <w:szCs w:val="19"/>
              </w:rPr>
              <w:t>Cost offsets due to reduced use of molnupiravir</w:t>
            </w:r>
          </w:p>
        </w:tc>
        <w:tc>
          <w:tcPr>
            <w:tcW w:w="663" w:type="pct"/>
            <w:shd w:val="clear" w:color="auto" w:fill="auto"/>
            <w:vAlign w:val="center"/>
          </w:tcPr>
          <w:p w14:paraId="786DBE19" w14:textId="7A8D9C04" w:rsidR="0019649C" w:rsidRPr="00F23EA5" w:rsidRDefault="0019649C" w:rsidP="004D61FA">
            <w:pPr>
              <w:pStyle w:val="TableText0"/>
              <w:jc w:val="right"/>
              <w:rPr>
                <w:highlight w:val="darkGray"/>
              </w:rPr>
            </w:pPr>
            <w:r w:rsidRPr="00637C02">
              <w:t>-</w:t>
            </w:r>
            <w:r w:rsidR="00696519" w:rsidRPr="00696519">
              <w:t xml:space="preserve"> </w:t>
            </w:r>
            <w:r w:rsidR="00696519" w:rsidRPr="00696519">
              <w:rPr>
                <w:color w:val="000000"/>
                <w:shd w:val="solid" w:color="000000" w:fill="000000"/>
                <w14:textFill>
                  <w14:solidFill>
                    <w14:srgbClr w14:val="000000">
                      <w14:alpha w14:val="100000"/>
                    </w14:srgbClr>
                  </w14:solidFill>
                </w14:textFill>
              </w:rPr>
              <w:t>|</w:t>
            </w:r>
            <w:r w:rsidR="00C74CAB">
              <w:rPr>
                <w:vertAlign w:val="superscript"/>
              </w:rPr>
              <w:t>3</w:t>
            </w:r>
          </w:p>
        </w:tc>
        <w:tc>
          <w:tcPr>
            <w:tcW w:w="664" w:type="pct"/>
            <w:shd w:val="clear" w:color="auto" w:fill="auto"/>
            <w:vAlign w:val="center"/>
          </w:tcPr>
          <w:p w14:paraId="2522AC69" w14:textId="35AFAC1F" w:rsidR="0019649C" w:rsidRPr="00F23EA5" w:rsidRDefault="0019649C" w:rsidP="004D61FA">
            <w:pPr>
              <w:pStyle w:val="TableText0"/>
              <w:jc w:val="right"/>
              <w:rPr>
                <w:highlight w:val="darkGray"/>
              </w:rPr>
            </w:pPr>
            <w:r w:rsidRPr="00637C02">
              <w:t>-</w:t>
            </w:r>
            <w:r w:rsidR="00696519" w:rsidRPr="00696519">
              <w:t xml:space="preserve"> </w:t>
            </w:r>
            <w:r w:rsidR="00696519" w:rsidRPr="00696519">
              <w:rPr>
                <w:color w:val="000000"/>
                <w:shd w:val="solid" w:color="000000" w:fill="000000"/>
                <w14:textFill>
                  <w14:solidFill>
                    <w14:srgbClr w14:val="000000">
                      <w14:alpha w14:val="100000"/>
                    </w14:srgbClr>
                  </w14:solidFill>
                </w14:textFill>
              </w:rPr>
              <w:t>|</w:t>
            </w:r>
            <w:r w:rsidR="00C74CAB">
              <w:rPr>
                <w:vertAlign w:val="superscript"/>
              </w:rPr>
              <w:t>3</w:t>
            </w:r>
          </w:p>
        </w:tc>
        <w:tc>
          <w:tcPr>
            <w:tcW w:w="663" w:type="pct"/>
            <w:shd w:val="clear" w:color="auto" w:fill="auto"/>
            <w:vAlign w:val="center"/>
          </w:tcPr>
          <w:p w14:paraId="3E3CFE34" w14:textId="399ACA9B" w:rsidR="0019649C" w:rsidRPr="00F23EA5" w:rsidRDefault="0019649C" w:rsidP="004D61FA">
            <w:pPr>
              <w:pStyle w:val="TableText0"/>
              <w:jc w:val="right"/>
              <w:rPr>
                <w:highlight w:val="darkGray"/>
              </w:rPr>
            </w:pPr>
            <w:r w:rsidRPr="00637C02">
              <w:t>-</w:t>
            </w:r>
            <w:r w:rsidR="00696519" w:rsidRPr="00696519">
              <w:t xml:space="preserve"> </w:t>
            </w:r>
            <w:r w:rsidR="00696519" w:rsidRPr="00696519">
              <w:rPr>
                <w:color w:val="000000"/>
                <w:shd w:val="solid" w:color="000000" w:fill="000000"/>
                <w14:textFill>
                  <w14:solidFill>
                    <w14:srgbClr w14:val="000000">
                      <w14:alpha w14:val="100000"/>
                    </w14:srgbClr>
                  </w14:solidFill>
                </w14:textFill>
              </w:rPr>
              <w:t>|</w:t>
            </w:r>
            <w:r w:rsidR="00C74CAB">
              <w:rPr>
                <w:vertAlign w:val="superscript"/>
              </w:rPr>
              <w:t>3</w:t>
            </w:r>
          </w:p>
        </w:tc>
        <w:tc>
          <w:tcPr>
            <w:tcW w:w="664" w:type="pct"/>
            <w:shd w:val="clear" w:color="auto" w:fill="auto"/>
            <w:vAlign w:val="center"/>
          </w:tcPr>
          <w:p w14:paraId="44F0E45C" w14:textId="2AFB7B4D" w:rsidR="0019649C" w:rsidRPr="00F23EA5" w:rsidRDefault="0019649C" w:rsidP="004D61FA">
            <w:pPr>
              <w:pStyle w:val="TableText0"/>
              <w:jc w:val="right"/>
              <w:rPr>
                <w:highlight w:val="darkGray"/>
              </w:rPr>
            </w:pPr>
            <w:r w:rsidRPr="00637C02">
              <w:t>-</w:t>
            </w:r>
            <w:r w:rsidR="00696519" w:rsidRPr="00696519">
              <w:t xml:space="preserve"> </w:t>
            </w:r>
            <w:r w:rsidR="00696519" w:rsidRPr="00696519">
              <w:rPr>
                <w:color w:val="000000"/>
                <w:shd w:val="solid" w:color="000000" w:fill="000000"/>
                <w14:textFill>
                  <w14:solidFill>
                    <w14:srgbClr w14:val="000000">
                      <w14:alpha w14:val="100000"/>
                    </w14:srgbClr>
                  </w14:solidFill>
                </w14:textFill>
              </w:rPr>
              <w:t>|</w:t>
            </w:r>
            <w:r w:rsidR="00C74CAB">
              <w:rPr>
                <w:vertAlign w:val="superscript"/>
              </w:rPr>
              <w:t>3</w:t>
            </w:r>
          </w:p>
        </w:tc>
        <w:tc>
          <w:tcPr>
            <w:tcW w:w="663" w:type="pct"/>
            <w:shd w:val="clear" w:color="auto" w:fill="auto"/>
            <w:vAlign w:val="center"/>
          </w:tcPr>
          <w:p w14:paraId="68758499" w14:textId="6174524B" w:rsidR="0019649C" w:rsidRPr="00F23EA5" w:rsidRDefault="0019649C" w:rsidP="004D61FA">
            <w:pPr>
              <w:pStyle w:val="TableText0"/>
              <w:jc w:val="right"/>
              <w:rPr>
                <w:highlight w:val="darkGray"/>
              </w:rPr>
            </w:pPr>
            <w:r w:rsidRPr="00637C02">
              <w:t>-</w:t>
            </w:r>
            <w:r w:rsidR="00696519" w:rsidRPr="00696519">
              <w:t xml:space="preserve"> </w:t>
            </w:r>
            <w:r w:rsidR="00696519" w:rsidRPr="00696519">
              <w:rPr>
                <w:color w:val="000000"/>
                <w:shd w:val="solid" w:color="000000" w:fill="000000"/>
                <w14:textFill>
                  <w14:solidFill>
                    <w14:srgbClr w14:val="000000">
                      <w14:alpha w14:val="100000"/>
                    </w14:srgbClr>
                  </w14:solidFill>
                </w14:textFill>
              </w:rPr>
              <w:t>|</w:t>
            </w:r>
            <w:r w:rsidR="00C74CAB">
              <w:rPr>
                <w:vertAlign w:val="superscript"/>
              </w:rPr>
              <w:t>3</w:t>
            </w:r>
          </w:p>
        </w:tc>
        <w:tc>
          <w:tcPr>
            <w:tcW w:w="664" w:type="pct"/>
            <w:vAlign w:val="center"/>
          </w:tcPr>
          <w:p w14:paraId="7F6CBFFD" w14:textId="2B5608F4" w:rsidR="0019649C" w:rsidRPr="00F23EA5" w:rsidRDefault="0019649C" w:rsidP="004D61FA">
            <w:pPr>
              <w:pStyle w:val="TableText0"/>
              <w:jc w:val="right"/>
              <w:rPr>
                <w:highlight w:val="darkGray"/>
              </w:rPr>
            </w:pPr>
            <w:r w:rsidRPr="00637C02">
              <w:t>-</w:t>
            </w:r>
            <w:r w:rsidR="00696519" w:rsidRPr="00696519">
              <w:t xml:space="preserve"> </w:t>
            </w:r>
            <w:r w:rsidR="00696519" w:rsidRPr="00696519">
              <w:rPr>
                <w:color w:val="000000"/>
                <w:shd w:val="solid" w:color="000000" w:fill="000000"/>
                <w14:textFill>
                  <w14:solidFill>
                    <w14:srgbClr w14:val="000000">
                      <w14:alpha w14:val="100000"/>
                    </w14:srgbClr>
                  </w14:solidFill>
                </w14:textFill>
              </w:rPr>
              <w:t>|</w:t>
            </w:r>
            <w:r w:rsidR="00C74CAB">
              <w:rPr>
                <w:vertAlign w:val="superscript"/>
              </w:rPr>
              <w:t>3</w:t>
            </w:r>
          </w:p>
        </w:tc>
      </w:tr>
      <w:tr w:rsidR="0019649C" w:rsidRPr="00484AE9" w14:paraId="76915E55" w14:textId="77777777" w:rsidTr="00F1122F">
        <w:tc>
          <w:tcPr>
            <w:tcW w:w="1019" w:type="pct"/>
            <w:shd w:val="clear" w:color="auto" w:fill="auto"/>
            <w:vAlign w:val="center"/>
          </w:tcPr>
          <w:p w14:paraId="60EDAC13" w14:textId="77777777" w:rsidR="0019649C" w:rsidRPr="00484AE9" w:rsidRDefault="0019649C" w:rsidP="004D61FA">
            <w:pPr>
              <w:pStyle w:val="TableText0"/>
              <w:rPr>
                <w:sz w:val="19"/>
                <w:szCs w:val="19"/>
              </w:rPr>
            </w:pPr>
            <w:r w:rsidRPr="00484AE9">
              <w:rPr>
                <w:sz w:val="19"/>
                <w:szCs w:val="19"/>
              </w:rPr>
              <w:t>Net cost to PBS/RPBS</w:t>
            </w:r>
          </w:p>
        </w:tc>
        <w:tc>
          <w:tcPr>
            <w:tcW w:w="663" w:type="pct"/>
            <w:shd w:val="clear" w:color="auto" w:fill="auto"/>
            <w:vAlign w:val="center"/>
          </w:tcPr>
          <w:p w14:paraId="18EF40F4" w14:textId="749BC8A8" w:rsidR="0019649C" w:rsidRPr="00F23EA5" w:rsidRDefault="00696519" w:rsidP="004D61FA">
            <w:pPr>
              <w:pStyle w:val="TableText0"/>
              <w:jc w:val="right"/>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00C74CAB">
              <w:rPr>
                <w:vertAlign w:val="superscript"/>
              </w:rPr>
              <w:t>4</w:t>
            </w:r>
          </w:p>
        </w:tc>
        <w:tc>
          <w:tcPr>
            <w:tcW w:w="664" w:type="pct"/>
            <w:shd w:val="clear" w:color="auto" w:fill="auto"/>
            <w:vAlign w:val="center"/>
          </w:tcPr>
          <w:p w14:paraId="2D9B8145" w14:textId="70CF791E" w:rsidR="0019649C" w:rsidRPr="00F23EA5" w:rsidRDefault="00696519" w:rsidP="004D61FA">
            <w:pPr>
              <w:pStyle w:val="TableText0"/>
              <w:jc w:val="right"/>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00C74CAB">
              <w:rPr>
                <w:vertAlign w:val="superscript"/>
              </w:rPr>
              <w:t>5</w:t>
            </w:r>
          </w:p>
        </w:tc>
        <w:tc>
          <w:tcPr>
            <w:tcW w:w="663" w:type="pct"/>
            <w:shd w:val="clear" w:color="auto" w:fill="auto"/>
            <w:vAlign w:val="center"/>
          </w:tcPr>
          <w:p w14:paraId="41BB097C" w14:textId="4B75FDFA" w:rsidR="0019649C" w:rsidRPr="00F23EA5" w:rsidRDefault="00696519" w:rsidP="004D61FA">
            <w:pPr>
              <w:pStyle w:val="TableText0"/>
              <w:jc w:val="right"/>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00167A69">
              <w:rPr>
                <w:vertAlign w:val="superscript"/>
              </w:rPr>
              <w:t>6</w:t>
            </w:r>
          </w:p>
        </w:tc>
        <w:tc>
          <w:tcPr>
            <w:tcW w:w="664" w:type="pct"/>
            <w:shd w:val="clear" w:color="auto" w:fill="auto"/>
            <w:vAlign w:val="center"/>
          </w:tcPr>
          <w:p w14:paraId="3F67B695" w14:textId="365F0422" w:rsidR="0019649C" w:rsidRPr="00F23EA5" w:rsidRDefault="00696519" w:rsidP="004D61FA">
            <w:pPr>
              <w:pStyle w:val="TableText0"/>
              <w:jc w:val="right"/>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00167A69">
              <w:rPr>
                <w:vertAlign w:val="superscript"/>
              </w:rPr>
              <w:t>6</w:t>
            </w:r>
          </w:p>
        </w:tc>
        <w:tc>
          <w:tcPr>
            <w:tcW w:w="663" w:type="pct"/>
            <w:shd w:val="clear" w:color="auto" w:fill="auto"/>
            <w:vAlign w:val="center"/>
          </w:tcPr>
          <w:p w14:paraId="08D4587C" w14:textId="3949A20F" w:rsidR="0019649C" w:rsidRPr="00F23EA5" w:rsidRDefault="00696519" w:rsidP="004D61FA">
            <w:pPr>
              <w:pStyle w:val="TableText0"/>
              <w:jc w:val="right"/>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00167A69">
              <w:rPr>
                <w:vertAlign w:val="superscript"/>
              </w:rPr>
              <w:t>6</w:t>
            </w:r>
          </w:p>
        </w:tc>
        <w:tc>
          <w:tcPr>
            <w:tcW w:w="664" w:type="pct"/>
            <w:vAlign w:val="center"/>
          </w:tcPr>
          <w:p w14:paraId="5553452B" w14:textId="3B8F2647" w:rsidR="0019649C" w:rsidRPr="00F23EA5" w:rsidRDefault="00696519" w:rsidP="004D61FA">
            <w:pPr>
              <w:pStyle w:val="TableText0"/>
              <w:jc w:val="right"/>
              <w:rPr>
                <w:highlight w:val="darkGray"/>
              </w:rPr>
            </w:pPr>
            <w:r w:rsidRPr="00696519">
              <w:t xml:space="preserve"> </w:t>
            </w:r>
            <w:r w:rsidRPr="00696519">
              <w:rPr>
                <w:color w:val="000000"/>
                <w:shd w:val="solid" w:color="000000" w:fill="000000"/>
                <w14:textFill>
                  <w14:solidFill>
                    <w14:srgbClr w14:val="000000">
                      <w14:alpha w14:val="100000"/>
                    </w14:srgbClr>
                  </w14:solidFill>
                </w14:textFill>
              </w:rPr>
              <w:t>|</w:t>
            </w:r>
            <w:r w:rsidR="00167A69">
              <w:rPr>
                <w:vertAlign w:val="superscript"/>
              </w:rPr>
              <w:t>6</w:t>
            </w:r>
          </w:p>
        </w:tc>
      </w:tr>
    </w:tbl>
    <w:p w14:paraId="41DCC94E" w14:textId="3405D485" w:rsidR="0019649C" w:rsidRDefault="0019649C" w:rsidP="00F23EA5">
      <w:pPr>
        <w:pStyle w:val="FooterTableFigure"/>
        <w:keepNext/>
      </w:pPr>
      <w:r w:rsidRPr="00484AE9">
        <w:t>* Conducted during the evaluation.</w:t>
      </w:r>
    </w:p>
    <w:p w14:paraId="1A34388F" w14:textId="0E6D97D3" w:rsidR="0010115B" w:rsidRDefault="0010115B" w:rsidP="00F23EA5">
      <w:pPr>
        <w:pStyle w:val="FooterTableFigure"/>
        <w:keepNext/>
        <w:rPr>
          <w:i/>
          <w:iCs/>
        </w:rPr>
      </w:pPr>
      <w:r w:rsidRPr="0010115B">
        <w:rPr>
          <w:i/>
          <w:iCs/>
        </w:rPr>
        <w:t>The redacted values correspond to the following ranges:</w:t>
      </w:r>
    </w:p>
    <w:p w14:paraId="4E3BB9FD" w14:textId="5164E2D4" w:rsidR="00C74CAB" w:rsidRPr="00C74CAB" w:rsidRDefault="00C74CAB" w:rsidP="00F23EA5">
      <w:pPr>
        <w:pStyle w:val="FooterTableFigure"/>
        <w:keepNext/>
        <w:rPr>
          <w:i/>
          <w:iCs/>
        </w:rPr>
      </w:pPr>
      <w:r>
        <w:rPr>
          <w:i/>
          <w:iCs/>
          <w:vertAlign w:val="superscript"/>
        </w:rPr>
        <w:t>1</w:t>
      </w:r>
      <w:r w:rsidRPr="00C74CAB">
        <w:rPr>
          <w:i/>
          <w:iCs/>
        </w:rPr>
        <w:t>$400 million to &lt; $500 million</w:t>
      </w:r>
    </w:p>
    <w:p w14:paraId="410B5525" w14:textId="7D7D0BC0" w:rsidR="00C74CAB" w:rsidRPr="00C74CAB" w:rsidRDefault="00C74CAB" w:rsidP="00F23EA5">
      <w:pPr>
        <w:pStyle w:val="FooterTableFigure"/>
        <w:keepNext/>
        <w:rPr>
          <w:i/>
          <w:iCs/>
        </w:rPr>
      </w:pPr>
      <w:r>
        <w:rPr>
          <w:i/>
          <w:iCs/>
          <w:vertAlign w:val="superscript"/>
        </w:rPr>
        <w:t>2</w:t>
      </w:r>
      <w:r w:rsidRPr="00C74CAB">
        <w:rPr>
          <w:i/>
          <w:iCs/>
        </w:rPr>
        <w:t xml:space="preserve"> $500 million to &lt; $600 million</w:t>
      </w:r>
    </w:p>
    <w:p w14:paraId="1D66250A" w14:textId="279A30BD" w:rsidR="00C74CAB" w:rsidRDefault="00C74CAB" w:rsidP="00F23EA5">
      <w:pPr>
        <w:pStyle w:val="FooterTableFigure"/>
        <w:keepNext/>
        <w:rPr>
          <w:i/>
          <w:iCs/>
        </w:rPr>
      </w:pPr>
      <w:r w:rsidRPr="00F23EA5">
        <w:rPr>
          <w:i/>
          <w:iCs/>
          <w:vertAlign w:val="superscript"/>
        </w:rPr>
        <w:t xml:space="preserve">3 </w:t>
      </w:r>
      <w:r>
        <w:rPr>
          <w:i/>
          <w:iCs/>
        </w:rPr>
        <w:t>Net cost saving</w:t>
      </w:r>
    </w:p>
    <w:p w14:paraId="7B78540A" w14:textId="28C4C392" w:rsidR="00C74CAB" w:rsidRPr="00C74CAB" w:rsidRDefault="00C74CAB" w:rsidP="00F23EA5">
      <w:pPr>
        <w:pStyle w:val="FooterTableFigure"/>
        <w:keepNext/>
        <w:rPr>
          <w:i/>
          <w:iCs/>
        </w:rPr>
      </w:pPr>
      <w:r>
        <w:rPr>
          <w:i/>
          <w:iCs/>
          <w:vertAlign w:val="superscript"/>
        </w:rPr>
        <w:t>4</w:t>
      </w:r>
      <w:r w:rsidRPr="00C74CAB">
        <w:rPr>
          <w:i/>
          <w:iCs/>
        </w:rPr>
        <w:t xml:space="preserve"> $300 million to &lt; $400 million</w:t>
      </w:r>
    </w:p>
    <w:p w14:paraId="3A98828A" w14:textId="13F44168" w:rsidR="00167A69" w:rsidRPr="00167A69" w:rsidRDefault="00167A69" w:rsidP="00F23EA5">
      <w:pPr>
        <w:pStyle w:val="FooterTableFigure"/>
        <w:keepNext/>
        <w:rPr>
          <w:i/>
          <w:iCs/>
        </w:rPr>
      </w:pPr>
      <w:r>
        <w:rPr>
          <w:i/>
          <w:iCs/>
          <w:vertAlign w:val="superscript"/>
        </w:rPr>
        <w:t>5</w:t>
      </w:r>
      <w:r w:rsidRPr="00167A69">
        <w:rPr>
          <w:i/>
          <w:iCs/>
        </w:rPr>
        <w:t xml:space="preserve"> $200 million to &lt; $300 million</w:t>
      </w:r>
    </w:p>
    <w:p w14:paraId="5EB6B693" w14:textId="6182ED96" w:rsidR="0010115B" w:rsidRPr="00484AE9" w:rsidRDefault="00167A69" w:rsidP="0019649C">
      <w:pPr>
        <w:pStyle w:val="FooterTableFigure"/>
      </w:pPr>
      <w:bookmarkStart w:id="170" w:name="_Hlk155859889"/>
      <w:r>
        <w:rPr>
          <w:i/>
          <w:iCs/>
          <w:vertAlign w:val="superscript"/>
        </w:rPr>
        <w:t>6</w:t>
      </w:r>
      <w:r w:rsidR="00637C02">
        <w:rPr>
          <w:i/>
          <w:iCs/>
        </w:rPr>
        <w:t xml:space="preserve"> </w:t>
      </w:r>
      <w:r w:rsidR="0010115B" w:rsidRPr="0010115B">
        <w:rPr>
          <w:i/>
          <w:iCs/>
        </w:rPr>
        <w:t>$100 million to &lt; $200 million</w:t>
      </w:r>
      <w:bookmarkEnd w:id="170"/>
    </w:p>
    <w:p w14:paraId="038D434A" w14:textId="6E09960A" w:rsidR="0036036C" w:rsidRPr="00484AE9" w:rsidRDefault="00904B0A" w:rsidP="00390EF0">
      <w:pPr>
        <w:pStyle w:val="3-BodyText"/>
        <w:rPr>
          <w:rStyle w:val="normaltextrun"/>
        </w:rPr>
      </w:pPr>
      <w:bookmarkStart w:id="171" w:name="_Hlk150956845"/>
      <w:r w:rsidRPr="00484AE9">
        <w:t xml:space="preserve">The DUSC noted that the financial analyses assumed similar rates of COVID-19 and similar rates of use of antivirals for COVID-19 as has occurred in the past. </w:t>
      </w:r>
      <w:r w:rsidR="0036036C" w:rsidRPr="00484AE9">
        <w:t xml:space="preserve">The </w:t>
      </w:r>
      <w:r w:rsidRPr="00484AE9">
        <w:t xml:space="preserve">DUSC </w:t>
      </w:r>
      <w:r w:rsidR="0036036C" w:rsidRPr="00484AE9">
        <w:t>considered</w:t>
      </w:r>
      <w:r w:rsidRPr="00484AE9">
        <w:t xml:space="preserve"> that this is unlikely to occur and </w:t>
      </w:r>
      <w:r w:rsidR="0036036C" w:rsidRPr="00484AE9">
        <w:t>that</w:t>
      </w:r>
      <w:r w:rsidRPr="00484AE9">
        <w:t xml:space="preserve"> the number of COVID-19 cases estimated by the submission </w:t>
      </w:r>
      <w:r w:rsidR="0036036C" w:rsidRPr="00484AE9">
        <w:t>was likely o</w:t>
      </w:r>
      <w:r w:rsidRPr="00484AE9">
        <w:t xml:space="preserve">verestimated. </w:t>
      </w:r>
      <w:r w:rsidR="0036036C" w:rsidRPr="00484AE9">
        <w:t xml:space="preserve">The </w:t>
      </w:r>
      <w:r w:rsidR="0036036C" w:rsidRPr="00484AE9">
        <w:rPr>
          <w:rStyle w:val="normaltextrun"/>
          <w:rFonts w:eastAsia="Calibri"/>
        </w:rPr>
        <w:t xml:space="preserve">DUSC considered whether modelling based on influenza rather than modelling based on COVID-19 case numbers during pandemic dominated years could be used to predict future cases of COVID-19. The DUSC noted the global pattern of ‘skip-and-resurgence behaviour’ of influenza where an outbreak ‘skipped’ countries, </w:t>
      </w:r>
      <w:r w:rsidR="00EA7BBE" w:rsidRPr="00484AE9">
        <w:rPr>
          <w:rStyle w:val="normaltextrun"/>
          <w:rFonts w:eastAsia="Calibri"/>
        </w:rPr>
        <w:t xml:space="preserve">follow by </w:t>
      </w:r>
      <w:r w:rsidR="0036036C" w:rsidRPr="00484AE9">
        <w:rPr>
          <w:rStyle w:val="normaltextrun"/>
          <w:rFonts w:eastAsia="Calibri"/>
        </w:rPr>
        <w:t>a ‘resurgence’ of an outbreak occurring in the following year. Over time, each successive outbreak would expose the population further to a</w:t>
      </w:r>
      <w:r w:rsidR="00EA7BBE" w:rsidRPr="00484AE9">
        <w:rPr>
          <w:rStyle w:val="normaltextrun"/>
          <w:rFonts w:eastAsia="Calibri"/>
        </w:rPr>
        <w:t xml:space="preserve"> particular</w:t>
      </w:r>
      <w:r w:rsidR="0036036C" w:rsidRPr="00484AE9">
        <w:rPr>
          <w:rStyle w:val="normaltextrun"/>
          <w:rFonts w:eastAsia="Calibri"/>
        </w:rPr>
        <w:t xml:space="preserve"> strain, building population immunity</w:t>
      </w:r>
      <w:r w:rsidR="00EA7BBE" w:rsidRPr="00484AE9">
        <w:rPr>
          <w:rStyle w:val="normaltextrun"/>
          <w:rFonts w:eastAsia="Calibri"/>
        </w:rPr>
        <w:t xml:space="preserve"> to that strain</w:t>
      </w:r>
      <w:r w:rsidR="0036036C" w:rsidRPr="00484AE9">
        <w:rPr>
          <w:rStyle w:val="normaltextrun"/>
          <w:rFonts w:eastAsia="Calibri"/>
        </w:rPr>
        <w:t xml:space="preserve">. Therefore, the susceptible pool of individuals available for infection </w:t>
      </w:r>
      <w:r w:rsidR="00EA7BBE" w:rsidRPr="00484AE9">
        <w:rPr>
          <w:rStyle w:val="normaltextrun"/>
          <w:rFonts w:eastAsia="Calibri"/>
        </w:rPr>
        <w:t xml:space="preserve">may </w:t>
      </w:r>
      <w:r w:rsidR="0036036C" w:rsidRPr="00484AE9">
        <w:rPr>
          <w:rStyle w:val="normaltextrun"/>
          <w:rFonts w:eastAsia="Calibri"/>
        </w:rPr>
        <w:t xml:space="preserve">reduce below a threshold level and as such, </w:t>
      </w:r>
      <w:r w:rsidR="00EA7BBE" w:rsidRPr="00484AE9">
        <w:rPr>
          <w:rStyle w:val="normaltextrun"/>
          <w:rFonts w:eastAsia="Calibri"/>
        </w:rPr>
        <w:t>an outbreak is less likely to</w:t>
      </w:r>
      <w:r w:rsidR="0036036C" w:rsidRPr="00484AE9">
        <w:rPr>
          <w:rStyle w:val="normaltextrun"/>
          <w:rFonts w:eastAsia="Calibri"/>
        </w:rPr>
        <w:t xml:space="preserve"> occur</w:t>
      </w:r>
      <w:r w:rsidR="00EA7BBE" w:rsidRPr="00484AE9">
        <w:rPr>
          <w:rStyle w:val="normaltextrun"/>
          <w:rFonts w:eastAsia="Calibri"/>
        </w:rPr>
        <w:t xml:space="preserve"> until there is a shift in the circulating virus strain</w:t>
      </w:r>
      <w:r w:rsidR="0036036C" w:rsidRPr="00484AE9">
        <w:rPr>
          <w:rStyle w:val="normaltextrun"/>
          <w:rFonts w:eastAsia="Calibri"/>
        </w:rPr>
        <w:t>.</w:t>
      </w:r>
      <w:r w:rsidR="0036036C" w:rsidRPr="00484AE9">
        <w:rPr>
          <w:rStyle w:val="FootnoteReference"/>
          <w:rFonts w:eastAsia="Calibri"/>
        </w:rPr>
        <w:footnoteReference w:id="19"/>
      </w:r>
    </w:p>
    <w:p w14:paraId="6C48B3B4" w14:textId="5220678D" w:rsidR="00DE1448" w:rsidRPr="00484AE9" w:rsidRDefault="00DE1448" w:rsidP="00DE1448">
      <w:pPr>
        <w:pStyle w:val="3-BodyText"/>
      </w:pPr>
      <w:r w:rsidRPr="00484AE9">
        <w:rPr>
          <w:rStyle w:val="normaltextrun"/>
        </w:rPr>
        <w:t xml:space="preserve">The DUSC considered that market share of </w:t>
      </w:r>
      <w:r w:rsidR="00093F02" w:rsidRPr="00484AE9">
        <w:rPr>
          <w:rStyle w:val="normaltextrun"/>
        </w:rPr>
        <w:t>nirmatrelvir and ritonavir</w:t>
      </w:r>
      <w:r w:rsidRPr="00484AE9">
        <w:rPr>
          <w:rStyle w:val="normaltextrun"/>
        </w:rPr>
        <w:t xml:space="preserve"> would likely increase </w:t>
      </w:r>
      <w:r w:rsidR="00EA7BBE" w:rsidRPr="00484AE9">
        <w:rPr>
          <w:rStyle w:val="normaltextrun"/>
        </w:rPr>
        <w:t xml:space="preserve">over time </w:t>
      </w:r>
      <w:r w:rsidRPr="00484AE9">
        <w:rPr>
          <w:rStyle w:val="normaltextrun"/>
        </w:rPr>
        <w:t xml:space="preserve">as clinicians become more familiar with managing drug-drug interactions and noted increased utilisation in jurisdictions where programs were implemented to support nirmatrelvir and ritonavir utilisation (e.g. </w:t>
      </w:r>
      <w:r w:rsidRPr="00484AE9">
        <w:t xml:space="preserve">Quality Use of Medicines program was implemented in South Australia that has encouraged higher use of NIR/r rather than molnupiravir). </w:t>
      </w:r>
    </w:p>
    <w:p w14:paraId="1B5BD3FF" w14:textId="74889C9C" w:rsidR="0019649C" w:rsidRPr="00484AE9" w:rsidRDefault="00437858" w:rsidP="0036036C">
      <w:pPr>
        <w:pStyle w:val="3-BodyText"/>
      </w:pPr>
      <w:r w:rsidRPr="00484AE9">
        <w:rPr>
          <w:rStyle w:val="normaltextrun"/>
        </w:rPr>
        <w:t xml:space="preserve">The pre-PBAC response stated that seasonality has not yet been observed with COVID-19 infections globally, other than simple increases in absolute patient numbers </w:t>
      </w:r>
      <w:r w:rsidR="00EA7BBE" w:rsidRPr="00484AE9">
        <w:rPr>
          <w:rStyle w:val="normaltextrun"/>
        </w:rPr>
        <w:t xml:space="preserve">during </w:t>
      </w:r>
      <w:r w:rsidRPr="00484AE9">
        <w:rPr>
          <w:rStyle w:val="normaltextrun"/>
        </w:rPr>
        <w:t xml:space="preserve">colder periods. With the return of extensive international travel and an ability of the virus to infect more easily than influenza, basing expected case numbers on influenza trends may underestimate the likely incidence of COVID-19 infections. </w:t>
      </w:r>
      <w:r w:rsidR="007458C4" w:rsidRPr="00484AE9">
        <w:rPr>
          <w:rStyle w:val="normaltextrun"/>
        </w:rPr>
        <w:t>Reduced</w:t>
      </w:r>
      <w:r w:rsidRPr="00484AE9">
        <w:rPr>
          <w:rStyle w:val="normaltextrun"/>
        </w:rPr>
        <w:t xml:space="preserve"> </w:t>
      </w:r>
      <w:r w:rsidR="007458C4" w:rsidRPr="00484AE9">
        <w:rPr>
          <w:rStyle w:val="normaltextrun"/>
        </w:rPr>
        <w:lastRenderedPageBreak/>
        <w:t>testing and reporting</w:t>
      </w:r>
      <w:r w:rsidRPr="00484AE9">
        <w:rPr>
          <w:rStyle w:val="normaltextrun"/>
        </w:rPr>
        <w:t xml:space="preserve"> of COVID-19 infections </w:t>
      </w:r>
      <w:r w:rsidR="007458C4" w:rsidRPr="00484AE9">
        <w:rPr>
          <w:rStyle w:val="normaltextrun"/>
        </w:rPr>
        <w:t>were noted as additional challenges with respect to the estimates</w:t>
      </w:r>
      <w:r w:rsidRPr="00484AE9">
        <w:rPr>
          <w:rStyle w:val="normaltextrun"/>
        </w:rPr>
        <w:t>.</w:t>
      </w:r>
      <w:bookmarkEnd w:id="171"/>
    </w:p>
    <w:p w14:paraId="2238DEE9" w14:textId="3E6A228B" w:rsidR="00576972" w:rsidRPr="00484AE9" w:rsidRDefault="00576972" w:rsidP="00F40641">
      <w:pPr>
        <w:pStyle w:val="4-SubsectionHeading"/>
      </w:pPr>
      <w:bookmarkStart w:id="172" w:name="_Toc22897648"/>
      <w:bookmarkStart w:id="173" w:name="_Toc144920978"/>
      <w:bookmarkStart w:id="174" w:name="_Toc145506606"/>
      <w:r w:rsidRPr="00484AE9">
        <w:t>Quality Use of Medicines</w:t>
      </w:r>
      <w:bookmarkEnd w:id="172"/>
      <w:bookmarkEnd w:id="173"/>
      <w:bookmarkEnd w:id="174"/>
    </w:p>
    <w:p w14:paraId="0A3B51E8" w14:textId="42C3FF44" w:rsidR="00F51B13" w:rsidRPr="00484AE9" w:rsidRDefault="00F51B13" w:rsidP="008B03CB">
      <w:pPr>
        <w:pStyle w:val="3-BodyText"/>
      </w:pPr>
      <w:r w:rsidRPr="00484AE9">
        <w:t>The submission report</w:t>
      </w:r>
      <w:r w:rsidR="002A692C" w:rsidRPr="00484AE9">
        <w:t>ed</w:t>
      </w:r>
      <w:r w:rsidRPr="00484AE9">
        <w:t xml:space="preserve"> that the sponsor has been working to support clinicians managing drug-drug interactions with nirmatrelvir and ritonavir since its listing on the PBS. </w:t>
      </w:r>
    </w:p>
    <w:p w14:paraId="1D813A84" w14:textId="4C9A96B2" w:rsidR="00CB7A8F" w:rsidRPr="00484AE9" w:rsidRDefault="002A692C" w:rsidP="00F51B13">
      <w:pPr>
        <w:pStyle w:val="3-BodyText"/>
      </w:pPr>
      <w:r w:rsidRPr="00484AE9">
        <w:t>The submission requested</w:t>
      </w:r>
      <w:r w:rsidR="00F51B13" w:rsidRPr="00484AE9">
        <w:t xml:space="preserve"> that the Prescriber bag listing for Paxlovid remain on the PBS to address the issue of patients presenting too late for treatment. From 1</w:t>
      </w:r>
      <w:r w:rsidR="006B0B93" w:rsidRPr="00484AE9">
        <w:t> </w:t>
      </w:r>
      <w:r w:rsidR="00F51B13" w:rsidRPr="00484AE9">
        <w:t xml:space="preserve">November 2022 to 30 April 2023, 9,457 </w:t>
      </w:r>
      <w:r w:rsidR="00624B21" w:rsidRPr="00484AE9">
        <w:t xml:space="preserve">Prescriber Bag </w:t>
      </w:r>
      <w:r w:rsidR="009C04C2" w:rsidRPr="00484AE9">
        <w:t xml:space="preserve">supplies were dispensed for molnupiravir </w:t>
      </w:r>
      <w:r w:rsidR="00F51B13" w:rsidRPr="00484AE9">
        <w:t xml:space="preserve">and 9,898 </w:t>
      </w:r>
      <w:r w:rsidR="009C04C2" w:rsidRPr="00484AE9">
        <w:t>p</w:t>
      </w:r>
      <w:r w:rsidR="00F51B13" w:rsidRPr="00484AE9">
        <w:t xml:space="preserve">rescriber bag prescriptions </w:t>
      </w:r>
      <w:r w:rsidR="009C04C2" w:rsidRPr="00484AE9">
        <w:t xml:space="preserve">were dispensed for nirmatrelvir and ritonavir. </w:t>
      </w:r>
    </w:p>
    <w:p w14:paraId="60840E0F" w14:textId="13FE8712" w:rsidR="00F51B13" w:rsidRPr="00484AE9" w:rsidRDefault="00CB7A8F" w:rsidP="006D5AE3">
      <w:pPr>
        <w:pStyle w:val="3-BodyText"/>
      </w:pPr>
      <w:r w:rsidRPr="00484AE9">
        <w:t xml:space="preserve">The submission also reported that the sponsor </w:t>
      </w:r>
      <w:r w:rsidR="00AB63D7" w:rsidRPr="00484AE9">
        <w:t>supported</w:t>
      </w:r>
      <w:r w:rsidRPr="00484AE9">
        <w:t xml:space="preserve"> the pharmacy prescribing</w:t>
      </w:r>
      <w:r w:rsidR="00AB63D7" w:rsidRPr="00484AE9">
        <w:t xml:space="preserve"> of </w:t>
      </w:r>
      <w:r w:rsidR="006D28A1" w:rsidRPr="00484AE9">
        <w:t>nirmatrelvir and ritonavir</w:t>
      </w:r>
      <w:r w:rsidRPr="00484AE9">
        <w:t xml:space="preserve"> and </w:t>
      </w:r>
      <w:r w:rsidR="006D28A1" w:rsidRPr="00484AE9">
        <w:t xml:space="preserve">also </w:t>
      </w:r>
      <w:r w:rsidRPr="00484AE9">
        <w:t>pre-emptive or advanced prescribing of nirmatrelvir and ritonavir.</w:t>
      </w:r>
    </w:p>
    <w:p w14:paraId="34E427F6" w14:textId="6954FF67" w:rsidR="0002258A" w:rsidRPr="00484AE9" w:rsidRDefault="0002258A" w:rsidP="004E002A">
      <w:pPr>
        <w:pStyle w:val="3-BodyText"/>
      </w:pPr>
      <w:r w:rsidRPr="00484AE9">
        <w:t>The recommended dosage is 300 mg nirmatrelvir (administered as two 150 mg tablets) with 100 mg ritonavir (administered as a single 100 mg tablet) with all three tablets taken together orally twice daily for 5 days, which corresponds to the requested maximum quantity of one pack</w:t>
      </w:r>
      <w:r w:rsidR="00A62B3A" w:rsidRPr="00484AE9">
        <w:t xml:space="preserve">. </w:t>
      </w:r>
      <w:r w:rsidRPr="00484AE9">
        <w:t>For patients with moderate renal impairment, a reduced dose of 150 mg nirmatrelvir (administered as one 150 mg tablets) with 100 mg ritonavir (administered as a single 100 mg tablet) is recommended to be taken twice daily for 5 days</w:t>
      </w:r>
      <w:r w:rsidR="00A62B3A" w:rsidRPr="00484AE9">
        <w:t xml:space="preserve">. </w:t>
      </w:r>
      <w:r w:rsidRPr="00484AE9">
        <w:t>Nirmatrelvir and ritonavir is contraindicated in patients with severe renal impairment (eGFR &lt; 30 mL/min/1.73m</w:t>
      </w:r>
      <w:r w:rsidRPr="00484AE9">
        <w:rPr>
          <w:vertAlign w:val="superscript"/>
        </w:rPr>
        <w:t>2</w:t>
      </w:r>
      <w:r w:rsidRPr="00484AE9">
        <w:t>). The TGA-approved product information describes two pack configurations, one for patients with no dose adjustment and a second for patients with moderate renal impairment, however the submission is not proposing listing of the pack for patients with moderate renal impairment, which may be a Quality Use of Medicines issue</w:t>
      </w:r>
      <w:r w:rsidR="00A62B3A" w:rsidRPr="00484AE9">
        <w:t xml:space="preserve">. </w:t>
      </w:r>
      <w:r w:rsidRPr="00484AE9">
        <w:t>The TGA-approved product information states that patients with moderate renal impairment should be alerted “that only one tablet of nirmatrelvir with the tablet of ritonavir should be taken every 12 hours”, which means that five nirmatrelvir tablets would remain unused at the end of the course.</w:t>
      </w:r>
    </w:p>
    <w:p w14:paraId="6015A395" w14:textId="2EDB6A4E" w:rsidR="00576972" w:rsidRPr="00484AE9" w:rsidRDefault="00576972" w:rsidP="00F40641">
      <w:pPr>
        <w:pStyle w:val="4-SubsectionHeading"/>
      </w:pPr>
      <w:bookmarkStart w:id="175" w:name="_Toc22897649"/>
      <w:bookmarkStart w:id="176" w:name="_Toc144920979"/>
      <w:bookmarkStart w:id="177" w:name="_Toc145506607"/>
      <w:r w:rsidRPr="00484AE9">
        <w:t>Financial Management – Risk Sharing Arrangements</w:t>
      </w:r>
      <w:bookmarkEnd w:id="175"/>
      <w:bookmarkEnd w:id="176"/>
      <w:bookmarkEnd w:id="177"/>
    </w:p>
    <w:p w14:paraId="735DF495" w14:textId="0A285164" w:rsidR="00432C3C" w:rsidRPr="00484AE9" w:rsidRDefault="006D5AE3" w:rsidP="004C2AC2">
      <w:pPr>
        <w:pStyle w:val="3-BodyText"/>
      </w:pPr>
      <w:r w:rsidRPr="00484AE9">
        <w:t xml:space="preserve">The submission does not express </w:t>
      </w:r>
      <w:r w:rsidR="0068680F" w:rsidRPr="00484AE9">
        <w:t xml:space="preserve">any willingness to enter into </w:t>
      </w:r>
      <w:r w:rsidR="00432C3C" w:rsidRPr="00484AE9">
        <w:t xml:space="preserve">any </w:t>
      </w:r>
      <w:r w:rsidR="00576972" w:rsidRPr="00484AE9">
        <w:t>risk sharing arrangement</w:t>
      </w:r>
      <w:r w:rsidR="00432C3C" w:rsidRPr="00484AE9">
        <w:t xml:space="preserve"> nor any price-volume agreement.</w:t>
      </w:r>
    </w:p>
    <w:p w14:paraId="47C70CEB" w14:textId="40EF6182" w:rsidR="00437858" w:rsidRPr="00484AE9" w:rsidRDefault="00437858" w:rsidP="004C2AC2">
      <w:pPr>
        <w:pStyle w:val="3-BodyText"/>
      </w:pPr>
      <w:r w:rsidRPr="00484AE9">
        <w:t>The pre-PBAC response stated that it is inherently difficult to predict the trajectory of the pandemic, including evolution of the COVID-19 virus, the emergence of new variants and the need for and use of antivirals to treat patients at risk of severe disease. The pre-PBAC response stated that a risk sharing arrangement intended to cap expenditure/utilisation is not appropriate in this instance.</w:t>
      </w:r>
    </w:p>
    <w:p w14:paraId="7149A62B" w14:textId="77777777" w:rsidR="00050809" w:rsidRPr="00484AE9" w:rsidRDefault="00050809" w:rsidP="00050809">
      <w:pPr>
        <w:pStyle w:val="ListParagraph"/>
        <w:numPr>
          <w:ilvl w:val="0"/>
          <w:numId w:val="0"/>
        </w:numPr>
        <w:ind w:left="720"/>
        <w:rPr>
          <w:rFonts w:cs="Calibri"/>
          <w:bCs/>
        </w:rPr>
      </w:pPr>
      <w:r w:rsidRPr="00484AE9">
        <w:rPr>
          <w:i/>
        </w:rPr>
        <w:t>For more detail on PBAC’s view, see section 7 PBAC outcome.</w:t>
      </w:r>
    </w:p>
    <w:p w14:paraId="4827965A" w14:textId="77777777" w:rsidR="007123ED" w:rsidRPr="00484AE9" w:rsidRDefault="007123ED" w:rsidP="00F30981">
      <w:pPr>
        <w:pStyle w:val="2-SectionHeading"/>
        <w:numPr>
          <w:ilvl w:val="0"/>
          <w:numId w:val="1"/>
        </w:numPr>
      </w:pPr>
      <w:bookmarkStart w:id="178" w:name="_Hlk76381249"/>
      <w:bookmarkStart w:id="179" w:name="_Hlk76377955"/>
      <w:bookmarkStart w:id="180" w:name="_Hlk145491785"/>
      <w:bookmarkStart w:id="181" w:name="_Hlk150432852"/>
      <w:r w:rsidRPr="00484AE9">
        <w:lastRenderedPageBreak/>
        <w:t>PBAC Outcome</w:t>
      </w:r>
    </w:p>
    <w:p w14:paraId="2F62A964" w14:textId="186F17BB" w:rsidR="00195931" w:rsidRPr="00484AE9" w:rsidRDefault="00756683" w:rsidP="00D14DAB">
      <w:pPr>
        <w:pStyle w:val="3-BodyText"/>
        <w:widowControl w:val="0"/>
      </w:pPr>
      <w:bookmarkStart w:id="182" w:name="_Hlk152596098"/>
      <w:bookmarkStart w:id="183" w:name="_Hlk111543188"/>
      <w:r w:rsidRPr="00484AE9">
        <w:t xml:space="preserve">The PBAC provided advice regarding nirmatrelvir and ritonavir (Paxlovid), for the treatment of patients with mild to moderate Coronavirus disease (COVID-19) who are at high risk of severe disease requiring hospitalisation. </w:t>
      </w:r>
      <w:r w:rsidR="00195931" w:rsidRPr="00484AE9">
        <w:t>The PBAC maintained its previous advice that nirmatrelvir and ritonavir is preferred over molnupiravir in a scenario where both oral antivirals are able to be used based on clinical evidence showing greater efficacy with nirmatrelvir and ritonavir</w:t>
      </w:r>
      <w:r w:rsidR="00A62B3A" w:rsidRPr="00484AE9">
        <w:t xml:space="preserve">. </w:t>
      </w:r>
      <w:r w:rsidRPr="00484AE9">
        <w:t xml:space="preserve">The PBAC </w:t>
      </w:r>
      <w:r w:rsidR="0087132E" w:rsidRPr="00484AE9">
        <w:t>recommended</w:t>
      </w:r>
      <w:r w:rsidR="00AB5488" w:rsidRPr="00484AE9">
        <w:t xml:space="preserve"> that, at it</w:t>
      </w:r>
      <w:r w:rsidR="002A6E41" w:rsidRPr="00484AE9">
        <w:t>s</w:t>
      </w:r>
      <w:r w:rsidR="00AB5488" w:rsidRPr="00484AE9">
        <w:t xml:space="preserve"> current price,</w:t>
      </w:r>
      <w:r w:rsidR="0087132E" w:rsidRPr="00484AE9">
        <w:t xml:space="preserve"> </w:t>
      </w:r>
      <w:r w:rsidR="00AB5488" w:rsidRPr="00484AE9">
        <w:t xml:space="preserve">there should be </w:t>
      </w:r>
      <w:r w:rsidR="0087132E" w:rsidRPr="00484AE9">
        <w:t>a change to</w:t>
      </w:r>
      <w:r w:rsidRPr="00484AE9">
        <w:t xml:space="preserve"> the restriction for patients aged 50-69 years, which currently allows access for patients with one or more additional risk factors, </w:t>
      </w:r>
      <w:r w:rsidR="00102300" w:rsidRPr="00484AE9">
        <w:t xml:space="preserve">to </w:t>
      </w:r>
      <w:r w:rsidRPr="00484AE9">
        <w:t>revert to the requirement for two or more risk factors, due to reduced cost-effectiveness in th</w:t>
      </w:r>
      <w:r w:rsidR="00102300" w:rsidRPr="00484AE9">
        <w:t>is</w:t>
      </w:r>
      <w:r w:rsidRPr="00484AE9">
        <w:t xml:space="preserve"> lower risk population</w:t>
      </w:r>
      <w:r w:rsidR="00A62B3A" w:rsidRPr="00484AE9">
        <w:t xml:space="preserve">. </w:t>
      </w:r>
      <w:r w:rsidRPr="00484AE9">
        <w:t xml:space="preserve">The PBAC </w:t>
      </w:r>
      <w:r w:rsidR="00F76128" w:rsidRPr="00484AE9">
        <w:t>noted that a price reduction was offered in the pre-PBAC response however the proposed price remained higher than the current price.</w:t>
      </w:r>
      <w:r w:rsidR="00F76D9A">
        <w:t xml:space="preserve"> </w:t>
      </w:r>
      <w:r w:rsidR="00F76128" w:rsidRPr="00484AE9">
        <w:t xml:space="preserve">The PBAC advised </w:t>
      </w:r>
      <w:r w:rsidRPr="00484AE9">
        <w:t xml:space="preserve">that a price reduction is required from the </w:t>
      </w:r>
      <w:r w:rsidR="00AB5488" w:rsidRPr="00484AE9">
        <w:t>current price</w:t>
      </w:r>
      <w:r w:rsidRPr="00484AE9">
        <w:t xml:space="preserve"> because cost-effectiveness </w:t>
      </w:r>
      <w:r w:rsidR="00AB5488" w:rsidRPr="00484AE9">
        <w:t xml:space="preserve">has </w:t>
      </w:r>
      <w:r w:rsidR="00D14DAB" w:rsidRPr="00484AE9">
        <w:t xml:space="preserve">almost certainly declined </w:t>
      </w:r>
      <w:r w:rsidR="00AB5488" w:rsidRPr="00484AE9">
        <w:t>since the initial decision to recommend listing on the PBS was made</w:t>
      </w:r>
      <w:r w:rsidR="00404C10" w:rsidRPr="00484AE9">
        <w:t>.</w:t>
      </w:r>
      <w:r w:rsidRPr="00484AE9">
        <w:t xml:space="preserve"> </w:t>
      </w:r>
    </w:p>
    <w:bookmarkEnd w:id="182"/>
    <w:p w14:paraId="007DB9D8" w14:textId="398450B9" w:rsidR="000723C1" w:rsidRPr="00484AE9" w:rsidRDefault="000723C1" w:rsidP="000723C1">
      <w:pPr>
        <w:pStyle w:val="3-BodyText"/>
        <w:widowControl w:val="0"/>
      </w:pPr>
      <w:r w:rsidRPr="00484AE9">
        <w:t xml:space="preserve">The PBAC noted the input received from individuals and organisations which supported the ongoing listing of nirmatrelvir and ritonavir and described a range of benefits </w:t>
      </w:r>
      <w:r w:rsidRPr="00484AE9">
        <w:rPr>
          <w:bCs/>
        </w:rPr>
        <w:t>of treatment including potential to reduce symptoms and prevent severe COVID.</w:t>
      </w:r>
    </w:p>
    <w:p w14:paraId="4B175930" w14:textId="4D1D6803" w:rsidR="00282A44" w:rsidRPr="00484AE9" w:rsidRDefault="00282A44" w:rsidP="00282A44">
      <w:pPr>
        <w:widowControl w:val="0"/>
        <w:numPr>
          <w:ilvl w:val="1"/>
          <w:numId w:val="1"/>
        </w:numPr>
        <w:spacing w:after="120"/>
        <w:rPr>
          <w:rFonts w:asciiTheme="minorHAnsi" w:hAnsiTheme="minorHAnsi"/>
          <w:snapToGrid w:val="0"/>
        </w:rPr>
      </w:pPr>
      <w:bookmarkStart w:id="184" w:name="_Ref150977671"/>
      <w:r w:rsidRPr="00484AE9">
        <w:t>The PBAC advised that an Authority Required (STREAMLINED) restriction level remained appropriate.</w:t>
      </w:r>
    </w:p>
    <w:p w14:paraId="59C572B5" w14:textId="327D95CF" w:rsidR="00282A44" w:rsidRPr="00484AE9" w:rsidRDefault="00282A44" w:rsidP="00282A44">
      <w:pPr>
        <w:widowControl w:val="0"/>
        <w:numPr>
          <w:ilvl w:val="1"/>
          <w:numId w:val="1"/>
        </w:numPr>
        <w:spacing w:after="120"/>
        <w:rPr>
          <w:rFonts w:asciiTheme="minorHAnsi" w:hAnsiTheme="minorHAnsi"/>
          <w:snapToGrid w:val="0"/>
        </w:rPr>
      </w:pPr>
      <w:r w:rsidRPr="00484AE9">
        <w:t xml:space="preserve">The PBAC advised that the Prescriber Bag listing should be maintained for nirmatrelvir and ritonavir for patients requiring urgent treatment as described in the submission (see paragraph </w:t>
      </w:r>
      <w:r w:rsidRPr="00484AE9">
        <w:fldChar w:fldCharType="begin"/>
      </w:r>
      <w:r w:rsidRPr="00484AE9">
        <w:instrText xml:space="preserve"> REF _Ref150978046 \r \h </w:instrText>
      </w:r>
      <w:r w:rsidRPr="00484AE9">
        <w:fldChar w:fldCharType="separate"/>
      </w:r>
      <w:r w:rsidR="00872657">
        <w:t>1.3</w:t>
      </w:r>
      <w:r w:rsidRPr="00484AE9">
        <w:fldChar w:fldCharType="end"/>
      </w:r>
      <w:r w:rsidRPr="00484AE9">
        <w:t>).</w:t>
      </w:r>
    </w:p>
    <w:p w14:paraId="573362CC" w14:textId="1B05CA50" w:rsidR="000723C1" w:rsidRPr="00484AE9" w:rsidRDefault="000723C1" w:rsidP="004D3E5A">
      <w:pPr>
        <w:widowControl w:val="0"/>
        <w:numPr>
          <w:ilvl w:val="1"/>
          <w:numId w:val="1"/>
        </w:numPr>
        <w:spacing w:after="120"/>
      </w:pPr>
      <w:bookmarkStart w:id="185" w:name="_Ref151035294"/>
      <w:r w:rsidRPr="00484AE9">
        <w:t>The PBAC noted the submission’s request to retain the PBS restrictions currently in place for nirmatrelvir and ritonavir, and the clarification provided in the pre-PBAC response that acknowledged that amendments of the restriction for nirmatrelvir and ritonavir for patients aged 50-69 were intended to apply only</w:t>
      </w:r>
      <w:r w:rsidR="00AB5488" w:rsidRPr="00484AE9">
        <w:t xml:space="preserve"> </w:t>
      </w:r>
      <w:r w:rsidR="004D3E5A" w:rsidRPr="00484AE9">
        <w:t>until the Commonwealth purchased stock was exhausted or had expired.</w:t>
      </w:r>
      <w:r w:rsidR="00A62B3A" w:rsidRPr="00484AE9">
        <w:t xml:space="preserve"> </w:t>
      </w:r>
      <w:r w:rsidRPr="00484AE9">
        <w:t xml:space="preserve">The PBAC </w:t>
      </w:r>
      <w:r w:rsidR="00E42A5D" w:rsidRPr="00484AE9">
        <w:t xml:space="preserve">recommended </w:t>
      </w:r>
      <w:r w:rsidRPr="00484AE9">
        <w:t xml:space="preserve">that the restriction for nirmatrelvir and ritonavir </w:t>
      </w:r>
      <w:r w:rsidR="00E42A5D" w:rsidRPr="00484AE9">
        <w:t xml:space="preserve">be amended to </w:t>
      </w:r>
      <w:r w:rsidRPr="00484AE9">
        <w:t>revert to the February 2023 restrictions corresponding to high risk, i.e. revert to requiring at least 2 additional risk factors for the 50-69 age-group</w:t>
      </w:r>
      <w:bookmarkEnd w:id="184"/>
      <w:bookmarkEnd w:id="185"/>
      <w:r w:rsidR="00A62B3A" w:rsidRPr="00484AE9">
        <w:t xml:space="preserve">. </w:t>
      </w:r>
      <w:r w:rsidR="00D87F87" w:rsidRPr="00484AE9">
        <w:t>The PBAC considered that this change would be required to support continued listing.</w:t>
      </w:r>
    </w:p>
    <w:p w14:paraId="71A17B3E" w14:textId="276068FA" w:rsidR="009D386E" w:rsidRPr="00484AE9" w:rsidRDefault="00390317" w:rsidP="009D386E">
      <w:pPr>
        <w:pStyle w:val="3-BodyText"/>
        <w:widowControl w:val="0"/>
      </w:pPr>
      <w:r w:rsidRPr="00484AE9">
        <w:t xml:space="preserve">The PBAC noted the submission’s request to remove the caution from the PBS restriction (see paragraphs </w:t>
      </w:r>
      <w:r w:rsidRPr="00484AE9">
        <w:fldChar w:fldCharType="begin"/>
      </w:r>
      <w:r w:rsidRPr="00484AE9">
        <w:instrText xml:space="preserve"> REF _Ref150962896 \r \h </w:instrText>
      </w:r>
      <w:r w:rsidRPr="00484AE9">
        <w:fldChar w:fldCharType="separate"/>
      </w:r>
      <w:r w:rsidR="00872657">
        <w:t>3.5</w:t>
      </w:r>
      <w:r w:rsidRPr="00484AE9">
        <w:fldChar w:fldCharType="end"/>
      </w:r>
      <w:r w:rsidRPr="00484AE9">
        <w:t xml:space="preserve"> to </w:t>
      </w:r>
      <w:r w:rsidRPr="00484AE9">
        <w:fldChar w:fldCharType="begin"/>
      </w:r>
      <w:r w:rsidRPr="00484AE9">
        <w:instrText xml:space="preserve"> REF _Ref150962897 \r \h </w:instrText>
      </w:r>
      <w:r w:rsidRPr="00484AE9">
        <w:fldChar w:fldCharType="separate"/>
      </w:r>
      <w:r w:rsidR="00872657">
        <w:t>3.7</w:t>
      </w:r>
      <w:r w:rsidRPr="00484AE9">
        <w:fldChar w:fldCharType="end"/>
      </w:r>
      <w:r w:rsidRPr="00484AE9">
        <w:t>)</w:t>
      </w:r>
      <w:r w:rsidR="00A62B3A" w:rsidRPr="00484AE9">
        <w:t xml:space="preserve">. </w:t>
      </w:r>
      <w:r w:rsidR="009D386E" w:rsidRPr="00484AE9">
        <w:rPr>
          <w:iCs/>
        </w:rPr>
        <w:t xml:space="preserve">The </w:t>
      </w:r>
      <w:r w:rsidR="009D386E" w:rsidRPr="00484AE9">
        <w:rPr>
          <w:rFonts w:cstheme="minorHAnsi"/>
        </w:rPr>
        <w:t xml:space="preserve">PBAC noted that nirmatrelvir and ritonavir is prescribed under Section 85 for the general community. In contrast, ritonavir as a single agent is listed under Section 100 as a highly specialised drug, managed by prescribers who are familiar with the medicine and its interactions. </w:t>
      </w:r>
      <w:r w:rsidRPr="00484AE9">
        <w:t xml:space="preserve">The PBAC recommended the caution regarding drug-drug interactions should be retained in the listing due to the risk of serious adverse reactions due to interactions with other </w:t>
      </w:r>
      <w:r w:rsidRPr="00484AE9">
        <w:lastRenderedPageBreak/>
        <w:t xml:space="preserve">medicines as documented in the TGA-approved PI. </w:t>
      </w:r>
    </w:p>
    <w:p w14:paraId="0D089D96" w14:textId="500B2C3A" w:rsidR="002A1549" w:rsidRPr="00484AE9" w:rsidRDefault="002A1549" w:rsidP="002A1549">
      <w:pPr>
        <w:pStyle w:val="3-BodyText"/>
      </w:pPr>
      <w:r w:rsidRPr="00484AE9">
        <w:t xml:space="preserve">The PBAC noted that timely access to OAV, including PBS listing to facilitate distribution through community pharmacy, had been an important component of Australia's pandemic response, based on the best evidence available in early 2022 (see paragraphs </w:t>
      </w:r>
      <w:r w:rsidRPr="00484AE9">
        <w:fldChar w:fldCharType="begin"/>
      </w:r>
      <w:r w:rsidRPr="00484AE9">
        <w:instrText xml:space="preserve"> REF _Ref144566933 \r \h </w:instrText>
      </w:r>
      <w:r w:rsidRPr="00484AE9">
        <w:fldChar w:fldCharType="separate"/>
      </w:r>
      <w:r w:rsidR="00872657">
        <w:t>2.7</w:t>
      </w:r>
      <w:r w:rsidRPr="00484AE9">
        <w:fldChar w:fldCharType="end"/>
      </w:r>
      <w:r w:rsidRPr="00484AE9">
        <w:t xml:space="preserve"> to </w:t>
      </w:r>
      <w:r w:rsidRPr="00484AE9">
        <w:fldChar w:fldCharType="begin"/>
      </w:r>
      <w:r w:rsidRPr="00484AE9">
        <w:instrText xml:space="preserve"> REF _Ref152085488 \r \h </w:instrText>
      </w:r>
      <w:r w:rsidRPr="00484AE9">
        <w:fldChar w:fldCharType="separate"/>
      </w:r>
      <w:r w:rsidR="00872657">
        <w:t>2.10</w:t>
      </w:r>
      <w:r w:rsidRPr="00484AE9">
        <w:fldChar w:fldCharType="end"/>
      </w:r>
      <w:r w:rsidRPr="00484AE9">
        <w:t xml:space="preserve">). </w:t>
      </w:r>
    </w:p>
    <w:p w14:paraId="2F909081" w14:textId="2A74248D" w:rsidR="000723C1" w:rsidRPr="00484AE9" w:rsidRDefault="000723C1" w:rsidP="000723C1">
      <w:pPr>
        <w:widowControl w:val="0"/>
        <w:numPr>
          <w:ilvl w:val="1"/>
          <w:numId w:val="1"/>
        </w:numPr>
        <w:spacing w:after="120"/>
        <w:rPr>
          <w:rFonts w:asciiTheme="minorHAnsi" w:hAnsiTheme="minorHAnsi"/>
          <w:snapToGrid w:val="0"/>
        </w:rPr>
      </w:pPr>
      <w:r w:rsidRPr="00484AE9">
        <w:rPr>
          <w:snapToGrid w:val="0"/>
        </w:rPr>
        <w:t>The PBAC noted that based on the clinical evidence reviewed, nirmatrelvir and ritonavir appeared to be more effective treatment than molnupiravir (</w:t>
      </w:r>
      <w:r w:rsidRPr="00484AE9">
        <w:rPr>
          <w:snapToGrid w:val="0"/>
        </w:rPr>
        <w:fldChar w:fldCharType="begin"/>
      </w:r>
      <w:r w:rsidRPr="00484AE9">
        <w:rPr>
          <w:snapToGrid w:val="0"/>
        </w:rPr>
        <w:instrText xml:space="preserve"> REF _Ref144665923 \h </w:instrText>
      </w:r>
      <w:r w:rsidRPr="00484AE9">
        <w:rPr>
          <w:snapToGrid w:val="0"/>
        </w:rPr>
      </w:r>
      <w:r w:rsidRPr="00484AE9">
        <w:rPr>
          <w:snapToGrid w:val="0"/>
        </w:rPr>
        <w:fldChar w:fldCharType="separate"/>
      </w:r>
      <w:r w:rsidR="00872657" w:rsidRPr="00484AE9">
        <w:t xml:space="preserve">Table </w:t>
      </w:r>
      <w:r w:rsidR="00872657">
        <w:rPr>
          <w:noProof/>
        </w:rPr>
        <w:t>11</w:t>
      </w:r>
      <w:r w:rsidRPr="00484AE9">
        <w:rPr>
          <w:snapToGrid w:val="0"/>
        </w:rPr>
        <w:fldChar w:fldCharType="end"/>
      </w:r>
      <w:r w:rsidRPr="00484AE9">
        <w:rPr>
          <w:snapToGrid w:val="0"/>
        </w:rPr>
        <w:t>), however nirmatrelvir and ritonavir is contra-indicated in patients with severe renal or hepatic impairment, and contraindicated for use with certain other drugs, due to the risk of significant drug-drug interactions. The PBAC noted that these contraindications are clinically important for some vulnerable patients and must be managed carefully by prescribers</w:t>
      </w:r>
      <w:r w:rsidR="00A62B3A" w:rsidRPr="00484AE9">
        <w:rPr>
          <w:snapToGrid w:val="0"/>
        </w:rPr>
        <w:t xml:space="preserve">. </w:t>
      </w:r>
    </w:p>
    <w:p w14:paraId="2C0FE1C9" w14:textId="28A478BF" w:rsidR="00B52B15" w:rsidRPr="00484AE9" w:rsidRDefault="000723C1" w:rsidP="00BD041B">
      <w:pPr>
        <w:pStyle w:val="3-BodyText"/>
        <w:rPr>
          <w:rStyle w:val="normaltextrun"/>
        </w:rPr>
      </w:pPr>
      <w:bookmarkStart w:id="186" w:name="_Ref152595449"/>
      <w:r w:rsidRPr="00484AE9">
        <w:rPr>
          <w:iCs/>
        </w:rPr>
        <w:t>The PBAC noted there</w:t>
      </w:r>
      <w:r w:rsidRPr="00484AE9">
        <w:t xml:space="preserve"> was significant variation in the estimates of treatment effect reported by the randomised trials and observational studies (</w:t>
      </w:r>
      <w:r w:rsidRPr="00484AE9">
        <w:fldChar w:fldCharType="begin"/>
      </w:r>
      <w:r w:rsidRPr="00484AE9">
        <w:instrText xml:space="preserve"> REF _Ref144665923 \h  \* MERGEFORMAT </w:instrText>
      </w:r>
      <w:r w:rsidRPr="00484AE9">
        <w:fldChar w:fldCharType="separate"/>
      </w:r>
      <w:r w:rsidR="00872657" w:rsidRPr="00484AE9">
        <w:t xml:space="preserve">Table </w:t>
      </w:r>
      <w:r w:rsidR="00872657">
        <w:t>11</w:t>
      </w:r>
      <w:r w:rsidRPr="00484AE9">
        <w:fldChar w:fldCharType="end"/>
      </w:r>
      <w:r w:rsidRPr="00484AE9">
        <w:t xml:space="preserve">). </w:t>
      </w:r>
      <w:r w:rsidR="00EB4708" w:rsidRPr="00484AE9">
        <w:rPr>
          <w:iCs/>
        </w:rPr>
        <w:t xml:space="preserve">The PBAC </w:t>
      </w:r>
      <w:r w:rsidR="00EB4708" w:rsidRPr="00484AE9">
        <w:t>noted that the observational trials were subject to a range of biases.</w:t>
      </w:r>
      <w:r w:rsidR="00F76D9A">
        <w:t xml:space="preserve"> </w:t>
      </w:r>
      <w:r w:rsidRPr="00484AE9">
        <w:rPr>
          <w:iCs/>
        </w:rPr>
        <w:t xml:space="preserve">Although RCTs are of a higher quality, observational studies may be more representative of effectiveness in practice. The PBAC noted that estimates of treatment effect (in terms of incidence of hospitalisation or death) from EPIC-SR (including the high risk subgroup) and some of the observational studies did not reach statistical </w:t>
      </w:r>
      <w:r w:rsidR="0081126C" w:rsidRPr="00484AE9">
        <w:rPr>
          <w:iCs/>
        </w:rPr>
        <w:t>significance.</w:t>
      </w:r>
      <w:r w:rsidRPr="00484AE9">
        <w:rPr>
          <w:iCs/>
        </w:rPr>
        <w:t xml:space="preserve"> </w:t>
      </w:r>
      <w:r w:rsidRPr="00484AE9">
        <w:t xml:space="preserve">The PBAC considered that, overall, the treatment effect of nirmatrelvir and ritonavir in practice appeared to be less than what was expected at the time it was recommended for inclusion on the PBS based on the results of EPIC-HR (see paragraph </w:t>
      </w:r>
      <w:r w:rsidRPr="00484AE9">
        <w:fldChar w:fldCharType="begin"/>
      </w:r>
      <w:r w:rsidRPr="00484AE9">
        <w:instrText xml:space="preserve"> REF _Ref150978469 \r \h  \* MERGEFORMAT </w:instrText>
      </w:r>
      <w:r w:rsidRPr="00484AE9">
        <w:fldChar w:fldCharType="separate"/>
      </w:r>
      <w:r w:rsidR="00872657">
        <w:t>6.25</w:t>
      </w:r>
      <w:r w:rsidRPr="00484AE9">
        <w:fldChar w:fldCharType="end"/>
      </w:r>
      <w:r w:rsidRPr="00484AE9">
        <w:t>)</w:t>
      </w:r>
      <w:r w:rsidR="00A62B3A" w:rsidRPr="00484AE9">
        <w:t xml:space="preserve">. </w:t>
      </w:r>
      <w:r w:rsidR="00B52B15" w:rsidRPr="00484AE9">
        <w:t xml:space="preserve">The PBAC noted that the </w:t>
      </w:r>
      <w:r w:rsidR="00B52B15" w:rsidRPr="00484AE9">
        <w:rPr>
          <w:rStyle w:val="normaltextrun"/>
          <w:snapToGrid/>
        </w:rPr>
        <w:t xml:space="preserve">nirmatrelvir and ritonavir arm of the PANORAMIC trial is ongoing, and results have not yet been reported (paragraph </w:t>
      </w:r>
      <w:r w:rsidR="00B52B15" w:rsidRPr="00484AE9">
        <w:rPr>
          <w:rStyle w:val="normaltextrun"/>
          <w:snapToGrid/>
        </w:rPr>
        <w:fldChar w:fldCharType="begin"/>
      </w:r>
      <w:r w:rsidR="00B52B15" w:rsidRPr="00484AE9">
        <w:rPr>
          <w:rStyle w:val="normaltextrun"/>
          <w:snapToGrid/>
        </w:rPr>
        <w:instrText xml:space="preserve"> REF _Ref151038697 \r \h </w:instrText>
      </w:r>
      <w:r w:rsidR="00B52B15" w:rsidRPr="00484AE9">
        <w:rPr>
          <w:rStyle w:val="normaltextrun"/>
          <w:snapToGrid/>
        </w:rPr>
      </w:r>
      <w:r w:rsidR="00B52B15" w:rsidRPr="00484AE9">
        <w:rPr>
          <w:rStyle w:val="normaltextrun"/>
          <w:snapToGrid/>
        </w:rPr>
        <w:fldChar w:fldCharType="separate"/>
      </w:r>
      <w:r w:rsidR="00872657">
        <w:rPr>
          <w:rStyle w:val="normaltextrun"/>
          <w:snapToGrid/>
        </w:rPr>
        <w:t>6.8</w:t>
      </w:r>
      <w:r w:rsidR="00B52B15" w:rsidRPr="00484AE9">
        <w:rPr>
          <w:rStyle w:val="normaltextrun"/>
          <w:snapToGrid/>
        </w:rPr>
        <w:fldChar w:fldCharType="end"/>
      </w:r>
      <w:r w:rsidR="00B52B15" w:rsidRPr="00484AE9">
        <w:rPr>
          <w:rStyle w:val="normaltextrun"/>
          <w:snapToGrid/>
        </w:rPr>
        <w:t>).</w:t>
      </w:r>
      <w:bookmarkEnd w:id="186"/>
    </w:p>
    <w:p w14:paraId="69622378" w14:textId="7E3B76B9" w:rsidR="000723C1" w:rsidRPr="00484AE9" w:rsidRDefault="000723C1" w:rsidP="000723C1">
      <w:pPr>
        <w:pStyle w:val="3-BodyText"/>
        <w:rPr>
          <w:rFonts w:ascii="Calibri" w:hAnsi="Calibri"/>
          <w:snapToGrid/>
        </w:rPr>
      </w:pPr>
      <w:r w:rsidRPr="00484AE9">
        <w:rPr>
          <w:rFonts w:ascii="Calibri" w:hAnsi="Calibri"/>
          <w:snapToGrid/>
        </w:rPr>
        <w:t xml:space="preserve">The PBAC noted that the submission applied relative risks from published meta-analyses in the economic analyses. The published meta-analyses were incomplete in that they did not include all studies identified by the submission as being relevant. Furthermore, the meta-analyses included studies that did not satisfy the submission’s inclusion/exclusion criteria for presentation in the submission (paragraph </w:t>
      </w:r>
      <w:r w:rsidRPr="00484AE9">
        <w:rPr>
          <w:rFonts w:ascii="Calibri" w:hAnsi="Calibri"/>
          <w:snapToGrid/>
        </w:rPr>
        <w:fldChar w:fldCharType="begin"/>
      </w:r>
      <w:r w:rsidRPr="00484AE9">
        <w:rPr>
          <w:rFonts w:ascii="Calibri" w:hAnsi="Calibri"/>
          <w:snapToGrid/>
        </w:rPr>
        <w:instrText xml:space="preserve"> REF _Ref151034196 \r \h </w:instrText>
      </w:r>
      <w:r w:rsidRPr="00484AE9">
        <w:rPr>
          <w:rFonts w:ascii="Calibri" w:hAnsi="Calibri"/>
          <w:snapToGrid/>
        </w:rPr>
      </w:r>
      <w:r w:rsidRPr="00484AE9">
        <w:rPr>
          <w:rFonts w:ascii="Calibri" w:hAnsi="Calibri"/>
          <w:snapToGrid/>
        </w:rPr>
        <w:fldChar w:fldCharType="separate"/>
      </w:r>
      <w:r w:rsidR="00872657">
        <w:rPr>
          <w:rFonts w:ascii="Calibri" w:hAnsi="Calibri"/>
          <w:snapToGrid/>
        </w:rPr>
        <w:t>6.12</w:t>
      </w:r>
      <w:r w:rsidRPr="00484AE9">
        <w:rPr>
          <w:rFonts w:ascii="Calibri" w:hAnsi="Calibri"/>
          <w:snapToGrid/>
        </w:rPr>
        <w:fldChar w:fldCharType="end"/>
      </w:r>
      <w:r w:rsidRPr="00484AE9">
        <w:rPr>
          <w:rFonts w:ascii="Calibri" w:hAnsi="Calibri"/>
          <w:snapToGrid/>
        </w:rPr>
        <w:t>).</w:t>
      </w:r>
    </w:p>
    <w:p w14:paraId="6248B4F6" w14:textId="5B6D7C51" w:rsidR="00390317" w:rsidRPr="00484AE9" w:rsidRDefault="00390317" w:rsidP="00390317">
      <w:pPr>
        <w:widowControl w:val="0"/>
        <w:numPr>
          <w:ilvl w:val="1"/>
          <w:numId w:val="1"/>
        </w:numPr>
        <w:spacing w:after="120"/>
        <w:rPr>
          <w:rFonts w:asciiTheme="minorHAnsi" w:hAnsiTheme="minorHAnsi"/>
          <w:snapToGrid w:val="0"/>
        </w:rPr>
      </w:pPr>
      <w:bookmarkStart w:id="187" w:name="_Ref150944056"/>
      <w:bookmarkEnd w:id="183"/>
      <w:r w:rsidRPr="00484AE9">
        <w:t xml:space="preserve">The PBAC noted that the pre-PBAC response had proposed a lower price than the submission, however the proposed ex-manufacturer </w:t>
      </w:r>
      <w:r w:rsidRPr="00167A69">
        <w:t>price (</w:t>
      </w:r>
      <w:r w:rsidR="00696519" w:rsidRPr="00696519">
        <w:t>$</w:t>
      </w:r>
      <w:r w:rsidR="00696519" w:rsidRPr="00872657">
        <w:rPr>
          <w:color w:val="000000"/>
          <w:w w:val="15"/>
          <w:shd w:val="solid" w:color="000000" w:fill="000000"/>
          <w:fitText w:val="-20" w:id="-1032088566"/>
          <w14:textFill>
            <w14:solidFill>
              <w14:srgbClr w14:val="000000">
                <w14:alpha w14:val="100000"/>
              </w14:srgbClr>
            </w14:solidFill>
          </w14:textFill>
        </w:rPr>
        <w:t xml:space="preserve">| </w:t>
      </w:r>
      <w:r w:rsidR="00696519" w:rsidRPr="00872657">
        <w:rPr>
          <w:color w:val="000000"/>
          <w:spacing w:val="-61"/>
          <w:w w:val="15"/>
          <w:shd w:val="solid" w:color="000000" w:fill="000000"/>
          <w:fitText w:val="-20" w:id="-1032088566"/>
          <w14:textFill>
            <w14:solidFill>
              <w14:srgbClr w14:val="000000">
                <w14:alpha w14:val="100000"/>
              </w14:srgbClr>
            </w14:solidFill>
          </w14:textFill>
        </w:rPr>
        <w:t>|</w:t>
      </w:r>
      <w:r w:rsidRPr="00167A69">
        <w:t xml:space="preserve"> per pack) remained higher than the current price for nirmatrelvir and ritonavir ($1,000 per pack)</w:t>
      </w:r>
      <w:r w:rsidR="00A62B3A" w:rsidRPr="00167A69">
        <w:t>.</w:t>
      </w:r>
      <w:r w:rsidR="00AB5488" w:rsidRPr="00484AE9">
        <w:t xml:space="preserve"> The PBAC considered that the </w:t>
      </w:r>
      <w:r w:rsidR="00137405" w:rsidRPr="00484AE9">
        <w:t xml:space="preserve">current price is the </w:t>
      </w:r>
      <w:r w:rsidR="00AB5488" w:rsidRPr="00484AE9">
        <w:t xml:space="preserve">absolute maximum and, reflecting the post-pandemic evolution of the disease, the price should be lower </w:t>
      </w:r>
      <w:r w:rsidR="00FC25D0" w:rsidRPr="00484AE9">
        <w:t>than proposed in the pre-PBAC response</w:t>
      </w:r>
      <w:r w:rsidR="00AB5488" w:rsidRPr="00484AE9">
        <w:t xml:space="preserve">, </w:t>
      </w:r>
      <w:r w:rsidR="00FC25D0" w:rsidRPr="00484AE9">
        <w:t xml:space="preserve">and </w:t>
      </w:r>
      <w:r w:rsidR="00AB5488" w:rsidRPr="00484AE9">
        <w:t>not higher</w:t>
      </w:r>
      <w:r w:rsidR="00FC25D0" w:rsidRPr="00484AE9">
        <w:t xml:space="preserve"> than the current price</w:t>
      </w:r>
      <w:r w:rsidR="00AB5488" w:rsidRPr="00484AE9">
        <w:t xml:space="preserve">. </w:t>
      </w:r>
    </w:p>
    <w:p w14:paraId="18DA25B8" w14:textId="05C1DAB0" w:rsidR="00A31F3C" w:rsidRPr="00484AE9" w:rsidRDefault="00A31F3C" w:rsidP="00A31F3C">
      <w:pPr>
        <w:widowControl w:val="0"/>
        <w:numPr>
          <w:ilvl w:val="1"/>
          <w:numId w:val="1"/>
        </w:numPr>
        <w:spacing w:after="120"/>
        <w:rPr>
          <w:rFonts w:asciiTheme="minorHAnsi" w:hAnsiTheme="minorHAnsi"/>
          <w:snapToGrid w:val="0"/>
        </w:rPr>
      </w:pPr>
      <w:bookmarkStart w:id="188" w:name="_Ref152081168"/>
      <w:r w:rsidRPr="00484AE9">
        <w:rPr>
          <w:rFonts w:asciiTheme="minorHAnsi" w:hAnsiTheme="minorHAnsi"/>
          <w:snapToGrid w:val="0"/>
        </w:rPr>
        <w:t xml:space="preserve">The PBAC noted the large patient population that was forecast by the sponsor, of approximately </w:t>
      </w:r>
      <w:r w:rsidR="004845CB" w:rsidRPr="004845CB">
        <w:rPr>
          <w:rFonts w:asciiTheme="minorHAnsi" w:hAnsiTheme="minorHAnsi"/>
          <w:snapToGrid w:val="0"/>
        </w:rPr>
        <w:t>500,000 to &lt; 600,000</w:t>
      </w:r>
      <w:r w:rsidR="004845CB">
        <w:rPr>
          <w:rFonts w:asciiTheme="minorHAnsi" w:hAnsiTheme="minorHAnsi"/>
          <w:snapToGrid w:val="0"/>
        </w:rPr>
        <w:t xml:space="preserve"> </w:t>
      </w:r>
      <w:r w:rsidRPr="00484AE9">
        <w:rPr>
          <w:rFonts w:asciiTheme="minorHAnsi" w:hAnsiTheme="minorHAnsi"/>
          <w:snapToGrid w:val="0"/>
        </w:rPr>
        <w:t xml:space="preserve">to </w:t>
      </w:r>
      <w:r w:rsidR="004B0543" w:rsidRPr="004B0543">
        <w:rPr>
          <w:rFonts w:asciiTheme="minorHAnsi" w:hAnsiTheme="minorHAnsi"/>
          <w:snapToGrid w:val="0"/>
        </w:rPr>
        <w:t>600,000 to &lt; 700,000</w:t>
      </w:r>
      <w:r w:rsidR="004B0543">
        <w:rPr>
          <w:rFonts w:asciiTheme="minorHAnsi" w:hAnsiTheme="minorHAnsi"/>
          <w:snapToGrid w:val="0"/>
        </w:rPr>
        <w:t xml:space="preserve"> </w:t>
      </w:r>
      <w:r w:rsidRPr="00484AE9">
        <w:rPr>
          <w:rFonts w:asciiTheme="minorHAnsi" w:hAnsiTheme="minorHAnsi"/>
          <w:snapToGrid w:val="0"/>
        </w:rPr>
        <w:t>patients to be treated with OAV per year in the base case (</w:t>
      </w:r>
      <w:r w:rsidRPr="00484AE9">
        <w:rPr>
          <w:rFonts w:asciiTheme="minorHAnsi" w:hAnsiTheme="minorHAnsi"/>
          <w:snapToGrid w:val="0"/>
        </w:rPr>
        <w:fldChar w:fldCharType="begin"/>
      </w:r>
      <w:r w:rsidRPr="00484AE9">
        <w:rPr>
          <w:rFonts w:asciiTheme="minorHAnsi" w:hAnsiTheme="minorHAnsi"/>
          <w:snapToGrid w:val="0"/>
        </w:rPr>
        <w:instrText xml:space="preserve"> REF _Ref104805295 \h </w:instrText>
      </w:r>
      <w:r w:rsidR="00D90AA1" w:rsidRPr="00484AE9">
        <w:rPr>
          <w:rFonts w:asciiTheme="minorHAnsi" w:hAnsiTheme="minorHAnsi"/>
          <w:snapToGrid w:val="0"/>
        </w:rPr>
        <w:instrText xml:space="preserve"> \* MERGEFORMAT </w:instrText>
      </w:r>
      <w:r w:rsidRPr="00484AE9">
        <w:rPr>
          <w:rFonts w:asciiTheme="minorHAnsi" w:hAnsiTheme="minorHAnsi"/>
          <w:snapToGrid w:val="0"/>
        </w:rPr>
      </w:r>
      <w:r w:rsidRPr="00484AE9">
        <w:rPr>
          <w:rFonts w:asciiTheme="minorHAnsi" w:hAnsiTheme="minorHAnsi"/>
          <w:snapToGrid w:val="0"/>
        </w:rPr>
        <w:fldChar w:fldCharType="separate"/>
      </w:r>
      <w:r w:rsidR="00872657" w:rsidRPr="00484AE9">
        <w:t xml:space="preserve">Table </w:t>
      </w:r>
      <w:r w:rsidR="00872657">
        <w:t>29</w:t>
      </w:r>
      <w:r w:rsidRPr="00484AE9">
        <w:rPr>
          <w:rFonts w:asciiTheme="minorHAnsi" w:hAnsiTheme="minorHAnsi"/>
          <w:snapToGrid w:val="0"/>
        </w:rPr>
        <w:fldChar w:fldCharType="end"/>
      </w:r>
      <w:r w:rsidRPr="00484AE9">
        <w:rPr>
          <w:rFonts w:asciiTheme="minorHAnsi" w:hAnsiTheme="minorHAnsi"/>
          <w:snapToGrid w:val="0"/>
        </w:rPr>
        <w:t>; pre-PBAC response estimates).</w:t>
      </w:r>
      <w:r w:rsidR="00F76D9A">
        <w:rPr>
          <w:rFonts w:asciiTheme="minorHAnsi" w:hAnsiTheme="minorHAnsi"/>
          <w:snapToGrid w:val="0"/>
        </w:rPr>
        <w:t xml:space="preserve"> </w:t>
      </w:r>
      <w:r w:rsidRPr="00484AE9">
        <w:rPr>
          <w:rFonts w:asciiTheme="minorHAnsi" w:hAnsiTheme="minorHAnsi"/>
          <w:snapToGrid w:val="0"/>
        </w:rPr>
        <w:t>The PBAC noted the significant budget impact that was estimated by the sponsor, and considered the opportunity cost associated with the proposed continuation of the PBS listing at the proposed price.</w:t>
      </w:r>
      <w:r w:rsidR="00F76D9A">
        <w:rPr>
          <w:rFonts w:asciiTheme="minorHAnsi" w:hAnsiTheme="minorHAnsi"/>
          <w:snapToGrid w:val="0"/>
        </w:rPr>
        <w:t xml:space="preserve"> </w:t>
      </w:r>
      <w:r w:rsidRPr="00484AE9">
        <w:rPr>
          <w:rFonts w:asciiTheme="minorHAnsi" w:hAnsiTheme="minorHAnsi"/>
          <w:snapToGrid w:val="0"/>
        </w:rPr>
        <w:t xml:space="preserve">The PBAC considered that in this situation, it was </w:t>
      </w:r>
      <w:r w:rsidRPr="00484AE9">
        <w:rPr>
          <w:rFonts w:asciiTheme="minorHAnsi" w:hAnsiTheme="minorHAnsi"/>
          <w:snapToGrid w:val="0"/>
        </w:rPr>
        <w:lastRenderedPageBreak/>
        <w:t>appropriate and necessary that the ICER that would define acceptable cost-effectiveness should be no greater than $15,000/QALY in any of the patient subgroups.</w:t>
      </w:r>
      <w:bookmarkEnd w:id="188"/>
      <w:r w:rsidR="00F76D9A">
        <w:rPr>
          <w:rFonts w:asciiTheme="minorHAnsi" w:hAnsiTheme="minorHAnsi"/>
          <w:snapToGrid w:val="0"/>
        </w:rPr>
        <w:t xml:space="preserve"> </w:t>
      </w:r>
    </w:p>
    <w:p w14:paraId="37FB552D" w14:textId="2BE2B35A" w:rsidR="00A31F3C" w:rsidRPr="00484AE9" w:rsidRDefault="00A31F3C" w:rsidP="004768E5">
      <w:pPr>
        <w:widowControl w:val="0"/>
        <w:numPr>
          <w:ilvl w:val="1"/>
          <w:numId w:val="1"/>
        </w:numPr>
        <w:spacing w:after="120"/>
        <w:rPr>
          <w:rFonts w:asciiTheme="minorHAnsi" w:hAnsiTheme="minorHAnsi"/>
          <w:snapToGrid w:val="0"/>
        </w:rPr>
      </w:pPr>
      <w:r w:rsidRPr="00484AE9">
        <w:rPr>
          <w:rFonts w:asciiTheme="minorHAnsi" w:hAnsiTheme="minorHAnsi"/>
          <w:snapToGrid w:val="0"/>
        </w:rPr>
        <w:t>The PBAC noted that the ICER for the 70+ cohort was similar to the overall weighted ICER (generated by weighting costs and weighting benefits, before calculating the ratio), however there was a wide range between the estimated ICERs for the subgroups shown in</w:t>
      </w:r>
      <w:r w:rsidR="004768E5" w:rsidRPr="00484AE9">
        <w:rPr>
          <w:rFonts w:asciiTheme="minorHAnsi" w:hAnsiTheme="minorHAnsi"/>
          <w:snapToGrid w:val="0"/>
        </w:rPr>
        <w:t xml:space="preserve"> </w:t>
      </w:r>
      <w:r w:rsidR="004768E5" w:rsidRPr="00484AE9">
        <w:rPr>
          <w:rFonts w:asciiTheme="minorHAnsi" w:hAnsiTheme="minorHAnsi"/>
          <w:snapToGrid w:val="0"/>
        </w:rPr>
        <w:fldChar w:fldCharType="begin"/>
      </w:r>
      <w:r w:rsidR="004768E5" w:rsidRPr="00484AE9">
        <w:rPr>
          <w:rFonts w:asciiTheme="minorHAnsi" w:hAnsiTheme="minorHAnsi"/>
          <w:snapToGrid w:val="0"/>
        </w:rPr>
        <w:instrText xml:space="preserve"> REF _Ref151035145 \h </w:instrText>
      </w:r>
      <w:r w:rsidR="00D90AA1" w:rsidRPr="00484AE9">
        <w:rPr>
          <w:rFonts w:asciiTheme="minorHAnsi" w:hAnsiTheme="minorHAnsi"/>
          <w:snapToGrid w:val="0"/>
        </w:rPr>
        <w:instrText xml:space="preserve"> \* MERGEFORMAT </w:instrText>
      </w:r>
      <w:r w:rsidR="004768E5" w:rsidRPr="00484AE9">
        <w:rPr>
          <w:rFonts w:asciiTheme="minorHAnsi" w:hAnsiTheme="minorHAnsi"/>
          <w:snapToGrid w:val="0"/>
        </w:rPr>
      </w:r>
      <w:r w:rsidR="004768E5" w:rsidRPr="00484AE9">
        <w:rPr>
          <w:rFonts w:asciiTheme="minorHAnsi" w:hAnsiTheme="minorHAnsi"/>
          <w:snapToGrid w:val="0"/>
        </w:rPr>
        <w:fldChar w:fldCharType="separate"/>
      </w:r>
      <w:r w:rsidR="00872657" w:rsidRPr="00484AE9">
        <w:rPr>
          <w:iCs/>
        </w:rPr>
        <w:t xml:space="preserve">Table </w:t>
      </w:r>
      <w:r w:rsidR="00872657">
        <w:rPr>
          <w:iCs/>
        </w:rPr>
        <w:t>25</w:t>
      </w:r>
      <w:r w:rsidR="004768E5" w:rsidRPr="00484AE9">
        <w:rPr>
          <w:rFonts w:asciiTheme="minorHAnsi" w:hAnsiTheme="minorHAnsi"/>
          <w:snapToGrid w:val="0"/>
        </w:rPr>
        <w:fldChar w:fldCharType="end"/>
      </w:r>
      <w:r w:rsidRPr="00484AE9">
        <w:rPr>
          <w:rFonts w:asciiTheme="minorHAnsi" w:hAnsiTheme="minorHAnsi"/>
          <w:snapToGrid w:val="0"/>
        </w:rPr>
        <w:t>.</w:t>
      </w:r>
      <w:r w:rsidR="00F76D9A">
        <w:rPr>
          <w:rFonts w:asciiTheme="minorHAnsi" w:hAnsiTheme="minorHAnsi"/>
          <w:snapToGrid w:val="0"/>
        </w:rPr>
        <w:t xml:space="preserve"> </w:t>
      </w:r>
      <w:r w:rsidRPr="00484AE9">
        <w:rPr>
          <w:rFonts w:asciiTheme="minorHAnsi" w:hAnsiTheme="minorHAnsi"/>
          <w:snapToGrid w:val="0"/>
        </w:rPr>
        <w:t xml:space="preserve">Given the limitations of the data available (see paragraph </w:t>
      </w:r>
      <w:r w:rsidR="00A207BF" w:rsidRPr="00484AE9">
        <w:rPr>
          <w:rFonts w:asciiTheme="minorHAnsi" w:hAnsiTheme="minorHAnsi"/>
          <w:snapToGrid w:val="0"/>
        </w:rPr>
        <w:fldChar w:fldCharType="begin"/>
      </w:r>
      <w:r w:rsidR="00A207BF" w:rsidRPr="00484AE9">
        <w:rPr>
          <w:rFonts w:asciiTheme="minorHAnsi" w:hAnsiTheme="minorHAnsi"/>
          <w:snapToGrid w:val="0"/>
        </w:rPr>
        <w:instrText xml:space="preserve"> REF _Ref152086080 \r \h </w:instrText>
      </w:r>
      <w:r w:rsidR="00D90AA1" w:rsidRPr="00484AE9">
        <w:rPr>
          <w:rFonts w:asciiTheme="minorHAnsi" w:hAnsiTheme="minorHAnsi"/>
          <w:snapToGrid w:val="0"/>
        </w:rPr>
        <w:instrText xml:space="preserve"> \* MERGEFORMAT </w:instrText>
      </w:r>
      <w:r w:rsidR="00A207BF" w:rsidRPr="00484AE9">
        <w:rPr>
          <w:rFonts w:asciiTheme="minorHAnsi" w:hAnsiTheme="minorHAnsi"/>
          <w:snapToGrid w:val="0"/>
        </w:rPr>
      </w:r>
      <w:r w:rsidR="00A207BF" w:rsidRPr="00484AE9">
        <w:rPr>
          <w:rFonts w:asciiTheme="minorHAnsi" w:hAnsiTheme="minorHAnsi"/>
          <w:snapToGrid w:val="0"/>
        </w:rPr>
        <w:fldChar w:fldCharType="separate"/>
      </w:r>
      <w:r w:rsidR="00872657">
        <w:rPr>
          <w:rFonts w:asciiTheme="minorHAnsi" w:hAnsiTheme="minorHAnsi"/>
          <w:snapToGrid w:val="0"/>
        </w:rPr>
        <w:t>6.88</w:t>
      </w:r>
      <w:r w:rsidR="00A207BF" w:rsidRPr="00484AE9">
        <w:rPr>
          <w:rFonts w:asciiTheme="minorHAnsi" w:hAnsiTheme="minorHAnsi"/>
          <w:snapToGrid w:val="0"/>
        </w:rPr>
        <w:fldChar w:fldCharType="end"/>
      </w:r>
      <w:r w:rsidRPr="00484AE9">
        <w:rPr>
          <w:rFonts w:asciiTheme="minorHAnsi" w:hAnsiTheme="minorHAnsi"/>
          <w:snapToGrid w:val="0"/>
        </w:rPr>
        <w:t xml:space="preserve">), the PBAC advised that it was not appropriate to value </w:t>
      </w:r>
      <w:r w:rsidR="000C640D" w:rsidRPr="00484AE9">
        <w:rPr>
          <w:rFonts w:asciiTheme="minorHAnsi" w:hAnsiTheme="minorHAnsi"/>
          <w:snapToGrid w:val="0"/>
        </w:rPr>
        <w:t>nirmatrelvir and ritonavir</w:t>
      </w:r>
      <w:r w:rsidRPr="00484AE9">
        <w:rPr>
          <w:rFonts w:asciiTheme="minorHAnsi" w:hAnsiTheme="minorHAnsi"/>
          <w:snapToGrid w:val="0"/>
        </w:rPr>
        <w:t xml:space="preserve"> based on the overall weighted ICER, and instead the cost-effectiveness of </w:t>
      </w:r>
      <w:r w:rsidR="000C640D" w:rsidRPr="00484AE9">
        <w:rPr>
          <w:rFonts w:asciiTheme="minorHAnsi" w:hAnsiTheme="minorHAnsi"/>
          <w:snapToGrid w:val="0"/>
        </w:rPr>
        <w:t>nirmatrelvir and ritonavir</w:t>
      </w:r>
      <w:r w:rsidRPr="00484AE9">
        <w:rPr>
          <w:rFonts w:asciiTheme="minorHAnsi" w:hAnsiTheme="minorHAnsi"/>
          <w:snapToGrid w:val="0"/>
        </w:rPr>
        <w:t xml:space="preserve"> should be assessed individually for each of the four patient subgroups because this would provide a more robust assessment</w:t>
      </w:r>
      <w:r w:rsidRPr="00484AE9">
        <w:t>.</w:t>
      </w:r>
      <w:r w:rsidR="00F76D9A">
        <w:t xml:space="preserve"> </w:t>
      </w:r>
      <w:r w:rsidRPr="00484AE9">
        <w:t xml:space="preserve">The PBAC noted the weighted effective DPMQ could then be calculated based on the </w:t>
      </w:r>
      <w:r w:rsidRPr="00484AE9">
        <w:rPr>
          <w:iCs/>
        </w:rPr>
        <w:t xml:space="preserve">assumed distribution of patients across populations as shown in </w:t>
      </w:r>
      <w:r w:rsidR="004768E5" w:rsidRPr="00484AE9">
        <w:rPr>
          <w:iCs/>
        </w:rPr>
        <w:fldChar w:fldCharType="begin"/>
      </w:r>
      <w:r w:rsidR="004768E5" w:rsidRPr="00484AE9">
        <w:rPr>
          <w:iCs/>
        </w:rPr>
        <w:instrText xml:space="preserve"> REF _Ref150005603 \h </w:instrText>
      </w:r>
      <w:r w:rsidR="00D90AA1" w:rsidRPr="00484AE9">
        <w:rPr>
          <w:iCs/>
        </w:rPr>
        <w:instrText xml:space="preserve"> \* MERGEFORMAT </w:instrText>
      </w:r>
      <w:r w:rsidR="004768E5" w:rsidRPr="00484AE9">
        <w:rPr>
          <w:iCs/>
        </w:rPr>
      </w:r>
      <w:r w:rsidR="004768E5" w:rsidRPr="00484AE9">
        <w:rPr>
          <w:iCs/>
        </w:rPr>
        <w:fldChar w:fldCharType="separate"/>
      </w:r>
      <w:r w:rsidR="00872657" w:rsidRPr="00484AE9">
        <w:t xml:space="preserve">Table </w:t>
      </w:r>
      <w:r w:rsidR="00872657">
        <w:t>26</w:t>
      </w:r>
      <w:r w:rsidR="004768E5" w:rsidRPr="00484AE9">
        <w:rPr>
          <w:iCs/>
        </w:rPr>
        <w:fldChar w:fldCharType="end"/>
      </w:r>
      <w:r w:rsidRPr="00484AE9">
        <w:rPr>
          <w:rFonts w:asciiTheme="minorHAnsi" w:hAnsiTheme="minorHAnsi"/>
          <w:snapToGrid w:val="0"/>
        </w:rPr>
        <w:t>.</w:t>
      </w:r>
    </w:p>
    <w:p w14:paraId="5CE9E7CC" w14:textId="6C655CEE" w:rsidR="00FC25D0" w:rsidRPr="00484AE9" w:rsidRDefault="00FC25D0" w:rsidP="00453921">
      <w:pPr>
        <w:widowControl w:val="0"/>
        <w:numPr>
          <w:ilvl w:val="1"/>
          <w:numId w:val="1"/>
        </w:numPr>
        <w:spacing w:after="120"/>
        <w:rPr>
          <w:rFonts w:asciiTheme="minorHAnsi" w:hAnsiTheme="minorHAnsi"/>
          <w:snapToGrid w:val="0"/>
        </w:rPr>
      </w:pPr>
      <w:bookmarkStart w:id="189" w:name="_Ref151037535"/>
      <w:r w:rsidRPr="00484AE9">
        <w:t xml:space="preserve">As described by the ESC, it was noted that regardless of whether the sponsor’s analysis or the evaluation model was used, the </w:t>
      </w:r>
      <w:r w:rsidRPr="00484AE9">
        <w:rPr>
          <w:iCs/>
        </w:rPr>
        <w:t>ICERs for nirmatrelvir and ritonavir in patients aged 50-69 years were substantially higher than those calculated for the other patients groups (</w:t>
      </w:r>
      <w:r w:rsidRPr="00484AE9">
        <w:rPr>
          <w:iCs/>
        </w:rPr>
        <w:fldChar w:fldCharType="begin"/>
      </w:r>
      <w:r w:rsidRPr="00484AE9">
        <w:rPr>
          <w:iCs/>
        </w:rPr>
        <w:instrText xml:space="preserve"> REF _Ref104805160 \h  \* MERGEFORMAT </w:instrText>
      </w:r>
      <w:r w:rsidRPr="00484AE9">
        <w:rPr>
          <w:iCs/>
        </w:rPr>
      </w:r>
      <w:r w:rsidRPr="00484AE9">
        <w:rPr>
          <w:iCs/>
        </w:rPr>
        <w:fldChar w:fldCharType="separate"/>
      </w:r>
      <w:r w:rsidR="00872657" w:rsidRPr="00872657">
        <w:rPr>
          <w:iCs/>
        </w:rPr>
        <w:t>Table 19</w:t>
      </w:r>
      <w:r w:rsidRPr="00484AE9">
        <w:rPr>
          <w:iCs/>
        </w:rPr>
        <w:fldChar w:fldCharType="end"/>
      </w:r>
      <w:r w:rsidRPr="00484AE9">
        <w:rPr>
          <w:iCs/>
        </w:rPr>
        <w:t xml:space="preserve">, </w:t>
      </w:r>
      <w:bookmarkStart w:id="190" w:name="_Hlk151035010"/>
      <w:r w:rsidRPr="00484AE9">
        <w:rPr>
          <w:iCs/>
        </w:rPr>
        <w:fldChar w:fldCharType="begin"/>
      </w:r>
      <w:r w:rsidRPr="00484AE9">
        <w:rPr>
          <w:iCs/>
        </w:rPr>
        <w:instrText xml:space="preserve"> REF _Ref104805181 \h  \* MERGEFORMAT </w:instrText>
      </w:r>
      <w:r w:rsidRPr="00484AE9">
        <w:rPr>
          <w:iCs/>
        </w:rPr>
      </w:r>
      <w:r w:rsidRPr="00484AE9">
        <w:rPr>
          <w:iCs/>
        </w:rPr>
        <w:fldChar w:fldCharType="separate"/>
      </w:r>
      <w:r w:rsidR="00872657" w:rsidRPr="00872657">
        <w:rPr>
          <w:iCs/>
        </w:rPr>
        <w:t>Table 20</w:t>
      </w:r>
      <w:r w:rsidRPr="00484AE9">
        <w:rPr>
          <w:iCs/>
        </w:rPr>
        <w:fldChar w:fldCharType="end"/>
      </w:r>
      <w:bookmarkEnd w:id="190"/>
      <w:r w:rsidRPr="00484AE9">
        <w:rPr>
          <w:iCs/>
        </w:rPr>
        <w:t xml:space="preserve">). </w:t>
      </w:r>
      <w:r w:rsidRPr="00484AE9">
        <w:rPr>
          <w:rFonts w:asciiTheme="minorHAnsi" w:hAnsiTheme="minorHAnsi"/>
          <w:snapToGrid w:val="0"/>
        </w:rPr>
        <w:t xml:space="preserve">The PBAC noted that the </w:t>
      </w:r>
      <w:r w:rsidRPr="00484AE9">
        <w:t xml:space="preserve">ICER for use of nirmatrelvir and ritonavir in patients aged 50-69 with </w:t>
      </w:r>
      <w:r w:rsidRPr="00484AE9">
        <w:rPr>
          <w:rFonts w:cstheme="minorHAnsi"/>
        </w:rPr>
        <w:t>≥</w:t>
      </w:r>
      <w:r w:rsidRPr="00484AE9">
        <w:t xml:space="preserve">1 additional risk factor is substantially higher than the corresponding population limited to patients with </w:t>
      </w:r>
      <w:r w:rsidRPr="00484AE9">
        <w:rPr>
          <w:rFonts w:cstheme="minorHAnsi"/>
        </w:rPr>
        <w:t>≥</w:t>
      </w:r>
      <w:r w:rsidR="00F76D9A">
        <w:t xml:space="preserve"> </w:t>
      </w:r>
      <w:r w:rsidRPr="00484AE9">
        <w:t xml:space="preserve">2 additional risk factors (paragraph </w:t>
      </w:r>
      <w:r w:rsidRPr="00484AE9">
        <w:fldChar w:fldCharType="begin"/>
      </w:r>
      <w:r w:rsidRPr="00484AE9">
        <w:instrText xml:space="preserve"> REF _Ref150977471 \r \h </w:instrText>
      </w:r>
      <w:r w:rsidRPr="00484AE9">
        <w:fldChar w:fldCharType="separate"/>
      </w:r>
      <w:r w:rsidR="00872657">
        <w:t>6.71</w:t>
      </w:r>
      <w:r w:rsidRPr="00484AE9">
        <w:fldChar w:fldCharType="end"/>
      </w:r>
      <w:r w:rsidRPr="00484AE9">
        <w:t xml:space="preserve">). On this basis, the PBAC considered that the PBS restriction for patients aged 50-69 years should revert to requiring at least 2 additional risk factors as described in paragraph </w:t>
      </w:r>
      <w:r w:rsidRPr="00484AE9">
        <w:fldChar w:fldCharType="begin"/>
      </w:r>
      <w:r w:rsidRPr="00484AE9">
        <w:instrText xml:space="preserve"> REF _Ref150977671 \r \h </w:instrText>
      </w:r>
      <w:r w:rsidRPr="00484AE9">
        <w:fldChar w:fldCharType="separate"/>
      </w:r>
      <w:r w:rsidR="00872657">
        <w:t>7.3</w:t>
      </w:r>
      <w:r w:rsidRPr="00484AE9">
        <w:fldChar w:fldCharType="end"/>
      </w:r>
      <w:r w:rsidRPr="00484AE9">
        <w:t>, however the ICER for this subgroup remained higher than other subgroups even after the change to require at least 2 additional risk factors (</w:t>
      </w:r>
      <w:r w:rsidRPr="00484AE9">
        <w:rPr>
          <w:iCs/>
        </w:rPr>
        <w:fldChar w:fldCharType="begin"/>
      </w:r>
      <w:r w:rsidRPr="00484AE9">
        <w:rPr>
          <w:iCs/>
        </w:rPr>
        <w:instrText xml:space="preserve"> REF _Ref104805181 \h  \* MERGEFORMAT </w:instrText>
      </w:r>
      <w:r w:rsidRPr="00484AE9">
        <w:rPr>
          <w:iCs/>
        </w:rPr>
      </w:r>
      <w:r w:rsidRPr="00484AE9">
        <w:rPr>
          <w:iCs/>
        </w:rPr>
        <w:fldChar w:fldCharType="separate"/>
      </w:r>
      <w:r w:rsidR="00872657" w:rsidRPr="00872657">
        <w:rPr>
          <w:iCs/>
        </w:rPr>
        <w:t>Table 20</w:t>
      </w:r>
      <w:r w:rsidRPr="00484AE9">
        <w:rPr>
          <w:iCs/>
        </w:rPr>
        <w:fldChar w:fldCharType="end"/>
      </w:r>
      <w:r w:rsidRPr="00484AE9">
        <w:rPr>
          <w:iCs/>
        </w:rPr>
        <w:t>)</w:t>
      </w:r>
      <w:r w:rsidRPr="00484AE9">
        <w:t>.</w:t>
      </w:r>
    </w:p>
    <w:p w14:paraId="3F811F10" w14:textId="45BA35BC" w:rsidR="00FC25D0" w:rsidRPr="00484AE9" w:rsidRDefault="006D0BDA" w:rsidP="001B4AE4">
      <w:pPr>
        <w:widowControl w:val="0"/>
        <w:numPr>
          <w:ilvl w:val="1"/>
          <w:numId w:val="1"/>
        </w:numPr>
        <w:spacing w:after="120"/>
        <w:rPr>
          <w:rFonts w:asciiTheme="minorHAnsi" w:hAnsiTheme="minorHAnsi"/>
          <w:snapToGrid w:val="0"/>
        </w:rPr>
      </w:pPr>
      <w:r w:rsidRPr="00484AE9">
        <w:t>B</w:t>
      </w:r>
      <w:r w:rsidR="003532B8" w:rsidRPr="00484AE9">
        <w:t xml:space="preserve">ased on the available clinical evidence, the PBAC considered that a reduction in price </w:t>
      </w:r>
      <w:r w:rsidR="00FC25D0" w:rsidRPr="00484AE9">
        <w:t xml:space="preserve">from the current price </w:t>
      </w:r>
      <w:r w:rsidR="003532B8" w:rsidRPr="00484AE9">
        <w:t>would be required. The rationale for the requested price reduction was to overcome the uncertainty in cost</w:t>
      </w:r>
      <w:r w:rsidR="003532B8" w:rsidRPr="00484AE9">
        <w:noBreakHyphen/>
        <w:t xml:space="preserve">effectiveness arising from, in the main, </w:t>
      </w:r>
      <w:r w:rsidRPr="00484AE9">
        <w:t xml:space="preserve">varying modelled benefits in the </w:t>
      </w:r>
      <w:r w:rsidR="003532B8" w:rsidRPr="00484AE9">
        <w:t>target populations</w:t>
      </w:r>
      <w:r w:rsidRPr="00484AE9">
        <w:t xml:space="preserve">, which resulted in </w:t>
      </w:r>
      <w:r w:rsidR="00390317" w:rsidRPr="00484AE9">
        <w:t>a range of ICERs</w:t>
      </w:r>
      <w:r w:rsidR="00A62B3A" w:rsidRPr="00484AE9">
        <w:t xml:space="preserve">. </w:t>
      </w:r>
      <w:bookmarkEnd w:id="189"/>
      <w:r w:rsidR="00FC25D0" w:rsidRPr="00484AE9">
        <w:t xml:space="preserve">As noted in paragraph </w:t>
      </w:r>
      <w:r w:rsidR="00F51885" w:rsidRPr="00484AE9">
        <w:fldChar w:fldCharType="begin"/>
      </w:r>
      <w:r w:rsidR="00F51885" w:rsidRPr="00484AE9">
        <w:instrText xml:space="preserve"> REF _Ref152595449 \r \h </w:instrText>
      </w:r>
      <w:r w:rsidR="00F51885" w:rsidRPr="00484AE9">
        <w:fldChar w:fldCharType="separate"/>
      </w:r>
      <w:r w:rsidR="00872657">
        <w:t>7.9</w:t>
      </w:r>
      <w:r w:rsidR="00F51885" w:rsidRPr="00484AE9">
        <w:fldChar w:fldCharType="end"/>
      </w:r>
      <w:r w:rsidR="00FC25D0" w:rsidRPr="00484AE9">
        <w:t>, the treatment effect of nirmatrelvir and ritonavir in practice appeared to be less than what was expected at the time it was recommended for inclusion on the PBS based on the results of EPIC-HR</w:t>
      </w:r>
      <w:r w:rsidR="00F51885" w:rsidRPr="00484AE9">
        <w:t>.</w:t>
      </w:r>
    </w:p>
    <w:p w14:paraId="772CE183" w14:textId="2C0F2A93" w:rsidR="00252B67" w:rsidRPr="00484AE9" w:rsidRDefault="00252B67" w:rsidP="00252B67">
      <w:pPr>
        <w:pStyle w:val="3-BodyText"/>
        <w:rPr>
          <w:rStyle w:val="normaltextrun"/>
        </w:rPr>
      </w:pPr>
      <w:bookmarkStart w:id="191" w:name="_Ref150975267"/>
      <w:bookmarkStart w:id="192" w:name="_Ref152595896"/>
      <w:r w:rsidRPr="00484AE9">
        <w:rPr>
          <w:rStyle w:val="normaltextrun"/>
          <w:iCs/>
        </w:rPr>
        <w:t>The P</w:t>
      </w:r>
      <w:r w:rsidRPr="00484AE9">
        <w:t xml:space="preserve">BAC agreed with the ESC that the single study by </w:t>
      </w:r>
      <w:r w:rsidRPr="00484AE9">
        <w:rPr>
          <w:rStyle w:val="normaltextrun"/>
          <w:iCs/>
        </w:rPr>
        <w:t xml:space="preserve">Xie et al did not justify </w:t>
      </w:r>
      <w:r w:rsidRPr="00484AE9">
        <w:rPr>
          <w:rStyle w:val="normaltextrun"/>
        </w:rPr>
        <w:t>an assumption of a reduced incidence of long COVID following treatment in the economic evaluation</w:t>
      </w:r>
      <w:bookmarkEnd w:id="191"/>
      <w:r w:rsidR="00A62B3A" w:rsidRPr="00484AE9">
        <w:rPr>
          <w:rStyle w:val="normaltextrun"/>
        </w:rPr>
        <w:t>.</w:t>
      </w:r>
      <w:bookmarkEnd w:id="192"/>
      <w:r w:rsidR="00A62B3A" w:rsidRPr="00484AE9">
        <w:rPr>
          <w:rStyle w:val="normaltextrun"/>
        </w:rPr>
        <w:t xml:space="preserve"> </w:t>
      </w:r>
    </w:p>
    <w:p w14:paraId="0F43F016" w14:textId="5B5F3EB4" w:rsidR="00EB4708" w:rsidRPr="00484AE9" w:rsidRDefault="00453921" w:rsidP="003E6A65">
      <w:pPr>
        <w:pStyle w:val="3-BodyText"/>
        <w:widowControl w:val="0"/>
      </w:pPr>
      <w:r w:rsidRPr="00484AE9">
        <w:t>The PBAC noted the uncertainties in the submission’s economic evaluation described by the ESC (paragraphs</w:t>
      </w:r>
      <w:r w:rsidR="009C4E84" w:rsidRPr="00484AE9">
        <w:t xml:space="preserve"> </w:t>
      </w:r>
      <w:r w:rsidR="009C4E84" w:rsidRPr="00484AE9">
        <w:fldChar w:fldCharType="begin"/>
      </w:r>
      <w:r w:rsidR="009C4E84" w:rsidRPr="00484AE9">
        <w:instrText xml:space="preserve"> REF _Ref151037622 \r \h </w:instrText>
      </w:r>
      <w:r w:rsidR="009C4E84" w:rsidRPr="00484AE9">
        <w:fldChar w:fldCharType="separate"/>
      </w:r>
      <w:r w:rsidR="00872657">
        <w:t>6.76</w:t>
      </w:r>
      <w:r w:rsidR="009C4E84" w:rsidRPr="00484AE9">
        <w:fldChar w:fldCharType="end"/>
      </w:r>
      <w:r w:rsidR="009C4E84" w:rsidRPr="00484AE9">
        <w:t xml:space="preserve"> to </w:t>
      </w:r>
      <w:r w:rsidR="009C4E84" w:rsidRPr="00484AE9">
        <w:fldChar w:fldCharType="begin"/>
      </w:r>
      <w:r w:rsidR="009C4E84" w:rsidRPr="00484AE9">
        <w:instrText xml:space="preserve"> REF _Ref151037631 \r \h </w:instrText>
      </w:r>
      <w:r w:rsidR="009C4E84" w:rsidRPr="00484AE9">
        <w:fldChar w:fldCharType="separate"/>
      </w:r>
      <w:r w:rsidR="00872657">
        <w:t>6.79</w:t>
      </w:r>
      <w:r w:rsidR="009C4E84" w:rsidRPr="00484AE9">
        <w:fldChar w:fldCharType="end"/>
      </w:r>
      <w:r w:rsidR="009C4E84" w:rsidRPr="00484AE9">
        <w:t>)</w:t>
      </w:r>
      <w:r w:rsidR="00A62B3A" w:rsidRPr="00484AE9">
        <w:t xml:space="preserve">. </w:t>
      </w:r>
      <w:r w:rsidRPr="00484AE9">
        <w:t>The PBAC considered that the submission did not demonstrate cost-effectiveness due to concerns about the inputs applied in the resubmission’s model</w:t>
      </w:r>
      <w:r w:rsidR="00A62B3A" w:rsidRPr="00484AE9">
        <w:t xml:space="preserve">. </w:t>
      </w:r>
      <w:r w:rsidRPr="00484AE9">
        <w:t xml:space="preserve">However the revised economic analysis based on a simplified model, showed that nirmatrelvir and ritonavir could be considered cost-effective </w:t>
      </w:r>
      <w:r w:rsidR="00042FEF" w:rsidRPr="00484AE9">
        <w:t>i</w:t>
      </w:r>
      <w:r w:rsidR="001622A2" w:rsidRPr="00484AE9">
        <w:t>f</w:t>
      </w:r>
      <w:r w:rsidRPr="00484AE9">
        <w:t xml:space="preserve"> price </w:t>
      </w:r>
      <w:r w:rsidR="001622A2" w:rsidRPr="00484AE9">
        <w:t>w</w:t>
      </w:r>
      <w:r w:rsidR="002C7B44" w:rsidRPr="00484AE9">
        <w:t>ere to be</w:t>
      </w:r>
      <w:r w:rsidR="001622A2" w:rsidRPr="00484AE9">
        <w:t xml:space="preserve"> reduced</w:t>
      </w:r>
      <w:r w:rsidR="002C7B44" w:rsidRPr="00484AE9">
        <w:t xml:space="preserve"> </w:t>
      </w:r>
      <w:r w:rsidRPr="00484AE9">
        <w:t xml:space="preserve">such that the ICER does not exceed $15,000/QALY in any of the patient subgroups </w:t>
      </w:r>
      <w:r w:rsidR="00D46A0C" w:rsidRPr="00484AE9">
        <w:t>(</w:t>
      </w:r>
      <w:r w:rsidR="00D46A0C" w:rsidRPr="00484AE9">
        <w:fldChar w:fldCharType="begin"/>
      </w:r>
      <w:r w:rsidR="00D46A0C" w:rsidRPr="00484AE9">
        <w:instrText xml:space="preserve"> REF _Ref151035145 \h </w:instrText>
      </w:r>
      <w:r w:rsidR="00D46A0C" w:rsidRPr="00484AE9">
        <w:fldChar w:fldCharType="separate"/>
      </w:r>
      <w:r w:rsidR="00872657" w:rsidRPr="00484AE9">
        <w:rPr>
          <w:iCs/>
        </w:rPr>
        <w:t xml:space="preserve">Table </w:t>
      </w:r>
      <w:r w:rsidR="00872657">
        <w:rPr>
          <w:iCs/>
          <w:noProof/>
        </w:rPr>
        <w:t>25</w:t>
      </w:r>
      <w:r w:rsidR="00D46A0C" w:rsidRPr="00484AE9">
        <w:fldChar w:fldCharType="end"/>
      </w:r>
      <w:r w:rsidRPr="00484AE9">
        <w:t>)</w:t>
      </w:r>
      <w:r w:rsidR="00A62B3A" w:rsidRPr="00484AE9">
        <w:t xml:space="preserve">. </w:t>
      </w:r>
      <w:r w:rsidR="00D90AA1" w:rsidRPr="00484AE9">
        <w:t xml:space="preserve">The PBAC noted that </w:t>
      </w:r>
      <w:r w:rsidR="003E6A65" w:rsidRPr="00484AE9">
        <w:t xml:space="preserve">the effective DPMQ required </w:t>
      </w:r>
      <w:r w:rsidR="003E6A65" w:rsidRPr="00484AE9">
        <w:lastRenderedPageBreak/>
        <w:t xml:space="preserve">for each individual population </w:t>
      </w:r>
      <w:r w:rsidR="00D90AA1" w:rsidRPr="00484AE9">
        <w:t>to achieve this ICER threshold in all subgroups</w:t>
      </w:r>
      <w:r w:rsidR="003E6A65" w:rsidRPr="00484AE9">
        <w:t xml:space="preserve"> and the overall weighted DPMQ shown in</w:t>
      </w:r>
      <w:r w:rsidR="00D90AA1" w:rsidRPr="00484AE9">
        <w:t xml:space="preserve"> </w:t>
      </w:r>
      <w:r w:rsidR="00D90AA1" w:rsidRPr="00484AE9">
        <w:fldChar w:fldCharType="begin"/>
      </w:r>
      <w:r w:rsidR="00D90AA1" w:rsidRPr="00484AE9">
        <w:instrText xml:space="preserve"> REF _Ref150005603 \h </w:instrText>
      </w:r>
      <w:r w:rsidR="00D90AA1" w:rsidRPr="00484AE9">
        <w:fldChar w:fldCharType="separate"/>
      </w:r>
      <w:r w:rsidR="00872657" w:rsidRPr="00484AE9">
        <w:t xml:space="preserve">Table </w:t>
      </w:r>
      <w:r w:rsidR="00872657">
        <w:rPr>
          <w:noProof/>
        </w:rPr>
        <w:t>26</w:t>
      </w:r>
      <w:r w:rsidR="00D90AA1" w:rsidRPr="00484AE9">
        <w:fldChar w:fldCharType="end"/>
      </w:r>
      <w:r w:rsidR="00D90AA1" w:rsidRPr="00484AE9">
        <w:t>.</w:t>
      </w:r>
    </w:p>
    <w:p w14:paraId="7840451E" w14:textId="0AD48898" w:rsidR="003E6A65" w:rsidRPr="00484AE9" w:rsidRDefault="00453921" w:rsidP="005E1577">
      <w:pPr>
        <w:pStyle w:val="3-BodyText"/>
        <w:widowControl w:val="0"/>
      </w:pPr>
      <w:bookmarkStart w:id="193" w:name="_Ref152783967"/>
      <w:r w:rsidRPr="00484AE9">
        <w:t xml:space="preserve">Noting the limitations of the data available, the PBAC also </w:t>
      </w:r>
      <w:r w:rsidR="003E6A65" w:rsidRPr="00484AE9">
        <w:t xml:space="preserve">considered </w:t>
      </w:r>
      <w:r w:rsidRPr="00484AE9">
        <w:t xml:space="preserve">the multivariate sensitivity analysis presented in </w:t>
      </w:r>
      <w:r w:rsidR="00D46A0C" w:rsidRPr="00484AE9">
        <w:fldChar w:fldCharType="begin"/>
      </w:r>
      <w:r w:rsidR="00D46A0C" w:rsidRPr="00484AE9">
        <w:instrText xml:space="preserve"> REF _Ref150975488 \h </w:instrText>
      </w:r>
      <w:r w:rsidR="00D46A0C" w:rsidRPr="00484AE9">
        <w:fldChar w:fldCharType="separate"/>
      </w:r>
      <w:r w:rsidR="00872657" w:rsidRPr="00484AE9">
        <w:rPr>
          <w:iCs/>
        </w:rPr>
        <w:t xml:space="preserve">Table </w:t>
      </w:r>
      <w:r w:rsidR="00872657">
        <w:rPr>
          <w:iCs/>
          <w:noProof/>
        </w:rPr>
        <w:t>27</w:t>
      </w:r>
      <w:r w:rsidR="00D46A0C" w:rsidRPr="00484AE9">
        <w:fldChar w:fldCharType="end"/>
      </w:r>
      <w:r w:rsidR="00D46A0C" w:rsidRPr="00484AE9">
        <w:t>.</w:t>
      </w:r>
      <w:r w:rsidR="00F76D9A">
        <w:t xml:space="preserve"> </w:t>
      </w:r>
      <w:r w:rsidR="003E6A65" w:rsidRPr="00484AE9">
        <w:t>The PBAC advised that the more favourable assumptions examined in the MSA were not accepted and did not provide reliable estimates for decision making.</w:t>
      </w:r>
      <w:bookmarkEnd w:id="193"/>
    </w:p>
    <w:p w14:paraId="132E5908" w14:textId="684F8C53" w:rsidR="00D46A0C" w:rsidRPr="00484AE9" w:rsidRDefault="00D46A0C" w:rsidP="00F561CC">
      <w:pPr>
        <w:pStyle w:val="3-BodyText"/>
        <w:widowControl w:val="0"/>
      </w:pPr>
      <w:bookmarkStart w:id="194" w:name="_Ref151037795"/>
      <w:bookmarkStart w:id="195" w:name="_Ref150944062"/>
      <w:r w:rsidRPr="00484AE9">
        <w:t xml:space="preserve">In the context of the </w:t>
      </w:r>
      <w:r w:rsidR="008569F2" w:rsidRPr="00484AE9">
        <w:t xml:space="preserve">recommended </w:t>
      </w:r>
      <w:r w:rsidRPr="00484AE9">
        <w:t>changes to the restriction that remove access for patients aged 50-69</w:t>
      </w:r>
      <w:r w:rsidR="008569F2" w:rsidRPr="00484AE9">
        <w:t xml:space="preserve"> with </w:t>
      </w:r>
      <w:r w:rsidR="009D386E" w:rsidRPr="00484AE9">
        <w:t xml:space="preserve">only </w:t>
      </w:r>
      <w:r w:rsidR="008569F2" w:rsidRPr="00484AE9">
        <w:t xml:space="preserve">one </w:t>
      </w:r>
      <w:r w:rsidR="009D386E" w:rsidRPr="00484AE9">
        <w:t xml:space="preserve">additional </w:t>
      </w:r>
      <w:r w:rsidR="008569F2" w:rsidRPr="00484AE9">
        <w:t>risk factor</w:t>
      </w:r>
      <w:r w:rsidRPr="00484AE9">
        <w:t xml:space="preserve"> (see paragraph </w:t>
      </w:r>
      <w:r w:rsidRPr="00484AE9">
        <w:rPr>
          <w:highlight w:val="yellow"/>
        </w:rPr>
        <w:fldChar w:fldCharType="begin"/>
      </w:r>
      <w:r w:rsidRPr="00484AE9">
        <w:instrText xml:space="preserve"> REF _Ref151035294 \r \h </w:instrText>
      </w:r>
      <w:r w:rsidRPr="00484AE9">
        <w:rPr>
          <w:highlight w:val="yellow"/>
        </w:rPr>
      </w:r>
      <w:r w:rsidRPr="00484AE9">
        <w:rPr>
          <w:highlight w:val="yellow"/>
        </w:rPr>
        <w:fldChar w:fldCharType="separate"/>
      </w:r>
      <w:r w:rsidR="00872657">
        <w:t>7.5</w:t>
      </w:r>
      <w:r w:rsidRPr="00484AE9">
        <w:rPr>
          <w:highlight w:val="yellow"/>
        </w:rPr>
        <w:fldChar w:fldCharType="end"/>
      </w:r>
      <w:r w:rsidRPr="00484AE9">
        <w:t>), the PBAC considered that the proposed restriction would appropriately identify patients at high risk of severe disease requiring hospitalisation</w:t>
      </w:r>
      <w:r w:rsidR="00A62B3A" w:rsidRPr="00484AE9">
        <w:t xml:space="preserve">. </w:t>
      </w:r>
      <w:r w:rsidR="00F561CC" w:rsidRPr="00484AE9">
        <w:t xml:space="preserve">The PBAC considered that consistent with its previous advice, the </w:t>
      </w:r>
      <w:r w:rsidRPr="00484AE9">
        <w:t xml:space="preserve">appropriate use of nirmatrelvir and ritonavir in patients at high risk of severe disease would significantly reduce the risks of hospitalisation and death from COVID-19 (meta-analyses conducted during the evaluation, refer </w:t>
      </w:r>
      <w:r w:rsidRPr="00484AE9">
        <w:fldChar w:fldCharType="begin"/>
      </w:r>
      <w:r w:rsidRPr="00484AE9">
        <w:instrText xml:space="preserve"> REF _Ref148447861 \h </w:instrText>
      </w:r>
      <w:r w:rsidRPr="00484AE9">
        <w:fldChar w:fldCharType="separate"/>
      </w:r>
      <w:r w:rsidR="00872657" w:rsidRPr="00484AE9">
        <w:t xml:space="preserve">Figure </w:t>
      </w:r>
      <w:r w:rsidR="00872657">
        <w:rPr>
          <w:noProof/>
        </w:rPr>
        <w:t>4</w:t>
      </w:r>
      <w:r w:rsidRPr="00484AE9">
        <w:fldChar w:fldCharType="end"/>
      </w:r>
      <w:r w:rsidRPr="00484AE9">
        <w:t xml:space="preserve"> to </w:t>
      </w:r>
      <w:r w:rsidRPr="00484AE9">
        <w:fldChar w:fldCharType="begin"/>
      </w:r>
      <w:r w:rsidRPr="00484AE9">
        <w:instrText xml:space="preserve"> REF _Ref150951731 \h </w:instrText>
      </w:r>
      <w:r w:rsidRPr="00484AE9">
        <w:fldChar w:fldCharType="separate"/>
      </w:r>
      <w:r w:rsidR="00872657" w:rsidRPr="00484AE9">
        <w:rPr>
          <w:iCs/>
        </w:rPr>
        <w:t xml:space="preserve">Figure </w:t>
      </w:r>
      <w:r w:rsidR="00872657">
        <w:rPr>
          <w:iCs/>
          <w:noProof/>
        </w:rPr>
        <w:t>7</w:t>
      </w:r>
      <w:r w:rsidRPr="00484AE9">
        <w:fldChar w:fldCharType="end"/>
      </w:r>
      <w:r w:rsidRPr="00484AE9">
        <w:t>)</w:t>
      </w:r>
      <w:r w:rsidR="00F561CC" w:rsidRPr="00484AE9">
        <w:t xml:space="preserve">, however the magnitude of benefit was uncertain given that the treatment effect of nirmatrelvir and ritonavir in practice appeared to be less than the results of EPIC-HR (see paragraph </w:t>
      </w:r>
      <w:r w:rsidR="00F561CC" w:rsidRPr="00484AE9">
        <w:fldChar w:fldCharType="begin"/>
      </w:r>
      <w:r w:rsidR="00F561CC" w:rsidRPr="00484AE9">
        <w:instrText xml:space="preserve"> REF _Ref150978469 \r \h  \* MERGEFORMAT </w:instrText>
      </w:r>
      <w:r w:rsidR="00F561CC" w:rsidRPr="00484AE9">
        <w:fldChar w:fldCharType="separate"/>
      </w:r>
      <w:r w:rsidR="00872657">
        <w:t>6.25</w:t>
      </w:r>
      <w:r w:rsidR="00F561CC" w:rsidRPr="00484AE9">
        <w:fldChar w:fldCharType="end"/>
      </w:r>
      <w:r w:rsidR="00F561CC" w:rsidRPr="00484AE9">
        <w:t>).</w:t>
      </w:r>
      <w:bookmarkEnd w:id="194"/>
    </w:p>
    <w:p w14:paraId="4DCD2C11" w14:textId="21D2273E" w:rsidR="003C4658" w:rsidRPr="00484AE9" w:rsidRDefault="0079120B" w:rsidP="00354887">
      <w:pPr>
        <w:pStyle w:val="3-BodyText"/>
        <w:widowControl w:val="0"/>
      </w:pPr>
      <w:r w:rsidRPr="00484AE9">
        <w:t xml:space="preserve">The PBAC advised that </w:t>
      </w:r>
      <w:r w:rsidR="003C4658" w:rsidRPr="00484AE9">
        <w:t>a price increase was not justified by the evidence presented in the submission due to the concerns outlined in paragraphs</w:t>
      </w:r>
      <w:r w:rsidR="009C4E84" w:rsidRPr="00484AE9">
        <w:t xml:space="preserve"> </w:t>
      </w:r>
      <w:r w:rsidR="00907260" w:rsidRPr="00484AE9">
        <w:fldChar w:fldCharType="begin"/>
      </w:r>
      <w:r w:rsidR="00907260" w:rsidRPr="00484AE9">
        <w:instrText xml:space="preserve"> REF _Ref152595449 \r \h </w:instrText>
      </w:r>
      <w:r w:rsidR="00907260" w:rsidRPr="00484AE9">
        <w:fldChar w:fldCharType="separate"/>
      </w:r>
      <w:r w:rsidR="00872657">
        <w:t>7.9</w:t>
      </w:r>
      <w:r w:rsidR="00907260" w:rsidRPr="00484AE9">
        <w:fldChar w:fldCharType="end"/>
      </w:r>
      <w:r w:rsidR="00907260" w:rsidRPr="00484AE9">
        <w:t xml:space="preserve"> to </w:t>
      </w:r>
      <w:r w:rsidR="00907260" w:rsidRPr="00484AE9">
        <w:fldChar w:fldCharType="begin"/>
      </w:r>
      <w:r w:rsidR="00907260" w:rsidRPr="00484AE9">
        <w:instrText xml:space="preserve"> REF _Ref152595896 \r \h </w:instrText>
      </w:r>
      <w:r w:rsidR="00907260" w:rsidRPr="00484AE9">
        <w:fldChar w:fldCharType="separate"/>
      </w:r>
      <w:r w:rsidR="00872657">
        <w:t>7.16</w:t>
      </w:r>
      <w:r w:rsidR="00907260" w:rsidRPr="00484AE9">
        <w:fldChar w:fldCharType="end"/>
      </w:r>
      <w:r w:rsidRPr="00484AE9">
        <w:t xml:space="preserve"> </w:t>
      </w:r>
      <w:r w:rsidR="003C4658" w:rsidRPr="00484AE9">
        <w:t xml:space="preserve">and therefore the PBAC advised that it did not support a price higher than the current DPMQ </w:t>
      </w:r>
      <w:r w:rsidR="003C4658" w:rsidRPr="00167A69">
        <w:t>($1,114.84</w:t>
      </w:r>
      <w:r w:rsidR="003C4658" w:rsidRPr="00484AE9">
        <w:t>) for nirmatrelvir and ritonavir</w:t>
      </w:r>
      <w:r w:rsidR="00252B67" w:rsidRPr="00484AE9">
        <w:t>.</w:t>
      </w:r>
    </w:p>
    <w:p w14:paraId="042EA88F" w14:textId="49057514" w:rsidR="002C4DEE" w:rsidRPr="00484AE9" w:rsidRDefault="002C4DEE" w:rsidP="002C4DEE">
      <w:pPr>
        <w:pStyle w:val="3-BodyText"/>
        <w:widowControl w:val="0"/>
      </w:pPr>
      <w:bookmarkStart w:id="196" w:name="_Ref151039818"/>
      <w:bookmarkEnd w:id="187"/>
      <w:bookmarkEnd w:id="195"/>
      <w:r w:rsidRPr="00484AE9">
        <w:t xml:space="preserve">The PBAC advised that on the basis of the revised economic evaluation, a price reduction is necessary to demonstrate cost-effectiveness based on an indicative ICER </w:t>
      </w:r>
      <w:r w:rsidRPr="00167A69">
        <w:t>of $15,000</w:t>
      </w:r>
      <w:r w:rsidRPr="00484AE9">
        <w:t>/QALY</w:t>
      </w:r>
      <w:r w:rsidR="00A62B3A" w:rsidRPr="00484AE9">
        <w:t xml:space="preserve">. </w:t>
      </w:r>
      <w:r w:rsidRPr="00484AE9">
        <w:t xml:space="preserve">On this basis, the PBAC recommended that a price reduction in the order of </w:t>
      </w:r>
      <w:r w:rsidR="00574582">
        <w:t xml:space="preserve"> </w:t>
      </w:r>
      <w:r w:rsidR="00574582" w:rsidRPr="00872657">
        <w:rPr>
          <w:color w:val="000000"/>
          <w:w w:val="15"/>
          <w:shd w:val="solid" w:color="000000" w:fill="000000"/>
          <w:fitText w:val="-20" w:id="-1026309888"/>
          <w14:textFill>
            <w14:solidFill>
              <w14:srgbClr w14:val="000000">
                <w14:alpha w14:val="100000"/>
              </w14:srgbClr>
            </w14:solidFill>
          </w14:textFill>
        </w:rPr>
        <w:t xml:space="preserve">|  </w:t>
      </w:r>
      <w:r w:rsidR="00574582" w:rsidRPr="00872657">
        <w:rPr>
          <w:color w:val="000000"/>
          <w:spacing w:val="-69"/>
          <w:w w:val="15"/>
          <w:shd w:val="solid" w:color="000000" w:fill="000000"/>
          <w:fitText w:val="-20" w:id="-1026309888"/>
          <w14:textFill>
            <w14:solidFill>
              <w14:srgbClr w14:val="000000">
                <w14:alpha w14:val="100000"/>
              </w14:srgbClr>
            </w14:solidFill>
          </w14:textFill>
        </w:rPr>
        <w:t>|</w:t>
      </w:r>
      <w:r w:rsidR="003E7ED6" w:rsidRPr="00484AE9">
        <w:t xml:space="preserve">% </w:t>
      </w:r>
      <w:r w:rsidRPr="00484AE9">
        <w:t xml:space="preserve">to </w:t>
      </w:r>
      <w:r w:rsidR="00574582">
        <w:t xml:space="preserve"> </w:t>
      </w:r>
      <w:r w:rsidR="00574582" w:rsidRPr="00872657">
        <w:rPr>
          <w:color w:val="000000"/>
          <w:w w:val="15"/>
          <w:shd w:val="solid" w:color="000000" w:fill="000000"/>
          <w:fitText w:val="-20" w:id="-1026309887"/>
          <w14:textFill>
            <w14:solidFill>
              <w14:srgbClr w14:val="000000">
                <w14:alpha w14:val="100000"/>
              </w14:srgbClr>
            </w14:solidFill>
          </w14:textFill>
        </w:rPr>
        <w:t xml:space="preserve">|  </w:t>
      </w:r>
      <w:r w:rsidR="00574582" w:rsidRPr="00872657">
        <w:rPr>
          <w:color w:val="000000"/>
          <w:spacing w:val="-69"/>
          <w:w w:val="15"/>
          <w:shd w:val="solid" w:color="000000" w:fill="000000"/>
          <w:fitText w:val="-20" w:id="-1026309887"/>
          <w14:textFill>
            <w14:solidFill>
              <w14:srgbClr w14:val="000000">
                <w14:alpha w14:val="100000"/>
              </w14:srgbClr>
            </w14:solidFill>
          </w14:textFill>
        </w:rPr>
        <w:t>|</w:t>
      </w:r>
      <w:r w:rsidRPr="00484AE9">
        <w:t xml:space="preserve">% </w:t>
      </w:r>
      <w:r w:rsidR="00584384" w:rsidRPr="00484AE9">
        <w:t xml:space="preserve">from the current DPMQ </w:t>
      </w:r>
      <w:r w:rsidRPr="00484AE9">
        <w:t>would be required for nirmatrelvir and ritonavir (</w:t>
      </w:r>
      <w:r w:rsidRPr="00484AE9">
        <w:fldChar w:fldCharType="begin"/>
      </w:r>
      <w:r w:rsidRPr="00484AE9">
        <w:instrText xml:space="preserve"> REF _Ref151035145 \h </w:instrText>
      </w:r>
      <w:r w:rsidRPr="00484AE9">
        <w:fldChar w:fldCharType="separate"/>
      </w:r>
      <w:r w:rsidR="00872657" w:rsidRPr="00484AE9">
        <w:rPr>
          <w:iCs/>
        </w:rPr>
        <w:t xml:space="preserve">Table </w:t>
      </w:r>
      <w:r w:rsidR="00872657">
        <w:rPr>
          <w:iCs/>
          <w:noProof/>
        </w:rPr>
        <w:t>25</w:t>
      </w:r>
      <w:r w:rsidRPr="00484AE9">
        <w:fldChar w:fldCharType="end"/>
      </w:r>
      <w:r w:rsidRPr="00484AE9">
        <w:t>).</w:t>
      </w:r>
      <w:bookmarkEnd w:id="196"/>
      <w:r w:rsidR="00A66C9F" w:rsidRPr="00484AE9">
        <w:t xml:space="preserve"> </w:t>
      </w:r>
    </w:p>
    <w:p w14:paraId="5E64D615" w14:textId="74CBEBC9" w:rsidR="002C4DEE" w:rsidRPr="00484AE9" w:rsidRDefault="00590858" w:rsidP="009903B6">
      <w:pPr>
        <w:pStyle w:val="3-BodyText"/>
        <w:widowControl w:val="0"/>
      </w:pPr>
      <w:r w:rsidRPr="00484AE9">
        <w:rPr>
          <w:rStyle w:val="normaltextrun"/>
        </w:rPr>
        <w:t>The PBAC noted the submission had a</w:t>
      </w:r>
      <w:r w:rsidRPr="00484AE9">
        <w:t>ssumed similar rates of COVID-19 and similar rates of use of antivirals for COVID-19 as has occurred in the past, which likely over-estimated costs in the short-term, although this was unclear over the medium term</w:t>
      </w:r>
      <w:r w:rsidR="00A62B3A" w:rsidRPr="00484AE9">
        <w:t xml:space="preserve">. </w:t>
      </w:r>
      <w:r w:rsidRPr="00484AE9">
        <w:t>The submission assumed market the share of nirmatrelvir and ritonavir would increase from</w:t>
      </w:r>
      <w:r w:rsidR="00696519" w:rsidRPr="00696519">
        <w:t xml:space="preserve"> </w:t>
      </w:r>
      <w:r w:rsidR="00696519" w:rsidRPr="00872657">
        <w:rPr>
          <w:color w:val="000000"/>
          <w:w w:val="15"/>
          <w:shd w:val="solid" w:color="000000" w:fill="000000"/>
          <w:fitText w:val="-20" w:id="-1032088565"/>
          <w14:textFill>
            <w14:solidFill>
              <w14:srgbClr w14:val="000000">
                <w14:alpha w14:val="100000"/>
              </w14:srgbClr>
            </w14:solidFill>
          </w14:textFill>
        </w:rPr>
        <w:t xml:space="preserve">| </w:t>
      </w:r>
      <w:r w:rsidR="00696519" w:rsidRPr="00872657">
        <w:rPr>
          <w:color w:val="000000"/>
          <w:spacing w:val="-61"/>
          <w:w w:val="15"/>
          <w:shd w:val="solid" w:color="000000" w:fill="000000"/>
          <w:fitText w:val="-20" w:id="-1032088565"/>
          <w14:textFill>
            <w14:solidFill>
              <w14:srgbClr w14:val="000000">
                <w14:alpha w14:val="100000"/>
              </w14:srgbClr>
            </w14:solidFill>
          </w14:textFill>
        </w:rPr>
        <w:t>|</w:t>
      </w:r>
      <w:r w:rsidRPr="00484AE9">
        <w:t>% to</w:t>
      </w:r>
      <w:r w:rsidR="00696519" w:rsidRPr="00696519">
        <w:t xml:space="preserve"> </w:t>
      </w:r>
      <w:r w:rsidR="00696519" w:rsidRPr="00872657">
        <w:rPr>
          <w:color w:val="000000"/>
          <w:w w:val="15"/>
          <w:shd w:val="solid" w:color="000000" w:fill="000000"/>
          <w:fitText w:val="-20" w:id="-1032088564"/>
          <w14:textFill>
            <w14:solidFill>
              <w14:srgbClr w14:val="000000">
                <w14:alpha w14:val="100000"/>
              </w14:srgbClr>
            </w14:solidFill>
          </w14:textFill>
        </w:rPr>
        <w:t xml:space="preserve">| </w:t>
      </w:r>
      <w:r w:rsidR="00696519" w:rsidRPr="00872657">
        <w:rPr>
          <w:color w:val="000000"/>
          <w:spacing w:val="-61"/>
          <w:w w:val="15"/>
          <w:shd w:val="solid" w:color="000000" w:fill="000000"/>
          <w:fitText w:val="-20" w:id="-1032088564"/>
          <w14:textFill>
            <w14:solidFill>
              <w14:srgbClr w14:val="000000">
                <w14:alpha w14:val="100000"/>
              </w14:srgbClr>
            </w14:solidFill>
          </w14:textFill>
        </w:rPr>
        <w:t>|</w:t>
      </w:r>
      <w:r w:rsidRPr="00484AE9">
        <w:t>% by 2027, which was likely to result in the financial estimates being overestimated</w:t>
      </w:r>
      <w:r w:rsidR="0081126C" w:rsidRPr="00484AE9">
        <w:t>.</w:t>
      </w:r>
      <w:r w:rsidR="002C4DEE" w:rsidRPr="00484AE9">
        <w:t xml:space="preserve"> The PBAC considered the </w:t>
      </w:r>
      <w:r w:rsidR="002C4DEE" w:rsidRPr="00484AE9">
        <w:rPr>
          <w:iCs/>
        </w:rPr>
        <w:t xml:space="preserve">current market share of nirmatrelvir and ritonavir of approximately 40% to be an underestimate of the achievable proportion, however considered that peak market share for nirmatrelvir and ritonavir was unlikely to exceed 70%, and it would take time to </w:t>
      </w:r>
      <w:r w:rsidR="002C4DEE" w:rsidRPr="00484AE9">
        <w:t>see this adjustment</w:t>
      </w:r>
      <w:r w:rsidR="00A62B3A" w:rsidRPr="00484AE9">
        <w:t xml:space="preserve">. </w:t>
      </w:r>
      <w:r w:rsidR="002C4DEE" w:rsidRPr="00484AE9">
        <w:t xml:space="preserve">The PBAC noted published studies reported that approximately 15% of the population had a possible contraindication to nirmatrelvir and ritonavir (paragraph </w:t>
      </w:r>
      <w:r w:rsidR="002C4DEE" w:rsidRPr="00484AE9">
        <w:fldChar w:fldCharType="begin"/>
      </w:r>
      <w:r w:rsidR="002C4DEE" w:rsidRPr="00484AE9">
        <w:instrText xml:space="preserve"> REF _Ref151039330 \r \h </w:instrText>
      </w:r>
      <w:r w:rsidR="0080311A" w:rsidRPr="00484AE9">
        <w:instrText xml:space="preserve"> \* MERGEFORMAT </w:instrText>
      </w:r>
      <w:r w:rsidR="002C4DEE" w:rsidRPr="00484AE9">
        <w:fldChar w:fldCharType="separate"/>
      </w:r>
      <w:r w:rsidR="00872657">
        <w:t>4.5</w:t>
      </w:r>
      <w:r w:rsidR="002C4DEE" w:rsidRPr="00484AE9">
        <w:fldChar w:fldCharType="end"/>
      </w:r>
      <w:r w:rsidR="002C4DEE" w:rsidRPr="00484AE9">
        <w:t>).</w:t>
      </w:r>
      <w:r w:rsidR="00F76D9A">
        <w:t xml:space="preserve"> </w:t>
      </w:r>
      <w:r w:rsidR="005110AE" w:rsidRPr="00484AE9">
        <w:t>The PBAC noted that the market share for nirmatrelvir and ritonavir may be impacted by its advice in relation to molnupiravir at the November 2023 meeting.</w:t>
      </w:r>
    </w:p>
    <w:p w14:paraId="7C0AC861" w14:textId="46813175" w:rsidR="00390317" w:rsidRPr="00484AE9" w:rsidRDefault="00390317" w:rsidP="00390317">
      <w:pPr>
        <w:widowControl w:val="0"/>
        <w:numPr>
          <w:ilvl w:val="1"/>
          <w:numId w:val="1"/>
        </w:numPr>
        <w:spacing w:after="120"/>
        <w:rPr>
          <w:rFonts w:asciiTheme="minorHAnsi" w:hAnsiTheme="minorHAnsi"/>
          <w:snapToGrid w:val="0"/>
        </w:rPr>
      </w:pPr>
      <w:r w:rsidRPr="00484AE9">
        <w:rPr>
          <w:rFonts w:asciiTheme="minorHAnsi" w:hAnsiTheme="minorHAnsi"/>
          <w:snapToGrid w:val="0"/>
        </w:rPr>
        <w:t xml:space="preserve">The PBAC noted that the estimated utilisation and financial estimates were uncertain, and dependent on future patterns of antiviral usage and relative usage of nirmatrelvir and ritonavir compared with the alternative treatment (molnupiravir). The PBAC </w:t>
      </w:r>
      <w:r w:rsidRPr="00484AE9">
        <w:rPr>
          <w:rFonts w:asciiTheme="minorHAnsi" w:hAnsiTheme="minorHAnsi"/>
          <w:snapToGrid w:val="0"/>
        </w:rPr>
        <w:lastRenderedPageBreak/>
        <w:t>considered that any set of estimates of future expenditure for treatments for COVID 19 will be associated with a high level of uncertainty due to the unknown characteristics of future COVID-19 variants e.g., transmissibility, severity of symptoms and risk of hospitalisation and due to unpredictable developments such as availability of new treatments and vaccines.</w:t>
      </w:r>
    </w:p>
    <w:p w14:paraId="65532F44" w14:textId="0DDB0ED8" w:rsidR="005110AE" w:rsidRPr="00484AE9" w:rsidRDefault="005110AE" w:rsidP="00266844">
      <w:pPr>
        <w:widowControl w:val="0"/>
        <w:numPr>
          <w:ilvl w:val="1"/>
          <w:numId w:val="1"/>
        </w:numPr>
        <w:spacing w:after="120"/>
        <w:rPr>
          <w:rFonts w:asciiTheme="minorHAnsi" w:hAnsiTheme="minorHAnsi"/>
          <w:snapToGrid w:val="0"/>
        </w:rPr>
      </w:pPr>
      <w:r w:rsidRPr="00484AE9">
        <w:t>The PBAC recommended that the sponsor and Department explore initiatives to support the safe and effective use of oral antiviral medicines for COVID-19, consistent with quality use of medicines (QUM) principles.</w:t>
      </w:r>
      <w:r w:rsidR="00F76D9A">
        <w:t xml:space="preserve"> </w:t>
      </w:r>
      <w:r w:rsidRPr="00484AE9">
        <w:rPr>
          <w:rFonts w:asciiTheme="minorHAnsi" w:hAnsiTheme="minorHAnsi"/>
          <w:snapToGrid w:val="0"/>
        </w:rPr>
        <w:t xml:space="preserve">The PBAC noted that clinical considerations may include </w:t>
      </w:r>
      <w:r w:rsidRPr="00484AE9">
        <w:t>selecting the best option from the range available taking into account the clinical condition, risks and benefits for the patient, their co</w:t>
      </w:r>
      <w:r w:rsidRPr="00484AE9">
        <w:noBreakHyphen/>
        <w:t xml:space="preserve">morbidities, other therapies and monitoring considerations. </w:t>
      </w:r>
    </w:p>
    <w:p w14:paraId="557CB405" w14:textId="1F42EA79" w:rsidR="00234300" w:rsidRPr="00484AE9" w:rsidRDefault="00234300" w:rsidP="00234300">
      <w:pPr>
        <w:pStyle w:val="3-BodyText"/>
      </w:pPr>
      <w:bookmarkStart w:id="197" w:name="_Ref150961211"/>
      <w:r w:rsidRPr="00484AE9">
        <w:t xml:space="preserve">In view of the uncertain financial estimates, the PBAC considered that the listing of </w:t>
      </w:r>
      <w:r w:rsidR="00093F02" w:rsidRPr="00484AE9">
        <w:t>nirmatrelvir and ritonavir</w:t>
      </w:r>
      <w:r w:rsidRPr="00484AE9">
        <w:t xml:space="preserve"> should be considered again after 3 years</w:t>
      </w:r>
      <w:r w:rsidR="00A62B3A" w:rsidRPr="00484AE9">
        <w:t xml:space="preserve">. </w:t>
      </w:r>
      <w:r w:rsidRPr="00484AE9">
        <w:t>The PBAC requested that the DUSC conduct a review of OAV utilisation for PBAC consideration in July 2026</w:t>
      </w:r>
      <w:r w:rsidR="00A62B3A" w:rsidRPr="00484AE9">
        <w:t xml:space="preserve">. </w:t>
      </w:r>
      <w:r w:rsidRPr="00484AE9">
        <w:t>The PBAC requested that the sponsor provide a</w:t>
      </w:r>
      <w:r w:rsidRPr="00484AE9">
        <w:rPr>
          <w:iCs/>
        </w:rPr>
        <w:t xml:space="preserve">n update on the effectiveness, safety and cost-effectiveness of </w:t>
      </w:r>
      <w:r w:rsidR="00093F02" w:rsidRPr="00484AE9">
        <w:rPr>
          <w:iCs/>
        </w:rPr>
        <w:t>nirmatrelvir and ritonavir</w:t>
      </w:r>
      <w:r w:rsidRPr="00484AE9">
        <w:rPr>
          <w:iCs/>
        </w:rPr>
        <w:t xml:space="preserve"> alongside the abovementioned DUSC review to support the PBAC consideration in July 2026.</w:t>
      </w:r>
      <w:bookmarkEnd w:id="197"/>
    </w:p>
    <w:p w14:paraId="34B12B9B" w14:textId="3786FF4B" w:rsidR="00234300" w:rsidRPr="00484AE9" w:rsidRDefault="00234300" w:rsidP="00234300">
      <w:pPr>
        <w:pStyle w:val="3-BodyText"/>
      </w:pPr>
      <w:r w:rsidRPr="00484AE9">
        <w:t xml:space="preserve">The PBAC noted that the opportunity cost of expenditure on oral antivirals is substantial, given that current expenditure on these agents currently accounts for 5% of the total PBS budget (before rebates). This significant allocation of resources to oral antivirals for </w:t>
      </w:r>
      <w:r w:rsidRPr="00484AE9">
        <w:rPr>
          <w:rStyle w:val="normaltextrun"/>
        </w:rPr>
        <w:t>COVID</w:t>
      </w:r>
      <w:r w:rsidRPr="00484AE9">
        <w:rPr>
          <w:rStyle w:val="normaltextrun"/>
        </w:rPr>
        <w:noBreakHyphen/>
        <w:t>19</w:t>
      </w:r>
      <w:r w:rsidRPr="00484AE9">
        <w:t xml:space="preserve"> has the potential to limit the ability of the government to fund other potentially beneficial treatments</w:t>
      </w:r>
      <w:r w:rsidR="002C4DEE" w:rsidRPr="00484AE9">
        <w:t xml:space="preserve"> (Molnupiravir Public Summary Document, July</w:t>
      </w:r>
      <w:r w:rsidR="00F76D9A">
        <w:t xml:space="preserve"> </w:t>
      </w:r>
      <w:r w:rsidR="002C4DEE" w:rsidRPr="00484AE9">
        <w:t>2023 meeting, paragraph 6.83)</w:t>
      </w:r>
      <w:r w:rsidRPr="00484AE9">
        <w:t>.</w:t>
      </w:r>
    </w:p>
    <w:p w14:paraId="05FF7532" w14:textId="79834306" w:rsidR="003F4CE6" w:rsidRPr="00484AE9" w:rsidRDefault="003F4CE6" w:rsidP="003F4CE6">
      <w:pPr>
        <w:pStyle w:val="3-BodyText"/>
      </w:pPr>
      <w:r w:rsidRPr="00484AE9">
        <w:t xml:space="preserve">The PBAC noted that this submission is not eligible for an Independent Review as it was not seeking an additional indication for </w:t>
      </w:r>
      <w:r w:rsidR="00093F02" w:rsidRPr="00484AE9">
        <w:t>nirmatrelvir and ritonavir</w:t>
      </w:r>
      <w:r w:rsidRPr="00484AE9">
        <w:t xml:space="preserve"> on the PBS.</w:t>
      </w:r>
    </w:p>
    <w:p w14:paraId="7616E3B4" w14:textId="77777777" w:rsidR="0098229C" w:rsidRPr="00484AE9" w:rsidRDefault="0098229C" w:rsidP="0098229C">
      <w:pPr>
        <w:spacing w:before="240"/>
        <w:rPr>
          <w:rFonts w:asciiTheme="minorHAnsi" w:hAnsiTheme="minorHAnsi"/>
          <w:b/>
        </w:rPr>
      </w:pPr>
      <w:r w:rsidRPr="00484AE9">
        <w:rPr>
          <w:rFonts w:asciiTheme="minorHAnsi" w:hAnsiTheme="minorHAnsi"/>
          <w:b/>
        </w:rPr>
        <w:t>Outcome:</w:t>
      </w:r>
    </w:p>
    <w:p w14:paraId="672A6B0C" w14:textId="77777777" w:rsidR="0098229C" w:rsidRPr="00484AE9" w:rsidRDefault="0098229C" w:rsidP="0098229C">
      <w:pPr>
        <w:rPr>
          <w:rFonts w:asciiTheme="minorHAnsi" w:hAnsiTheme="minorHAnsi"/>
        </w:rPr>
      </w:pPr>
      <w:r w:rsidRPr="00484AE9">
        <w:rPr>
          <w:rFonts w:asciiTheme="minorHAnsi" w:hAnsiTheme="minorHAnsi"/>
        </w:rPr>
        <w:t>Advice Provided</w:t>
      </w:r>
    </w:p>
    <w:bookmarkEnd w:id="178"/>
    <w:p w14:paraId="7C1F23C9" w14:textId="77777777" w:rsidR="007123ED" w:rsidRPr="00484AE9" w:rsidRDefault="007123ED" w:rsidP="00F30981">
      <w:pPr>
        <w:pStyle w:val="2-SectionHeading"/>
        <w:numPr>
          <w:ilvl w:val="0"/>
          <w:numId w:val="1"/>
        </w:numPr>
      </w:pPr>
      <w:r w:rsidRPr="00484AE9">
        <w:t>Recommended listing</w:t>
      </w:r>
    </w:p>
    <w:p w14:paraId="189A8AF9" w14:textId="77777777" w:rsidR="00445429" w:rsidRDefault="004526A1" w:rsidP="00445429">
      <w:pPr>
        <w:pStyle w:val="3-BodyText"/>
        <w:rPr>
          <w:bCs/>
        </w:rPr>
      </w:pPr>
      <w:r w:rsidRPr="00445429">
        <w:t>A</w:t>
      </w:r>
      <w:r w:rsidR="00445429" w:rsidRPr="00445429">
        <w:t>m</w:t>
      </w:r>
      <w:r w:rsidRPr="00445429">
        <w:t>end</w:t>
      </w:r>
      <w:r w:rsidRPr="00484AE9">
        <w:rPr>
          <w:bCs/>
        </w:rPr>
        <w:t xml:space="preserve"> existing listing </w:t>
      </w:r>
      <w:bookmarkStart w:id="198" w:name="_Hlk150975811"/>
      <w:r w:rsidRPr="00484AE9">
        <w:rPr>
          <w:bCs/>
        </w:rPr>
        <w:t>as follows:</w:t>
      </w:r>
      <w:bookmarkEnd w:id="198"/>
    </w:p>
    <w:p w14:paraId="4ECB9586" w14:textId="217B7740" w:rsidR="004526A1" w:rsidRPr="00445429" w:rsidRDefault="004526A1" w:rsidP="00445429">
      <w:pPr>
        <w:widowControl w:val="0"/>
        <w:spacing w:after="120"/>
        <w:ind w:left="720"/>
        <w:contextualSpacing/>
        <w:rPr>
          <w:rFonts w:asciiTheme="minorHAnsi" w:hAnsiTheme="minorHAnsi"/>
          <w:bCs/>
          <w:snapToGrid w:val="0"/>
        </w:rPr>
      </w:pPr>
      <w:r w:rsidRPr="00445429">
        <w:rPr>
          <w:rFonts w:cstheme="minorHAnsi"/>
          <w:iCs/>
        </w:rPr>
        <w:t>Additions are in italics and deletions are in strikethrough.</w:t>
      </w:r>
    </w:p>
    <w:p w14:paraId="1DD7B0C7" w14:textId="7DF3C37C" w:rsidR="00C81086" w:rsidRPr="00484AE9" w:rsidRDefault="00C81086" w:rsidP="003C1DD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1"/>
        <w:gridCol w:w="1140"/>
        <w:gridCol w:w="1133"/>
        <w:gridCol w:w="1134"/>
        <w:gridCol w:w="2359"/>
      </w:tblGrid>
      <w:tr w:rsidR="00C1762B" w:rsidRPr="00445429" w14:paraId="2D4260A2" w14:textId="77777777" w:rsidTr="00C1762B">
        <w:trPr>
          <w:cantSplit/>
          <w:trHeight w:val="20"/>
        </w:trPr>
        <w:tc>
          <w:tcPr>
            <w:tcW w:w="1803" w:type="pct"/>
            <w:vAlign w:val="center"/>
          </w:tcPr>
          <w:p w14:paraId="0A0C035B" w14:textId="77777777" w:rsidR="00C1762B" w:rsidRPr="00445429" w:rsidRDefault="00C1762B" w:rsidP="00492C5C">
            <w:pPr>
              <w:keepNext/>
              <w:widowControl w:val="0"/>
              <w:rPr>
                <w:rFonts w:ascii="Arial Narrow" w:hAnsi="Arial Narrow"/>
                <w:b/>
                <w:bCs/>
                <w:sz w:val="20"/>
                <w:szCs w:val="20"/>
              </w:rPr>
            </w:pPr>
            <w:r w:rsidRPr="00445429">
              <w:rPr>
                <w:rFonts w:ascii="Arial Narrow" w:hAnsi="Arial Narrow"/>
                <w:b/>
                <w:bCs/>
                <w:sz w:val="20"/>
                <w:szCs w:val="20"/>
              </w:rPr>
              <w:t>MEDICINAL PRODUCT</w:t>
            </w:r>
          </w:p>
          <w:p w14:paraId="603B0376" w14:textId="09E96B4A" w:rsidR="00C1762B" w:rsidRPr="00445429" w:rsidRDefault="00C1762B" w:rsidP="00492C5C">
            <w:pPr>
              <w:pStyle w:val="TableText0"/>
              <w:widowControl w:val="0"/>
              <w:rPr>
                <w:b/>
                <w:bCs w:val="0"/>
                <w:szCs w:val="20"/>
              </w:rPr>
            </w:pPr>
            <w:r w:rsidRPr="00445429">
              <w:rPr>
                <w:b/>
                <w:szCs w:val="20"/>
              </w:rPr>
              <w:t>medicinal product pack</w:t>
            </w:r>
          </w:p>
        </w:tc>
        <w:tc>
          <w:tcPr>
            <w:tcW w:w="632" w:type="pct"/>
            <w:vAlign w:val="center"/>
          </w:tcPr>
          <w:p w14:paraId="5300B968" w14:textId="77777777" w:rsidR="00C1762B" w:rsidRPr="00445429" w:rsidRDefault="00C1762B" w:rsidP="00492C5C">
            <w:pPr>
              <w:keepNext/>
              <w:widowControl w:val="0"/>
              <w:jc w:val="center"/>
              <w:rPr>
                <w:rFonts w:ascii="Arial Narrow" w:hAnsi="Arial Narrow"/>
                <w:b/>
                <w:sz w:val="20"/>
                <w:szCs w:val="20"/>
              </w:rPr>
            </w:pPr>
            <w:r w:rsidRPr="00445429">
              <w:rPr>
                <w:rFonts w:ascii="Arial Narrow" w:hAnsi="Arial Narrow"/>
                <w:b/>
                <w:sz w:val="20"/>
                <w:szCs w:val="20"/>
              </w:rPr>
              <w:t>Max. qty packs</w:t>
            </w:r>
          </w:p>
        </w:tc>
        <w:tc>
          <w:tcPr>
            <w:tcW w:w="628" w:type="pct"/>
            <w:vAlign w:val="center"/>
          </w:tcPr>
          <w:p w14:paraId="5DD5A811" w14:textId="77777777" w:rsidR="00C1762B" w:rsidRPr="00445429" w:rsidRDefault="00C1762B" w:rsidP="00492C5C">
            <w:pPr>
              <w:keepNext/>
              <w:widowControl w:val="0"/>
              <w:jc w:val="center"/>
              <w:rPr>
                <w:rFonts w:ascii="Arial Narrow" w:hAnsi="Arial Narrow"/>
                <w:b/>
                <w:sz w:val="20"/>
                <w:szCs w:val="20"/>
              </w:rPr>
            </w:pPr>
            <w:r w:rsidRPr="00445429">
              <w:rPr>
                <w:rFonts w:ascii="Arial Narrow" w:hAnsi="Arial Narrow"/>
                <w:b/>
                <w:sz w:val="20"/>
                <w:szCs w:val="20"/>
              </w:rPr>
              <w:t>Max. qty units</w:t>
            </w:r>
          </w:p>
        </w:tc>
        <w:tc>
          <w:tcPr>
            <w:tcW w:w="629" w:type="pct"/>
            <w:vAlign w:val="center"/>
          </w:tcPr>
          <w:p w14:paraId="689D737B" w14:textId="77777777" w:rsidR="00C1762B" w:rsidRPr="00445429" w:rsidRDefault="00C1762B" w:rsidP="00492C5C">
            <w:pPr>
              <w:keepNext/>
              <w:widowControl w:val="0"/>
              <w:jc w:val="center"/>
              <w:rPr>
                <w:rFonts w:ascii="Arial Narrow" w:hAnsi="Arial Narrow"/>
                <w:b/>
                <w:sz w:val="20"/>
                <w:szCs w:val="20"/>
              </w:rPr>
            </w:pPr>
            <w:r w:rsidRPr="00445429">
              <w:rPr>
                <w:rFonts w:ascii="Arial Narrow" w:hAnsi="Arial Narrow"/>
                <w:b/>
                <w:sz w:val="20"/>
                <w:szCs w:val="20"/>
              </w:rPr>
              <w:t>№.of</w:t>
            </w:r>
          </w:p>
          <w:p w14:paraId="7B6437AE" w14:textId="77777777" w:rsidR="00C1762B" w:rsidRPr="00445429" w:rsidRDefault="00C1762B" w:rsidP="00492C5C">
            <w:pPr>
              <w:keepNext/>
              <w:widowControl w:val="0"/>
              <w:jc w:val="center"/>
              <w:rPr>
                <w:rFonts w:ascii="Arial Narrow" w:hAnsi="Arial Narrow"/>
                <w:b/>
                <w:sz w:val="20"/>
                <w:szCs w:val="20"/>
              </w:rPr>
            </w:pPr>
            <w:r w:rsidRPr="00445429">
              <w:rPr>
                <w:rFonts w:ascii="Arial Narrow" w:hAnsi="Arial Narrow"/>
                <w:b/>
                <w:sz w:val="20"/>
                <w:szCs w:val="20"/>
              </w:rPr>
              <w:t>Rpts</w:t>
            </w:r>
          </w:p>
        </w:tc>
        <w:tc>
          <w:tcPr>
            <w:tcW w:w="1309" w:type="pct"/>
            <w:vAlign w:val="center"/>
          </w:tcPr>
          <w:p w14:paraId="4EB91408" w14:textId="77777777" w:rsidR="00C1762B" w:rsidRPr="00445429" w:rsidRDefault="00C1762B" w:rsidP="00492C5C">
            <w:pPr>
              <w:keepNext/>
              <w:widowControl w:val="0"/>
              <w:rPr>
                <w:rFonts w:ascii="Arial Narrow" w:hAnsi="Arial Narrow"/>
                <w:b/>
                <w:sz w:val="20"/>
                <w:szCs w:val="20"/>
              </w:rPr>
            </w:pPr>
            <w:r w:rsidRPr="00445429">
              <w:rPr>
                <w:rFonts w:ascii="Arial Narrow" w:hAnsi="Arial Narrow"/>
                <w:b/>
                <w:sz w:val="20"/>
                <w:szCs w:val="20"/>
              </w:rPr>
              <w:t>Available brands</w:t>
            </w:r>
          </w:p>
        </w:tc>
      </w:tr>
      <w:tr w:rsidR="00445429" w:rsidRPr="00445429" w14:paraId="2053A6A9" w14:textId="77777777" w:rsidTr="002E0614">
        <w:trPr>
          <w:cantSplit/>
          <w:trHeight w:val="20"/>
        </w:trPr>
        <w:tc>
          <w:tcPr>
            <w:tcW w:w="5000" w:type="pct"/>
            <w:gridSpan w:val="5"/>
            <w:vAlign w:val="center"/>
          </w:tcPr>
          <w:p w14:paraId="6681E5A4" w14:textId="77777777" w:rsidR="00C81086" w:rsidRPr="00445429" w:rsidRDefault="00C81086" w:rsidP="002E0614">
            <w:pPr>
              <w:pStyle w:val="TableText0"/>
              <w:keepNext w:val="0"/>
              <w:widowControl w:val="0"/>
              <w:rPr>
                <w:rFonts w:cs="Arial"/>
                <w:szCs w:val="20"/>
              </w:rPr>
            </w:pPr>
            <w:r w:rsidRPr="00445429">
              <w:t>NIRMATRELVIR (&amp;) RITONAVIR</w:t>
            </w:r>
          </w:p>
        </w:tc>
      </w:tr>
      <w:tr w:rsidR="00445429" w:rsidRPr="00445429" w14:paraId="1E876DDC" w14:textId="77777777" w:rsidTr="002E0614">
        <w:trPr>
          <w:cantSplit/>
          <w:trHeight w:val="20"/>
        </w:trPr>
        <w:tc>
          <w:tcPr>
            <w:tcW w:w="5000" w:type="pct"/>
            <w:gridSpan w:val="5"/>
            <w:vAlign w:val="center"/>
          </w:tcPr>
          <w:p w14:paraId="442D7251" w14:textId="77777777" w:rsidR="00C81086" w:rsidRPr="00445429" w:rsidRDefault="00C81086" w:rsidP="002E0614">
            <w:pPr>
              <w:pStyle w:val="TableText0"/>
              <w:keepNext w:val="0"/>
              <w:widowControl w:val="0"/>
            </w:pPr>
            <w:r w:rsidRPr="00445429">
              <w:rPr>
                <w:u w:val="single"/>
              </w:rPr>
              <w:t>Authority Required (STREAMLINED</w:t>
            </w:r>
            <w:r w:rsidRPr="00445429">
              <w:t>)</w:t>
            </w:r>
          </w:p>
        </w:tc>
      </w:tr>
      <w:tr w:rsidR="00C1762B" w:rsidRPr="00445429" w14:paraId="774D1337" w14:textId="77777777" w:rsidTr="00F23EA5">
        <w:trPr>
          <w:cantSplit/>
          <w:trHeight w:val="20"/>
        </w:trPr>
        <w:tc>
          <w:tcPr>
            <w:tcW w:w="1803" w:type="pct"/>
            <w:vAlign w:val="center"/>
          </w:tcPr>
          <w:p w14:paraId="0D523BA5" w14:textId="04B11F19" w:rsidR="00C1762B" w:rsidRPr="00445429" w:rsidRDefault="00C1762B" w:rsidP="002E0614">
            <w:pPr>
              <w:pStyle w:val="TableText0"/>
              <w:keepNext w:val="0"/>
              <w:widowControl w:val="0"/>
              <w:jc w:val="center"/>
              <w:rPr>
                <w:szCs w:val="20"/>
              </w:rPr>
            </w:pPr>
            <w:r w:rsidRPr="00445429">
              <w:t>nirmatrelvir 150 mg tablet [4] (&amp;) ritonavir 100 mg tablet [2], 5 x 6</w:t>
            </w:r>
          </w:p>
        </w:tc>
        <w:tc>
          <w:tcPr>
            <w:tcW w:w="632" w:type="pct"/>
            <w:vAlign w:val="center"/>
          </w:tcPr>
          <w:p w14:paraId="26C6F1C6" w14:textId="77777777" w:rsidR="00C1762B" w:rsidRPr="00445429" w:rsidRDefault="00C1762B" w:rsidP="002E0614">
            <w:pPr>
              <w:widowControl w:val="0"/>
              <w:jc w:val="center"/>
              <w:rPr>
                <w:rFonts w:ascii="Arial Narrow" w:hAnsi="Arial Narrow"/>
                <w:sz w:val="20"/>
                <w:szCs w:val="20"/>
              </w:rPr>
            </w:pPr>
            <w:r w:rsidRPr="00445429">
              <w:rPr>
                <w:rFonts w:ascii="Arial Narrow" w:hAnsi="Arial Narrow"/>
                <w:sz w:val="20"/>
              </w:rPr>
              <w:t>1</w:t>
            </w:r>
          </w:p>
        </w:tc>
        <w:tc>
          <w:tcPr>
            <w:tcW w:w="628" w:type="pct"/>
            <w:vAlign w:val="center"/>
          </w:tcPr>
          <w:p w14:paraId="393601B0" w14:textId="77777777" w:rsidR="00C1762B" w:rsidRPr="00445429" w:rsidRDefault="00C1762B" w:rsidP="002E0614">
            <w:pPr>
              <w:widowControl w:val="0"/>
              <w:jc w:val="center"/>
              <w:rPr>
                <w:rFonts w:ascii="Arial Narrow" w:hAnsi="Arial Narrow"/>
                <w:sz w:val="20"/>
                <w:szCs w:val="20"/>
              </w:rPr>
            </w:pPr>
            <w:r w:rsidRPr="00445429">
              <w:rPr>
                <w:rFonts w:ascii="Arial Narrow" w:hAnsi="Arial Narrow"/>
                <w:sz w:val="20"/>
                <w:szCs w:val="20"/>
              </w:rPr>
              <w:t>1</w:t>
            </w:r>
          </w:p>
        </w:tc>
        <w:tc>
          <w:tcPr>
            <w:tcW w:w="629" w:type="pct"/>
            <w:vAlign w:val="center"/>
          </w:tcPr>
          <w:p w14:paraId="67EB7EB9" w14:textId="77777777" w:rsidR="00C1762B" w:rsidRPr="00445429" w:rsidRDefault="00C1762B" w:rsidP="002E0614">
            <w:pPr>
              <w:widowControl w:val="0"/>
              <w:jc w:val="center"/>
              <w:rPr>
                <w:rFonts w:ascii="Arial Narrow" w:hAnsi="Arial Narrow"/>
                <w:sz w:val="20"/>
                <w:szCs w:val="20"/>
              </w:rPr>
            </w:pPr>
            <w:r w:rsidRPr="00445429">
              <w:rPr>
                <w:rFonts w:ascii="Arial Narrow" w:hAnsi="Arial Narrow"/>
                <w:sz w:val="20"/>
              </w:rPr>
              <w:t>0</w:t>
            </w:r>
          </w:p>
        </w:tc>
        <w:tc>
          <w:tcPr>
            <w:tcW w:w="1309" w:type="pct"/>
            <w:vAlign w:val="center"/>
          </w:tcPr>
          <w:p w14:paraId="50696B7A" w14:textId="77777777" w:rsidR="00C1762B" w:rsidRPr="00445429" w:rsidRDefault="00C1762B" w:rsidP="002E0614">
            <w:pPr>
              <w:widowControl w:val="0"/>
              <w:rPr>
                <w:rFonts w:ascii="Arial Narrow" w:hAnsi="Arial Narrow"/>
                <w:sz w:val="20"/>
                <w:szCs w:val="20"/>
              </w:rPr>
            </w:pPr>
            <w:r w:rsidRPr="00445429">
              <w:rPr>
                <w:rFonts w:ascii="Arial Narrow" w:hAnsi="Arial Narrow"/>
                <w:sz w:val="20"/>
                <w:szCs w:val="20"/>
              </w:rPr>
              <w:t>Nirmatrelvir and ritonavir</w:t>
            </w:r>
          </w:p>
        </w:tc>
      </w:tr>
      <w:tr w:rsidR="00445429" w:rsidRPr="00445429" w14:paraId="56066ACA" w14:textId="77777777" w:rsidTr="002E0614">
        <w:trPr>
          <w:cantSplit/>
          <w:trHeight w:val="20"/>
        </w:trPr>
        <w:tc>
          <w:tcPr>
            <w:tcW w:w="5000" w:type="pct"/>
            <w:gridSpan w:val="5"/>
            <w:vAlign w:val="center"/>
          </w:tcPr>
          <w:p w14:paraId="62E71466" w14:textId="77777777" w:rsidR="00C81086" w:rsidRPr="00445429" w:rsidRDefault="00C81086" w:rsidP="002E0614">
            <w:pPr>
              <w:pStyle w:val="TableText0"/>
              <w:keepNext w:val="0"/>
              <w:widowControl w:val="0"/>
              <w:rPr>
                <w:u w:val="single"/>
              </w:rPr>
            </w:pPr>
            <w:r w:rsidRPr="00445429">
              <w:rPr>
                <w:u w:val="single"/>
              </w:rPr>
              <w:t>Prescriber bag</w:t>
            </w:r>
          </w:p>
        </w:tc>
      </w:tr>
      <w:tr w:rsidR="00C1762B" w:rsidRPr="00445429" w14:paraId="40E66944" w14:textId="77777777" w:rsidTr="00F23EA5">
        <w:trPr>
          <w:cantSplit/>
          <w:trHeight w:val="20"/>
        </w:trPr>
        <w:tc>
          <w:tcPr>
            <w:tcW w:w="1803" w:type="pct"/>
            <w:vAlign w:val="center"/>
          </w:tcPr>
          <w:p w14:paraId="3EFAE9FD" w14:textId="2F83C36E" w:rsidR="00C1762B" w:rsidRPr="00445429" w:rsidRDefault="00C1762B" w:rsidP="002E0614">
            <w:pPr>
              <w:pStyle w:val="TableText0"/>
              <w:keepNext w:val="0"/>
              <w:widowControl w:val="0"/>
              <w:jc w:val="center"/>
              <w:rPr>
                <w:szCs w:val="20"/>
              </w:rPr>
            </w:pPr>
            <w:r w:rsidRPr="00445429">
              <w:t>nirmatrelvir 150 mg tablet [4] (&amp;) ritonavir 100 mg tablet [2], 5 x 6</w:t>
            </w:r>
          </w:p>
        </w:tc>
        <w:tc>
          <w:tcPr>
            <w:tcW w:w="632" w:type="pct"/>
            <w:vAlign w:val="center"/>
          </w:tcPr>
          <w:p w14:paraId="3AEF709E" w14:textId="77777777" w:rsidR="00C1762B" w:rsidRPr="00445429" w:rsidRDefault="00C1762B" w:rsidP="002E0614">
            <w:pPr>
              <w:widowControl w:val="0"/>
              <w:jc w:val="center"/>
              <w:rPr>
                <w:rFonts w:ascii="Arial Narrow" w:hAnsi="Arial Narrow"/>
                <w:sz w:val="20"/>
                <w:szCs w:val="20"/>
              </w:rPr>
            </w:pPr>
            <w:r w:rsidRPr="00445429">
              <w:rPr>
                <w:rFonts w:ascii="Arial Narrow" w:hAnsi="Arial Narrow"/>
                <w:sz w:val="20"/>
              </w:rPr>
              <w:t>2</w:t>
            </w:r>
          </w:p>
        </w:tc>
        <w:tc>
          <w:tcPr>
            <w:tcW w:w="628" w:type="pct"/>
            <w:vAlign w:val="center"/>
          </w:tcPr>
          <w:p w14:paraId="0EC031D9" w14:textId="77777777" w:rsidR="00C1762B" w:rsidRPr="00445429" w:rsidRDefault="00C1762B" w:rsidP="002E0614">
            <w:pPr>
              <w:widowControl w:val="0"/>
              <w:jc w:val="center"/>
              <w:rPr>
                <w:rFonts w:ascii="Arial Narrow" w:hAnsi="Arial Narrow"/>
                <w:sz w:val="20"/>
                <w:szCs w:val="20"/>
              </w:rPr>
            </w:pPr>
            <w:r w:rsidRPr="00445429">
              <w:rPr>
                <w:rFonts w:ascii="Arial Narrow" w:hAnsi="Arial Narrow"/>
                <w:sz w:val="20"/>
              </w:rPr>
              <w:t>2</w:t>
            </w:r>
          </w:p>
        </w:tc>
        <w:tc>
          <w:tcPr>
            <w:tcW w:w="629" w:type="pct"/>
            <w:vAlign w:val="center"/>
          </w:tcPr>
          <w:p w14:paraId="7E44FA24" w14:textId="77777777" w:rsidR="00C1762B" w:rsidRPr="00445429" w:rsidRDefault="00C1762B" w:rsidP="002E0614">
            <w:pPr>
              <w:widowControl w:val="0"/>
              <w:jc w:val="center"/>
              <w:rPr>
                <w:rFonts w:ascii="Arial Narrow" w:hAnsi="Arial Narrow"/>
                <w:sz w:val="20"/>
                <w:szCs w:val="20"/>
              </w:rPr>
            </w:pPr>
            <w:r w:rsidRPr="00445429">
              <w:rPr>
                <w:rFonts w:ascii="Arial Narrow" w:hAnsi="Arial Narrow"/>
                <w:sz w:val="20"/>
              </w:rPr>
              <w:t>0</w:t>
            </w:r>
          </w:p>
        </w:tc>
        <w:tc>
          <w:tcPr>
            <w:tcW w:w="1309" w:type="pct"/>
            <w:vAlign w:val="center"/>
          </w:tcPr>
          <w:p w14:paraId="373D2CA4" w14:textId="77777777" w:rsidR="00C1762B" w:rsidRPr="00445429" w:rsidRDefault="00C1762B" w:rsidP="002E0614">
            <w:pPr>
              <w:widowControl w:val="0"/>
              <w:rPr>
                <w:rFonts w:ascii="Arial Narrow" w:hAnsi="Arial Narrow"/>
                <w:sz w:val="20"/>
                <w:szCs w:val="20"/>
              </w:rPr>
            </w:pPr>
            <w:r w:rsidRPr="00445429">
              <w:rPr>
                <w:rFonts w:ascii="Arial Narrow" w:hAnsi="Arial Narrow"/>
                <w:sz w:val="20"/>
                <w:szCs w:val="20"/>
              </w:rPr>
              <w:t>Nirmatrelvir and ritonavir</w:t>
            </w:r>
          </w:p>
        </w:tc>
      </w:tr>
    </w:tbl>
    <w:p w14:paraId="62613FCD" w14:textId="77777777" w:rsidR="00C81086" w:rsidRPr="00445429" w:rsidRDefault="00C81086" w:rsidP="00C81086">
      <w:pPr>
        <w:widowControl w:val="0"/>
        <w:jc w:val="left"/>
        <w:rPr>
          <w:rFonts w:asciiTheme="minorHAnsi" w:hAnsiTheme="minorHAnsi"/>
          <w:iCs/>
          <w:snapToGrid w:val="0"/>
        </w:rPr>
      </w:pPr>
    </w:p>
    <w:p w14:paraId="47D97D1B" w14:textId="53517E82" w:rsidR="00C81086" w:rsidRPr="00445429" w:rsidRDefault="003C1DD1" w:rsidP="002A1549">
      <w:pPr>
        <w:pStyle w:val="Caption"/>
        <w:keepLines w:val="0"/>
        <w:widowControl w:val="0"/>
      </w:pPr>
      <w:r w:rsidRPr="00445429">
        <w:t>R</w:t>
      </w:r>
      <w:r w:rsidR="00C81086" w:rsidRPr="00445429">
        <w:t>estriction for nirmatrelvir and ritonavir for patients aged ≥ 70 years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57" w:type="dxa"/>
          <w:bottom w:w="15" w:type="dxa"/>
          <w:right w:w="57" w:type="dxa"/>
        </w:tblCellMar>
        <w:tblLook w:val="04A0" w:firstRow="1" w:lastRow="0" w:firstColumn="1" w:lastColumn="0" w:noHBand="0" w:noVBand="1"/>
      </w:tblPr>
      <w:tblGrid>
        <w:gridCol w:w="9017"/>
      </w:tblGrid>
      <w:tr w:rsidR="00445429" w:rsidRPr="00445429" w14:paraId="2E78BD51" w14:textId="77777777" w:rsidTr="002E0614">
        <w:trPr>
          <w:trHeight w:val="20"/>
        </w:trPr>
        <w:tc>
          <w:tcPr>
            <w:tcW w:w="5000" w:type="pct"/>
          </w:tcPr>
          <w:p w14:paraId="7DA14248" w14:textId="77777777" w:rsidR="00C81086" w:rsidRPr="00445429" w:rsidRDefault="00C81086" w:rsidP="002E0614">
            <w:pPr>
              <w:pStyle w:val="TableText0"/>
              <w:keepNext w:val="0"/>
              <w:widowControl w:val="0"/>
              <w:rPr>
                <w:szCs w:val="20"/>
              </w:rPr>
            </w:pPr>
            <w:r w:rsidRPr="00445429">
              <w:rPr>
                <w:b/>
                <w:szCs w:val="20"/>
              </w:rPr>
              <w:t xml:space="preserve">Category / Program: </w:t>
            </w:r>
            <w:r w:rsidRPr="00445429">
              <w:rPr>
                <w:szCs w:val="20"/>
              </w:rPr>
              <w:t>General Schedule</w:t>
            </w:r>
          </w:p>
        </w:tc>
      </w:tr>
      <w:tr w:rsidR="00445429" w:rsidRPr="00445429" w14:paraId="4A6AA342" w14:textId="77777777" w:rsidTr="002E0614">
        <w:trPr>
          <w:trHeight w:val="20"/>
        </w:trPr>
        <w:tc>
          <w:tcPr>
            <w:tcW w:w="5000" w:type="pct"/>
          </w:tcPr>
          <w:p w14:paraId="69039B53" w14:textId="77777777" w:rsidR="00C81086" w:rsidRPr="00445429" w:rsidRDefault="00C81086" w:rsidP="002E0614">
            <w:pPr>
              <w:pStyle w:val="TableText0"/>
              <w:keepNext w:val="0"/>
              <w:widowControl w:val="0"/>
              <w:rPr>
                <w:b/>
                <w:szCs w:val="20"/>
              </w:rPr>
            </w:pPr>
            <w:r w:rsidRPr="00445429">
              <w:rPr>
                <w:b/>
                <w:szCs w:val="20"/>
              </w:rPr>
              <w:t xml:space="preserve">Prescriber type: </w:t>
            </w:r>
            <w:r w:rsidRPr="00445429">
              <w:rPr>
                <w:szCs w:val="20"/>
              </w:rPr>
              <w:fldChar w:fldCharType="begin">
                <w:ffData>
                  <w:name w:val="Check1"/>
                  <w:enabled/>
                  <w:calcOnExit w:val="0"/>
                  <w:checkBox>
                    <w:sizeAuto/>
                    <w:default w:val="0"/>
                  </w:checkBox>
                </w:ffData>
              </w:fldChar>
            </w:r>
            <w:r w:rsidRPr="00445429">
              <w:rPr>
                <w:szCs w:val="20"/>
              </w:rPr>
              <w:instrText xml:space="preserve"> FORMCHECKBOX </w:instrText>
            </w:r>
            <w:r w:rsidR="00872657">
              <w:rPr>
                <w:szCs w:val="20"/>
              </w:rPr>
            </w:r>
            <w:r w:rsidR="00872657">
              <w:rPr>
                <w:szCs w:val="20"/>
              </w:rPr>
              <w:fldChar w:fldCharType="separate"/>
            </w:r>
            <w:r w:rsidRPr="00445429">
              <w:rPr>
                <w:szCs w:val="20"/>
              </w:rPr>
              <w:fldChar w:fldCharType="end"/>
            </w:r>
            <w:r w:rsidRPr="00445429">
              <w:rPr>
                <w:szCs w:val="20"/>
              </w:rPr>
              <w:t xml:space="preserve">Dental </w:t>
            </w:r>
            <w:r w:rsidRPr="00445429">
              <w:rPr>
                <w:szCs w:val="20"/>
              </w:rPr>
              <w:fldChar w:fldCharType="begin">
                <w:ffData>
                  <w:name w:val=""/>
                  <w:enabled/>
                  <w:calcOnExit w:val="0"/>
                  <w:checkBox>
                    <w:sizeAuto/>
                    <w:default w:val="1"/>
                  </w:checkBox>
                </w:ffData>
              </w:fldChar>
            </w:r>
            <w:r w:rsidRPr="00445429">
              <w:rPr>
                <w:szCs w:val="20"/>
              </w:rPr>
              <w:instrText xml:space="preserve"> FORMCHECKBOX </w:instrText>
            </w:r>
            <w:r w:rsidR="00872657">
              <w:rPr>
                <w:szCs w:val="20"/>
              </w:rPr>
            </w:r>
            <w:r w:rsidR="00872657">
              <w:rPr>
                <w:szCs w:val="20"/>
              </w:rPr>
              <w:fldChar w:fldCharType="separate"/>
            </w:r>
            <w:r w:rsidRPr="00445429">
              <w:rPr>
                <w:szCs w:val="20"/>
              </w:rPr>
              <w:fldChar w:fldCharType="end"/>
            </w:r>
            <w:r w:rsidRPr="00445429">
              <w:rPr>
                <w:szCs w:val="20"/>
              </w:rPr>
              <w:t xml:space="preserve">Medical Practitioners </w:t>
            </w:r>
            <w:r w:rsidRPr="00445429">
              <w:rPr>
                <w:szCs w:val="20"/>
              </w:rPr>
              <w:fldChar w:fldCharType="begin">
                <w:ffData>
                  <w:name w:val="Check3"/>
                  <w:enabled/>
                  <w:calcOnExit w:val="0"/>
                  <w:checkBox>
                    <w:sizeAuto/>
                    <w:default w:val="1"/>
                  </w:checkBox>
                </w:ffData>
              </w:fldChar>
            </w:r>
            <w:r w:rsidRPr="00445429">
              <w:rPr>
                <w:szCs w:val="20"/>
              </w:rPr>
              <w:instrText xml:space="preserve"> FORMCHECKBOX </w:instrText>
            </w:r>
            <w:r w:rsidR="00872657">
              <w:rPr>
                <w:szCs w:val="20"/>
              </w:rPr>
            </w:r>
            <w:r w:rsidR="00872657">
              <w:rPr>
                <w:szCs w:val="20"/>
              </w:rPr>
              <w:fldChar w:fldCharType="separate"/>
            </w:r>
            <w:r w:rsidRPr="00445429">
              <w:rPr>
                <w:szCs w:val="20"/>
              </w:rPr>
              <w:fldChar w:fldCharType="end"/>
            </w:r>
            <w:r w:rsidRPr="00445429">
              <w:rPr>
                <w:szCs w:val="20"/>
              </w:rPr>
              <w:t xml:space="preserve">Nurse practitioners </w:t>
            </w:r>
            <w:r w:rsidRPr="00445429">
              <w:rPr>
                <w:szCs w:val="20"/>
              </w:rPr>
              <w:fldChar w:fldCharType="begin">
                <w:ffData>
                  <w:name w:val=""/>
                  <w:enabled/>
                  <w:calcOnExit w:val="0"/>
                  <w:checkBox>
                    <w:sizeAuto/>
                    <w:default w:val="0"/>
                  </w:checkBox>
                </w:ffData>
              </w:fldChar>
            </w:r>
            <w:r w:rsidRPr="00445429">
              <w:rPr>
                <w:szCs w:val="20"/>
              </w:rPr>
              <w:instrText xml:space="preserve"> FORMCHECKBOX </w:instrText>
            </w:r>
            <w:r w:rsidR="00872657">
              <w:rPr>
                <w:szCs w:val="20"/>
              </w:rPr>
            </w:r>
            <w:r w:rsidR="00872657">
              <w:rPr>
                <w:szCs w:val="20"/>
              </w:rPr>
              <w:fldChar w:fldCharType="separate"/>
            </w:r>
            <w:r w:rsidRPr="00445429">
              <w:rPr>
                <w:szCs w:val="20"/>
              </w:rPr>
              <w:fldChar w:fldCharType="end"/>
            </w:r>
            <w:r w:rsidRPr="00445429">
              <w:rPr>
                <w:szCs w:val="20"/>
              </w:rPr>
              <w:t xml:space="preserve">Optometrists </w:t>
            </w:r>
            <w:r w:rsidRPr="00445429">
              <w:rPr>
                <w:szCs w:val="20"/>
              </w:rPr>
              <w:fldChar w:fldCharType="begin">
                <w:ffData>
                  <w:name w:val="Check5"/>
                  <w:enabled/>
                  <w:calcOnExit w:val="0"/>
                  <w:checkBox>
                    <w:sizeAuto/>
                    <w:default w:val="0"/>
                  </w:checkBox>
                </w:ffData>
              </w:fldChar>
            </w:r>
            <w:r w:rsidRPr="00445429">
              <w:rPr>
                <w:szCs w:val="20"/>
              </w:rPr>
              <w:instrText xml:space="preserve"> FORMCHECKBOX </w:instrText>
            </w:r>
            <w:r w:rsidR="00872657">
              <w:rPr>
                <w:szCs w:val="20"/>
              </w:rPr>
            </w:r>
            <w:r w:rsidR="00872657">
              <w:rPr>
                <w:szCs w:val="20"/>
              </w:rPr>
              <w:fldChar w:fldCharType="separate"/>
            </w:r>
            <w:r w:rsidRPr="00445429">
              <w:rPr>
                <w:szCs w:val="20"/>
              </w:rPr>
              <w:fldChar w:fldCharType="end"/>
            </w:r>
          </w:p>
        </w:tc>
      </w:tr>
      <w:tr w:rsidR="00445429" w:rsidRPr="00445429" w14:paraId="15AADD54" w14:textId="77777777" w:rsidTr="002E0614">
        <w:trPr>
          <w:trHeight w:val="20"/>
        </w:trPr>
        <w:tc>
          <w:tcPr>
            <w:tcW w:w="5000" w:type="pct"/>
          </w:tcPr>
          <w:p w14:paraId="7805E839" w14:textId="09FD355C" w:rsidR="00C81086" w:rsidRPr="00445429" w:rsidRDefault="00C81086" w:rsidP="002E0614">
            <w:pPr>
              <w:pStyle w:val="TableText0"/>
              <w:keepNext w:val="0"/>
              <w:widowControl w:val="0"/>
              <w:rPr>
                <w:rFonts w:eastAsia="Times New Roman"/>
                <w:szCs w:val="20"/>
              </w:rPr>
            </w:pPr>
            <w:r w:rsidRPr="00445429">
              <w:rPr>
                <w:b/>
                <w:szCs w:val="20"/>
              </w:rPr>
              <w:t>Restriction type:</w:t>
            </w:r>
            <w:r w:rsidR="00F76D9A">
              <w:rPr>
                <w:b/>
                <w:szCs w:val="20"/>
              </w:rPr>
              <w:t xml:space="preserve"> </w:t>
            </w:r>
            <w:r w:rsidRPr="00445429">
              <w:rPr>
                <w:rFonts w:eastAsia="Times New Roman"/>
                <w:szCs w:val="20"/>
              </w:rPr>
              <w:fldChar w:fldCharType="begin">
                <w:ffData>
                  <w:name w:val=""/>
                  <w:enabled/>
                  <w:calcOnExit w:val="0"/>
                  <w:checkBox>
                    <w:sizeAuto/>
                    <w:default w:val="1"/>
                  </w:checkBox>
                </w:ffData>
              </w:fldChar>
            </w:r>
            <w:r w:rsidRPr="00445429">
              <w:rPr>
                <w:rFonts w:eastAsia="Times New Roman"/>
                <w:szCs w:val="20"/>
              </w:rPr>
              <w:instrText xml:space="preserve"> FORMCHECKBOX </w:instrText>
            </w:r>
            <w:r w:rsidR="00872657">
              <w:rPr>
                <w:rFonts w:eastAsia="Times New Roman"/>
                <w:szCs w:val="20"/>
              </w:rPr>
            </w:r>
            <w:r w:rsidR="00872657">
              <w:rPr>
                <w:rFonts w:eastAsia="Times New Roman"/>
                <w:szCs w:val="20"/>
              </w:rPr>
              <w:fldChar w:fldCharType="separate"/>
            </w:r>
            <w:r w:rsidRPr="00445429">
              <w:rPr>
                <w:rFonts w:eastAsia="Times New Roman"/>
                <w:szCs w:val="20"/>
              </w:rPr>
              <w:fldChar w:fldCharType="end"/>
            </w:r>
            <w:r w:rsidRPr="00445429">
              <w:rPr>
                <w:rFonts w:eastAsia="Times New Roman"/>
                <w:szCs w:val="20"/>
              </w:rPr>
              <w:t xml:space="preserve">Authority Required (STREAMLINED) </w:t>
            </w:r>
          </w:p>
        </w:tc>
      </w:tr>
      <w:tr w:rsidR="00445429" w:rsidRPr="00445429" w14:paraId="3FC2695C" w14:textId="77777777" w:rsidTr="002E0614">
        <w:trPr>
          <w:trHeight w:val="20"/>
        </w:trPr>
        <w:tc>
          <w:tcPr>
            <w:tcW w:w="5000" w:type="pct"/>
            <w:vAlign w:val="center"/>
            <w:hideMark/>
          </w:tcPr>
          <w:p w14:paraId="56F9947D" w14:textId="77777777" w:rsidR="00C81086" w:rsidRPr="00445429" w:rsidRDefault="00C81086" w:rsidP="002E0614">
            <w:pPr>
              <w:pStyle w:val="TableText0"/>
              <w:keepNext w:val="0"/>
              <w:widowControl w:val="0"/>
              <w:rPr>
                <w:szCs w:val="20"/>
              </w:rPr>
            </w:pPr>
            <w:r w:rsidRPr="00445429">
              <w:rPr>
                <w:b/>
                <w:szCs w:val="20"/>
              </w:rPr>
              <w:t>Indication:</w:t>
            </w:r>
            <w:r w:rsidRPr="00445429">
              <w:rPr>
                <w:szCs w:val="20"/>
              </w:rPr>
              <w:t xml:space="preserve"> </w:t>
            </w:r>
            <w:r w:rsidRPr="00445429">
              <w:rPr>
                <w:bCs w:val="0"/>
                <w:szCs w:val="20"/>
              </w:rPr>
              <w:t>SARS-CoV-2 infection</w:t>
            </w:r>
          </w:p>
        </w:tc>
      </w:tr>
      <w:tr w:rsidR="00445429" w:rsidRPr="00445429" w14:paraId="5533CE9E" w14:textId="77777777" w:rsidTr="002E0614">
        <w:trPr>
          <w:trHeight w:val="20"/>
        </w:trPr>
        <w:tc>
          <w:tcPr>
            <w:tcW w:w="5000" w:type="pct"/>
            <w:vAlign w:val="center"/>
            <w:hideMark/>
          </w:tcPr>
          <w:p w14:paraId="2050C21E" w14:textId="77777777" w:rsidR="00C81086" w:rsidRPr="00445429" w:rsidRDefault="00C81086" w:rsidP="002E0614">
            <w:pPr>
              <w:pStyle w:val="TableText0"/>
              <w:keepNext w:val="0"/>
              <w:widowControl w:val="0"/>
              <w:rPr>
                <w:szCs w:val="20"/>
              </w:rPr>
            </w:pPr>
            <w:r w:rsidRPr="00445429">
              <w:rPr>
                <w:b/>
                <w:szCs w:val="20"/>
              </w:rPr>
              <w:t>Clinical criteria:</w:t>
            </w:r>
          </w:p>
        </w:tc>
      </w:tr>
      <w:tr w:rsidR="00445429" w:rsidRPr="00445429" w14:paraId="38FCCC48" w14:textId="77777777" w:rsidTr="002E0614">
        <w:trPr>
          <w:trHeight w:val="20"/>
        </w:trPr>
        <w:tc>
          <w:tcPr>
            <w:tcW w:w="5000" w:type="pct"/>
            <w:vAlign w:val="center"/>
            <w:hideMark/>
          </w:tcPr>
          <w:p w14:paraId="1A4A19D2" w14:textId="77777777" w:rsidR="00A819A0" w:rsidRDefault="00C81086" w:rsidP="002E0614">
            <w:pPr>
              <w:pStyle w:val="TableText0"/>
              <w:keepNext w:val="0"/>
              <w:widowControl w:val="0"/>
              <w:rPr>
                <w:rFonts w:cs="Arial"/>
                <w:szCs w:val="20"/>
              </w:rPr>
            </w:pPr>
            <w:r w:rsidRPr="00445429">
              <w:rPr>
                <w:rFonts w:cs="Arial"/>
                <w:szCs w:val="20"/>
              </w:rPr>
              <w:t>Patient must have received a positive polymerase chain reaction (PCR) test result; OR</w:t>
            </w:r>
            <w:r w:rsidR="00696519" w:rsidRPr="00696519">
              <w:rPr>
                <w:rFonts w:cs="Arial"/>
                <w:szCs w:val="20"/>
              </w:rPr>
              <w:t xml:space="preserve">                          </w:t>
            </w:r>
          </w:p>
          <w:p w14:paraId="3F8A5572" w14:textId="7999BF3A" w:rsidR="00C81086" w:rsidRPr="00445429" w:rsidRDefault="00C81086" w:rsidP="002E0614">
            <w:pPr>
              <w:pStyle w:val="TableText0"/>
              <w:keepNext w:val="0"/>
              <w:widowControl w:val="0"/>
              <w:rPr>
                <w:szCs w:val="20"/>
              </w:rPr>
            </w:pPr>
            <w:r w:rsidRPr="00445429">
              <w:rPr>
                <w:rFonts w:cs="Arial"/>
                <w:szCs w:val="20"/>
              </w:rPr>
              <w:t>Patient must have received a positive rapid antigen test (RAT) result</w:t>
            </w:r>
          </w:p>
        </w:tc>
      </w:tr>
      <w:tr w:rsidR="00445429" w:rsidRPr="00445429" w14:paraId="0AFF20B5" w14:textId="77777777" w:rsidTr="002E0614">
        <w:trPr>
          <w:trHeight w:val="20"/>
        </w:trPr>
        <w:tc>
          <w:tcPr>
            <w:tcW w:w="5000" w:type="pct"/>
            <w:vAlign w:val="center"/>
          </w:tcPr>
          <w:p w14:paraId="5535C623" w14:textId="77777777" w:rsidR="00C81086" w:rsidRPr="00445429" w:rsidRDefault="00C81086" w:rsidP="002E0614">
            <w:pPr>
              <w:pStyle w:val="TableText0"/>
              <w:keepNext w:val="0"/>
              <w:widowControl w:val="0"/>
              <w:rPr>
                <w:rFonts w:cs="Arial"/>
                <w:szCs w:val="20"/>
              </w:rPr>
            </w:pPr>
            <w:r w:rsidRPr="00445429">
              <w:rPr>
                <w:b/>
                <w:szCs w:val="20"/>
              </w:rPr>
              <w:t>AND</w:t>
            </w:r>
          </w:p>
        </w:tc>
      </w:tr>
      <w:tr w:rsidR="00445429" w:rsidRPr="00445429" w14:paraId="3FD7E435" w14:textId="77777777" w:rsidTr="002E0614">
        <w:trPr>
          <w:trHeight w:val="20"/>
        </w:trPr>
        <w:tc>
          <w:tcPr>
            <w:tcW w:w="5000" w:type="pct"/>
            <w:vAlign w:val="center"/>
          </w:tcPr>
          <w:p w14:paraId="78967A1F" w14:textId="77777777" w:rsidR="00C81086" w:rsidRPr="00445429" w:rsidRDefault="00C81086" w:rsidP="002E0614">
            <w:pPr>
              <w:pStyle w:val="TableText0"/>
              <w:keepNext w:val="0"/>
              <w:widowControl w:val="0"/>
              <w:rPr>
                <w:rFonts w:cs="Arial"/>
                <w:szCs w:val="20"/>
              </w:rPr>
            </w:pPr>
            <w:r w:rsidRPr="00445429">
              <w:rPr>
                <w:rFonts w:cs="Arial"/>
                <w:szCs w:val="20"/>
              </w:rPr>
              <w:t>Patient must not require hospitalisation for COVID-19 infection at the time of prescribing</w:t>
            </w:r>
          </w:p>
        </w:tc>
      </w:tr>
      <w:tr w:rsidR="00445429" w:rsidRPr="00445429" w14:paraId="28372626" w14:textId="77777777" w:rsidTr="002E0614">
        <w:trPr>
          <w:trHeight w:val="20"/>
        </w:trPr>
        <w:tc>
          <w:tcPr>
            <w:tcW w:w="5000" w:type="pct"/>
            <w:vAlign w:val="center"/>
          </w:tcPr>
          <w:p w14:paraId="585AA34A" w14:textId="77777777" w:rsidR="00C81086" w:rsidRPr="00445429" w:rsidRDefault="00C81086" w:rsidP="002E0614">
            <w:pPr>
              <w:pStyle w:val="TableText0"/>
              <w:keepNext w:val="0"/>
              <w:widowControl w:val="0"/>
              <w:rPr>
                <w:rFonts w:cs="Arial"/>
                <w:szCs w:val="20"/>
              </w:rPr>
            </w:pPr>
            <w:r w:rsidRPr="00445429">
              <w:rPr>
                <w:b/>
                <w:szCs w:val="20"/>
              </w:rPr>
              <w:t>AND</w:t>
            </w:r>
          </w:p>
        </w:tc>
      </w:tr>
      <w:tr w:rsidR="00445429" w:rsidRPr="00445429" w14:paraId="5A81F5F4" w14:textId="77777777" w:rsidTr="002E0614">
        <w:trPr>
          <w:trHeight w:val="20"/>
        </w:trPr>
        <w:tc>
          <w:tcPr>
            <w:tcW w:w="5000" w:type="pct"/>
            <w:vAlign w:val="center"/>
          </w:tcPr>
          <w:p w14:paraId="66BF5898" w14:textId="77777777" w:rsidR="00C81086" w:rsidRPr="00445429" w:rsidRDefault="00C81086" w:rsidP="002E0614">
            <w:pPr>
              <w:pStyle w:val="TableText0"/>
              <w:keepNext w:val="0"/>
              <w:widowControl w:val="0"/>
              <w:rPr>
                <w:rFonts w:cs="Arial"/>
                <w:szCs w:val="20"/>
              </w:rPr>
            </w:pPr>
            <w:r w:rsidRPr="00445429">
              <w:rPr>
                <w:rFonts w:cs="Arial"/>
                <w:szCs w:val="20"/>
              </w:rPr>
              <w:t>The treatment must be initiated within 5 days of symptom onset; OR</w:t>
            </w:r>
          </w:p>
          <w:p w14:paraId="55B6A26C" w14:textId="77777777" w:rsidR="00C81086" w:rsidRPr="00445429" w:rsidRDefault="00C81086" w:rsidP="002E0614">
            <w:pPr>
              <w:pStyle w:val="TableText0"/>
              <w:keepNext w:val="0"/>
              <w:widowControl w:val="0"/>
              <w:rPr>
                <w:rFonts w:cs="Arial"/>
                <w:szCs w:val="20"/>
              </w:rPr>
            </w:pPr>
            <w:r w:rsidRPr="00445429">
              <w:rPr>
                <w:rFonts w:cs="Arial"/>
                <w:szCs w:val="20"/>
              </w:rPr>
              <w:t>The treatment must be initiated as soon as possible after a diagnosis is confirmed where asymptomatic.</w:t>
            </w:r>
          </w:p>
        </w:tc>
      </w:tr>
      <w:tr w:rsidR="00445429" w:rsidRPr="00445429" w14:paraId="21F21A3E" w14:textId="77777777" w:rsidTr="002E0614">
        <w:trPr>
          <w:trHeight w:val="20"/>
        </w:trPr>
        <w:tc>
          <w:tcPr>
            <w:tcW w:w="5000" w:type="pct"/>
            <w:vAlign w:val="center"/>
            <w:hideMark/>
          </w:tcPr>
          <w:p w14:paraId="46C580FC" w14:textId="77777777" w:rsidR="00C81086" w:rsidRPr="00445429" w:rsidRDefault="00C81086" w:rsidP="002E0614">
            <w:pPr>
              <w:pStyle w:val="TableText0"/>
              <w:keepNext w:val="0"/>
              <w:widowControl w:val="0"/>
              <w:rPr>
                <w:szCs w:val="20"/>
              </w:rPr>
            </w:pPr>
            <w:r w:rsidRPr="00445429">
              <w:rPr>
                <w:b/>
                <w:szCs w:val="20"/>
              </w:rPr>
              <w:t>Population criteria:</w:t>
            </w:r>
          </w:p>
        </w:tc>
      </w:tr>
      <w:tr w:rsidR="00445429" w:rsidRPr="00445429" w14:paraId="00EF5733" w14:textId="77777777" w:rsidTr="002E0614">
        <w:trPr>
          <w:trHeight w:val="20"/>
        </w:trPr>
        <w:tc>
          <w:tcPr>
            <w:tcW w:w="5000" w:type="pct"/>
            <w:vAlign w:val="center"/>
          </w:tcPr>
          <w:p w14:paraId="5FE57611" w14:textId="77777777" w:rsidR="00C81086" w:rsidRPr="00445429" w:rsidRDefault="00C81086" w:rsidP="002E0614">
            <w:pPr>
              <w:widowControl w:val="0"/>
              <w:autoSpaceDE w:val="0"/>
              <w:autoSpaceDN w:val="0"/>
              <w:adjustRightInd w:val="0"/>
              <w:rPr>
                <w:rFonts w:ascii="Arial Narrow" w:hAnsi="Arial Narrow"/>
                <w:sz w:val="20"/>
                <w:szCs w:val="20"/>
              </w:rPr>
            </w:pPr>
            <w:r w:rsidRPr="00445429">
              <w:rPr>
                <w:rFonts w:ascii="Arial Narrow" w:hAnsi="Arial Narrow"/>
                <w:sz w:val="20"/>
                <w:szCs w:val="20"/>
              </w:rPr>
              <w:t>Patient must be at least 70 years of age.</w:t>
            </w:r>
          </w:p>
        </w:tc>
      </w:tr>
      <w:tr w:rsidR="00445429" w:rsidRPr="00445429" w14:paraId="67DDBC6C" w14:textId="77777777" w:rsidTr="002E0614">
        <w:trPr>
          <w:trHeight w:val="20"/>
        </w:trPr>
        <w:tc>
          <w:tcPr>
            <w:tcW w:w="5000" w:type="pct"/>
            <w:vAlign w:val="center"/>
            <w:hideMark/>
          </w:tcPr>
          <w:p w14:paraId="78F0FE04" w14:textId="77777777" w:rsidR="00C81086" w:rsidRPr="00445429" w:rsidRDefault="00C81086" w:rsidP="002E0614">
            <w:pPr>
              <w:pStyle w:val="TableText0"/>
              <w:keepNext w:val="0"/>
              <w:widowControl w:val="0"/>
              <w:rPr>
                <w:b/>
                <w:szCs w:val="20"/>
              </w:rPr>
            </w:pPr>
            <w:r w:rsidRPr="00445429">
              <w:rPr>
                <w:b/>
                <w:szCs w:val="20"/>
              </w:rPr>
              <w:t xml:space="preserve">Prescribing Instructions: </w:t>
            </w:r>
          </w:p>
          <w:p w14:paraId="504DCC06" w14:textId="77777777" w:rsidR="00C81086" w:rsidRPr="00445429" w:rsidRDefault="00C81086" w:rsidP="002E0614">
            <w:pPr>
              <w:pStyle w:val="TableText0"/>
              <w:keepNext w:val="0"/>
              <w:widowControl w:val="0"/>
              <w:rPr>
                <w:szCs w:val="20"/>
              </w:rPr>
            </w:pPr>
            <w:r w:rsidRPr="00445429">
              <w:rPr>
                <w:szCs w:val="20"/>
              </w:rPr>
              <w:t>Access to this drug through this restriction is permitted irrespective of vaccination status.</w:t>
            </w:r>
          </w:p>
          <w:p w14:paraId="5398EF33" w14:textId="77777777" w:rsidR="00C81086" w:rsidRPr="00445429" w:rsidRDefault="00C81086" w:rsidP="002E0614">
            <w:pPr>
              <w:pStyle w:val="TableText0"/>
              <w:keepNext w:val="0"/>
              <w:widowControl w:val="0"/>
              <w:rPr>
                <w:szCs w:val="20"/>
              </w:rPr>
            </w:pPr>
          </w:p>
          <w:p w14:paraId="2D1D5C62" w14:textId="77777777" w:rsidR="00C81086" w:rsidRPr="00445429" w:rsidRDefault="00C81086" w:rsidP="002E0614">
            <w:pPr>
              <w:pStyle w:val="TableText0"/>
              <w:keepNext w:val="0"/>
              <w:widowControl w:val="0"/>
              <w:rPr>
                <w:szCs w:val="20"/>
              </w:rPr>
            </w:pPr>
            <w:r w:rsidRPr="00445429">
              <w:rPr>
                <w:szCs w:val="20"/>
              </w:rPr>
              <w:t>Where PCR is used to confirm diagnosis, the result, testing date, location and test provider must be recorded on the patient record.</w:t>
            </w:r>
          </w:p>
          <w:p w14:paraId="5A6DE1CF" w14:textId="77777777" w:rsidR="00C81086" w:rsidRPr="00445429" w:rsidRDefault="00C81086" w:rsidP="002E0614">
            <w:pPr>
              <w:pStyle w:val="TableText0"/>
              <w:keepNext w:val="0"/>
              <w:widowControl w:val="0"/>
              <w:rPr>
                <w:szCs w:val="20"/>
              </w:rPr>
            </w:pPr>
          </w:p>
          <w:p w14:paraId="447CA39B" w14:textId="77777777" w:rsidR="00C81086" w:rsidRPr="00445429" w:rsidRDefault="00C81086" w:rsidP="002E0614">
            <w:pPr>
              <w:pStyle w:val="TableText0"/>
              <w:keepNext w:val="0"/>
              <w:widowControl w:val="0"/>
              <w:rPr>
                <w:szCs w:val="20"/>
              </w:rPr>
            </w:pPr>
            <w:r w:rsidRPr="00445429">
              <w:rPr>
                <w:szCs w:val="20"/>
              </w:rPr>
              <w:t>Where a RAT is used to confirm diagnosis, available information about the test result, testing date, location and test provider (where relevant) must be recorded on the patient record.</w:t>
            </w:r>
          </w:p>
          <w:p w14:paraId="7C9D503D" w14:textId="77777777" w:rsidR="00C81086" w:rsidRPr="00445429" w:rsidRDefault="00C81086" w:rsidP="002E0614">
            <w:pPr>
              <w:pStyle w:val="TableText0"/>
              <w:keepNext w:val="0"/>
              <w:widowControl w:val="0"/>
              <w:rPr>
                <w:szCs w:val="20"/>
              </w:rPr>
            </w:pPr>
          </w:p>
          <w:p w14:paraId="3A1C39AF" w14:textId="77777777" w:rsidR="00C81086" w:rsidRPr="00445429" w:rsidRDefault="00C81086" w:rsidP="002E0614">
            <w:pPr>
              <w:pStyle w:val="TableText0"/>
              <w:keepNext w:val="0"/>
              <w:widowControl w:val="0"/>
              <w:rPr>
                <w:szCs w:val="20"/>
              </w:rPr>
            </w:pPr>
            <w:r w:rsidRPr="00445429">
              <w:rPr>
                <w:szCs w:val="20"/>
              </w:rPr>
              <w:t>This drug is not PBS-subsidised for pre-exposure or post-exposure prophylaxis for the prevention of SARS-CoV-2 infection.</w:t>
            </w:r>
          </w:p>
        </w:tc>
      </w:tr>
      <w:tr w:rsidR="00445429" w:rsidRPr="00445429" w14:paraId="4D00FB98" w14:textId="77777777" w:rsidTr="002E0614">
        <w:trPr>
          <w:trHeight w:val="20"/>
        </w:trPr>
        <w:tc>
          <w:tcPr>
            <w:tcW w:w="5000" w:type="pct"/>
            <w:vAlign w:val="center"/>
            <w:hideMark/>
          </w:tcPr>
          <w:p w14:paraId="409270DF" w14:textId="77777777" w:rsidR="00C81086" w:rsidRPr="00445429" w:rsidRDefault="00C81086" w:rsidP="002E0614">
            <w:pPr>
              <w:pStyle w:val="TableText0"/>
              <w:keepNext w:val="0"/>
              <w:widowControl w:val="0"/>
              <w:rPr>
                <w:i/>
                <w:szCs w:val="20"/>
              </w:rPr>
            </w:pPr>
            <w:r w:rsidRPr="00445429">
              <w:rPr>
                <w:b/>
                <w:i/>
                <w:szCs w:val="20"/>
              </w:rPr>
              <w:t>Caution:</w:t>
            </w:r>
            <w:r w:rsidRPr="00445429">
              <w:rPr>
                <w:b/>
                <w:i/>
                <w:szCs w:val="20"/>
              </w:rPr>
              <w:br/>
            </w:r>
            <w:r w:rsidRPr="00445429">
              <w:rPr>
                <w:bCs w:val="0"/>
                <w:i/>
                <w:szCs w:val="20"/>
              </w:rPr>
              <w:t>Nirmatrelvir with ritonavir has significant drug-drug interactions. Please refer to the TGA approved Nirmatrelvir and ritonavir Product Information. Prescribers and dispensers should carefully review a patient's concomitant medications including over-the-counter medications, herbal supplements, and recreational drugs.</w:t>
            </w:r>
          </w:p>
        </w:tc>
      </w:tr>
      <w:tr w:rsidR="00445429" w:rsidRPr="00445429" w14:paraId="35C0F833" w14:textId="77777777" w:rsidTr="002E0614">
        <w:trPr>
          <w:trHeight w:val="20"/>
        </w:trPr>
        <w:tc>
          <w:tcPr>
            <w:tcW w:w="5000" w:type="pct"/>
            <w:tcBorders>
              <w:top w:val="single" w:sz="4" w:space="0" w:color="auto"/>
              <w:left w:val="single" w:sz="4" w:space="0" w:color="auto"/>
              <w:bottom w:val="single" w:sz="4" w:space="0" w:color="auto"/>
              <w:right w:val="single" w:sz="4" w:space="0" w:color="auto"/>
            </w:tcBorders>
            <w:vAlign w:val="center"/>
            <w:hideMark/>
          </w:tcPr>
          <w:p w14:paraId="39C0D53B" w14:textId="77777777" w:rsidR="00C81086" w:rsidRPr="00445429" w:rsidRDefault="00C81086" w:rsidP="002E0614">
            <w:pPr>
              <w:pStyle w:val="TableText0"/>
              <w:keepNext w:val="0"/>
              <w:widowControl w:val="0"/>
              <w:rPr>
                <w:b/>
                <w:i/>
                <w:szCs w:val="20"/>
              </w:rPr>
            </w:pPr>
            <w:r w:rsidRPr="00445429">
              <w:rPr>
                <w:b/>
                <w:i/>
                <w:szCs w:val="20"/>
              </w:rPr>
              <w:t xml:space="preserve">Administrative Advice: </w:t>
            </w:r>
            <w:r w:rsidRPr="00445429">
              <w:rPr>
                <w:bCs w:val="0"/>
                <w:i/>
                <w:szCs w:val="20"/>
              </w:rPr>
              <w:t>No increase in the maximum quantity or number of units may be authorised.</w:t>
            </w:r>
          </w:p>
        </w:tc>
      </w:tr>
      <w:tr w:rsidR="00445429" w:rsidRPr="00445429" w14:paraId="2D6BA1E3" w14:textId="77777777" w:rsidTr="002E0614">
        <w:trPr>
          <w:trHeight w:val="20"/>
        </w:trPr>
        <w:tc>
          <w:tcPr>
            <w:tcW w:w="5000" w:type="pct"/>
            <w:tcBorders>
              <w:top w:val="single" w:sz="4" w:space="0" w:color="auto"/>
              <w:left w:val="single" w:sz="4" w:space="0" w:color="auto"/>
              <w:bottom w:val="single" w:sz="4" w:space="0" w:color="auto"/>
              <w:right w:val="single" w:sz="4" w:space="0" w:color="auto"/>
            </w:tcBorders>
            <w:vAlign w:val="center"/>
            <w:hideMark/>
          </w:tcPr>
          <w:p w14:paraId="46FE861B" w14:textId="77777777" w:rsidR="00C81086" w:rsidRPr="00445429" w:rsidRDefault="00C81086" w:rsidP="002E0614">
            <w:pPr>
              <w:pStyle w:val="TableText0"/>
              <w:keepNext w:val="0"/>
              <w:widowControl w:val="0"/>
              <w:rPr>
                <w:b/>
                <w:i/>
                <w:szCs w:val="20"/>
              </w:rPr>
            </w:pPr>
            <w:r w:rsidRPr="00445429">
              <w:rPr>
                <w:b/>
                <w:i/>
                <w:szCs w:val="20"/>
              </w:rPr>
              <w:t xml:space="preserve">Administrative Advice: </w:t>
            </w:r>
            <w:r w:rsidRPr="00445429">
              <w:rPr>
                <w:bCs w:val="0"/>
                <w:i/>
                <w:szCs w:val="20"/>
              </w:rPr>
              <w:t>No increase in the maximum number of repeats may be authorised.</w:t>
            </w:r>
          </w:p>
        </w:tc>
      </w:tr>
    </w:tbl>
    <w:p w14:paraId="2A699F70" w14:textId="77777777" w:rsidR="00C81086" w:rsidRPr="00445429" w:rsidRDefault="00C81086" w:rsidP="00C81086">
      <w:pPr>
        <w:pStyle w:val="In-tableHeading"/>
        <w:keepNext w:val="0"/>
        <w:widowControl w:val="0"/>
        <w:rPr>
          <w:lang w:val="en-AU"/>
        </w:rPr>
      </w:pPr>
    </w:p>
    <w:p w14:paraId="3116545F" w14:textId="1D6CBF74" w:rsidR="00C81086" w:rsidRPr="00445429" w:rsidRDefault="003C1DD1" w:rsidP="00C81086">
      <w:pPr>
        <w:pStyle w:val="Caption"/>
        <w:keepNext w:val="0"/>
        <w:keepLines w:val="0"/>
        <w:widowControl w:val="0"/>
      </w:pPr>
      <w:r w:rsidRPr="00445429">
        <w:t>R</w:t>
      </w:r>
      <w:r w:rsidR="00C81086" w:rsidRPr="00445429">
        <w:t>estriction for nirmatrelvir and ritonavir for patients who are immunocompromised or have previously experienced a COVID-19 infection resulting in hospitalisation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57" w:type="dxa"/>
          <w:bottom w:w="15" w:type="dxa"/>
          <w:right w:w="57" w:type="dxa"/>
        </w:tblCellMar>
        <w:tblLook w:val="04A0" w:firstRow="1" w:lastRow="0" w:firstColumn="1" w:lastColumn="0" w:noHBand="0" w:noVBand="1"/>
      </w:tblPr>
      <w:tblGrid>
        <w:gridCol w:w="9017"/>
      </w:tblGrid>
      <w:tr w:rsidR="00445429" w:rsidRPr="00445429" w14:paraId="271B35E9" w14:textId="77777777" w:rsidTr="002E0614">
        <w:trPr>
          <w:trHeight w:val="20"/>
        </w:trPr>
        <w:tc>
          <w:tcPr>
            <w:tcW w:w="5000" w:type="pct"/>
          </w:tcPr>
          <w:p w14:paraId="40AF7B55" w14:textId="77777777" w:rsidR="00C81086" w:rsidRPr="00445429" w:rsidRDefault="00C81086" w:rsidP="002E0614">
            <w:pPr>
              <w:pStyle w:val="TableText0"/>
              <w:keepNext w:val="0"/>
              <w:widowControl w:val="0"/>
              <w:rPr>
                <w:szCs w:val="20"/>
              </w:rPr>
            </w:pPr>
            <w:r w:rsidRPr="00445429">
              <w:rPr>
                <w:b/>
                <w:szCs w:val="20"/>
              </w:rPr>
              <w:t xml:space="preserve">Category / Program: </w:t>
            </w:r>
            <w:r w:rsidRPr="00445429">
              <w:rPr>
                <w:szCs w:val="20"/>
              </w:rPr>
              <w:t>General Schedule</w:t>
            </w:r>
          </w:p>
        </w:tc>
      </w:tr>
      <w:tr w:rsidR="00445429" w:rsidRPr="00445429" w14:paraId="64F5DB69" w14:textId="77777777" w:rsidTr="002E0614">
        <w:trPr>
          <w:trHeight w:val="20"/>
        </w:trPr>
        <w:tc>
          <w:tcPr>
            <w:tcW w:w="5000" w:type="pct"/>
          </w:tcPr>
          <w:p w14:paraId="59EFF0CD" w14:textId="77777777" w:rsidR="00C81086" w:rsidRPr="00445429" w:rsidRDefault="00C81086" w:rsidP="002E0614">
            <w:pPr>
              <w:pStyle w:val="TableText0"/>
              <w:keepNext w:val="0"/>
              <w:widowControl w:val="0"/>
              <w:rPr>
                <w:b/>
                <w:szCs w:val="20"/>
              </w:rPr>
            </w:pPr>
            <w:r w:rsidRPr="00445429">
              <w:rPr>
                <w:b/>
                <w:szCs w:val="20"/>
              </w:rPr>
              <w:t xml:space="preserve">Prescriber type: </w:t>
            </w:r>
            <w:r w:rsidRPr="00445429">
              <w:rPr>
                <w:szCs w:val="20"/>
              </w:rPr>
              <w:fldChar w:fldCharType="begin">
                <w:ffData>
                  <w:name w:val="Check1"/>
                  <w:enabled/>
                  <w:calcOnExit w:val="0"/>
                  <w:checkBox>
                    <w:sizeAuto/>
                    <w:default w:val="0"/>
                  </w:checkBox>
                </w:ffData>
              </w:fldChar>
            </w:r>
            <w:r w:rsidRPr="00445429">
              <w:rPr>
                <w:szCs w:val="20"/>
              </w:rPr>
              <w:instrText xml:space="preserve"> FORMCHECKBOX </w:instrText>
            </w:r>
            <w:r w:rsidR="00872657">
              <w:rPr>
                <w:szCs w:val="20"/>
              </w:rPr>
            </w:r>
            <w:r w:rsidR="00872657">
              <w:rPr>
                <w:szCs w:val="20"/>
              </w:rPr>
              <w:fldChar w:fldCharType="separate"/>
            </w:r>
            <w:r w:rsidRPr="00445429">
              <w:rPr>
                <w:szCs w:val="20"/>
              </w:rPr>
              <w:fldChar w:fldCharType="end"/>
            </w:r>
            <w:r w:rsidRPr="00445429">
              <w:rPr>
                <w:szCs w:val="20"/>
              </w:rPr>
              <w:t xml:space="preserve">Dental </w:t>
            </w:r>
            <w:r w:rsidRPr="00445429">
              <w:rPr>
                <w:szCs w:val="20"/>
              </w:rPr>
              <w:fldChar w:fldCharType="begin">
                <w:ffData>
                  <w:name w:val=""/>
                  <w:enabled/>
                  <w:calcOnExit w:val="0"/>
                  <w:checkBox>
                    <w:sizeAuto/>
                    <w:default w:val="1"/>
                  </w:checkBox>
                </w:ffData>
              </w:fldChar>
            </w:r>
            <w:r w:rsidRPr="00445429">
              <w:rPr>
                <w:szCs w:val="20"/>
              </w:rPr>
              <w:instrText xml:space="preserve"> FORMCHECKBOX </w:instrText>
            </w:r>
            <w:r w:rsidR="00872657">
              <w:rPr>
                <w:szCs w:val="20"/>
              </w:rPr>
            </w:r>
            <w:r w:rsidR="00872657">
              <w:rPr>
                <w:szCs w:val="20"/>
              </w:rPr>
              <w:fldChar w:fldCharType="separate"/>
            </w:r>
            <w:r w:rsidRPr="00445429">
              <w:rPr>
                <w:szCs w:val="20"/>
              </w:rPr>
              <w:fldChar w:fldCharType="end"/>
            </w:r>
            <w:r w:rsidRPr="00445429">
              <w:rPr>
                <w:szCs w:val="20"/>
              </w:rPr>
              <w:t xml:space="preserve">Medical Practitioners </w:t>
            </w:r>
            <w:r w:rsidRPr="00445429">
              <w:rPr>
                <w:szCs w:val="20"/>
              </w:rPr>
              <w:fldChar w:fldCharType="begin">
                <w:ffData>
                  <w:name w:val=""/>
                  <w:enabled/>
                  <w:calcOnExit w:val="0"/>
                  <w:checkBox>
                    <w:sizeAuto/>
                    <w:default w:val="1"/>
                  </w:checkBox>
                </w:ffData>
              </w:fldChar>
            </w:r>
            <w:r w:rsidRPr="00445429">
              <w:rPr>
                <w:szCs w:val="20"/>
              </w:rPr>
              <w:instrText xml:space="preserve"> FORMCHECKBOX </w:instrText>
            </w:r>
            <w:r w:rsidR="00872657">
              <w:rPr>
                <w:szCs w:val="20"/>
              </w:rPr>
            </w:r>
            <w:r w:rsidR="00872657">
              <w:rPr>
                <w:szCs w:val="20"/>
              </w:rPr>
              <w:fldChar w:fldCharType="separate"/>
            </w:r>
            <w:r w:rsidRPr="00445429">
              <w:rPr>
                <w:szCs w:val="20"/>
              </w:rPr>
              <w:fldChar w:fldCharType="end"/>
            </w:r>
            <w:r w:rsidRPr="00445429">
              <w:rPr>
                <w:szCs w:val="20"/>
              </w:rPr>
              <w:t xml:space="preserve">Nurse practitioners </w:t>
            </w:r>
            <w:r w:rsidRPr="00445429">
              <w:rPr>
                <w:szCs w:val="20"/>
              </w:rPr>
              <w:fldChar w:fldCharType="begin">
                <w:ffData>
                  <w:name w:val=""/>
                  <w:enabled/>
                  <w:calcOnExit w:val="0"/>
                  <w:checkBox>
                    <w:sizeAuto/>
                    <w:default w:val="0"/>
                  </w:checkBox>
                </w:ffData>
              </w:fldChar>
            </w:r>
            <w:r w:rsidRPr="00445429">
              <w:rPr>
                <w:szCs w:val="20"/>
              </w:rPr>
              <w:instrText xml:space="preserve"> FORMCHECKBOX </w:instrText>
            </w:r>
            <w:r w:rsidR="00872657">
              <w:rPr>
                <w:szCs w:val="20"/>
              </w:rPr>
            </w:r>
            <w:r w:rsidR="00872657">
              <w:rPr>
                <w:szCs w:val="20"/>
              </w:rPr>
              <w:fldChar w:fldCharType="separate"/>
            </w:r>
            <w:r w:rsidRPr="00445429">
              <w:rPr>
                <w:szCs w:val="20"/>
              </w:rPr>
              <w:fldChar w:fldCharType="end"/>
            </w:r>
            <w:r w:rsidRPr="00445429">
              <w:rPr>
                <w:szCs w:val="20"/>
              </w:rPr>
              <w:t xml:space="preserve">Optometrists </w:t>
            </w:r>
            <w:r w:rsidRPr="00445429">
              <w:rPr>
                <w:szCs w:val="20"/>
              </w:rPr>
              <w:fldChar w:fldCharType="begin">
                <w:ffData>
                  <w:name w:val="Check5"/>
                  <w:enabled/>
                  <w:calcOnExit w:val="0"/>
                  <w:checkBox>
                    <w:sizeAuto/>
                    <w:default w:val="0"/>
                  </w:checkBox>
                </w:ffData>
              </w:fldChar>
            </w:r>
            <w:r w:rsidRPr="00445429">
              <w:rPr>
                <w:szCs w:val="20"/>
              </w:rPr>
              <w:instrText xml:space="preserve"> FORMCHECKBOX </w:instrText>
            </w:r>
            <w:r w:rsidR="00872657">
              <w:rPr>
                <w:szCs w:val="20"/>
              </w:rPr>
            </w:r>
            <w:r w:rsidR="00872657">
              <w:rPr>
                <w:szCs w:val="20"/>
              </w:rPr>
              <w:fldChar w:fldCharType="separate"/>
            </w:r>
            <w:r w:rsidRPr="00445429">
              <w:rPr>
                <w:szCs w:val="20"/>
              </w:rPr>
              <w:fldChar w:fldCharType="end"/>
            </w:r>
          </w:p>
        </w:tc>
      </w:tr>
      <w:tr w:rsidR="00445429" w:rsidRPr="00445429" w14:paraId="6313BF0F" w14:textId="77777777" w:rsidTr="002E0614">
        <w:trPr>
          <w:trHeight w:val="20"/>
        </w:trPr>
        <w:tc>
          <w:tcPr>
            <w:tcW w:w="5000" w:type="pct"/>
          </w:tcPr>
          <w:p w14:paraId="46EF3D69" w14:textId="7A1E8EEE" w:rsidR="00C81086" w:rsidRPr="00445429" w:rsidRDefault="00C81086" w:rsidP="002E0614">
            <w:pPr>
              <w:pStyle w:val="TableText0"/>
              <w:keepNext w:val="0"/>
              <w:widowControl w:val="0"/>
              <w:rPr>
                <w:rFonts w:eastAsia="Times New Roman"/>
                <w:szCs w:val="20"/>
              </w:rPr>
            </w:pPr>
            <w:r w:rsidRPr="00445429">
              <w:rPr>
                <w:b/>
                <w:szCs w:val="20"/>
              </w:rPr>
              <w:t>Restriction type:</w:t>
            </w:r>
            <w:r w:rsidR="00F76D9A">
              <w:rPr>
                <w:b/>
                <w:szCs w:val="20"/>
              </w:rPr>
              <w:t xml:space="preserve"> </w:t>
            </w:r>
            <w:r w:rsidRPr="00445429">
              <w:rPr>
                <w:rFonts w:eastAsia="Times New Roman"/>
                <w:szCs w:val="20"/>
              </w:rPr>
              <w:fldChar w:fldCharType="begin">
                <w:ffData>
                  <w:name w:val=""/>
                  <w:enabled/>
                  <w:calcOnExit w:val="0"/>
                  <w:checkBox>
                    <w:sizeAuto/>
                    <w:default w:val="1"/>
                  </w:checkBox>
                </w:ffData>
              </w:fldChar>
            </w:r>
            <w:r w:rsidRPr="00445429">
              <w:rPr>
                <w:rFonts w:eastAsia="Times New Roman"/>
                <w:szCs w:val="20"/>
              </w:rPr>
              <w:instrText xml:space="preserve"> FORMCHECKBOX </w:instrText>
            </w:r>
            <w:r w:rsidR="00872657">
              <w:rPr>
                <w:rFonts w:eastAsia="Times New Roman"/>
                <w:szCs w:val="20"/>
              </w:rPr>
            </w:r>
            <w:r w:rsidR="00872657">
              <w:rPr>
                <w:rFonts w:eastAsia="Times New Roman"/>
                <w:szCs w:val="20"/>
              </w:rPr>
              <w:fldChar w:fldCharType="separate"/>
            </w:r>
            <w:r w:rsidRPr="00445429">
              <w:rPr>
                <w:rFonts w:eastAsia="Times New Roman"/>
                <w:szCs w:val="20"/>
              </w:rPr>
              <w:fldChar w:fldCharType="end"/>
            </w:r>
            <w:r w:rsidRPr="00445429">
              <w:rPr>
                <w:rFonts w:eastAsia="Times New Roman"/>
                <w:szCs w:val="20"/>
              </w:rPr>
              <w:t xml:space="preserve">Authority Required (STREAMLINED) </w:t>
            </w:r>
          </w:p>
        </w:tc>
      </w:tr>
      <w:tr w:rsidR="00445429" w:rsidRPr="00445429" w14:paraId="0C9FF6A1" w14:textId="77777777" w:rsidTr="002E0614">
        <w:trPr>
          <w:trHeight w:val="20"/>
        </w:trPr>
        <w:tc>
          <w:tcPr>
            <w:tcW w:w="5000" w:type="pct"/>
            <w:vAlign w:val="center"/>
            <w:hideMark/>
          </w:tcPr>
          <w:p w14:paraId="07957B18" w14:textId="77777777" w:rsidR="00C81086" w:rsidRPr="00445429" w:rsidRDefault="00C81086" w:rsidP="002E0614">
            <w:pPr>
              <w:pStyle w:val="TableText0"/>
              <w:keepNext w:val="0"/>
              <w:widowControl w:val="0"/>
              <w:rPr>
                <w:szCs w:val="20"/>
              </w:rPr>
            </w:pPr>
            <w:r w:rsidRPr="00445429">
              <w:rPr>
                <w:b/>
                <w:szCs w:val="20"/>
              </w:rPr>
              <w:t>Indication:</w:t>
            </w:r>
            <w:r w:rsidRPr="00445429">
              <w:rPr>
                <w:szCs w:val="20"/>
              </w:rPr>
              <w:t xml:space="preserve"> </w:t>
            </w:r>
            <w:r w:rsidRPr="00445429">
              <w:rPr>
                <w:bCs w:val="0"/>
                <w:szCs w:val="20"/>
              </w:rPr>
              <w:t>SARS-CoV-2 infection</w:t>
            </w:r>
          </w:p>
        </w:tc>
      </w:tr>
      <w:tr w:rsidR="00445429" w:rsidRPr="00445429" w14:paraId="796B75CC" w14:textId="77777777" w:rsidTr="002E0614">
        <w:trPr>
          <w:trHeight w:val="20"/>
        </w:trPr>
        <w:tc>
          <w:tcPr>
            <w:tcW w:w="5000" w:type="pct"/>
            <w:vAlign w:val="center"/>
            <w:hideMark/>
          </w:tcPr>
          <w:p w14:paraId="6FC526B9" w14:textId="77777777" w:rsidR="00C81086" w:rsidRPr="00445429" w:rsidRDefault="00C81086" w:rsidP="002E0614">
            <w:pPr>
              <w:pStyle w:val="TableText0"/>
              <w:keepNext w:val="0"/>
              <w:widowControl w:val="0"/>
              <w:rPr>
                <w:szCs w:val="20"/>
              </w:rPr>
            </w:pPr>
            <w:r w:rsidRPr="00445429">
              <w:rPr>
                <w:b/>
                <w:szCs w:val="20"/>
              </w:rPr>
              <w:t>Clinical criteria:</w:t>
            </w:r>
          </w:p>
        </w:tc>
      </w:tr>
      <w:tr w:rsidR="00445429" w:rsidRPr="00445429" w14:paraId="67EE2F15" w14:textId="77777777" w:rsidTr="002E0614">
        <w:trPr>
          <w:trHeight w:val="20"/>
        </w:trPr>
        <w:tc>
          <w:tcPr>
            <w:tcW w:w="5000" w:type="pct"/>
            <w:vAlign w:val="center"/>
            <w:hideMark/>
          </w:tcPr>
          <w:p w14:paraId="791962B2" w14:textId="77777777" w:rsidR="00A819A0" w:rsidRDefault="00C81086" w:rsidP="002E0614">
            <w:pPr>
              <w:pStyle w:val="TableText0"/>
              <w:keepNext w:val="0"/>
              <w:widowControl w:val="0"/>
              <w:rPr>
                <w:rFonts w:cs="Arial"/>
                <w:szCs w:val="20"/>
              </w:rPr>
            </w:pPr>
            <w:r w:rsidRPr="00445429">
              <w:rPr>
                <w:rFonts w:cs="Arial"/>
                <w:szCs w:val="20"/>
              </w:rPr>
              <w:t>Patient must have received a positive polymerase chain reaction (PCR) test result; OR</w:t>
            </w:r>
            <w:r w:rsidR="00696519" w:rsidRPr="00696519">
              <w:rPr>
                <w:rFonts w:cs="Arial"/>
                <w:szCs w:val="20"/>
              </w:rPr>
              <w:t xml:space="preserve">                         </w:t>
            </w:r>
            <w:r w:rsidRPr="00445429">
              <w:rPr>
                <w:rFonts w:cs="Arial"/>
                <w:szCs w:val="20"/>
              </w:rPr>
              <w:t xml:space="preserve"> </w:t>
            </w:r>
          </w:p>
          <w:p w14:paraId="2A931736" w14:textId="161D3225" w:rsidR="00C81086" w:rsidRPr="00445429" w:rsidRDefault="00C81086" w:rsidP="002E0614">
            <w:pPr>
              <w:pStyle w:val="TableText0"/>
              <w:keepNext w:val="0"/>
              <w:widowControl w:val="0"/>
              <w:rPr>
                <w:szCs w:val="20"/>
              </w:rPr>
            </w:pPr>
            <w:r w:rsidRPr="00445429">
              <w:rPr>
                <w:rFonts w:cs="Arial"/>
                <w:szCs w:val="20"/>
              </w:rPr>
              <w:t>Patient must have received a positive rapid antigen test (RAT) result</w:t>
            </w:r>
          </w:p>
        </w:tc>
      </w:tr>
      <w:tr w:rsidR="00445429" w:rsidRPr="00445429" w14:paraId="56D9D099" w14:textId="77777777" w:rsidTr="002E0614">
        <w:trPr>
          <w:trHeight w:val="20"/>
        </w:trPr>
        <w:tc>
          <w:tcPr>
            <w:tcW w:w="5000" w:type="pct"/>
            <w:vAlign w:val="center"/>
            <w:hideMark/>
          </w:tcPr>
          <w:p w14:paraId="379128DF" w14:textId="77777777" w:rsidR="00C81086" w:rsidRPr="00445429" w:rsidRDefault="00C81086" w:rsidP="002E0614">
            <w:pPr>
              <w:pStyle w:val="TableText0"/>
              <w:keepNext w:val="0"/>
              <w:widowControl w:val="0"/>
              <w:rPr>
                <w:szCs w:val="20"/>
              </w:rPr>
            </w:pPr>
            <w:r w:rsidRPr="00445429">
              <w:rPr>
                <w:b/>
                <w:szCs w:val="20"/>
              </w:rPr>
              <w:t>AND</w:t>
            </w:r>
          </w:p>
        </w:tc>
      </w:tr>
      <w:tr w:rsidR="00445429" w:rsidRPr="00445429" w14:paraId="757A0491" w14:textId="77777777" w:rsidTr="002E0614">
        <w:trPr>
          <w:trHeight w:val="20"/>
        </w:trPr>
        <w:tc>
          <w:tcPr>
            <w:tcW w:w="5000" w:type="pct"/>
            <w:vAlign w:val="center"/>
            <w:hideMark/>
          </w:tcPr>
          <w:p w14:paraId="7D245266" w14:textId="77777777" w:rsidR="00C81086" w:rsidRPr="00445429" w:rsidRDefault="00C81086" w:rsidP="002E0614">
            <w:pPr>
              <w:pStyle w:val="TableText0"/>
              <w:keepNext w:val="0"/>
              <w:widowControl w:val="0"/>
              <w:rPr>
                <w:szCs w:val="20"/>
              </w:rPr>
            </w:pPr>
            <w:r w:rsidRPr="00445429">
              <w:rPr>
                <w:rFonts w:cs="Arial"/>
                <w:szCs w:val="20"/>
              </w:rPr>
              <w:t>Patient must have at least one sign or symptom attributable to COVID-19</w:t>
            </w:r>
          </w:p>
        </w:tc>
      </w:tr>
      <w:tr w:rsidR="00445429" w:rsidRPr="00445429" w14:paraId="6D3D3311" w14:textId="77777777" w:rsidTr="002E0614">
        <w:trPr>
          <w:trHeight w:val="20"/>
        </w:trPr>
        <w:tc>
          <w:tcPr>
            <w:tcW w:w="5000" w:type="pct"/>
            <w:vAlign w:val="center"/>
          </w:tcPr>
          <w:p w14:paraId="650E3612" w14:textId="77777777" w:rsidR="00C81086" w:rsidRPr="00445429" w:rsidRDefault="00C81086" w:rsidP="002E0614">
            <w:pPr>
              <w:pStyle w:val="TableText0"/>
              <w:keepNext w:val="0"/>
              <w:widowControl w:val="0"/>
              <w:rPr>
                <w:rFonts w:cs="Arial"/>
                <w:szCs w:val="20"/>
              </w:rPr>
            </w:pPr>
            <w:r w:rsidRPr="00445429">
              <w:rPr>
                <w:b/>
                <w:szCs w:val="20"/>
              </w:rPr>
              <w:t>AND</w:t>
            </w:r>
          </w:p>
        </w:tc>
      </w:tr>
      <w:tr w:rsidR="00445429" w:rsidRPr="00445429" w14:paraId="3E6B6B80" w14:textId="77777777" w:rsidTr="002E0614">
        <w:trPr>
          <w:trHeight w:val="20"/>
        </w:trPr>
        <w:tc>
          <w:tcPr>
            <w:tcW w:w="5000" w:type="pct"/>
            <w:vAlign w:val="center"/>
          </w:tcPr>
          <w:p w14:paraId="5FDD0DE8" w14:textId="77777777" w:rsidR="00C81086" w:rsidRPr="00445429" w:rsidRDefault="00C81086" w:rsidP="002E0614">
            <w:pPr>
              <w:pStyle w:val="TableText0"/>
              <w:keepNext w:val="0"/>
              <w:widowControl w:val="0"/>
              <w:rPr>
                <w:rFonts w:cs="Arial"/>
                <w:szCs w:val="20"/>
              </w:rPr>
            </w:pPr>
            <w:r w:rsidRPr="00445429">
              <w:rPr>
                <w:rFonts w:cs="Arial"/>
                <w:szCs w:val="20"/>
              </w:rPr>
              <w:t>Patient must not require hospitalisation for COVID-19 infection at the time of prescribing</w:t>
            </w:r>
          </w:p>
        </w:tc>
      </w:tr>
      <w:tr w:rsidR="00445429" w:rsidRPr="00445429" w14:paraId="5D5F5979" w14:textId="77777777" w:rsidTr="002E0614">
        <w:trPr>
          <w:trHeight w:val="20"/>
        </w:trPr>
        <w:tc>
          <w:tcPr>
            <w:tcW w:w="5000" w:type="pct"/>
            <w:vAlign w:val="center"/>
          </w:tcPr>
          <w:p w14:paraId="3A07EEC2" w14:textId="77777777" w:rsidR="00C81086" w:rsidRPr="00445429" w:rsidRDefault="00C81086" w:rsidP="002E0614">
            <w:pPr>
              <w:pStyle w:val="TableText0"/>
              <w:keepNext w:val="0"/>
              <w:widowControl w:val="0"/>
              <w:rPr>
                <w:rFonts w:cs="Arial"/>
                <w:b/>
                <w:bCs w:val="0"/>
                <w:szCs w:val="20"/>
              </w:rPr>
            </w:pPr>
            <w:r w:rsidRPr="00445429">
              <w:rPr>
                <w:rFonts w:cs="Arial"/>
                <w:b/>
                <w:bCs w:val="0"/>
                <w:szCs w:val="20"/>
              </w:rPr>
              <w:t>AND</w:t>
            </w:r>
          </w:p>
        </w:tc>
      </w:tr>
      <w:tr w:rsidR="00445429" w:rsidRPr="00445429" w14:paraId="2C48BC60" w14:textId="77777777" w:rsidTr="002E0614">
        <w:trPr>
          <w:trHeight w:val="20"/>
        </w:trPr>
        <w:tc>
          <w:tcPr>
            <w:tcW w:w="5000" w:type="pct"/>
            <w:vAlign w:val="center"/>
          </w:tcPr>
          <w:p w14:paraId="2DF85E5C" w14:textId="77777777" w:rsidR="00C81086" w:rsidRPr="00445429" w:rsidRDefault="00C81086" w:rsidP="002E0614">
            <w:pPr>
              <w:pStyle w:val="TableText0"/>
              <w:keepNext w:val="0"/>
              <w:widowControl w:val="0"/>
              <w:rPr>
                <w:rFonts w:cs="Arial"/>
                <w:szCs w:val="20"/>
              </w:rPr>
            </w:pPr>
            <w:r w:rsidRPr="00445429">
              <w:rPr>
                <w:rFonts w:cs="Arial"/>
                <w:szCs w:val="20"/>
              </w:rPr>
              <w:t xml:space="preserve">Patient must satisfy at least one of the following criteria: (i) be moderately to severely immunocompromised with risk of progression to severe COVID-19 disease due to the immunocompromised status, (ii) has experienced past COVID-19 </w:t>
            </w:r>
            <w:r w:rsidRPr="00445429">
              <w:rPr>
                <w:rFonts w:cs="Arial"/>
                <w:szCs w:val="20"/>
              </w:rPr>
              <w:lastRenderedPageBreak/>
              <w:t>infection resulting in hospitalisation,</w:t>
            </w:r>
          </w:p>
        </w:tc>
      </w:tr>
      <w:tr w:rsidR="00445429" w:rsidRPr="00445429" w14:paraId="383EE449" w14:textId="77777777" w:rsidTr="002E0614">
        <w:trPr>
          <w:trHeight w:val="20"/>
        </w:trPr>
        <w:tc>
          <w:tcPr>
            <w:tcW w:w="5000" w:type="pct"/>
            <w:vAlign w:val="center"/>
          </w:tcPr>
          <w:p w14:paraId="7D6F7741" w14:textId="77777777" w:rsidR="00C81086" w:rsidRPr="00445429" w:rsidRDefault="00C81086" w:rsidP="002E0614">
            <w:pPr>
              <w:pStyle w:val="TableText0"/>
              <w:keepNext w:val="0"/>
              <w:widowControl w:val="0"/>
              <w:rPr>
                <w:rFonts w:cs="Arial"/>
                <w:szCs w:val="20"/>
              </w:rPr>
            </w:pPr>
            <w:r w:rsidRPr="00445429">
              <w:rPr>
                <w:b/>
                <w:szCs w:val="20"/>
              </w:rPr>
              <w:lastRenderedPageBreak/>
              <w:t>AND</w:t>
            </w:r>
          </w:p>
        </w:tc>
      </w:tr>
      <w:tr w:rsidR="00445429" w:rsidRPr="00445429" w14:paraId="2E8CBFCD" w14:textId="77777777" w:rsidTr="002E0614">
        <w:trPr>
          <w:trHeight w:val="20"/>
        </w:trPr>
        <w:tc>
          <w:tcPr>
            <w:tcW w:w="5000" w:type="pct"/>
            <w:vAlign w:val="center"/>
          </w:tcPr>
          <w:p w14:paraId="5FC89F1B" w14:textId="77777777" w:rsidR="00C81086" w:rsidRPr="00445429" w:rsidRDefault="00C81086" w:rsidP="002E0614">
            <w:pPr>
              <w:pStyle w:val="TableText0"/>
              <w:keepNext w:val="0"/>
              <w:widowControl w:val="0"/>
              <w:rPr>
                <w:rFonts w:cs="Arial"/>
                <w:szCs w:val="20"/>
              </w:rPr>
            </w:pPr>
            <w:r w:rsidRPr="00445429">
              <w:rPr>
                <w:rFonts w:cs="Arial"/>
                <w:szCs w:val="20"/>
              </w:rPr>
              <w:t>The treatment must be initiated within 5 days of symptom onset</w:t>
            </w:r>
          </w:p>
        </w:tc>
      </w:tr>
      <w:tr w:rsidR="00445429" w:rsidRPr="00445429" w14:paraId="679F556C" w14:textId="77777777" w:rsidTr="002E0614">
        <w:trPr>
          <w:trHeight w:val="20"/>
        </w:trPr>
        <w:tc>
          <w:tcPr>
            <w:tcW w:w="5000" w:type="pct"/>
            <w:vAlign w:val="center"/>
          </w:tcPr>
          <w:p w14:paraId="68A6F203" w14:textId="77777777" w:rsidR="00C81086" w:rsidRPr="00445429" w:rsidRDefault="00C81086" w:rsidP="002E0614">
            <w:pPr>
              <w:widowControl w:val="0"/>
              <w:autoSpaceDE w:val="0"/>
              <w:autoSpaceDN w:val="0"/>
              <w:adjustRightInd w:val="0"/>
              <w:rPr>
                <w:rFonts w:ascii="Arial Narrow" w:hAnsi="Arial Narrow"/>
                <w:b/>
                <w:bCs/>
                <w:sz w:val="20"/>
                <w:szCs w:val="20"/>
              </w:rPr>
            </w:pPr>
            <w:r w:rsidRPr="00445429">
              <w:rPr>
                <w:rFonts w:ascii="Arial Narrow" w:hAnsi="Arial Narrow"/>
                <w:b/>
                <w:bCs/>
                <w:sz w:val="20"/>
                <w:szCs w:val="20"/>
              </w:rPr>
              <w:t>AND</w:t>
            </w:r>
          </w:p>
        </w:tc>
      </w:tr>
      <w:tr w:rsidR="00445429" w:rsidRPr="00445429" w14:paraId="30E8BD3E" w14:textId="77777777" w:rsidTr="002E0614">
        <w:trPr>
          <w:trHeight w:val="20"/>
        </w:trPr>
        <w:tc>
          <w:tcPr>
            <w:tcW w:w="5000" w:type="pct"/>
            <w:vAlign w:val="center"/>
            <w:hideMark/>
          </w:tcPr>
          <w:p w14:paraId="669D057F" w14:textId="77777777" w:rsidR="00C81086" w:rsidRPr="00445429" w:rsidRDefault="00C81086" w:rsidP="002E0614">
            <w:pPr>
              <w:widowControl w:val="0"/>
              <w:autoSpaceDE w:val="0"/>
              <w:autoSpaceDN w:val="0"/>
              <w:adjustRightInd w:val="0"/>
              <w:rPr>
                <w:rFonts w:ascii="Arial Narrow" w:hAnsi="Arial Narrow"/>
                <w:sz w:val="20"/>
                <w:szCs w:val="20"/>
              </w:rPr>
            </w:pPr>
            <w:r w:rsidRPr="00445429">
              <w:rPr>
                <w:rFonts w:ascii="Arial Narrow" w:hAnsi="Arial Narrow"/>
                <w:sz w:val="20"/>
                <w:szCs w:val="20"/>
              </w:rPr>
              <w:t>Patient must be at least 18 years of age.</w:t>
            </w:r>
          </w:p>
        </w:tc>
      </w:tr>
      <w:tr w:rsidR="00445429" w:rsidRPr="00445429" w14:paraId="5DF4B51E" w14:textId="77777777" w:rsidTr="002E0614">
        <w:trPr>
          <w:trHeight w:val="20"/>
        </w:trPr>
        <w:tc>
          <w:tcPr>
            <w:tcW w:w="5000" w:type="pct"/>
            <w:vAlign w:val="center"/>
            <w:hideMark/>
          </w:tcPr>
          <w:p w14:paraId="6BB0C0C6" w14:textId="77777777" w:rsidR="00C81086" w:rsidRPr="00445429" w:rsidRDefault="00C81086" w:rsidP="002E0614">
            <w:pPr>
              <w:pStyle w:val="TableText0"/>
              <w:keepNext w:val="0"/>
              <w:widowControl w:val="0"/>
              <w:rPr>
                <w:b/>
                <w:bCs w:val="0"/>
                <w:szCs w:val="20"/>
              </w:rPr>
            </w:pPr>
            <w:r w:rsidRPr="00445429">
              <w:rPr>
                <w:b/>
                <w:bCs w:val="0"/>
                <w:szCs w:val="20"/>
              </w:rPr>
              <w:t xml:space="preserve">Prescribing Instructions: </w:t>
            </w:r>
          </w:p>
          <w:p w14:paraId="76E0502E" w14:textId="77777777" w:rsidR="00C81086" w:rsidRPr="00445429" w:rsidRDefault="00C81086" w:rsidP="002E0614">
            <w:pPr>
              <w:pStyle w:val="TableText0"/>
              <w:keepNext w:val="0"/>
              <w:widowControl w:val="0"/>
              <w:rPr>
                <w:szCs w:val="20"/>
              </w:rPr>
            </w:pPr>
            <w:r w:rsidRPr="00445429">
              <w:rPr>
                <w:szCs w:val="20"/>
              </w:rPr>
              <w:t>For the purpose of administering this restriction, 'moderately to severely immunocompromised' patients are those with:</w:t>
            </w:r>
          </w:p>
          <w:p w14:paraId="1670F66A" w14:textId="77777777" w:rsidR="00C81086" w:rsidRPr="00445429" w:rsidRDefault="00C81086" w:rsidP="002E0614">
            <w:pPr>
              <w:pStyle w:val="TableText0"/>
              <w:keepNext w:val="0"/>
              <w:widowControl w:val="0"/>
              <w:ind w:left="224" w:hanging="224"/>
              <w:rPr>
                <w:szCs w:val="20"/>
              </w:rPr>
            </w:pPr>
            <w:r w:rsidRPr="00445429">
              <w:rPr>
                <w:szCs w:val="20"/>
              </w:rPr>
              <w:t>1.</w:t>
            </w:r>
            <w:r w:rsidRPr="00445429">
              <w:rPr>
                <w:szCs w:val="20"/>
              </w:rPr>
              <w:tab/>
              <w:t>Any primary or acquired immunodeficiency including:</w:t>
            </w:r>
          </w:p>
          <w:p w14:paraId="06AA042C" w14:textId="77777777" w:rsidR="00C81086" w:rsidRPr="00445429" w:rsidRDefault="00C81086" w:rsidP="002E0614">
            <w:pPr>
              <w:pStyle w:val="TableText0"/>
              <w:keepNext w:val="0"/>
              <w:widowControl w:val="0"/>
              <w:ind w:left="507" w:hanging="283"/>
              <w:rPr>
                <w:szCs w:val="20"/>
              </w:rPr>
            </w:pPr>
            <w:r w:rsidRPr="00445429">
              <w:rPr>
                <w:szCs w:val="20"/>
              </w:rPr>
              <w:t xml:space="preserve">a. </w:t>
            </w:r>
            <w:r w:rsidRPr="00445429">
              <w:rPr>
                <w:szCs w:val="20"/>
              </w:rPr>
              <w:tab/>
              <w:t>Haematologic neoplasms: leukaemias, lymphomas, myelodysplastic syndromes, multiple myeloma and other plasma cell disorders,</w:t>
            </w:r>
          </w:p>
          <w:p w14:paraId="436EC049" w14:textId="77777777" w:rsidR="00C81086" w:rsidRPr="00445429" w:rsidRDefault="00C81086" w:rsidP="002E0614">
            <w:pPr>
              <w:pStyle w:val="TableText0"/>
              <w:keepNext w:val="0"/>
              <w:widowControl w:val="0"/>
              <w:ind w:left="507" w:hanging="283"/>
              <w:rPr>
                <w:szCs w:val="20"/>
              </w:rPr>
            </w:pPr>
            <w:r w:rsidRPr="00445429">
              <w:rPr>
                <w:szCs w:val="20"/>
              </w:rPr>
              <w:t xml:space="preserve">b. </w:t>
            </w:r>
            <w:r w:rsidRPr="00445429">
              <w:rPr>
                <w:szCs w:val="20"/>
              </w:rPr>
              <w:tab/>
              <w:t>Post-transplant: solid organ (on immunosuppressive therapy), haematopoietic stem cell transplant (within 24 months),</w:t>
            </w:r>
          </w:p>
          <w:p w14:paraId="0AD3821F" w14:textId="77777777" w:rsidR="00C81086" w:rsidRPr="00445429" w:rsidRDefault="00C81086" w:rsidP="002E0614">
            <w:pPr>
              <w:pStyle w:val="TableText0"/>
              <w:keepNext w:val="0"/>
              <w:widowControl w:val="0"/>
              <w:ind w:left="507" w:hanging="283"/>
              <w:rPr>
                <w:szCs w:val="20"/>
              </w:rPr>
            </w:pPr>
            <w:r w:rsidRPr="00445429">
              <w:rPr>
                <w:szCs w:val="20"/>
              </w:rPr>
              <w:t xml:space="preserve">c. </w:t>
            </w:r>
            <w:r w:rsidRPr="00445429">
              <w:rPr>
                <w:szCs w:val="20"/>
              </w:rPr>
              <w:tab/>
              <w:t>Immunocompromised due to primary or acquired (HIV/AIDS) immunodeficiency; OR</w:t>
            </w:r>
          </w:p>
          <w:p w14:paraId="6F338B51" w14:textId="77777777" w:rsidR="00C81086" w:rsidRPr="00445429" w:rsidRDefault="00C81086" w:rsidP="002E0614">
            <w:pPr>
              <w:pStyle w:val="TableText0"/>
              <w:keepNext w:val="0"/>
              <w:widowControl w:val="0"/>
              <w:ind w:left="224" w:hanging="224"/>
              <w:rPr>
                <w:szCs w:val="20"/>
              </w:rPr>
            </w:pPr>
            <w:r w:rsidRPr="00445429">
              <w:rPr>
                <w:szCs w:val="20"/>
              </w:rPr>
              <w:t>2.</w:t>
            </w:r>
            <w:r w:rsidRPr="00445429">
              <w:rPr>
                <w:szCs w:val="20"/>
              </w:rPr>
              <w:tab/>
              <w:t>Any significantly immunocompromising condition(s) where, in the last 3 months the patient has received:</w:t>
            </w:r>
          </w:p>
          <w:p w14:paraId="27749B23" w14:textId="77777777" w:rsidR="00C81086" w:rsidRPr="00445429" w:rsidRDefault="00C81086" w:rsidP="002E0614">
            <w:pPr>
              <w:pStyle w:val="TableText0"/>
              <w:keepNext w:val="0"/>
              <w:widowControl w:val="0"/>
              <w:ind w:left="507" w:hanging="283"/>
              <w:rPr>
                <w:szCs w:val="20"/>
              </w:rPr>
            </w:pPr>
            <w:r w:rsidRPr="00445429">
              <w:rPr>
                <w:szCs w:val="20"/>
              </w:rPr>
              <w:t>a.</w:t>
            </w:r>
            <w:r w:rsidRPr="00445429">
              <w:rPr>
                <w:szCs w:val="20"/>
              </w:rPr>
              <w:tab/>
              <w:t>Chemotherapy or whole body radiotherapy,</w:t>
            </w:r>
          </w:p>
          <w:p w14:paraId="3F70592B" w14:textId="77777777" w:rsidR="00C81086" w:rsidRPr="00445429" w:rsidRDefault="00C81086" w:rsidP="002E0614">
            <w:pPr>
              <w:pStyle w:val="TableText0"/>
              <w:keepNext w:val="0"/>
              <w:widowControl w:val="0"/>
              <w:ind w:left="507" w:hanging="283"/>
              <w:rPr>
                <w:szCs w:val="20"/>
              </w:rPr>
            </w:pPr>
            <w:r w:rsidRPr="00445429">
              <w:rPr>
                <w:szCs w:val="20"/>
              </w:rPr>
              <w:t>b.</w:t>
            </w:r>
            <w:r w:rsidRPr="00445429">
              <w:rPr>
                <w:szCs w:val="20"/>
              </w:rPr>
              <w:tab/>
              <w:t>High-dose corticosteroids (at least 20 mg of prednisone per day, or equivalent) for at least 14 days in a month, or pulse corticosteroid therapy,</w:t>
            </w:r>
          </w:p>
          <w:p w14:paraId="54199D16" w14:textId="77777777" w:rsidR="00C81086" w:rsidRPr="00445429" w:rsidRDefault="00C81086" w:rsidP="002E0614">
            <w:pPr>
              <w:pStyle w:val="TableText0"/>
              <w:keepNext w:val="0"/>
              <w:widowControl w:val="0"/>
              <w:ind w:left="507" w:hanging="283"/>
              <w:rPr>
                <w:szCs w:val="20"/>
              </w:rPr>
            </w:pPr>
            <w:r w:rsidRPr="00445429">
              <w:rPr>
                <w:szCs w:val="20"/>
              </w:rPr>
              <w:t>c.</w:t>
            </w:r>
            <w:r w:rsidRPr="00445429">
              <w:rPr>
                <w:szCs w:val="20"/>
              </w:rPr>
              <w:tab/>
              <w:t>Biological agents and other treatments that deplete or inhibit B cell or T cell function (abatacept, anti-CD20 antibodies, BTK inhibitors, JAK inhibitors, sphingosine 1-phosphate receptor modulators, anti-CD52 antibodies, anti-complement antibodies, anti-thymocyte globulin),</w:t>
            </w:r>
          </w:p>
          <w:p w14:paraId="75AC465B" w14:textId="77777777" w:rsidR="00C81086" w:rsidRPr="00445429" w:rsidRDefault="00C81086" w:rsidP="002E0614">
            <w:pPr>
              <w:pStyle w:val="TableText0"/>
              <w:keepNext w:val="0"/>
              <w:widowControl w:val="0"/>
              <w:ind w:left="507" w:hanging="283"/>
              <w:rPr>
                <w:szCs w:val="20"/>
              </w:rPr>
            </w:pPr>
            <w:r w:rsidRPr="00445429">
              <w:rPr>
                <w:szCs w:val="20"/>
              </w:rPr>
              <w:t>d.</w:t>
            </w:r>
            <w:r w:rsidRPr="00445429">
              <w:rPr>
                <w:szCs w:val="20"/>
              </w:rPr>
              <w:tab/>
              <w:t>Selected conventional synthetic disease-modifying anti-rheumatic drugs (csDMARDs) including mycophenolate, methotrexate, leflunomide, azathioprine, 6-mercaptopurine (at least 1.5mg/kg/day), alkylating agents (e.g. cyclophosphamide, chlorambucil), and systemic calcineurin inhibitors (e.g. cyclosporin, tacrolimus); OR</w:t>
            </w:r>
          </w:p>
          <w:p w14:paraId="6D140A71" w14:textId="77777777" w:rsidR="00C81086" w:rsidRPr="00445429" w:rsidRDefault="00C81086" w:rsidP="002E0614">
            <w:pPr>
              <w:pStyle w:val="TableText0"/>
              <w:keepNext w:val="0"/>
              <w:widowControl w:val="0"/>
              <w:ind w:left="224" w:hanging="224"/>
              <w:rPr>
                <w:szCs w:val="20"/>
              </w:rPr>
            </w:pPr>
            <w:r w:rsidRPr="00445429">
              <w:rPr>
                <w:szCs w:val="20"/>
              </w:rPr>
              <w:t>3.</w:t>
            </w:r>
            <w:r w:rsidRPr="00445429">
              <w:rPr>
                <w:szCs w:val="20"/>
              </w:rPr>
              <w:tab/>
              <w:t>Any significantly immunocompromising condition(s) where, in the last 12 months the patient has received an anti-CD20 monoclonal antibody treatment, but criterion 2c above is not met; OR</w:t>
            </w:r>
          </w:p>
          <w:p w14:paraId="34E174C8" w14:textId="77777777" w:rsidR="00C81086" w:rsidRPr="00445429" w:rsidRDefault="00C81086" w:rsidP="002E0614">
            <w:pPr>
              <w:pStyle w:val="TableText0"/>
              <w:keepNext w:val="0"/>
              <w:widowControl w:val="0"/>
              <w:ind w:left="224" w:hanging="224"/>
              <w:rPr>
                <w:szCs w:val="20"/>
              </w:rPr>
            </w:pPr>
            <w:r w:rsidRPr="00445429">
              <w:rPr>
                <w:szCs w:val="20"/>
              </w:rPr>
              <w:t>4.</w:t>
            </w:r>
            <w:r w:rsidRPr="00445429">
              <w:rPr>
                <w:szCs w:val="20"/>
              </w:rPr>
              <w:tab/>
              <w:t>Others with very high-risk conditions including Down Syndrome, cerebral palsy, congenital heart disease, thalassemia, sickle cell disease and other haemoglobinopathies; OR</w:t>
            </w:r>
          </w:p>
          <w:p w14:paraId="4849ED81" w14:textId="77777777" w:rsidR="00C81086" w:rsidRPr="00445429" w:rsidRDefault="00C81086" w:rsidP="002E0614">
            <w:pPr>
              <w:pStyle w:val="TableText0"/>
              <w:keepNext w:val="0"/>
              <w:widowControl w:val="0"/>
              <w:ind w:left="224" w:hanging="224"/>
              <w:rPr>
                <w:szCs w:val="20"/>
              </w:rPr>
            </w:pPr>
            <w:r w:rsidRPr="00445429">
              <w:rPr>
                <w:szCs w:val="20"/>
              </w:rPr>
              <w:t>5.</w:t>
            </w:r>
            <w:r w:rsidRPr="00445429">
              <w:rPr>
                <w:szCs w:val="20"/>
              </w:rPr>
              <w:tab/>
              <w:t>People with disability with multiple comorbidities and/or frailty.</w:t>
            </w:r>
          </w:p>
          <w:p w14:paraId="57294754" w14:textId="77777777" w:rsidR="00C81086" w:rsidRPr="00445429" w:rsidRDefault="00C81086" w:rsidP="002E0614">
            <w:pPr>
              <w:pStyle w:val="TableText0"/>
              <w:keepNext w:val="0"/>
              <w:widowControl w:val="0"/>
              <w:rPr>
                <w:szCs w:val="20"/>
              </w:rPr>
            </w:pPr>
            <w:r w:rsidRPr="00445429">
              <w:rPr>
                <w:szCs w:val="20"/>
              </w:rPr>
              <w:t>Details of the patient's medical condition necessitating use of this drug must be recorded in the patient's medical records.</w:t>
            </w:r>
          </w:p>
          <w:p w14:paraId="65A236B5" w14:textId="77777777" w:rsidR="00C81086" w:rsidRPr="00445429" w:rsidRDefault="00C81086" w:rsidP="002E0614">
            <w:pPr>
              <w:pStyle w:val="TableText0"/>
              <w:keepNext w:val="0"/>
              <w:widowControl w:val="0"/>
              <w:rPr>
                <w:szCs w:val="20"/>
              </w:rPr>
            </w:pPr>
          </w:p>
          <w:p w14:paraId="1B19ABC0" w14:textId="77777777" w:rsidR="00C81086" w:rsidRPr="00445429" w:rsidRDefault="00C81086" w:rsidP="002E0614">
            <w:pPr>
              <w:pStyle w:val="TableText0"/>
              <w:keepNext w:val="0"/>
              <w:widowControl w:val="0"/>
              <w:rPr>
                <w:szCs w:val="20"/>
              </w:rPr>
            </w:pPr>
            <w:r w:rsidRPr="00445429">
              <w:rPr>
                <w:szCs w:val="20"/>
              </w:rPr>
              <w:t>For the purpose of administering this restriction, signs or symptoms attributable to COVID-19 are: fever greater than 38 degrees Celsius, chills, cough, sore throat, shortness of breath or difficulty breathing with exertion, fatigue, nasal congestion, runny nose, headache, muscle or body aches, nausea, vomiting, diarrhea, loss of taste, loss of smell.</w:t>
            </w:r>
          </w:p>
          <w:p w14:paraId="42DEB11A" w14:textId="77777777" w:rsidR="00C81086" w:rsidRPr="00445429" w:rsidRDefault="00C81086" w:rsidP="002E0614">
            <w:pPr>
              <w:pStyle w:val="TableText0"/>
              <w:keepNext w:val="0"/>
              <w:widowControl w:val="0"/>
              <w:rPr>
                <w:szCs w:val="20"/>
              </w:rPr>
            </w:pPr>
          </w:p>
          <w:p w14:paraId="743D0FCE" w14:textId="77777777" w:rsidR="00C81086" w:rsidRPr="00445429" w:rsidRDefault="00C81086" w:rsidP="002E0614">
            <w:pPr>
              <w:pStyle w:val="TableText0"/>
              <w:keepNext w:val="0"/>
              <w:widowControl w:val="0"/>
              <w:rPr>
                <w:szCs w:val="20"/>
              </w:rPr>
            </w:pPr>
            <w:r w:rsidRPr="00445429">
              <w:rPr>
                <w:szCs w:val="20"/>
              </w:rPr>
              <w:t>Access to this drug through this restriction is permitted irrespective of vaccination status.</w:t>
            </w:r>
          </w:p>
          <w:p w14:paraId="6594381C" w14:textId="77777777" w:rsidR="00C81086" w:rsidRPr="00445429" w:rsidRDefault="00C81086" w:rsidP="002E0614">
            <w:pPr>
              <w:pStyle w:val="TableText0"/>
              <w:keepNext w:val="0"/>
              <w:widowControl w:val="0"/>
              <w:rPr>
                <w:szCs w:val="20"/>
              </w:rPr>
            </w:pPr>
          </w:p>
          <w:p w14:paraId="02398821" w14:textId="77777777" w:rsidR="00C81086" w:rsidRPr="00445429" w:rsidRDefault="00C81086" w:rsidP="002E0614">
            <w:pPr>
              <w:pStyle w:val="TableText0"/>
              <w:keepNext w:val="0"/>
              <w:widowControl w:val="0"/>
              <w:rPr>
                <w:szCs w:val="20"/>
              </w:rPr>
            </w:pPr>
            <w:r w:rsidRPr="00445429">
              <w:rPr>
                <w:szCs w:val="20"/>
              </w:rPr>
              <w:t>Where PCR is used to confirm diagnosis, the result, testing date, location and test provider must be recorded on the patient record.</w:t>
            </w:r>
          </w:p>
          <w:p w14:paraId="74281A6C" w14:textId="77777777" w:rsidR="00C81086" w:rsidRPr="00445429" w:rsidRDefault="00C81086" w:rsidP="002E0614">
            <w:pPr>
              <w:pStyle w:val="TableText0"/>
              <w:keepNext w:val="0"/>
              <w:widowControl w:val="0"/>
              <w:rPr>
                <w:szCs w:val="20"/>
              </w:rPr>
            </w:pPr>
          </w:p>
          <w:p w14:paraId="418AA988" w14:textId="77777777" w:rsidR="00C81086" w:rsidRPr="00445429" w:rsidRDefault="00C81086" w:rsidP="002E0614">
            <w:pPr>
              <w:pStyle w:val="TableText0"/>
              <w:keepNext w:val="0"/>
              <w:widowControl w:val="0"/>
              <w:rPr>
                <w:szCs w:val="20"/>
              </w:rPr>
            </w:pPr>
            <w:r w:rsidRPr="00445429">
              <w:rPr>
                <w:szCs w:val="20"/>
              </w:rPr>
              <w:t>Where a RAT is used to confirm diagnosis, available information about the test result, testing date, location and test provider (where relevant) must be recorded on the patient record.</w:t>
            </w:r>
          </w:p>
          <w:p w14:paraId="7F96A064" w14:textId="77777777" w:rsidR="00C81086" w:rsidRPr="00445429" w:rsidRDefault="00C81086" w:rsidP="002E0614">
            <w:pPr>
              <w:pStyle w:val="TableText0"/>
              <w:keepNext w:val="0"/>
              <w:widowControl w:val="0"/>
              <w:rPr>
                <w:szCs w:val="20"/>
              </w:rPr>
            </w:pPr>
          </w:p>
          <w:p w14:paraId="5094224D" w14:textId="77777777" w:rsidR="00C81086" w:rsidRPr="00445429" w:rsidRDefault="00C81086" w:rsidP="002E0614">
            <w:pPr>
              <w:pStyle w:val="TableText0"/>
              <w:keepNext w:val="0"/>
              <w:widowControl w:val="0"/>
              <w:rPr>
                <w:szCs w:val="20"/>
              </w:rPr>
            </w:pPr>
            <w:r w:rsidRPr="00445429">
              <w:rPr>
                <w:szCs w:val="20"/>
              </w:rPr>
              <w:t>This drug is not PBS-subsidised for pre-exposure or post-exposure prophylaxis for the prevention of SARS-CoV-2 infection.</w:t>
            </w:r>
          </w:p>
        </w:tc>
      </w:tr>
      <w:tr w:rsidR="00445429" w:rsidRPr="00445429" w14:paraId="016829E0" w14:textId="77777777" w:rsidTr="002E0614">
        <w:trPr>
          <w:trHeight w:val="20"/>
        </w:trPr>
        <w:tc>
          <w:tcPr>
            <w:tcW w:w="5000" w:type="pct"/>
            <w:vAlign w:val="center"/>
            <w:hideMark/>
          </w:tcPr>
          <w:p w14:paraId="0FD5353D" w14:textId="77777777" w:rsidR="00C81086" w:rsidRPr="00445429" w:rsidRDefault="00C81086" w:rsidP="002E0614">
            <w:pPr>
              <w:pStyle w:val="TableText0"/>
              <w:keepNext w:val="0"/>
              <w:widowControl w:val="0"/>
              <w:rPr>
                <w:i/>
                <w:szCs w:val="20"/>
              </w:rPr>
            </w:pPr>
            <w:r w:rsidRPr="00445429">
              <w:rPr>
                <w:b/>
                <w:i/>
                <w:szCs w:val="20"/>
              </w:rPr>
              <w:t>Caution:</w:t>
            </w:r>
            <w:r w:rsidRPr="00445429">
              <w:rPr>
                <w:b/>
                <w:i/>
                <w:szCs w:val="20"/>
              </w:rPr>
              <w:br/>
            </w:r>
            <w:r w:rsidRPr="00445429">
              <w:rPr>
                <w:bCs w:val="0"/>
                <w:i/>
                <w:szCs w:val="20"/>
              </w:rPr>
              <w:t>Nirmatrelvir with ritonavir has significant drug-drug interactions. Please refer to the TGA approved Nirmatrelvir and ritonavir Product Information. Prescribers and dispensers should carefully review a patient's concomitant medications including over-the-counter medications, herbal supplements, and recreational drugs.</w:t>
            </w:r>
          </w:p>
        </w:tc>
      </w:tr>
      <w:tr w:rsidR="00445429" w:rsidRPr="00445429" w14:paraId="6EA05EB5" w14:textId="77777777" w:rsidTr="002E0614">
        <w:trPr>
          <w:trHeight w:val="20"/>
        </w:trPr>
        <w:tc>
          <w:tcPr>
            <w:tcW w:w="5000" w:type="pct"/>
            <w:tcBorders>
              <w:top w:val="single" w:sz="4" w:space="0" w:color="auto"/>
              <w:left w:val="single" w:sz="4" w:space="0" w:color="auto"/>
              <w:bottom w:val="single" w:sz="4" w:space="0" w:color="auto"/>
              <w:right w:val="single" w:sz="4" w:space="0" w:color="auto"/>
            </w:tcBorders>
            <w:vAlign w:val="center"/>
            <w:hideMark/>
          </w:tcPr>
          <w:p w14:paraId="141B1925" w14:textId="77777777" w:rsidR="00C81086" w:rsidRPr="00445429" w:rsidRDefault="00C81086" w:rsidP="002E0614">
            <w:pPr>
              <w:pStyle w:val="TableText0"/>
              <w:keepNext w:val="0"/>
              <w:widowControl w:val="0"/>
              <w:rPr>
                <w:b/>
                <w:i/>
                <w:szCs w:val="20"/>
              </w:rPr>
            </w:pPr>
            <w:r w:rsidRPr="00445429">
              <w:rPr>
                <w:b/>
                <w:i/>
                <w:szCs w:val="20"/>
              </w:rPr>
              <w:t xml:space="preserve">Administrative Advice: </w:t>
            </w:r>
            <w:r w:rsidRPr="00445429">
              <w:rPr>
                <w:bCs w:val="0"/>
                <w:i/>
                <w:szCs w:val="20"/>
              </w:rPr>
              <w:t>No increase in the maximum quantity or number of units may be authorised.</w:t>
            </w:r>
          </w:p>
        </w:tc>
      </w:tr>
      <w:tr w:rsidR="00C81086" w:rsidRPr="00445429" w14:paraId="4C54BBD4" w14:textId="77777777" w:rsidTr="002E0614">
        <w:trPr>
          <w:trHeight w:val="20"/>
        </w:trPr>
        <w:tc>
          <w:tcPr>
            <w:tcW w:w="5000" w:type="pct"/>
            <w:tcBorders>
              <w:top w:val="single" w:sz="4" w:space="0" w:color="auto"/>
              <w:left w:val="single" w:sz="4" w:space="0" w:color="auto"/>
              <w:bottom w:val="single" w:sz="4" w:space="0" w:color="auto"/>
              <w:right w:val="single" w:sz="4" w:space="0" w:color="auto"/>
            </w:tcBorders>
            <w:vAlign w:val="center"/>
            <w:hideMark/>
          </w:tcPr>
          <w:p w14:paraId="195E28ED" w14:textId="77777777" w:rsidR="00C81086" w:rsidRPr="00445429" w:rsidRDefault="00C81086" w:rsidP="002E0614">
            <w:pPr>
              <w:pStyle w:val="TableText0"/>
              <w:keepNext w:val="0"/>
              <w:widowControl w:val="0"/>
              <w:rPr>
                <w:b/>
                <w:i/>
                <w:szCs w:val="20"/>
              </w:rPr>
            </w:pPr>
            <w:r w:rsidRPr="00445429">
              <w:rPr>
                <w:b/>
                <w:i/>
                <w:szCs w:val="20"/>
              </w:rPr>
              <w:t xml:space="preserve">Administrative Advice: </w:t>
            </w:r>
            <w:r w:rsidRPr="00445429">
              <w:rPr>
                <w:bCs w:val="0"/>
                <w:i/>
                <w:szCs w:val="20"/>
              </w:rPr>
              <w:t>No increase in the maximum number of repeats may be authorised.</w:t>
            </w:r>
          </w:p>
        </w:tc>
      </w:tr>
    </w:tbl>
    <w:p w14:paraId="69B6828A" w14:textId="77777777" w:rsidR="00C81086" w:rsidRPr="00445429" w:rsidRDefault="00C81086" w:rsidP="00C81086">
      <w:pPr>
        <w:widowControl w:val="0"/>
        <w:jc w:val="left"/>
      </w:pPr>
    </w:p>
    <w:p w14:paraId="19BACFC3" w14:textId="518F2BD1" w:rsidR="00C81086" w:rsidRPr="00445429" w:rsidRDefault="003C1DD1" w:rsidP="00C81086">
      <w:pPr>
        <w:pStyle w:val="Caption"/>
        <w:keepNext w:val="0"/>
        <w:keepLines w:val="0"/>
        <w:widowControl w:val="0"/>
      </w:pPr>
      <w:r w:rsidRPr="00445429">
        <w:t>R</w:t>
      </w:r>
      <w:r w:rsidR="00C81086" w:rsidRPr="00445429">
        <w:t>estriction for nirmatrelvir and ritonavir for Aboriginal and Torres Strait Islander people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57" w:type="dxa"/>
          <w:bottom w:w="15" w:type="dxa"/>
          <w:right w:w="57" w:type="dxa"/>
        </w:tblCellMar>
        <w:tblLook w:val="04A0" w:firstRow="1" w:lastRow="0" w:firstColumn="1" w:lastColumn="0" w:noHBand="0" w:noVBand="1"/>
      </w:tblPr>
      <w:tblGrid>
        <w:gridCol w:w="9017"/>
      </w:tblGrid>
      <w:tr w:rsidR="00445429" w:rsidRPr="00445429" w14:paraId="430ECA43" w14:textId="77777777" w:rsidTr="002E0614">
        <w:trPr>
          <w:trHeight w:val="20"/>
        </w:trPr>
        <w:tc>
          <w:tcPr>
            <w:tcW w:w="5000" w:type="pct"/>
          </w:tcPr>
          <w:p w14:paraId="2EC12756" w14:textId="77777777" w:rsidR="00C81086" w:rsidRPr="00445429" w:rsidRDefault="00C81086" w:rsidP="002E0614">
            <w:pPr>
              <w:pStyle w:val="TableText0"/>
              <w:keepNext w:val="0"/>
              <w:widowControl w:val="0"/>
              <w:rPr>
                <w:szCs w:val="20"/>
              </w:rPr>
            </w:pPr>
            <w:r w:rsidRPr="00445429">
              <w:rPr>
                <w:b/>
                <w:szCs w:val="20"/>
              </w:rPr>
              <w:t xml:space="preserve">Category / Program: </w:t>
            </w:r>
            <w:r w:rsidRPr="00445429">
              <w:rPr>
                <w:szCs w:val="20"/>
              </w:rPr>
              <w:t>General Schedule</w:t>
            </w:r>
          </w:p>
        </w:tc>
      </w:tr>
      <w:tr w:rsidR="00445429" w:rsidRPr="00445429" w14:paraId="1D12A5E1" w14:textId="77777777" w:rsidTr="002E0614">
        <w:trPr>
          <w:trHeight w:val="20"/>
        </w:trPr>
        <w:tc>
          <w:tcPr>
            <w:tcW w:w="5000" w:type="pct"/>
          </w:tcPr>
          <w:p w14:paraId="297232C6" w14:textId="77777777" w:rsidR="00C81086" w:rsidRPr="00445429" w:rsidRDefault="00C81086" w:rsidP="002E0614">
            <w:pPr>
              <w:pStyle w:val="TableText0"/>
              <w:keepNext w:val="0"/>
              <w:widowControl w:val="0"/>
              <w:rPr>
                <w:b/>
                <w:szCs w:val="20"/>
              </w:rPr>
            </w:pPr>
            <w:r w:rsidRPr="00445429">
              <w:rPr>
                <w:b/>
                <w:szCs w:val="20"/>
              </w:rPr>
              <w:lastRenderedPageBreak/>
              <w:t xml:space="preserve">Prescriber type: </w:t>
            </w:r>
            <w:r w:rsidRPr="00445429">
              <w:rPr>
                <w:szCs w:val="20"/>
              </w:rPr>
              <w:fldChar w:fldCharType="begin">
                <w:ffData>
                  <w:name w:val="Check1"/>
                  <w:enabled/>
                  <w:calcOnExit w:val="0"/>
                  <w:checkBox>
                    <w:sizeAuto/>
                    <w:default w:val="0"/>
                  </w:checkBox>
                </w:ffData>
              </w:fldChar>
            </w:r>
            <w:r w:rsidRPr="00445429">
              <w:rPr>
                <w:szCs w:val="20"/>
              </w:rPr>
              <w:instrText xml:space="preserve"> FORMCHECKBOX </w:instrText>
            </w:r>
            <w:r w:rsidR="00872657">
              <w:rPr>
                <w:szCs w:val="20"/>
              </w:rPr>
            </w:r>
            <w:r w:rsidR="00872657">
              <w:rPr>
                <w:szCs w:val="20"/>
              </w:rPr>
              <w:fldChar w:fldCharType="separate"/>
            </w:r>
            <w:r w:rsidRPr="00445429">
              <w:rPr>
                <w:szCs w:val="20"/>
              </w:rPr>
              <w:fldChar w:fldCharType="end"/>
            </w:r>
            <w:r w:rsidRPr="00445429">
              <w:rPr>
                <w:szCs w:val="20"/>
              </w:rPr>
              <w:t xml:space="preserve">Dental </w:t>
            </w:r>
            <w:r w:rsidRPr="00445429">
              <w:rPr>
                <w:szCs w:val="20"/>
              </w:rPr>
              <w:fldChar w:fldCharType="begin">
                <w:ffData>
                  <w:name w:val=""/>
                  <w:enabled/>
                  <w:calcOnExit w:val="0"/>
                  <w:checkBox>
                    <w:sizeAuto/>
                    <w:default w:val="1"/>
                  </w:checkBox>
                </w:ffData>
              </w:fldChar>
            </w:r>
            <w:r w:rsidRPr="00445429">
              <w:rPr>
                <w:szCs w:val="20"/>
              </w:rPr>
              <w:instrText xml:space="preserve"> FORMCHECKBOX </w:instrText>
            </w:r>
            <w:r w:rsidR="00872657">
              <w:rPr>
                <w:szCs w:val="20"/>
              </w:rPr>
            </w:r>
            <w:r w:rsidR="00872657">
              <w:rPr>
                <w:szCs w:val="20"/>
              </w:rPr>
              <w:fldChar w:fldCharType="separate"/>
            </w:r>
            <w:r w:rsidRPr="00445429">
              <w:rPr>
                <w:szCs w:val="20"/>
              </w:rPr>
              <w:fldChar w:fldCharType="end"/>
            </w:r>
            <w:r w:rsidRPr="00445429">
              <w:rPr>
                <w:szCs w:val="20"/>
              </w:rPr>
              <w:t xml:space="preserve">Medical Practitioners </w:t>
            </w:r>
            <w:r w:rsidRPr="00445429">
              <w:rPr>
                <w:szCs w:val="20"/>
              </w:rPr>
              <w:fldChar w:fldCharType="begin">
                <w:ffData>
                  <w:name w:val=""/>
                  <w:enabled/>
                  <w:calcOnExit w:val="0"/>
                  <w:checkBox>
                    <w:sizeAuto/>
                    <w:default w:val="1"/>
                  </w:checkBox>
                </w:ffData>
              </w:fldChar>
            </w:r>
            <w:r w:rsidRPr="00445429">
              <w:rPr>
                <w:szCs w:val="20"/>
              </w:rPr>
              <w:instrText xml:space="preserve"> FORMCHECKBOX </w:instrText>
            </w:r>
            <w:r w:rsidR="00872657">
              <w:rPr>
                <w:szCs w:val="20"/>
              </w:rPr>
            </w:r>
            <w:r w:rsidR="00872657">
              <w:rPr>
                <w:szCs w:val="20"/>
              </w:rPr>
              <w:fldChar w:fldCharType="separate"/>
            </w:r>
            <w:r w:rsidRPr="00445429">
              <w:rPr>
                <w:szCs w:val="20"/>
              </w:rPr>
              <w:fldChar w:fldCharType="end"/>
            </w:r>
            <w:r w:rsidRPr="00445429">
              <w:rPr>
                <w:szCs w:val="20"/>
              </w:rPr>
              <w:t xml:space="preserve">Nurse practitioners </w:t>
            </w:r>
            <w:r w:rsidRPr="00445429">
              <w:rPr>
                <w:szCs w:val="20"/>
              </w:rPr>
              <w:fldChar w:fldCharType="begin">
                <w:ffData>
                  <w:name w:val=""/>
                  <w:enabled/>
                  <w:calcOnExit w:val="0"/>
                  <w:checkBox>
                    <w:sizeAuto/>
                    <w:default w:val="0"/>
                  </w:checkBox>
                </w:ffData>
              </w:fldChar>
            </w:r>
            <w:r w:rsidRPr="00445429">
              <w:rPr>
                <w:szCs w:val="20"/>
              </w:rPr>
              <w:instrText xml:space="preserve"> FORMCHECKBOX </w:instrText>
            </w:r>
            <w:r w:rsidR="00872657">
              <w:rPr>
                <w:szCs w:val="20"/>
              </w:rPr>
            </w:r>
            <w:r w:rsidR="00872657">
              <w:rPr>
                <w:szCs w:val="20"/>
              </w:rPr>
              <w:fldChar w:fldCharType="separate"/>
            </w:r>
            <w:r w:rsidRPr="00445429">
              <w:rPr>
                <w:szCs w:val="20"/>
              </w:rPr>
              <w:fldChar w:fldCharType="end"/>
            </w:r>
            <w:r w:rsidRPr="00445429">
              <w:rPr>
                <w:szCs w:val="20"/>
              </w:rPr>
              <w:t xml:space="preserve">Optometrists </w:t>
            </w:r>
            <w:r w:rsidRPr="00445429">
              <w:rPr>
                <w:szCs w:val="20"/>
              </w:rPr>
              <w:fldChar w:fldCharType="begin">
                <w:ffData>
                  <w:name w:val="Check5"/>
                  <w:enabled/>
                  <w:calcOnExit w:val="0"/>
                  <w:checkBox>
                    <w:sizeAuto/>
                    <w:default w:val="0"/>
                  </w:checkBox>
                </w:ffData>
              </w:fldChar>
            </w:r>
            <w:r w:rsidRPr="00445429">
              <w:rPr>
                <w:szCs w:val="20"/>
              </w:rPr>
              <w:instrText xml:space="preserve"> FORMCHECKBOX </w:instrText>
            </w:r>
            <w:r w:rsidR="00872657">
              <w:rPr>
                <w:szCs w:val="20"/>
              </w:rPr>
            </w:r>
            <w:r w:rsidR="00872657">
              <w:rPr>
                <w:szCs w:val="20"/>
              </w:rPr>
              <w:fldChar w:fldCharType="separate"/>
            </w:r>
            <w:r w:rsidRPr="00445429">
              <w:rPr>
                <w:szCs w:val="20"/>
              </w:rPr>
              <w:fldChar w:fldCharType="end"/>
            </w:r>
          </w:p>
        </w:tc>
      </w:tr>
      <w:tr w:rsidR="00445429" w:rsidRPr="00445429" w14:paraId="15F165FC" w14:textId="77777777" w:rsidTr="002E0614">
        <w:trPr>
          <w:trHeight w:val="20"/>
        </w:trPr>
        <w:tc>
          <w:tcPr>
            <w:tcW w:w="5000" w:type="pct"/>
          </w:tcPr>
          <w:p w14:paraId="6F727B4F" w14:textId="22AE687F" w:rsidR="00C81086" w:rsidRPr="00445429" w:rsidRDefault="00C81086" w:rsidP="002E0614">
            <w:pPr>
              <w:pStyle w:val="TableText0"/>
              <w:keepNext w:val="0"/>
              <w:widowControl w:val="0"/>
              <w:rPr>
                <w:rFonts w:eastAsia="Times New Roman"/>
                <w:szCs w:val="20"/>
              </w:rPr>
            </w:pPr>
            <w:r w:rsidRPr="00445429">
              <w:rPr>
                <w:b/>
                <w:szCs w:val="20"/>
              </w:rPr>
              <w:t>Restriction type:</w:t>
            </w:r>
            <w:r w:rsidR="00F76D9A">
              <w:rPr>
                <w:b/>
                <w:szCs w:val="20"/>
              </w:rPr>
              <w:t xml:space="preserve"> </w:t>
            </w:r>
            <w:r w:rsidRPr="00445429">
              <w:rPr>
                <w:rFonts w:eastAsia="Times New Roman"/>
                <w:szCs w:val="20"/>
              </w:rPr>
              <w:fldChar w:fldCharType="begin">
                <w:ffData>
                  <w:name w:val=""/>
                  <w:enabled/>
                  <w:calcOnExit w:val="0"/>
                  <w:checkBox>
                    <w:sizeAuto/>
                    <w:default w:val="1"/>
                  </w:checkBox>
                </w:ffData>
              </w:fldChar>
            </w:r>
            <w:r w:rsidRPr="00445429">
              <w:rPr>
                <w:rFonts w:eastAsia="Times New Roman"/>
                <w:szCs w:val="20"/>
              </w:rPr>
              <w:instrText xml:space="preserve"> FORMCHECKBOX </w:instrText>
            </w:r>
            <w:r w:rsidR="00872657">
              <w:rPr>
                <w:rFonts w:eastAsia="Times New Roman"/>
                <w:szCs w:val="20"/>
              </w:rPr>
            </w:r>
            <w:r w:rsidR="00872657">
              <w:rPr>
                <w:rFonts w:eastAsia="Times New Roman"/>
                <w:szCs w:val="20"/>
              </w:rPr>
              <w:fldChar w:fldCharType="separate"/>
            </w:r>
            <w:r w:rsidRPr="00445429">
              <w:rPr>
                <w:rFonts w:eastAsia="Times New Roman"/>
                <w:szCs w:val="20"/>
              </w:rPr>
              <w:fldChar w:fldCharType="end"/>
            </w:r>
            <w:r w:rsidRPr="00445429">
              <w:rPr>
                <w:rFonts w:eastAsia="Times New Roman"/>
                <w:szCs w:val="20"/>
              </w:rPr>
              <w:t xml:space="preserve">Authority Required (STREAMLINED) </w:t>
            </w:r>
          </w:p>
        </w:tc>
      </w:tr>
      <w:tr w:rsidR="00445429" w:rsidRPr="00445429" w14:paraId="4981E4B1" w14:textId="77777777" w:rsidTr="002E0614">
        <w:trPr>
          <w:trHeight w:val="20"/>
        </w:trPr>
        <w:tc>
          <w:tcPr>
            <w:tcW w:w="5000" w:type="pct"/>
            <w:vAlign w:val="center"/>
            <w:hideMark/>
          </w:tcPr>
          <w:p w14:paraId="68E237C1" w14:textId="77777777" w:rsidR="00C81086" w:rsidRPr="00445429" w:rsidRDefault="00C81086" w:rsidP="002E0614">
            <w:pPr>
              <w:pStyle w:val="TableText0"/>
              <w:keepNext w:val="0"/>
              <w:widowControl w:val="0"/>
              <w:rPr>
                <w:szCs w:val="20"/>
              </w:rPr>
            </w:pPr>
            <w:r w:rsidRPr="00445429">
              <w:rPr>
                <w:b/>
                <w:szCs w:val="20"/>
              </w:rPr>
              <w:t>Indication:</w:t>
            </w:r>
            <w:r w:rsidRPr="00445429">
              <w:rPr>
                <w:szCs w:val="20"/>
              </w:rPr>
              <w:t xml:space="preserve"> </w:t>
            </w:r>
            <w:r w:rsidRPr="00445429">
              <w:rPr>
                <w:bCs w:val="0"/>
                <w:szCs w:val="20"/>
              </w:rPr>
              <w:t>SARS-CoV-2 infection</w:t>
            </w:r>
          </w:p>
        </w:tc>
      </w:tr>
      <w:tr w:rsidR="00445429" w:rsidRPr="00445429" w14:paraId="0B687E4D" w14:textId="77777777" w:rsidTr="002E0614">
        <w:trPr>
          <w:trHeight w:val="20"/>
        </w:trPr>
        <w:tc>
          <w:tcPr>
            <w:tcW w:w="5000" w:type="pct"/>
            <w:vAlign w:val="center"/>
            <w:hideMark/>
          </w:tcPr>
          <w:p w14:paraId="172F44A0" w14:textId="77777777" w:rsidR="00C81086" w:rsidRPr="00445429" w:rsidRDefault="00C81086" w:rsidP="002E0614">
            <w:pPr>
              <w:pStyle w:val="TableText0"/>
              <w:keepNext w:val="0"/>
              <w:widowControl w:val="0"/>
              <w:rPr>
                <w:szCs w:val="20"/>
              </w:rPr>
            </w:pPr>
            <w:r w:rsidRPr="00445429">
              <w:rPr>
                <w:b/>
                <w:szCs w:val="20"/>
              </w:rPr>
              <w:t>Clinical criteria:</w:t>
            </w:r>
          </w:p>
        </w:tc>
      </w:tr>
      <w:tr w:rsidR="00445429" w:rsidRPr="00445429" w14:paraId="2A164CEA" w14:textId="77777777" w:rsidTr="002E0614">
        <w:trPr>
          <w:trHeight w:val="20"/>
        </w:trPr>
        <w:tc>
          <w:tcPr>
            <w:tcW w:w="5000" w:type="pct"/>
            <w:vAlign w:val="center"/>
            <w:hideMark/>
          </w:tcPr>
          <w:p w14:paraId="4ABE1789" w14:textId="77777777" w:rsidR="00A819A0" w:rsidRDefault="00C81086" w:rsidP="002E0614">
            <w:pPr>
              <w:pStyle w:val="TableText0"/>
              <w:keepNext w:val="0"/>
              <w:widowControl w:val="0"/>
              <w:rPr>
                <w:rFonts w:cs="Arial"/>
                <w:szCs w:val="20"/>
              </w:rPr>
            </w:pPr>
            <w:r w:rsidRPr="00445429">
              <w:rPr>
                <w:rFonts w:cs="Arial"/>
                <w:szCs w:val="20"/>
              </w:rPr>
              <w:t>Patient must have received a positive polymerase chain reaction (PCR) test result; OR</w:t>
            </w:r>
            <w:r w:rsidR="00696519" w:rsidRPr="00696519">
              <w:rPr>
                <w:rFonts w:cs="Arial"/>
                <w:szCs w:val="20"/>
              </w:rPr>
              <w:t xml:space="preserve">                           </w:t>
            </w:r>
          </w:p>
          <w:p w14:paraId="42C21116" w14:textId="5DEC3BC7" w:rsidR="00C81086" w:rsidRPr="00445429" w:rsidRDefault="00C81086" w:rsidP="002E0614">
            <w:pPr>
              <w:pStyle w:val="TableText0"/>
              <w:keepNext w:val="0"/>
              <w:widowControl w:val="0"/>
              <w:rPr>
                <w:szCs w:val="20"/>
              </w:rPr>
            </w:pPr>
            <w:r w:rsidRPr="00445429">
              <w:rPr>
                <w:rFonts w:cs="Arial"/>
                <w:szCs w:val="20"/>
              </w:rPr>
              <w:t>Patient must have received a positive rapid antigen test (RAT) result</w:t>
            </w:r>
          </w:p>
        </w:tc>
      </w:tr>
      <w:tr w:rsidR="00445429" w:rsidRPr="00445429" w14:paraId="4AB329C0" w14:textId="77777777" w:rsidTr="002E0614">
        <w:trPr>
          <w:trHeight w:val="20"/>
        </w:trPr>
        <w:tc>
          <w:tcPr>
            <w:tcW w:w="5000" w:type="pct"/>
            <w:vAlign w:val="center"/>
            <w:hideMark/>
          </w:tcPr>
          <w:p w14:paraId="34917145" w14:textId="77777777" w:rsidR="00C81086" w:rsidRPr="00445429" w:rsidRDefault="00C81086" w:rsidP="002E0614">
            <w:pPr>
              <w:pStyle w:val="TableText0"/>
              <w:keepNext w:val="0"/>
              <w:widowControl w:val="0"/>
              <w:rPr>
                <w:szCs w:val="20"/>
              </w:rPr>
            </w:pPr>
            <w:r w:rsidRPr="00445429">
              <w:rPr>
                <w:b/>
                <w:szCs w:val="20"/>
              </w:rPr>
              <w:t>AND</w:t>
            </w:r>
          </w:p>
        </w:tc>
      </w:tr>
      <w:tr w:rsidR="00445429" w:rsidRPr="00445429" w14:paraId="295F2B72" w14:textId="77777777" w:rsidTr="002E0614">
        <w:trPr>
          <w:trHeight w:val="20"/>
        </w:trPr>
        <w:tc>
          <w:tcPr>
            <w:tcW w:w="5000" w:type="pct"/>
            <w:vAlign w:val="center"/>
            <w:hideMark/>
          </w:tcPr>
          <w:p w14:paraId="565581BE" w14:textId="77777777" w:rsidR="00C81086" w:rsidRPr="00445429" w:rsidRDefault="00C81086" w:rsidP="002E0614">
            <w:pPr>
              <w:pStyle w:val="TableText0"/>
              <w:keepNext w:val="0"/>
              <w:widowControl w:val="0"/>
              <w:rPr>
                <w:szCs w:val="20"/>
              </w:rPr>
            </w:pPr>
            <w:r w:rsidRPr="00445429">
              <w:rPr>
                <w:rFonts w:cs="Arial"/>
                <w:szCs w:val="20"/>
              </w:rPr>
              <w:t>Patient must have at least one sign or symptom attributable to COVID-19</w:t>
            </w:r>
          </w:p>
        </w:tc>
      </w:tr>
      <w:tr w:rsidR="00445429" w:rsidRPr="00445429" w14:paraId="348FE2D8" w14:textId="77777777" w:rsidTr="002E0614">
        <w:trPr>
          <w:trHeight w:val="20"/>
        </w:trPr>
        <w:tc>
          <w:tcPr>
            <w:tcW w:w="5000" w:type="pct"/>
            <w:vAlign w:val="center"/>
          </w:tcPr>
          <w:p w14:paraId="43126A96" w14:textId="77777777" w:rsidR="00C81086" w:rsidRPr="00445429" w:rsidRDefault="00C81086" w:rsidP="002E0614">
            <w:pPr>
              <w:pStyle w:val="TableText0"/>
              <w:keepNext w:val="0"/>
              <w:widowControl w:val="0"/>
              <w:rPr>
                <w:rFonts w:cs="Arial"/>
                <w:szCs w:val="20"/>
              </w:rPr>
            </w:pPr>
            <w:r w:rsidRPr="00445429">
              <w:rPr>
                <w:b/>
                <w:szCs w:val="20"/>
              </w:rPr>
              <w:t>AND</w:t>
            </w:r>
          </w:p>
        </w:tc>
      </w:tr>
      <w:tr w:rsidR="00445429" w:rsidRPr="00445429" w14:paraId="4E5AAA5A" w14:textId="77777777" w:rsidTr="002E0614">
        <w:trPr>
          <w:trHeight w:val="20"/>
        </w:trPr>
        <w:tc>
          <w:tcPr>
            <w:tcW w:w="5000" w:type="pct"/>
            <w:vAlign w:val="center"/>
          </w:tcPr>
          <w:p w14:paraId="0EFE56F5" w14:textId="77777777" w:rsidR="00C81086" w:rsidRPr="00445429" w:rsidRDefault="00C81086" w:rsidP="002E0614">
            <w:pPr>
              <w:pStyle w:val="TableText0"/>
              <w:keepNext w:val="0"/>
              <w:widowControl w:val="0"/>
              <w:rPr>
                <w:rFonts w:cs="Arial"/>
                <w:szCs w:val="20"/>
              </w:rPr>
            </w:pPr>
            <w:r w:rsidRPr="00445429">
              <w:rPr>
                <w:rFonts w:cs="Arial"/>
                <w:szCs w:val="20"/>
              </w:rPr>
              <w:t>Patient must not require hospitalisation for COVID-19 infection at the time of prescribing</w:t>
            </w:r>
          </w:p>
        </w:tc>
      </w:tr>
      <w:tr w:rsidR="00445429" w:rsidRPr="00445429" w14:paraId="290AFBB7" w14:textId="77777777" w:rsidTr="002E0614">
        <w:trPr>
          <w:trHeight w:val="20"/>
        </w:trPr>
        <w:tc>
          <w:tcPr>
            <w:tcW w:w="5000" w:type="pct"/>
            <w:vAlign w:val="center"/>
          </w:tcPr>
          <w:p w14:paraId="07462520" w14:textId="77777777" w:rsidR="00C81086" w:rsidRPr="00445429" w:rsidRDefault="00C81086" w:rsidP="002E0614">
            <w:pPr>
              <w:pStyle w:val="TableText0"/>
              <w:keepNext w:val="0"/>
              <w:widowControl w:val="0"/>
              <w:rPr>
                <w:rFonts w:cs="Arial"/>
                <w:szCs w:val="20"/>
              </w:rPr>
            </w:pPr>
            <w:r w:rsidRPr="00445429">
              <w:rPr>
                <w:b/>
                <w:szCs w:val="20"/>
              </w:rPr>
              <w:t>AND</w:t>
            </w:r>
          </w:p>
        </w:tc>
      </w:tr>
      <w:tr w:rsidR="00445429" w:rsidRPr="00445429" w14:paraId="0CB66058" w14:textId="77777777" w:rsidTr="002E0614">
        <w:trPr>
          <w:trHeight w:val="20"/>
        </w:trPr>
        <w:tc>
          <w:tcPr>
            <w:tcW w:w="5000" w:type="pct"/>
            <w:vAlign w:val="center"/>
          </w:tcPr>
          <w:p w14:paraId="25677313" w14:textId="77777777" w:rsidR="00C81086" w:rsidRPr="00445429" w:rsidRDefault="00C81086" w:rsidP="002E0614">
            <w:pPr>
              <w:pStyle w:val="TableText0"/>
              <w:keepNext w:val="0"/>
              <w:widowControl w:val="0"/>
              <w:rPr>
                <w:rFonts w:cs="Arial"/>
                <w:szCs w:val="20"/>
              </w:rPr>
            </w:pPr>
            <w:r w:rsidRPr="00445429">
              <w:rPr>
                <w:rFonts w:cs="Arial"/>
                <w:szCs w:val="20"/>
              </w:rPr>
              <w:t>The treatment must be initiated within 5 days of symptom onset</w:t>
            </w:r>
          </w:p>
        </w:tc>
      </w:tr>
      <w:tr w:rsidR="00445429" w:rsidRPr="00445429" w14:paraId="0C7F301F" w14:textId="77777777" w:rsidTr="002E0614">
        <w:trPr>
          <w:trHeight w:val="20"/>
        </w:trPr>
        <w:tc>
          <w:tcPr>
            <w:tcW w:w="5000" w:type="pct"/>
            <w:vAlign w:val="center"/>
            <w:hideMark/>
          </w:tcPr>
          <w:p w14:paraId="4B9ACB89" w14:textId="77777777" w:rsidR="00C81086" w:rsidRPr="00445429" w:rsidRDefault="00C81086" w:rsidP="002E0614">
            <w:pPr>
              <w:pStyle w:val="TableText0"/>
              <w:keepNext w:val="0"/>
              <w:widowControl w:val="0"/>
              <w:rPr>
                <w:szCs w:val="20"/>
              </w:rPr>
            </w:pPr>
            <w:r w:rsidRPr="00445429">
              <w:rPr>
                <w:b/>
                <w:szCs w:val="20"/>
              </w:rPr>
              <w:t>Population criteria:</w:t>
            </w:r>
          </w:p>
        </w:tc>
      </w:tr>
      <w:tr w:rsidR="00445429" w:rsidRPr="00445429" w14:paraId="0C0BF2BB" w14:textId="77777777" w:rsidTr="002E0614">
        <w:trPr>
          <w:trHeight w:val="20"/>
        </w:trPr>
        <w:tc>
          <w:tcPr>
            <w:tcW w:w="5000" w:type="pct"/>
            <w:vAlign w:val="center"/>
          </w:tcPr>
          <w:p w14:paraId="0665D794" w14:textId="77777777" w:rsidR="00C81086" w:rsidRPr="00445429" w:rsidRDefault="00C81086" w:rsidP="002E0614">
            <w:pPr>
              <w:widowControl w:val="0"/>
              <w:autoSpaceDE w:val="0"/>
              <w:autoSpaceDN w:val="0"/>
              <w:adjustRightInd w:val="0"/>
              <w:rPr>
                <w:rFonts w:ascii="Arial Narrow" w:hAnsi="Arial Narrow"/>
                <w:sz w:val="20"/>
                <w:szCs w:val="20"/>
              </w:rPr>
            </w:pPr>
            <w:r w:rsidRPr="00445429">
              <w:rPr>
                <w:rFonts w:ascii="Arial Narrow" w:hAnsi="Arial Narrow"/>
                <w:sz w:val="20"/>
                <w:szCs w:val="20"/>
              </w:rPr>
              <w:t>Patient must be each of: (i) identify as Aboriginal or Torres Strait Islander, (ii) at least 30 years of age, (iii) at high risk.</w:t>
            </w:r>
          </w:p>
        </w:tc>
      </w:tr>
      <w:tr w:rsidR="00445429" w:rsidRPr="00445429" w14:paraId="6BC70F5E" w14:textId="77777777" w:rsidTr="002E0614">
        <w:trPr>
          <w:trHeight w:val="20"/>
        </w:trPr>
        <w:tc>
          <w:tcPr>
            <w:tcW w:w="5000" w:type="pct"/>
            <w:vAlign w:val="center"/>
            <w:hideMark/>
          </w:tcPr>
          <w:p w14:paraId="416B989F" w14:textId="77777777" w:rsidR="00C81086" w:rsidRPr="00445429" w:rsidRDefault="00C81086" w:rsidP="002E0614">
            <w:pPr>
              <w:pStyle w:val="TableText0"/>
              <w:keepNext w:val="0"/>
              <w:widowControl w:val="0"/>
              <w:rPr>
                <w:b/>
                <w:szCs w:val="20"/>
              </w:rPr>
            </w:pPr>
            <w:r w:rsidRPr="00445429">
              <w:rPr>
                <w:b/>
                <w:szCs w:val="20"/>
              </w:rPr>
              <w:t xml:space="preserve">Prescribing Instructions: </w:t>
            </w:r>
          </w:p>
          <w:p w14:paraId="57CAD770" w14:textId="77777777" w:rsidR="00C81086" w:rsidRPr="00445429" w:rsidRDefault="00C81086" w:rsidP="002E0614">
            <w:pPr>
              <w:pStyle w:val="TableText0"/>
              <w:keepNext w:val="0"/>
              <w:widowControl w:val="0"/>
              <w:rPr>
                <w:szCs w:val="20"/>
              </w:rPr>
            </w:pPr>
            <w:r w:rsidRPr="00445429">
              <w:rPr>
                <w:szCs w:val="20"/>
              </w:rPr>
              <w:t>For the purpose of administering this restriction, high risk is defined as the presence of at least one of the following conditions:</w:t>
            </w:r>
          </w:p>
          <w:p w14:paraId="1BB7CF10" w14:textId="77777777" w:rsidR="00C81086" w:rsidRPr="00445429" w:rsidRDefault="00C81086" w:rsidP="002E0614">
            <w:pPr>
              <w:pStyle w:val="TableText0"/>
              <w:keepNext w:val="0"/>
              <w:widowControl w:val="0"/>
              <w:ind w:left="306" w:hanging="306"/>
              <w:rPr>
                <w:szCs w:val="20"/>
              </w:rPr>
            </w:pPr>
            <w:r w:rsidRPr="00445429">
              <w:rPr>
                <w:szCs w:val="20"/>
              </w:rPr>
              <w:t xml:space="preserve">1. </w:t>
            </w:r>
            <w:r w:rsidRPr="00445429">
              <w:rPr>
                <w:szCs w:val="20"/>
              </w:rPr>
              <w:tab/>
              <w:t>The patient is in residential aged care</w:t>
            </w:r>
          </w:p>
          <w:p w14:paraId="758F5773" w14:textId="77777777" w:rsidR="00C81086" w:rsidRPr="00445429" w:rsidRDefault="00C81086" w:rsidP="002E0614">
            <w:pPr>
              <w:pStyle w:val="TableText0"/>
              <w:keepNext w:val="0"/>
              <w:widowControl w:val="0"/>
              <w:ind w:left="306" w:hanging="306"/>
              <w:rPr>
                <w:szCs w:val="20"/>
              </w:rPr>
            </w:pPr>
            <w:r w:rsidRPr="00445429">
              <w:rPr>
                <w:szCs w:val="20"/>
              </w:rPr>
              <w:t xml:space="preserve">2. </w:t>
            </w:r>
            <w:r w:rsidRPr="00445429">
              <w:rPr>
                <w:szCs w:val="20"/>
              </w:rPr>
              <w:tab/>
              <w:t>The patient has disability with multiple comorbidities and/or frailty</w:t>
            </w:r>
          </w:p>
          <w:p w14:paraId="171AD14A" w14:textId="77777777" w:rsidR="00C81086" w:rsidRPr="00445429" w:rsidRDefault="00C81086" w:rsidP="002E0614">
            <w:pPr>
              <w:pStyle w:val="TableText0"/>
              <w:keepNext w:val="0"/>
              <w:widowControl w:val="0"/>
              <w:ind w:left="306" w:hanging="306"/>
              <w:rPr>
                <w:szCs w:val="20"/>
              </w:rPr>
            </w:pPr>
            <w:r w:rsidRPr="00445429">
              <w:rPr>
                <w:szCs w:val="20"/>
              </w:rPr>
              <w:t xml:space="preserve">3. </w:t>
            </w:r>
            <w:r w:rsidRPr="00445429">
              <w:rPr>
                <w:szCs w:val="20"/>
              </w:rPr>
              <w:tab/>
              <w:t>Neurological conditions, including stroke and dementia and demyelinating conditions</w:t>
            </w:r>
          </w:p>
          <w:p w14:paraId="7ADBB6C2" w14:textId="77777777" w:rsidR="00C81086" w:rsidRPr="00445429" w:rsidRDefault="00C81086" w:rsidP="002E0614">
            <w:pPr>
              <w:pStyle w:val="TableText0"/>
              <w:keepNext w:val="0"/>
              <w:widowControl w:val="0"/>
              <w:ind w:left="306" w:hanging="306"/>
              <w:rPr>
                <w:szCs w:val="20"/>
              </w:rPr>
            </w:pPr>
            <w:r w:rsidRPr="00445429">
              <w:rPr>
                <w:szCs w:val="20"/>
              </w:rPr>
              <w:t xml:space="preserve">4. </w:t>
            </w:r>
            <w:r w:rsidRPr="00445429">
              <w:rPr>
                <w:szCs w:val="20"/>
              </w:rPr>
              <w:tab/>
              <w:t>Respiratory compromise, including COPD, moderate or severe asthma (required inhaled steroids), and bronchiectasis, or caused by neurological or musculoskeletal disease</w:t>
            </w:r>
          </w:p>
          <w:p w14:paraId="59FF1721" w14:textId="77777777" w:rsidR="00C81086" w:rsidRPr="00445429" w:rsidRDefault="00C81086" w:rsidP="002E0614">
            <w:pPr>
              <w:pStyle w:val="TableText0"/>
              <w:keepNext w:val="0"/>
              <w:widowControl w:val="0"/>
              <w:ind w:left="306" w:hanging="306"/>
              <w:rPr>
                <w:szCs w:val="20"/>
              </w:rPr>
            </w:pPr>
            <w:r w:rsidRPr="00445429">
              <w:rPr>
                <w:szCs w:val="20"/>
              </w:rPr>
              <w:t xml:space="preserve">5. </w:t>
            </w:r>
            <w:r w:rsidRPr="00445429">
              <w:rPr>
                <w:szCs w:val="20"/>
              </w:rPr>
              <w:tab/>
              <w:t>Heart failure, coronary artery disease, cardiomyopathies</w:t>
            </w:r>
          </w:p>
          <w:p w14:paraId="2A272122" w14:textId="77777777" w:rsidR="00C81086" w:rsidRPr="00445429" w:rsidRDefault="00C81086" w:rsidP="002E0614">
            <w:pPr>
              <w:pStyle w:val="TableText0"/>
              <w:keepNext w:val="0"/>
              <w:widowControl w:val="0"/>
              <w:ind w:left="306" w:hanging="306"/>
              <w:rPr>
                <w:szCs w:val="20"/>
              </w:rPr>
            </w:pPr>
            <w:r w:rsidRPr="00445429">
              <w:rPr>
                <w:szCs w:val="20"/>
              </w:rPr>
              <w:t xml:space="preserve">6. </w:t>
            </w:r>
            <w:r w:rsidRPr="00445429">
              <w:rPr>
                <w:szCs w:val="20"/>
              </w:rPr>
              <w:tab/>
              <w:t>Obesity (BMI greater than 30 kg/m2)</w:t>
            </w:r>
          </w:p>
          <w:p w14:paraId="3A2EEE84" w14:textId="77777777" w:rsidR="00C81086" w:rsidRPr="00445429" w:rsidRDefault="00C81086" w:rsidP="002E0614">
            <w:pPr>
              <w:pStyle w:val="TableText0"/>
              <w:keepNext w:val="0"/>
              <w:widowControl w:val="0"/>
              <w:ind w:left="306" w:hanging="306"/>
              <w:rPr>
                <w:szCs w:val="20"/>
              </w:rPr>
            </w:pPr>
            <w:r w:rsidRPr="00445429">
              <w:rPr>
                <w:szCs w:val="20"/>
              </w:rPr>
              <w:t xml:space="preserve">7. </w:t>
            </w:r>
            <w:r w:rsidRPr="00445429">
              <w:rPr>
                <w:szCs w:val="20"/>
              </w:rPr>
              <w:tab/>
              <w:t>Diabetes type I or II, requiring medication for glycaemic control</w:t>
            </w:r>
          </w:p>
          <w:p w14:paraId="35811DA3" w14:textId="77777777" w:rsidR="00C81086" w:rsidRPr="00445429" w:rsidRDefault="00C81086" w:rsidP="002E0614">
            <w:pPr>
              <w:pStyle w:val="TableText0"/>
              <w:keepNext w:val="0"/>
              <w:widowControl w:val="0"/>
              <w:ind w:left="306" w:hanging="306"/>
              <w:rPr>
                <w:szCs w:val="20"/>
              </w:rPr>
            </w:pPr>
            <w:r w:rsidRPr="00445429">
              <w:rPr>
                <w:szCs w:val="20"/>
              </w:rPr>
              <w:t xml:space="preserve">8. </w:t>
            </w:r>
            <w:r w:rsidRPr="00445429">
              <w:rPr>
                <w:szCs w:val="20"/>
              </w:rPr>
              <w:tab/>
              <w:t>Renal impairment (eGFR less than 60mL/min)</w:t>
            </w:r>
          </w:p>
          <w:p w14:paraId="355ACE55" w14:textId="77777777" w:rsidR="00C81086" w:rsidRPr="00445429" w:rsidRDefault="00C81086" w:rsidP="002E0614">
            <w:pPr>
              <w:pStyle w:val="TableText0"/>
              <w:keepNext w:val="0"/>
              <w:widowControl w:val="0"/>
              <w:ind w:left="306" w:hanging="306"/>
              <w:rPr>
                <w:szCs w:val="20"/>
              </w:rPr>
            </w:pPr>
            <w:r w:rsidRPr="00445429">
              <w:rPr>
                <w:szCs w:val="20"/>
              </w:rPr>
              <w:t xml:space="preserve">9. </w:t>
            </w:r>
            <w:r w:rsidRPr="00445429">
              <w:rPr>
                <w:szCs w:val="20"/>
              </w:rPr>
              <w:tab/>
              <w:t>Cirrhosis</w:t>
            </w:r>
          </w:p>
          <w:p w14:paraId="77AA5DBB" w14:textId="77777777" w:rsidR="00C81086" w:rsidRPr="00445429" w:rsidRDefault="00C81086" w:rsidP="002E0614">
            <w:pPr>
              <w:pStyle w:val="TableText0"/>
              <w:keepNext w:val="0"/>
              <w:widowControl w:val="0"/>
              <w:ind w:left="306" w:hanging="306"/>
              <w:rPr>
                <w:szCs w:val="20"/>
              </w:rPr>
            </w:pPr>
            <w:r w:rsidRPr="00445429">
              <w:rPr>
                <w:szCs w:val="20"/>
              </w:rPr>
              <w:t>10.</w:t>
            </w:r>
            <w:r w:rsidRPr="00445429">
              <w:rPr>
                <w:szCs w:val="20"/>
              </w:rPr>
              <w:tab/>
              <w:t>The patient has reduced, or lack of, access to higher level healthcare and lives in an area of geographic remoteness classified by the Modified Monash Model as Category 5 or above</w:t>
            </w:r>
          </w:p>
          <w:p w14:paraId="5DDABA61" w14:textId="77777777" w:rsidR="00C81086" w:rsidRPr="00445429" w:rsidRDefault="00C81086" w:rsidP="002E0614">
            <w:pPr>
              <w:pStyle w:val="TableText0"/>
              <w:keepNext w:val="0"/>
              <w:widowControl w:val="0"/>
              <w:ind w:left="306" w:hanging="306"/>
              <w:rPr>
                <w:szCs w:val="20"/>
              </w:rPr>
            </w:pPr>
            <w:r w:rsidRPr="00445429">
              <w:rPr>
                <w:szCs w:val="20"/>
              </w:rPr>
              <w:t>11.</w:t>
            </w:r>
            <w:r w:rsidRPr="00445429">
              <w:rPr>
                <w:szCs w:val="20"/>
              </w:rPr>
              <w:tab/>
              <w:t>Past COVID-19 infection episode resulting in hospitalisation.</w:t>
            </w:r>
          </w:p>
          <w:p w14:paraId="2B2D075D" w14:textId="77777777" w:rsidR="00C81086" w:rsidRPr="00445429" w:rsidRDefault="00C81086" w:rsidP="002E0614">
            <w:pPr>
              <w:pStyle w:val="TableText0"/>
              <w:keepNext w:val="0"/>
              <w:widowControl w:val="0"/>
              <w:rPr>
                <w:szCs w:val="20"/>
              </w:rPr>
            </w:pPr>
            <w:r w:rsidRPr="00445429">
              <w:rPr>
                <w:szCs w:val="20"/>
              </w:rPr>
              <w:t>Details of the patient's medical condition necessitating use of this drug must be recorded in the patient's medical records.</w:t>
            </w:r>
          </w:p>
          <w:p w14:paraId="79803261" w14:textId="77777777" w:rsidR="00C81086" w:rsidRPr="00445429" w:rsidRDefault="00C81086" w:rsidP="002E0614">
            <w:pPr>
              <w:pStyle w:val="TableText0"/>
              <w:keepNext w:val="0"/>
              <w:widowControl w:val="0"/>
              <w:rPr>
                <w:szCs w:val="20"/>
              </w:rPr>
            </w:pPr>
          </w:p>
          <w:p w14:paraId="4619AAE6" w14:textId="77777777" w:rsidR="00C81086" w:rsidRPr="00445429" w:rsidRDefault="00C81086" w:rsidP="002E0614">
            <w:pPr>
              <w:pStyle w:val="TableText0"/>
              <w:keepNext w:val="0"/>
              <w:widowControl w:val="0"/>
              <w:rPr>
                <w:szCs w:val="20"/>
              </w:rPr>
            </w:pPr>
            <w:r w:rsidRPr="00445429">
              <w:rPr>
                <w:szCs w:val="20"/>
              </w:rPr>
              <w:t>For the purpose of administering this restriction, signs or symptoms attributable to COVID-19 are: fever greater than 38 degrees Celsius, chills, cough, sore throat, shortness of breath or difficulty breathing with exertion, fatigue, nasal congestion, runny nose, headache, muscle or body aches, nausea, vomiting, diarrhea, loss of taste, loss of smell.</w:t>
            </w:r>
          </w:p>
          <w:p w14:paraId="61BE168A" w14:textId="77777777" w:rsidR="00C81086" w:rsidRPr="00445429" w:rsidRDefault="00C81086" w:rsidP="002E0614">
            <w:pPr>
              <w:pStyle w:val="TableText0"/>
              <w:keepNext w:val="0"/>
              <w:widowControl w:val="0"/>
              <w:rPr>
                <w:szCs w:val="20"/>
              </w:rPr>
            </w:pPr>
          </w:p>
          <w:p w14:paraId="547395EE" w14:textId="77777777" w:rsidR="00C81086" w:rsidRPr="00445429" w:rsidRDefault="00C81086" w:rsidP="002E0614">
            <w:pPr>
              <w:pStyle w:val="TableText0"/>
              <w:keepNext w:val="0"/>
              <w:widowControl w:val="0"/>
              <w:rPr>
                <w:szCs w:val="20"/>
              </w:rPr>
            </w:pPr>
            <w:r w:rsidRPr="00445429">
              <w:rPr>
                <w:szCs w:val="20"/>
              </w:rPr>
              <w:t>Access to this drug through this restriction is permitted irrespective of vaccination status.</w:t>
            </w:r>
          </w:p>
          <w:p w14:paraId="714BB794" w14:textId="77777777" w:rsidR="00C81086" w:rsidRPr="00445429" w:rsidRDefault="00C81086" w:rsidP="002E0614">
            <w:pPr>
              <w:pStyle w:val="TableText0"/>
              <w:keepNext w:val="0"/>
              <w:widowControl w:val="0"/>
              <w:rPr>
                <w:szCs w:val="20"/>
              </w:rPr>
            </w:pPr>
          </w:p>
          <w:p w14:paraId="00CEAD18" w14:textId="77777777" w:rsidR="00C81086" w:rsidRPr="00445429" w:rsidRDefault="00C81086" w:rsidP="002E0614">
            <w:pPr>
              <w:pStyle w:val="TableText0"/>
              <w:keepNext w:val="0"/>
              <w:widowControl w:val="0"/>
              <w:rPr>
                <w:szCs w:val="20"/>
              </w:rPr>
            </w:pPr>
            <w:r w:rsidRPr="00445429">
              <w:rPr>
                <w:szCs w:val="20"/>
              </w:rPr>
              <w:t>Where PCR is used to confirm diagnosis, the result, testing date, location and test provider must be recorded on the patient record.</w:t>
            </w:r>
          </w:p>
          <w:p w14:paraId="13D31CCE" w14:textId="77777777" w:rsidR="00C81086" w:rsidRPr="00445429" w:rsidRDefault="00C81086" w:rsidP="002E0614">
            <w:pPr>
              <w:pStyle w:val="TableText0"/>
              <w:keepNext w:val="0"/>
              <w:widowControl w:val="0"/>
              <w:rPr>
                <w:szCs w:val="20"/>
              </w:rPr>
            </w:pPr>
          </w:p>
          <w:p w14:paraId="2504CF53" w14:textId="77777777" w:rsidR="00C81086" w:rsidRPr="00445429" w:rsidRDefault="00C81086" w:rsidP="002E0614">
            <w:pPr>
              <w:pStyle w:val="TableText0"/>
              <w:keepNext w:val="0"/>
              <w:widowControl w:val="0"/>
              <w:rPr>
                <w:szCs w:val="20"/>
              </w:rPr>
            </w:pPr>
            <w:r w:rsidRPr="00445429">
              <w:rPr>
                <w:szCs w:val="20"/>
              </w:rPr>
              <w:t>Where a RAT is used to confirm diagnosis, available information about the test result, testing date, location and test provider (where relevant) must be recorded on the patient record.</w:t>
            </w:r>
          </w:p>
          <w:p w14:paraId="449262E1" w14:textId="77777777" w:rsidR="00C81086" w:rsidRPr="00445429" w:rsidRDefault="00C81086" w:rsidP="002E0614">
            <w:pPr>
              <w:pStyle w:val="TableText0"/>
              <w:keepNext w:val="0"/>
              <w:widowControl w:val="0"/>
              <w:rPr>
                <w:szCs w:val="20"/>
              </w:rPr>
            </w:pPr>
          </w:p>
          <w:p w14:paraId="3EE82B04" w14:textId="77777777" w:rsidR="00C81086" w:rsidRPr="00445429" w:rsidRDefault="00C81086" w:rsidP="002E0614">
            <w:pPr>
              <w:pStyle w:val="TableText0"/>
              <w:keepNext w:val="0"/>
              <w:widowControl w:val="0"/>
              <w:rPr>
                <w:szCs w:val="20"/>
              </w:rPr>
            </w:pPr>
            <w:r w:rsidRPr="00445429">
              <w:rPr>
                <w:szCs w:val="20"/>
              </w:rPr>
              <w:t>This drug is not PBS-subsidised for pre-exposure or post-exposure prophylaxis for the prevention of SARS-CoV-2 infection.</w:t>
            </w:r>
          </w:p>
        </w:tc>
      </w:tr>
      <w:tr w:rsidR="00C81086" w:rsidRPr="00484AE9" w14:paraId="3DDE271A" w14:textId="77777777" w:rsidTr="002E0614">
        <w:trPr>
          <w:trHeight w:val="20"/>
        </w:trPr>
        <w:tc>
          <w:tcPr>
            <w:tcW w:w="5000" w:type="pct"/>
            <w:vAlign w:val="center"/>
          </w:tcPr>
          <w:p w14:paraId="4EA57DF6" w14:textId="58D0BC6D" w:rsidR="00C81086" w:rsidRPr="00484AE9" w:rsidRDefault="00C81086" w:rsidP="002E0614">
            <w:pPr>
              <w:pStyle w:val="TableText0"/>
              <w:keepNext w:val="0"/>
              <w:widowControl w:val="0"/>
              <w:rPr>
                <w:bCs w:val="0"/>
                <w:szCs w:val="20"/>
              </w:rPr>
            </w:pPr>
            <w:r w:rsidRPr="00484AE9">
              <w:rPr>
                <w:b/>
                <w:szCs w:val="20"/>
              </w:rPr>
              <w:t>Administrative Advice:</w:t>
            </w:r>
            <w:r w:rsidRPr="00484AE9">
              <w:rPr>
                <w:bCs w:val="0"/>
                <w:szCs w:val="20"/>
              </w:rPr>
              <w:t xml:space="preserve"> The Modified Monash Model categorises an area according to geographical remoteness and town size. Details can be found at: </w:t>
            </w:r>
            <w:hyperlink r:id="rId21" w:history="1">
              <w:r w:rsidRPr="00484AE9">
                <w:rPr>
                  <w:rStyle w:val="Hyperlink"/>
                  <w:bCs w:val="0"/>
                  <w:szCs w:val="20"/>
                </w:rPr>
                <w:t>https://www.health.gov.au/health-topics/rural-health-workforce/classifications/mmm</w:t>
              </w:r>
            </w:hyperlink>
            <w:r w:rsidRPr="00484AE9">
              <w:rPr>
                <w:bCs w:val="0"/>
                <w:szCs w:val="20"/>
              </w:rPr>
              <w:t xml:space="preserve"> </w:t>
            </w:r>
          </w:p>
        </w:tc>
      </w:tr>
      <w:tr w:rsidR="00C81086" w:rsidRPr="00484AE9" w14:paraId="18DC056E" w14:textId="77777777" w:rsidTr="002E0614">
        <w:trPr>
          <w:trHeight w:val="20"/>
        </w:trPr>
        <w:tc>
          <w:tcPr>
            <w:tcW w:w="5000" w:type="pct"/>
            <w:vAlign w:val="center"/>
            <w:hideMark/>
          </w:tcPr>
          <w:p w14:paraId="0E8ED708" w14:textId="77777777" w:rsidR="00C81086" w:rsidRPr="00484AE9" w:rsidRDefault="00C81086" w:rsidP="002E0614">
            <w:pPr>
              <w:pStyle w:val="TableText0"/>
              <w:keepNext w:val="0"/>
              <w:widowControl w:val="0"/>
              <w:rPr>
                <w:iCs/>
                <w:szCs w:val="20"/>
              </w:rPr>
            </w:pPr>
            <w:r w:rsidRPr="00484AE9">
              <w:rPr>
                <w:b/>
                <w:iCs/>
                <w:szCs w:val="20"/>
              </w:rPr>
              <w:t>Caution:</w:t>
            </w:r>
            <w:r w:rsidRPr="00484AE9">
              <w:rPr>
                <w:b/>
                <w:iCs/>
                <w:szCs w:val="20"/>
              </w:rPr>
              <w:br/>
            </w:r>
            <w:r w:rsidRPr="00484AE9">
              <w:rPr>
                <w:bCs w:val="0"/>
                <w:iCs/>
                <w:szCs w:val="20"/>
              </w:rPr>
              <w:t>Nirmatrelvir with ritonavir has significant drug-drug interactions. Please refer to the TGA approved Nirmatrelvir and ritonavir Product Information. Prescribers and dispensers should carefully review a patient's concomitant medications including over-the-counter medications, herbal supplements, and recreational drugs.</w:t>
            </w:r>
          </w:p>
        </w:tc>
      </w:tr>
      <w:tr w:rsidR="00C81086" w:rsidRPr="00484AE9" w14:paraId="7C8F52E9" w14:textId="77777777" w:rsidTr="002E0614">
        <w:trPr>
          <w:trHeight w:val="20"/>
        </w:trPr>
        <w:tc>
          <w:tcPr>
            <w:tcW w:w="5000" w:type="pct"/>
            <w:tcBorders>
              <w:top w:val="single" w:sz="4" w:space="0" w:color="auto"/>
              <w:left w:val="single" w:sz="4" w:space="0" w:color="auto"/>
              <w:bottom w:val="single" w:sz="4" w:space="0" w:color="auto"/>
              <w:right w:val="single" w:sz="4" w:space="0" w:color="auto"/>
            </w:tcBorders>
            <w:vAlign w:val="center"/>
            <w:hideMark/>
          </w:tcPr>
          <w:p w14:paraId="4BC9174A" w14:textId="77777777" w:rsidR="00C81086" w:rsidRPr="00484AE9" w:rsidRDefault="00C81086" w:rsidP="002E0614">
            <w:pPr>
              <w:pStyle w:val="TableText0"/>
              <w:keepNext w:val="0"/>
              <w:widowControl w:val="0"/>
              <w:rPr>
                <w:b/>
                <w:iCs/>
                <w:szCs w:val="20"/>
              </w:rPr>
            </w:pPr>
            <w:r w:rsidRPr="00484AE9">
              <w:rPr>
                <w:b/>
                <w:iCs/>
                <w:szCs w:val="20"/>
              </w:rPr>
              <w:lastRenderedPageBreak/>
              <w:t>Administrative Advice:</w:t>
            </w:r>
            <w:r w:rsidRPr="00484AE9">
              <w:rPr>
                <w:bCs w:val="0"/>
                <w:iCs/>
                <w:szCs w:val="20"/>
              </w:rPr>
              <w:t xml:space="preserve"> No increase in the maximum quantity or number of units may be authorised.</w:t>
            </w:r>
          </w:p>
        </w:tc>
      </w:tr>
      <w:tr w:rsidR="00C81086" w:rsidRPr="00484AE9" w14:paraId="63AD4BC8" w14:textId="77777777" w:rsidTr="002E0614">
        <w:trPr>
          <w:trHeight w:val="20"/>
        </w:trPr>
        <w:tc>
          <w:tcPr>
            <w:tcW w:w="5000" w:type="pct"/>
            <w:tcBorders>
              <w:top w:val="single" w:sz="4" w:space="0" w:color="auto"/>
              <w:left w:val="single" w:sz="4" w:space="0" w:color="auto"/>
              <w:bottom w:val="single" w:sz="4" w:space="0" w:color="auto"/>
              <w:right w:val="single" w:sz="4" w:space="0" w:color="auto"/>
            </w:tcBorders>
            <w:vAlign w:val="center"/>
            <w:hideMark/>
          </w:tcPr>
          <w:p w14:paraId="216CBD77" w14:textId="77777777" w:rsidR="00C81086" w:rsidRPr="00484AE9" w:rsidRDefault="00C81086" w:rsidP="002E0614">
            <w:pPr>
              <w:pStyle w:val="TableText0"/>
              <w:keepNext w:val="0"/>
              <w:widowControl w:val="0"/>
              <w:rPr>
                <w:b/>
                <w:iCs/>
                <w:szCs w:val="20"/>
              </w:rPr>
            </w:pPr>
            <w:r w:rsidRPr="00484AE9">
              <w:rPr>
                <w:b/>
                <w:iCs/>
                <w:szCs w:val="20"/>
              </w:rPr>
              <w:t>Administrative Advice:</w:t>
            </w:r>
            <w:r w:rsidRPr="00484AE9">
              <w:rPr>
                <w:bCs w:val="0"/>
                <w:iCs/>
                <w:szCs w:val="20"/>
              </w:rPr>
              <w:t xml:space="preserve"> No increase in the maximum number of repeats may be authorised.</w:t>
            </w:r>
          </w:p>
        </w:tc>
      </w:tr>
    </w:tbl>
    <w:p w14:paraId="0A41116D" w14:textId="77777777" w:rsidR="00C81086" w:rsidRPr="00484AE9" w:rsidRDefault="00C81086" w:rsidP="00C81086">
      <w:pPr>
        <w:widowControl w:val="0"/>
        <w:jc w:val="left"/>
        <w:rPr>
          <w:rFonts w:ascii="Arial Narrow" w:eastAsiaTheme="majorEastAsia" w:hAnsi="Arial Narrow" w:cstheme="majorBidi"/>
          <w:b/>
          <w:bCs/>
          <w:sz w:val="20"/>
        </w:rPr>
      </w:pPr>
    </w:p>
    <w:p w14:paraId="7D4626EF" w14:textId="5D742832" w:rsidR="00C81086" w:rsidRPr="00484AE9" w:rsidRDefault="003C1DD1" w:rsidP="00C81086">
      <w:pPr>
        <w:pStyle w:val="Caption"/>
        <w:keepNext w:val="0"/>
        <w:keepLines w:val="0"/>
        <w:widowControl w:val="0"/>
      </w:pPr>
      <w:r w:rsidRPr="00484AE9">
        <w:t>R</w:t>
      </w:r>
      <w:r w:rsidR="00C81086" w:rsidRPr="00484AE9">
        <w:t xml:space="preserve">estriction for nirmatrelvir and ritonavir for patients aged 50 - 69 years with </w:t>
      </w:r>
      <w:r w:rsidR="00C81086" w:rsidRPr="00484AE9">
        <w:rPr>
          <w:strike/>
          <w:color w:val="FF0000"/>
        </w:rPr>
        <w:t xml:space="preserve">one </w:t>
      </w:r>
      <w:r w:rsidR="00C81086" w:rsidRPr="00484AE9">
        <w:rPr>
          <w:i/>
          <w:iCs/>
          <w:color w:val="FF0000"/>
        </w:rPr>
        <w:t xml:space="preserve">two </w:t>
      </w:r>
      <w:r w:rsidR="00C81086" w:rsidRPr="00484AE9">
        <w:rPr>
          <w:color w:val="FF0000"/>
        </w:rPr>
        <w:t>risk factor</w:t>
      </w:r>
      <w:r w:rsidR="00C81086" w:rsidRPr="00484AE9">
        <w:rPr>
          <w:i/>
          <w:iCs/>
          <w:color w:val="FF0000"/>
        </w:rPr>
        <w: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57" w:type="dxa"/>
          <w:bottom w:w="15" w:type="dxa"/>
          <w:right w:w="57" w:type="dxa"/>
        </w:tblCellMar>
        <w:tblLook w:val="04A0" w:firstRow="1" w:lastRow="0" w:firstColumn="1" w:lastColumn="0" w:noHBand="0" w:noVBand="1"/>
      </w:tblPr>
      <w:tblGrid>
        <w:gridCol w:w="9017"/>
      </w:tblGrid>
      <w:tr w:rsidR="00C81086" w:rsidRPr="00484AE9" w14:paraId="3B7E7AE1" w14:textId="77777777" w:rsidTr="002E0614">
        <w:trPr>
          <w:trHeight w:val="20"/>
        </w:trPr>
        <w:tc>
          <w:tcPr>
            <w:tcW w:w="5000" w:type="pct"/>
          </w:tcPr>
          <w:p w14:paraId="0750A2B4" w14:textId="77777777" w:rsidR="00C81086" w:rsidRPr="00484AE9" w:rsidRDefault="00C81086" w:rsidP="002E0614">
            <w:pPr>
              <w:pStyle w:val="TableText0"/>
              <w:keepNext w:val="0"/>
              <w:widowControl w:val="0"/>
              <w:rPr>
                <w:szCs w:val="20"/>
              </w:rPr>
            </w:pPr>
            <w:r w:rsidRPr="00484AE9">
              <w:rPr>
                <w:b/>
                <w:szCs w:val="20"/>
              </w:rPr>
              <w:t xml:space="preserve">Category / Program: </w:t>
            </w:r>
            <w:r w:rsidRPr="00484AE9">
              <w:rPr>
                <w:szCs w:val="20"/>
              </w:rPr>
              <w:t>General Schedule</w:t>
            </w:r>
          </w:p>
        </w:tc>
      </w:tr>
      <w:tr w:rsidR="00C81086" w:rsidRPr="00484AE9" w14:paraId="7F5E28AB" w14:textId="77777777" w:rsidTr="002E0614">
        <w:trPr>
          <w:trHeight w:val="20"/>
        </w:trPr>
        <w:tc>
          <w:tcPr>
            <w:tcW w:w="5000" w:type="pct"/>
          </w:tcPr>
          <w:p w14:paraId="7E3CD902" w14:textId="77777777" w:rsidR="00C81086" w:rsidRPr="00484AE9" w:rsidRDefault="00C81086" w:rsidP="002E0614">
            <w:pPr>
              <w:pStyle w:val="TableText0"/>
              <w:keepNext w:val="0"/>
              <w:widowControl w:val="0"/>
              <w:rPr>
                <w:b/>
                <w:szCs w:val="20"/>
              </w:rPr>
            </w:pPr>
            <w:r w:rsidRPr="00484AE9">
              <w:rPr>
                <w:b/>
                <w:szCs w:val="20"/>
              </w:rPr>
              <w:t xml:space="preserve">Prescriber type: </w:t>
            </w:r>
            <w:r w:rsidRPr="00484AE9">
              <w:rPr>
                <w:szCs w:val="20"/>
              </w:rPr>
              <w:fldChar w:fldCharType="begin">
                <w:ffData>
                  <w:name w:val="Check1"/>
                  <w:enabled/>
                  <w:calcOnExit w:val="0"/>
                  <w:checkBox>
                    <w:sizeAuto/>
                    <w:default w:val="0"/>
                  </w:checkBox>
                </w:ffData>
              </w:fldChar>
            </w:r>
            <w:r w:rsidRPr="00484AE9">
              <w:rPr>
                <w:szCs w:val="20"/>
              </w:rPr>
              <w:instrText xml:space="preserve"> FORMCHECKBOX </w:instrText>
            </w:r>
            <w:r w:rsidR="00872657">
              <w:rPr>
                <w:szCs w:val="20"/>
              </w:rPr>
            </w:r>
            <w:r w:rsidR="00872657">
              <w:rPr>
                <w:szCs w:val="20"/>
              </w:rPr>
              <w:fldChar w:fldCharType="separate"/>
            </w:r>
            <w:r w:rsidRPr="00484AE9">
              <w:rPr>
                <w:szCs w:val="20"/>
              </w:rPr>
              <w:fldChar w:fldCharType="end"/>
            </w:r>
            <w:r w:rsidRPr="00484AE9">
              <w:rPr>
                <w:szCs w:val="20"/>
              </w:rPr>
              <w:t xml:space="preserve">Dental </w:t>
            </w:r>
            <w:r w:rsidRPr="00484AE9">
              <w:rPr>
                <w:szCs w:val="20"/>
              </w:rPr>
              <w:fldChar w:fldCharType="begin">
                <w:ffData>
                  <w:name w:val=""/>
                  <w:enabled/>
                  <w:calcOnExit w:val="0"/>
                  <w:checkBox>
                    <w:sizeAuto/>
                    <w:default w:val="1"/>
                  </w:checkBox>
                </w:ffData>
              </w:fldChar>
            </w:r>
            <w:r w:rsidRPr="00484AE9">
              <w:rPr>
                <w:szCs w:val="20"/>
              </w:rPr>
              <w:instrText xml:space="preserve"> FORMCHECKBOX </w:instrText>
            </w:r>
            <w:r w:rsidR="00872657">
              <w:rPr>
                <w:szCs w:val="20"/>
              </w:rPr>
            </w:r>
            <w:r w:rsidR="00872657">
              <w:rPr>
                <w:szCs w:val="20"/>
              </w:rPr>
              <w:fldChar w:fldCharType="separate"/>
            </w:r>
            <w:r w:rsidRPr="00484AE9">
              <w:rPr>
                <w:szCs w:val="20"/>
              </w:rPr>
              <w:fldChar w:fldCharType="end"/>
            </w:r>
            <w:r w:rsidRPr="00484AE9">
              <w:rPr>
                <w:szCs w:val="20"/>
              </w:rPr>
              <w:t xml:space="preserve">Medical Practitioners </w:t>
            </w:r>
            <w:r w:rsidRPr="00484AE9">
              <w:rPr>
                <w:szCs w:val="20"/>
              </w:rPr>
              <w:fldChar w:fldCharType="begin">
                <w:ffData>
                  <w:name w:val=""/>
                  <w:enabled/>
                  <w:calcOnExit w:val="0"/>
                  <w:checkBox>
                    <w:sizeAuto/>
                    <w:default w:val="1"/>
                  </w:checkBox>
                </w:ffData>
              </w:fldChar>
            </w:r>
            <w:r w:rsidRPr="00484AE9">
              <w:rPr>
                <w:szCs w:val="20"/>
              </w:rPr>
              <w:instrText xml:space="preserve"> FORMCHECKBOX </w:instrText>
            </w:r>
            <w:r w:rsidR="00872657">
              <w:rPr>
                <w:szCs w:val="20"/>
              </w:rPr>
            </w:r>
            <w:r w:rsidR="00872657">
              <w:rPr>
                <w:szCs w:val="20"/>
              </w:rPr>
              <w:fldChar w:fldCharType="separate"/>
            </w:r>
            <w:r w:rsidRPr="00484AE9">
              <w:rPr>
                <w:szCs w:val="20"/>
              </w:rPr>
              <w:fldChar w:fldCharType="end"/>
            </w:r>
            <w:r w:rsidRPr="00484AE9">
              <w:rPr>
                <w:szCs w:val="20"/>
              </w:rPr>
              <w:t xml:space="preserve">Nurse practitioners </w:t>
            </w:r>
            <w:r w:rsidRPr="00484AE9">
              <w:rPr>
                <w:szCs w:val="20"/>
              </w:rPr>
              <w:fldChar w:fldCharType="begin">
                <w:ffData>
                  <w:name w:val=""/>
                  <w:enabled/>
                  <w:calcOnExit w:val="0"/>
                  <w:checkBox>
                    <w:sizeAuto/>
                    <w:default w:val="0"/>
                  </w:checkBox>
                </w:ffData>
              </w:fldChar>
            </w:r>
            <w:r w:rsidRPr="00484AE9">
              <w:rPr>
                <w:szCs w:val="20"/>
              </w:rPr>
              <w:instrText xml:space="preserve"> FORMCHECKBOX </w:instrText>
            </w:r>
            <w:r w:rsidR="00872657">
              <w:rPr>
                <w:szCs w:val="20"/>
              </w:rPr>
            </w:r>
            <w:r w:rsidR="00872657">
              <w:rPr>
                <w:szCs w:val="20"/>
              </w:rPr>
              <w:fldChar w:fldCharType="separate"/>
            </w:r>
            <w:r w:rsidRPr="00484AE9">
              <w:rPr>
                <w:szCs w:val="20"/>
              </w:rPr>
              <w:fldChar w:fldCharType="end"/>
            </w:r>
            <w:r w:rsidRPr="00484AE9">
              <w:rPr>
                <w:szCs w:val="20"/>
              </w:rPr>
              <w:t xml:space="preserve">Optometrists </w:t>
            </w:r>
            <w:r w:rsidRPr="00484AE9">
              <w:rPr>
                <w:szCs w:val="20"/>
              </w:rPr>
              <w:fldChar w:fldCharType="begin">
                <w:ffData>
                  <w:name w:val="Check5"/>
                  <w:enabled/>
                  <w:calcOnExit w:val="0"/>
                  <w:checkBox>
                    <w:sizeAuto/>
                    <w:default w:val="0"/>
                  </w:checkBox>
                </w:ffData>
              </w:fldChar>
            </w:r>
            <w:r w:rsidRPr="00484AE9">
              <w:rPr>
                <w:szCs w:val="20"/>
              </w:rPr>
              <w:instrText xml:space="preserve"> FORMCHECKBOX </w:instrText>
            </w:r>
            <w:r w:rsidR="00872657">
              <w:rPr>
                <w:szCs w:val="20"/>
              </w:rPr>
            </w:r>
            <w:r w:rsidR="00872657">
              <w:rPr>
                <w:szCs w:val="20"/>
              </w:rPr>
              <w:fldChar w:fldCharType="separate"/>
            </w:r>
            <w:r w:rsidRPr="00484AE9">
              <w:rPr>
                <w:szCs w:val="20"/>
              </w:rPr>
              <w:fldChar w:fldCharType="end"/>
            </w:r>
          </w:p>
        </w:tc>
      </w:tr>
      <w:tr w:rsidR="00C81086" w:rsidRPr="00484AE9" w14:paraId="112000D9" w14:textId="77777777" w:rsidTr="002E0614">
        <w:trPr>
          <w:trHeight w:val="20"/>
        </w:trPr>
        <w:tc>
          <w:tcPr>
            <w:tcW w:w="5000" w:type="pct"/>
          </w:tcPr>
          <w:p w14:paraId="5A4B2D91" w14:textId="402BAC43" w:rsidR="00C81086" w:rsidRPr="00484AE9" w:rsidRDefault="00C81086" w:rsidP="002E0614">
            <w:pPr>
              <w:pStyle w:val="TableText0"/>
              <w:keepNext w:val="0"/>
              <w:widowControl w:val="0"/>
              <w:rPr>
                <w:rFonts w:eastAsia="Times New Roman"/>
                <w:szCs w:val="20"/>
              </w:rPr>
            </w:pPr>
            <w:r w:rsidRPr="00484AE9">
              <w:rPr>
                <w:b/>
                <w:szCs w:val="20"/>
              </w:rPr>
              <w:t>Restriction type:</w:t>
            </w:r>
            <w:r w:rsidR="00F76D9A">
              <w:rPr>
                <w:b/>
                <w:szCs w:val="20"/>
              </w:rPr>
              <w:t xml:space="preserve"> </w:t>
            </w:r>
            <w:r w:rsidRPr="00484AE9">
              <w:rPr>
                <w:rFonts w:eastAsia="Times New Roman"/>
                <w:szCs w:val="20"/>
              </w:rPr>
              <w:fldChar w:fldCharType="begin">
                <w:ffData>
                  <w:name w:val=""/>
                  <w:enabled/>
                  <w:calcOnExit w:val="0"/>
                  <w:checkBox>
                    <w:sizeAuto/>
                    <w:default w:val="1"/>
                  </w:checkBox>
                </w:ffData>
              </w:fldChar>
            </w:r>
            <w:r w:rsidRPr="00484AE9">
              <w:rPr>
                <w:rFonts w:eastAsia="Times New Roman"/>
                <w:szCs w:val="20"/>
              </w:rPr>
              <w:instrText xml:space="preserve"> FORMCHECKBOX </w:instrText>
            </w:r>
            <w:r w:rsidR="00872657">
              <w:rPr>
                <w:rFonts w:eastAsia="Times New Roman"/>
                <w:szCs w:val="20"/>
              </w:rPr>
            </w:r>
            <w:r w:rsidR="00872657">
              <w:rPr>
                <w:rFonts w:eastAsia="Times New Roman"/>
                <w:szCs w:val="20"/>
              </w:rPr>
              <w:fldChar w:fldCharType="separate"/>
            </w:r>
            <w:r w:rsidRPr="00484AE9">
              <w:rPr>
                <w:rFonts w:eastAsia="Times New Roman"/>
                <w:szCs w:val="20"/>
              </w:rPr>
              <w:fldChar w:fldCharType="end"/>
            </w:r>
            <w:r w:rsidRPr="00484AE9">
              <w:rPr>
                <w:rFonts w:eastAsia="Times New Roman"/>
                <w:szCs w:val="20"/>
              </w:rPr>
              <w:t xml:space="preserve">Authority Required (STREAMLINED) </w:t>
            </w:r>
          </w:p>
        </w:tc>
      </w:tr>
      <w:tr w:rsidR="00C81086" w:rsidRPr="00484AE9" w14:paraId="46B3354E" w14:textId="77777777" w:rsidTr="002E0614">
        <w:trPr>
          <w:trHeight w:val="20"/>
        </w:trPr>
        <w:tc>
          <w:tcPr>
            <w:tcW w:w="5000" w:type="pct"/>
            <w:vAlign w:val="center"/>
            <w:hideMark/>
          </w:tcPr>
          <w:p w14:paraId="13CD5143" w14:textId="77777777" w:rsidR="00C81086" w:rsidRPr="00484AE9" w:rsidRDefault="00C81086" w:rsidP="002E0614">
            <w:pPr>
              <w:pStyle w:val="TableText0"/>
              <w:keepNext w:val="0"/>
              <w:widowControl w:val="0"/>
              <w:rPr>
                <w:szCs w:val="20"/>
              </w:rPr>
            </w:pPr>
            <w:r w:rsidRPr="00484AE9">
              <w:rPr>
                <w:b/>
                <w:szCs w:val="20"/>
              </w:rPr>
              <w:t>Indication:</w:t>
            </w:r>
            <w:r w:rsidRPr="00484AE9">
              <w:rPr>
                <w:szCs w:val="20"/>
              </w:rPr>
              <w:t xml:space="preserve"> </w:t>
            </w:r>
            <w:r w:rsidRPr="00484AE9">
              <w:rPr>
                <w:bCs w:val="0"/>
                <w:szCs w:val="20"/>
              </w:rPr>
              <w:t>SARS-CoV-2 infection</w:t>
            </w:r>
          </w:p>
        </w:tc>
      </w:tr>
      <w:tr w:rsidR="00C81086" w:rsidRPr="00484AE9" w14:paraId="748E60A9" w14:textId="77777777" w:rsidTr="002E0614">
        <w:trPr>
          <w:trHeight w:val="20"/>
        </w:trPr>
        <w:tc>
          <w:tcPr>
            <w:tcW w:w="5000" w:type="pct"/>
            <w:vAlign w:val="center"/>
            <w:hideMark/>
          </w:tcPr>
          <w:p w14:paraId="6410D37D" w14:textId="77777777" w:rsidR="00C81086" w:rsidRPr="00484AE9" w:rsidRDefault="00C81086" w:rsidP="002E0614">
            <w:pPr>
              <w:pStyle w:val="TableText0"/>
              <w:keepNext w:val="0"/>
              <w:widowControl w:val="0"/>
              <w:rPr>
                <w:szCs w:val="20"/>
              </w:rPr>
            </w:pPr>
            <w:r w:rsidRPr="00484AE9">
              <w:rPr>
                <w:b/>
                <w:szCs w:val="20"/>
              </w:rPr>
              <w:t>Clinical criteria:</w:t>
            </w:r>
          </w:p>
        </w:tc>
      </w:tr>
      <w:tr w:rsidR="00C81086" w:rsidRPr="00484AE9" w14:paraId="696A21FC" w14:textId="77777777" w:rsidTr="002E0614">
        <w:trPr>
          <w:trHeight w:val="20"/>
        </w:trPr>
        <w:tc>
          <w:tcPr>
            <w:tcW w:w="5000" w:type="pct"/>
            <w:vAlign w:val="center"/>
            <w:hideMark/>
          </w:tcPr>
          <w:p w14:paraId="098DA19E" w14:textId="77777777" w:rsidR="00A819A0" w:rsidRDefault="00C81086" w:rsidP="002E0614">
            <w:pPr>
              <w:pStyle w:val="TableText0"/>
              <w:keepNext w:val="0"/>
              <w:widowControl w:val="0"/>
              <w:rPr>
                <w:rFonts w:cs="Arial"/>
                <w:szCs w:val="20"/>
              </w:rPr>
            </w:pPr>
            <w:r w:rsidRPr="00484AE9">
              <w:rPr>
                <w:rFonts w:cs="Arial"/>
                <w:szCs w:val="20"/>
              </w:rPr>
              <w:t>Patient must have received a positive polymerase chain reaction (PCR) test result; OR</w:t>
            </w:r>
            <w:r w:rsidR="00696519" w:rsidRPr="00696519">
              <w:rPr>
                <w:rFonts w:cs="Arial"/>
                <w:szCs w:val="20"/>
              </w:rPr>
              <w:t xml:space="preserve">                          </w:t>
            </w:r>
            <w:r w:rsidRPr="00484AE9">
              <w:rPr>
                <w:rFonts w:cs="Arial"/>
                <w:szCs w:val="20"/>
              </w:rPr>
              <w:t xml:space="preserve"> </w:t>
            </w:r>
          </w:p>
          <w:p w14:paraId="151F3613" w14:textId="27CD499C" w:rsidR="00C81086" w:rsidRPr="00484AE9" w:rsidRDefault="00C81086" w:rsidP="002E0614">
            <w:pPr>
              <w:pStyle w:val="TableText0"/>
              <w:keepNext w:val="0"/>
              <w:widowControl w:val="0"/>
              <w:rPr>
                <w:szCs w:val="20"/>
              </w:rPr>
            </w:pPr>
            <w:r w:rsidRPr="00484AE9">
              <w:rPr>
                <w:rFonts w:cs="Arial"/>
                <w:szCs w:val="20"/>
              </w:rPr>
              <w:t>Patient must have received a positive rapid antigen test (RAT) result</w:t>
            </w:r>
          </w:p>
        </w:tc>
      </w:tr>
      <w:tr w:rsidR="00C81086" w:rsidRPr="00484AE9" w14:paraId="400A1C48" w14:textId="77777777" w:rsidTr="002E0614">
        <w:trPr>
          <w:trHeight w:val="20"/>
        </w:trPr>
        <w:tc>
          <w:tcPr>
            <w:tcW w:w="5000" w:type="pct"/>
            <w:vAlign w:val="center"/>
            <w:hideMark/>
          </w:tcPr>
          <w:p w14:paraId="27A6AB65" w14:textId="77777777" w:rsidR="00C81086" w:rsidRPr="00484AE9" w:rsidRDefault="00C81086" w:rsidP="002E0614">
            <w:pPr>
              <w:pStyle w:val="TableText0"/>
              <w:keepNext w:val="0"/>
              <w:widowControl w:val="0"/>
              <w:rPr>
                <w:szCs w:val="20"/>
              </w:rPr>
            </w:pPr>
            <w:r w:rsidRPr="00484AE9">
              <w:rPr>
                <w:b/>
                <w:szCs w:val="20"/>
              </w:rPr>
              <w:t>AND</w:t>
            </w:r>
          </w:p>
        </w:tc>
      </w:tr>
      <w:tr w:rsidR="00C81086" w:rsidRPr="00484AE9" w14:paraId="154FB591" w14:textId="77777777" w:rsidTr="002E0614">
        <w:trPr>
          <w:trHeight w:val="20"/>
        </w:trPr>
        <w:tc>
          <w:tcPr>
            <w:tcW w:w="5000" w:type="pct"/>
            <w:vAlign w:val="center"/>
            <w:hideMark/>
          </w:tcPr>
          <w:p w14:paraId="5EEBC0C9" w14:textId="77777777" w:rsidR="00C81086" w:rsidRPr="00484AE9" w:rsidRDefault="00C81086" w:rsidP="002E0614">
            <w:pPr>
              <w:pStyle w:val="TableText0"/>
              <w:keepNext w:val="0"/>
              <w:widowControl w:val="0"/>
              <w:rPr>
                <w:szCs w:val="20"/>
              </w:rPr>
            </w:pPr>
            <w:r w:rsidRPr="00484AE9">
              <w:rPr>
                <w:rFonts w:cs="Arial"/>
                <w:szCs w:val="20"/>
              </w:rPr>
              <w:t>Patient must have at least one sign or symptom attributable to COVID-19</w:t>
            </w:r>
          </w:p>
        </w:tc>
      </w:tr>
      <w:tr w:rsidR="00C81086" w:rsidRPr="00484AE9" w14:paraId="30F0EA6C" w14:textId="77777777" w:rsidTr="002E0614">
        <w:trPr>
          <w:trHeight w:val="20"/>
        </w:trPr>
        <w:tc>
          <w:tcPr>
            <w:tcW w:w="5000" w:type="pct"/>
            <w:vAlign w:val="center"/>
          </w:tcPr>
          <w:p w14:paraId="2DF52749" w14:textId="77777777" w:rsidR="00C81086" w:rsidRPr="00484AE9" w:rsidRDefault="00C81086" w:rsidP="002E0614">
            <w:pPr>
              <w:pStyle w:val="TableText0"/>
              <w:keepNext w:val="0"/>
              <w:widowControl w:val="0"/>
              <w:rPr>
                <w:rFonts w:cs="Arial"/>
                <w:szCs w:val="20"/>
              </w:rPr>
            </w:pPr>
            <w:r w:rsidRPr="00484AE9">
              <w:rPr>
                <w:b/>
                <w:szCs w:val="20"/>
              </w:rPr>
              <w:t>AND</w:t>
            </w:r>
          </w:p>
        </w:tc>
      </w:tr>
      <w:tr w:rsidR="00C81086" w:rsidRPr="00484AE9" w14:paraId="1FA5BA13" w14:textId="77777777" w:rsidTr="002E0614">
        <w:trPr>
          <w:trHeight w:val="20"/>
        </w:trPr>
        <w:tc>
          <w:tcPr>
            <w:tcW w:w="5000" w:type="pct"/>
            <w:vAlign w:val="center"/>
          </w:tcPr>
          <w:p w14:paraId="255DEEFA" w14:textId="77777777" w:rsidR="00C81086" w:rsidRPr="00484AE9" w:rsidRDefault="00C81086" w:rsidP="002E0614">
            <w:pPr>
              <w:pStyle w:val="TableText0"/>
              <w:keepNext w:val="0"/>
              <w:widowControl w:val="0"/>
              <w:rPr>
                <w:rFonts w:cs="Arial"/>
                <w:szCs w:val="20"/>
              </w:rPr>
            </w:pPr>
            <w:r w:rsidRPr="00484AE9">
              <w:rPr>
                <w:rFonts w:cs="Arial"/>
                <w:szCs w:val="20"/>
              </w:rPr>
              <w:t>Patient must not require hospitalisation for COVID-19 infection at the time of prescribing</w:t>
            </w:r>
          </w:p>
        </w:tc>
      </w:tr>
      <w:tr w:rsidR="00C81086" w:rsidRPr="00484AE9" w14:paraId="3989CEEF" w14:textId="77777777" w:rsidTr="002E0614">
        <w:trPr>
          <w:trHeight w:val="20"/>
        </w:trPr>
        <w:tc>
          <w:tcPr>
            <w:tcW w:w="5000" w:type="pct"/>
            <w:vAlign w:val="center"/>
          </w:tcPr>
          <w:p w14:paraId="33E028CB" w14:textId="77777777" w:rsidR="00C81086" w:rsidRPr="00484AE9" w:rsidRDefault="00C81086" w:rsidP="002E0614">
            <w:pPr>
              <w:pStyle w:val="TableText0"/>
              <w:keepNext w:val="0"/>
              <w:widowControl w:val="0"/>
              <w:rPr>
                <w:rFonts w:cs="Arial"/>
                <w:szCs w:val="20"/>
              </w:rPr>
            </w:pPr>
            <w:r w:rsidRPr="00484AE9">
              <w:rPr>
                <w:b/>
                <w:szCs w:val="20"/>
              </w:rPr>
              <w:t>AND</w:t>
            </w:r>
          </w:p>
        </w:tc>
      </w:tr>
      <w:tr w:rsidR="00C81086" w:rsidRPr="00484AE9" w14:paraId="51AC27AE" w14:textId="77777777" w:rsidTr="002E0614">
        <w:trPr>
          <w:trHeight w:val="20"/>
        </w:trPr>
        <w:tc>
          <w:tcPr>
            <w:tcW w:w="5000" w:type="pct"/>
            <w:vAlign w:val="center"/>
          </w:tcPr>
          <w:p w14:paraId="76D482D5" w14:textId="77777777" w:rsidR="00C81086" w:rsidRPr="00484AE9" w:rsidRDefault="00C81086" w:rsidP="002E0614">
            <w:pPr>
              <w:pStyle w:val="TableText0"/>
              <w:keepNext w:val="0"/>
              <w:widowControl w:val="0"/>
              <w:rPr>
                <w:rFonts w:cs="Arial"/>
                <w:szCs w:val="20"/>
              </w:rPr>
            </w:pPr>
            <w:r w:rsidRPr="00484AE9">
              <w:rPr>
                <w:rFonts w:cs="Arial"/>
                <w:szCs w:val="20"/>
              </w:rPr>
              <w:t>The treatment must be initiated within 5 days of symptom onset</w:t>
            </w:r>
          </w:p>
        </w:tc>
      </w:tr>
      <w:tr w:rsidR="00C81086" w:rsidRPr="00484AE9" w14:paraId="109E84AD" w14:textId="77777777" w:rsidTr="002E0614">
        <w:trPr>
          <w:trHeight w:val="20"/>
        </w:trPr>
        <w:tc>
          <w:tcPr>
            <w:tcW w:w="5000" w:type="pct"/>
            <w:vAlign w:val="center"/>
            <w:hideMark/>
          </w:tcPr>
          <w:p w14:paraId="547B1341" w14:textId="77777777" w:rsidR="00C81086" w:rsidRPr="00484AE9" w:rsidRDefault="00C81086" w:rsidP="002E0614">
            <w:pPr>
              <w:pStyle w:val="TableText0"/>
              <w:keepNext w:val="0"/>
              <w:widowControl w:val="0"/>
              <w:rPr>
                <w:szCs w:val="20"/>
              </w:rPr>
            </w:pPr>
            <w:r w:rsidRPr="00484AE9">
              <w:rPr>
                <w:b/>
                <w:szCs w:val="20"/>
              </w:rPr>
              <w:t>Population criteria:</w:t>
            </w:r>
          </w:p>
        </w:tc>
      </w:tr>
      <w:tr w:rsidR="00C81086" w:rsidRPr="00484AE9" w14:paraId="376A54B2" w14:textId="77777777" w:rsidTr="002E0614">
        <w:trPr>
          <w:trHeight w:val="20"/>
        </w:trPr>
        <w:tc>
          <w:tcPr>
            <w:tcW w:w="5000" w:type="pct"/>
            <w:vAlign w:val="center"/>
          </w:tcPr>
          <w:p w14:paraId="2C548F14" w14:textId="77777777" w:rsidR="00C81086" w:rsidRPr="00484AE9" w:rsidRDefault="00C81086" w:rsidP="002E0614">
            <w:pPr>
              <w:widowControl w:val="0"/>
              <w:autoSpaceDE w:val="0"/>
              <w:autoSpaceDN w:val="0"/>
              <w:adjustRightInd w:val="0"/>
              <w:rPr>
                <w:rFonts w:ascii="Arial Narrow" w:hAnsi="Arial Narrow"/>
                <w:strike/>
                <w:color w:val="FF0000"/>
                <w:sz w:val="20"/>
                <w:szCs w:val="20"/>
              </w:rPr>
            </w:pPr>
            <w:r w:rsidRPr="00484AE9">
              <w:rPr>
                <w:rFonts w:ascii="Arial Narrow" w:hAnsi="Arial Narrow"/>
                <w:strike/>
                <w:color w:val="FF0000"/>
                <w:sz w:val="20"/>
                <w:szCs w:val="20"/>
              </w:rPr>
              <w:t>Patient must be at high risk of requiring hospitalisation for COVID-19 infection</w:t>
            </w:r>
          </w:p>
          <w:p w14:paraId="4301CEE1" w14:textId="77777777" w:rsidR="00C81086" w:rsidRPr="00484AE9" w:rsidRDefault="00C81086" w:rsidP="002E0614">
            <w:pPr>
              <w:widowControl w:val="0"/>
              <w:autoSpaceDE w:val="0"/>
              <w:autoSpaceDN w:val="0"/>
              <w:adjustRightInd w:val="0"/>
              <w:rPr>
                <w:rFonts w:ascii="Arial Narrow" w:hAnsi="Arial Narrow"/>
                <w:strike/>
                <w:color w:val="FF0000"/>
                <w:sz w:val="20"/>
                <w:szCs w:val="20"/>
              </w:rPr>
            </w:pPr>
            <w:r w:rsidRPr="00484AE9">
              <w:rPr>
                <w:rFonts w:ascii="Arial Narrow" w:eastAsia="MS Gothic" w:hAnsi="Arial Narrow" w:cs="Times New Roman"/>
                <w:bCs/>
                <w:color w:val="FF0000"/>
                <w:sz w:val="20"/>
              </w:rPr>
              <w:t>Patient must be both: (i) at least 50 years of age, (ii) at high risk.</w:t>
            </w:r>
          </w:p>
        </w:tc>
      </w:tr>
      <w:tr w:rsidR="00C81086" w:rsidRPr="00484AE9" w14:paraId="04F3E7A2" w14:textId="77777777" w:rsidTr="002E0614">
        <w:trPr>
          <w:trHeight w:val="20"/>
        </w:trPr>
        <w:tc>
          <w:tcPr>
            <w:tcW w:w="5000" w:type="pct"/>
            <w:vAlign w:val="center"/>
          </w:tcPr>
          <w:p w14:paraId="05400B08" w14:textId="77777777" w:rsidR="00C81086" w:rsidRPr="00484AE9" w:rsidRDefault="00C81086" w:rsidP="002E0614">
            <w:pPr>
              <w:widowControl w:val="0"/>
              <w:autoSpaceDE w:val="0"/>
              <w:autoSpaceDN w:val="0"/>
              <w:adjustRightInd w:val="0"/>
              <w:rPr>
                <w:rFonts w:ascii="Arial Narrow" w:hAnsi="Arial Narrow"/>
                <w:b/>
                <w:bCs/>
                <w:strike/>
                <w:color w:val="FF0000"/>
                <w:sz w:val="20"/>
                <w:szCs w:val="20"/>
              </w:rPr>
            </w:pPr>
            <w:r w:rsidRPr="00484AE9">
              <w:rPr>
                <w:rFonts w:ascii="Arial Narrow" w:hAnsi="Arial Narrow"/>
                <w:b/>
                <w:bCs/>
                <w:strike/>
                <w:color w:val="FF0000"/>
                <w:sz w:val="20"/>
                <w:szCs w:val="20"/>
              </w:rPr>
              <w:t>AND</w:t>
            </w:r>
          </w:p>
        </w:tc>
      </w:tr>
      <w:tr w:rsidR="00C81086" w:rsidRPr="00484AE9" w14:paraId="04DCAC9A" w14:textId="77777777" w:rsidTr="002E0614">
        <w:trPr>
          <w:trHeight w:val="20"/>
        </w:trPr>
        <w:tc>
          <w:tcPr>
            <w:tcW w:w="5000" w:type="pct"/>
            <w:vAlign w:val="center"/>
            <w:hideMark/>
          </w:tcPr>
          <w:p w14:paraId="1C09EE65" w14:textId="77777777" w:rsidR="00C81086" w:rsidRPr="00484AE9" w:rsidRDefault="00C81086" w:rsidP="002E0614">
            <w:pPr>
              <w:widowControl w:val="0"/>
              <w:autoSpaceDE w:val="0"/>
              <w:autoSpaceDN w:val="0"/>
              <w:adjustRightInd w:val="0"/>
              <w:rPr>
                <w:rFonts w:ascii="Arial Narrow" w:hAnsi="Arial Narrow"/>
                <w:strike/>
                <w:color w:val="FF0000"/>
                <w:sz w:val="20"/>
                <w:szCs w:val="20"/>
              </w:rPr>
            </w:pPr>
            <w:r w:rsidRPr="00484AE9">
              <w:rPr>
                <w:rFonts w:ascii="Arial Narrow" w:hAnsi="Arial Narrow"/>
                <w:strike/>
                <w:color w:val="FF0000"/>
                <w:sz w:val="20"/>
                <w:szCs w:val="20"/>
              </w:rPr>
              <w:t>Patient must be at least 50 years old, but not older than 60 years; or</w:t>
            </w:r>
          </w:p>
          <w:p w14:paraId="440B698A" w14:textId="77777777" w:rsidR="00C81086" w:rsidRPr="00484AE9" w:rsidRDefault="00C81086" w:rsidP="002E0614">
            <w:pPr>
              <w:widowControl w:val="0"/>
              <w:autoSpaceDE w:val="0"/>
              <w:autoSpaceDN w:val="0"/>
              <w:adjustRightInd w:val="0"/>
              <w:rPr>
                <w:rFonts w:ascii="Arial Narrow" w:hAnsi="Arial Narrow"/>
                <w:strike/>
                <w:color w:val="FF0000"/>
                <w:sz w:val="20"/>
                <w:szCs w:val="20"/>
              </w:rPr>
            </w:pPr>
            <w:r w:rsidRPr="00484AE9">
              <w:rPr>
                <w:rFonts w:ascii="Arial Narrow" w:hAnsi="Arial Narrow"/>
                <w:strike/>
                <w:color w:val="FF0000"/>
                <w:sz w:val="20"/>
                <w:szCs w:val="20"/>
              </w:rPr>
              <w:t>Patient must be at least 60 years old, but not older than 70 years</w:t>
            </w:r>
          </w:p>
        </w:tc>
      </w:tr>
      <w:tr w:rsidR="00C81086" w:rsidRPr="00484AE9" w14:paraId="09092DB0" w14:textId="77777777" w:rsidTr="002E0614">
        <w:trPr>
          <w:trHeight w:val="20"/>
        </w:trPr>
        <w:tc>
          <w:tcPr>
            <w:tcW w:w="5000" w:type="pct"/>
            <w:vAlign w:val="center"/>
            <w:hideMark/>
          </w:tcPr>
          <w:p w14:paraId="20D63EC7" w14:textId="77777777" w:rsidR="00C81086" w:rsidRPr="00484AE9" w:rsidRDefault="00C81086" w:rsidP="002E0614">
            <w:pPr>
              <w:pStyle w:val="TableText0"/>
              <w:keepNext w:val="0"/>
              <w:widowControl w:val="0"/>
              <w:rPr>
                <w:b/>
                <w:strike/>
                <w:color w:val="FF0000"/>
                <w:szCs w:val="20"/>
              </w:rPr>
            </w:pPr>
            <w:r w:rsidRPr="00484AE9">
              <w:rPr>
                <w:b/>
                <w:strike/>
                <w:color w:val="FF0000"/>
                <w:szCs w:val="20"/>
              </w:rPr>
              <w:t xml:space="preserve">Prescribing Instructions: </w:t>
            </w:r>
          </w:p>
          <w:p w14:paraId="56331FEC" w14:textId="77777777" w:rsidR="00C81086" w:rsidRPr="00484AE9" w:rsidRDefault="00C81086" w:rsidP="002E0614">
            <w:pPr>
              <w:pStyle w:val="TableText0"/>
              <w:keepNext w:val="0"/>
              <w:widowControl w:val="0"/>
              <w:rPr>
                <w:strike/>
                <w:color w:val="FF0000"/>
                <w:szCs w:val="20"/>
              </w:rPr>
            </w:pPr>
            <w:r w:rsidRPr="00484AE9">
              <w:rPr>
                <w:strike/>
                <w:color w:val="FF0000"/>
                <w:szCs w:val="20"/>
              </w:rPr>
              <w:t>For the purpose of administering this restriction, high risk is defined as the presence of at least one of the following conditions:</w:t>
            </w:r>
          </w:p>
          <w:p w14:paraId="025C9374" w14:textId="77777777" w:rsidR="00C81086" w:rsidRPr="00484AE9" w:rsidRDefault="00C81086" w:rsidP="002E0614">
            <w:pPr>
              <w:pStyle w:val="TableText0"/>
              <w:keepNext w:val="0"/>
              <w:widowControl w:val="0"/>
              <w:ind w:left="306" w:hanging="306"/>
              <w:rPr>
                <w:strike/>
                <w:color w:val="FF0000"/>
                <w:szCs w:val="20"/>
              </w:rPr>
            </w:pPr>
            <w:r w:rsidRPr="00484AE9">
              <w:rPr>
                <w:strike/>
                <w:color w:val="FF0000"/>
                <w:szCs w:val="20"/>
              </w:rPr>
              <w:t xml:space="preserve">1. </w:t>
            </w:r>
            <w:r w:rsidRPr="00484AE9">
              <w:rPr>
                <w:strike/>
                <w:color w:val="FF0000"/>
                <w:szCs w:val="20"/>
              </w:rPr>
              <w:tab/>
              <w:t>The patient is in residential aged care</w:t>
            </w:r>
          </w:p>
          <w:p w14:paraId="34918024" w14:textId="77777777" w:rsidR="00C81086" w:rsidRPr="00484AE9" w:rsidRDefault="00C81086" w:rsidP="002E0614">
            <w:pPr>
              <w:pStyle w:val="TableText0"/>
              <w:keepNext w:val="0"/>
              <w:widowControl w:val="0"/>
              <w:ind w:left="306" w:hanging="306"/>
              <w:rPr>
                <w:strike/>
                <w:color w:val="FF0000"/>
                <w:szCs w:val="20"/>
              </w:rPr>
            </w:pPr>
            <w:r w:rsidRPr="00484AE9">
              <w:rPr>
                <w:strike/>
                <w:color w:val="FF0000"/>
                <w:szCs w:val="20"/>
              </w:rPr>
              <w:t xml:space="preserve">2. </w:t>
            </w:r>
            <w:r w:rsidRPr="00484AE9">
              <w:rPr>
                <w:strike/>
                <w:color w:val="FF0000"/>
                <w:szCs w:val="20"/>
              </w:rPr>
              <w:tab/>
              <w:t>The patient has disability with multiple comorbidities and/or frailty</w:t>
            </w:r>
          </w:p>
          <w:p w14:paraId="4CEDA4FE" w14:textId="77777777" w:rsidR="00C81086" w:rsidRPr="00484AE9" w:rsidRDefault="00C81086" w:rsidP="002E0614">
            <w:pPr>
              <w:pStyle w:val="TableText0"/>
              <w:keepNext w:val="0"/>
              <w:widowControl w:val="0"/>
              <w:ind w:left="306" w:hanging="306"/>
              <w:rPr>
                <w:strike/>
                <w:color w:val="FF0000"/>
                <w:szCs w:val="20"/>
              </w:rPr>
            </w:pPr>
            <w:r w:rsidRPr="00484AE9">
              <w:rPr>
                <w:strike/>
                <w:color w:val="FF0000"/>
                <w:szCs w:val="20"/>
              </w:rPr>
              <w:t xml:space="preserve">3. </w:t>
            </w:r>
            <w:r w:rsidRPr="00484AE9">
              <w:rPr>
                <w:strike/>
                <w:color w:val="FF0000"/>
                <w:szCs w:val="20"/>
              </w:rPr>
              <w:tab/>
              <w:t>Neurological conditions, including stroke and dementia and demyelinating conditions</w:t>
            </w:r>
          </w:p>
          <w:p w14:paraId="53DF92CB" w14:textId="77777777" w:rsidR="00C81086" w:rsidRPr="00484AE9" w:rsidRDefault="00C81086" w:rsidP="002E0614">
            <w:pPr>
              <w:pStyle w:val="TableText0"/>
              <w:keepNext w:val="0"/>
              <w:widowControl w:val="0"/>
              <w:ind w:left="306" w:hanging="306"/>
              <w:rPr>
                <w:strike/>
                <w:color w:val="FF0000"/>
                <w:szCs w:val="20"/>
              </w:rPr>
            </w:pPr>
            <w:r w:rsidRPr="00484AE9">
              <w:rPr>
                <w:strike/>
                <w:color w:val="FF0000"/>
                <w:szCs w:val="20"/>
              </w:rPr>
              <w:t xml:space="preserve">4. </w:t>
            </w:r>
            <w:r w:rsidRPr="00484AE9">
              <w:rPr>
                <w:strike/>
                <w:color w:val="FF0000"/>
                <w:szCs w:val="20"/>
              </w:rPr>
              <w:tab/>
              <w:t>Respiratory compromise, including COPD, moderate or severe asthma (required inhaled steroids), and bronchiectasis, or caused by neurological or musculoskeletal disease</w:t>
            </w:r>
          </w:p>
          <w:p w14:paraId="430F4C83" w14:textId="77777777" w:rsidR="00C81086" w:rsidRPr="00484AE9" w:rsidRDefault="00C81086" w:rsidP="002E0614">
            <w:pPr>
              <w:pStyle w:val="TableText0"/>
              <w:keepNext w:val="0"/>
              <w:widowControl w:val="0"/>
              <w:ind w:left="306" w:hanging="306"/>
              <w:rPr>
                <w:strike/>
                <w:color w:val="FF0000"/>
                <w:szCs w:val="20"/>
              </w:rPr>
            </w:pPr>
            <w:r w:rsidRPr="00484AE9">
              <w:rPr>
                <w:strike/>
                <w:color w:val="FF0000"/>
                <w:szCs w:val="20"/>
              </w:rPr>
              <w:t xml:space="preserve">5. </w:t>
            </w:r>
            <w:r w:rsidRPr="00484AE9">
              <w:rPr>
                <w:strike/>
                <w:color w:val="FF0000"/>
                <w:szCs w:val="20"/>
              </w:rPr>
              <w:tab/>
              <w:t>Heart failure, coronary artery disease, cardiomyopathies</w:t>
            </w:r>
          </w:p>
          <w:p w14:paraId="3CF72478" w14:textId="77777777" w:rsidR="00C81086" w:rsidRPr="00484AE9" w:rsidRDefault="00C81086" w:rsidP="002E0614">
            <w:pPr>
              <w:pStyle w:val="TableText0"/>
              <w:keepNext w:val="0"/>
              <w:widowControl w:val="0"/>
              <w:ind w:left="306" w:hanging="306"/>
              <w:rPr>
                <w:strike/>
                <w:color w:val="FF0000"/>
                <w:szCs w:val="20"/>
              </w:rPr>
            </w:pPr>
            <w:r w:rsidRPr="00484AE9">
              <w:rPr>
                <w:strike/>
                <w:color w:val="FF0000"/>
                <w:szCs w:val="20"/>
              </w:rPr>
              <w:t xml:space="preserve">6. </w:t>
            </w:r>
            <w:r w:rsidRPr="00484AE9">
              <w:rPr>
                <w:strike/>
                <w:color w:val="FF0000"/>
                <w:szCs w:val="20"/>
              </w:rPr>
              <w:tab/>
              <w:t>Obesity (BMI greater than 30 kg/m2)</w:t>
            </w:r>
          </w:p>
          <w:p w14:paraId="703ED221" w14:textId="77777777" w:rsidR="00C81086" w:rsidRPr="00484AE9" w:rsidRDefault="00C81086" w:rsidP="002E0614">
            <w:pPr>
              <w:pStyle w:val="TableText0"/>
              <w:keepNext w:val="0"/>
              <w:widowControl w:val="0"/>
              <w:ind w:left="306" w:hanging="306"/>
              <w:rPr>
                <w:strike/>
                <w:color w:val="FF0000"/>
                <w:szCs w:val="20"/>
              </w:rPr>
            </w:pPr>
            <w:r w:rsidRPr="00484AE9">
              <w:rPr>
                <w:strike/>
                <w:color w:val="FF0000"/>
                <w:szCs w:val="20"/>
              </w:rPr>
              <w:t xml:space="preserve">7. </w:t>
            </w:r>
            <w:r w:rsidRPr="00484AE9">
              <w:rPr>
                <w:strike/>
                <w:color w:val="FF0000"/>
                <w:szCs w:val="20"/>
              </w:rPr>
              <w:tab/>
              <w:t>Diabetes type I or II, requiring medication for glycaemic control</w:t>
            </w:r>
          </w:p>
          <w:p w14:paraId="35102138" w14:textId="77777777" w:rsidR="00C81086" w:rsidRPr="00484AE9" w:rsidRDefault="00C81086" w:rsidP="002E0614">
            <w:pPr>
              <w:pStyle w:val="TableText0"/>
              <w:keepNext w:val="0"/>
              <w:widowControl w:val="0"/>
              <w:ind w:left="306" w:hanging="306"/>
              <w:rPr>
                <w:strike/>
                <w:color w:val="FF0000"/>
                <w:szCs w:val="20"/>
              </w:rPr>
            </w:pPr>
            <w:r w:rsidRPr="00484AE9">
              <w:rPr>
                <w:strike/>
                <w:color w:val="FF0000"/>
                <w:szCs w:val="20"/>
              </w:rPr>
              <w:t xml:space="preserve">8. </w:t>
            </w:r>
            <w:r w:rsidRPr="00484AE9">
              <w:rPr>
                <w:strike/>
                <w:color w:val="FF0000"/>
                <w:szCs w:val="20"/>
              </w:rPr>
              <w:tab/>
              <w:t>Renal impairment (eGFR less than 60mL/min)</w:t>
            </w:r>
          </w:p>
          <w:p w14:paraId="46D7241B" w14:textId="77777777" w:rsidR="00C81086" w:rsidRPr="00484AE9" w:rsidRDefault="00C81086" w:rsidP="002E0614">
            <w:pPr>
              <w:pStyle w:val="TableText0"/>
              <w:keepNext w:val="0"/>
              <w:widowControl w:val="0"/>
              <w:ind w:left="306" w:hanging="306"/>
              <w:rPr>
                <w:strike/>
                <w:color w:val="FF0000"/>
                <w:szCs w:val="20"/>
              </w:rPr>
            </w:pPr>
            <w:r w:rsidRPr="00484AE9">
              <w:rPr>
                <w:strike/>
                <w:color w:val="FF0000"/>
                <w:szCs w:val="20"/>
              </w:rPr>
              <w:t xml:space="preserve">9. </w:t>
            </w:r>
            <w:r w:rsidRPr="00484AE9">
              <w:rPr>
                <w:strike/>
                <w:color w:val="FF0000"/>
                <w:szCs w:val="20"/>
              </w:rPr>
              <w:tab/>
              <w:t>Cirrhosis</w:t>
            </w:r>
          </w:p>
          <w:p w14:paraId="4690F394" w14:textId="77777777" w:rsidR="00C81086" w:rsidRPr="00484AE9" w:rsidRDefault="00C81086" w:rsidP="002E0614">
            <w:pPr>
              <w:pStyle w:val="TableText0"/>
              <w:keepNext w:val="0"/>
              <w:widowControl w:val="0"/>
              <w:ind w:left="306" w:hanging="306"/>
              <w:rPr>
                <w:strike/>
                <w:color w:val="FF0000"/>
                <w:szCs w:val="20"/>
              </w:rPr>
            </w:pPr>
            <w:r w:rsidRPr="00484AE9">
              <w:rPr>
                <w:strike/>
                <w:color w:val="FF0000"/>
                <w:szCs w:val="20"/>
              </w:rPr>
              <w:t>10.</w:t>
            </w:r>
            <w:r w:rsidRPr="00484AE9">
              <w:rPr>
                <w:strike/>
                <w:color w:val="FF0000"/>
                <w:szCs w:val="20"/>
              </w:rPr>
              <w:tab/>
              <w:t>The patient has reduced, or lack of, access to higher level healthcare and lives in an area of geographic remoteness classified by the Modified Monash Model as Category 5 or above</w:t>
            </w:r>
          </w:p>
          <w:p w14:paraId="41DD5174" w14:textId="77777777" w:rsidR="00C81086" w:rsidRPr="00484AE9" w:rsidRDefault="00C81086" w:rsidP="002E0614">
            <w:pPr>
              <w:pStyle w:val="TableText0"/>
              <w:keepNext w:val="0"/>
              <w:widowControl w:val="0"/>
              <w:ind w:left="306" w:hanging="306"/>
              <w:rPr>
                <w:strike/>
                <w:color w:val="FF0000"/>
                <w:szCs w:val="20"/>
              </w:rPr>
            </w:pPr>
            <w:r w:rsidRPr="00484AE9">
              <w:rPr>
                <w:strike/>
                <w:color w:val="FF0000"/>
                <w:szCs w:val="20"/>
              </w:rPr>
              <w:t>11.</w:t>
            </w:r>
            <w:r w:rsidRPr="00484AE9">
              <w:rPr>
                <w:strike/>
                <w:color w:val="FF0000"/>
                <w:szCs w:val="20"/>
              </w:rPr>
              <w:tab/>
              <w:t>Past COVID-19 infection episode resulting in hospitalisation.</w:t>
            </w:r>
          </w:p>
          <w:p w14:paraId="628A9D10" w14:textId="77777777" w:rsidR="00C81086" w:rsidRPr="00484AE9" w:rsidRDefault="00C81086" w:rsidP="002E0614">
            <w:pPr>
              <w:pStyle w:val="TableText0"/>
              <w:keepNext w:val="0"/>
              <w:widowControl w:val="0"/>
              <w:rPr>
                <w:strike/>
                <w:color w:val="FF0000"/>
                <w:szCs w:val="20"/>
              </w:rPr>
            </w:pPr>
            <w:r w:rsidRPr="00484AE9">
              <w:rPr>
                <w:strike/>
                <w:color w:val="FF0000"/>
                <w:szCs w:val="20"/>
              </w:rPr>
              <w:t>Details of the patient's medical condition necessitating use of this drug must be recorded in the patient's medical records.</w:t>
            </w:r>
          </w:p>
          <w:p w14:paraId="7AB86B6A" w14:textId="77777777" w:rsidR="00C81086" w:rsidRPr="00484AE9" w:rsidRDefault="00C81086" w:rsidP="002E0614">
            <w:pPr>
              <w:pStyle w:val="TableText0"/>
              <w:keepNext w:val="0"/>
              <w:widowControl w:val="0"/>
              <w:rPr>
                <w:strike/>
                <w:color w:val="FF0000"/>
                <w:szCs w:val="20"/>
              </w:rPr>
            </w:pPr>
          </w:p>
          <w:p w14:paraId="0FFDC456" w14:textId="77777777" w:rsidR="00C81086" w:rsidRPr="00484AE9" w:rsidRDefault="00C81086" w:rsidP="002E0614">
            <w:pPr>
              <w:pStyle w:val="TableText0"/>
              <w:keepNext w:val="0"/>
              <w:widowControl w:val="0"/>
              <w:rPr>
                <w:strike/>
                <w:color w:val="FF0000"/>
                <w:szCs w:val="20"/>
              </w:rPr>
            </w:pPr>
            <w:r w:rsidRPr="00484AE9">
              <w:rPr>
                <w:strike/>
                <w:color w:val="FF0000"/>
                <w:szCs w:val="20"/>
              </w:rPr>
              <w:t>For the purpose of administering this restriction, signs or symptoms attributable to COVID-19 are: fever greater than 38 degrees Celsius, chills, cough, sore throat, shortness of breath or difficulty breathing with exertion, fatigue, nasal congestion, runny nose, headache, muscle or body aches, nausea, vomiting, diarrhea, loss of taste, loss of smell.</w:t>
            </w:r>
          </w:p>
          <w:p w14:paraId="1561D06A" w14:textId="77777777" w:rsidR="00C81086" w:rsidRPr="00484AE9" w:rsidRDefault="00C81086" w:rsidP="002E0614">
            <w:pPr>
              <w:pStyle w:val="TableText0"/>
              <w:keepNext w:val="0"/>
              <w:widowControl w:val="0"/>
              <w:rPr>
                <w:strike/>
                <w:color w:val="FF0000"/>
                <w:szCs w:val="20"/>
              </w:rPr>
            </w:pPr>
          </w:p>
          <w:p w14:paraId="64853CAF" w14:textId="77777777" w:rsidR="00C81086" w:rsidRPr="00484AE9" w:rsidRDefault="00C81086" w:rsidP="002E0614">
            <w:pPr>
              <w:pStyle w:val="TableText0"/>
              <w:keepNext w:val="0"/>
              <w:widowControl w:val="0"/>
              <w:rPr>
                <w:strike/>
                <w:color w:val="FF0000"/>
                <w:szCs w:val="20"/>
              </w:rPr>
            </w:pPr>
            <w:r w:rsidRPr="00484AE9">
              <w:rPr>
                <w:strike/>
                <w:color w:val="FF0000"/>
                <w:szCs w:val="20"/>
              </w:rPr>
              <w:t>Access to this drug through this restriction is permitted irrespective of vaccination status.</w:t>
            </w:r>
          </w:p>
          <w:p w14:paraId="6675FF08" w14:textId="77777777" w:rsidR="00C81086" w:rsidRPr="00484AE9" w:rsidRDefault="00C81086" w:rsidP="002E0614">
            <w:pPr>
              <w:pStyle w:val="TableText0"/>
              <w:keepNext w:val="0"/>
              <w:widowControl w:val="0"/>
              <w:rPr>
                <w:strike/>
                <w:color w:val="FF0000"/>
                <w:szCs w:val="20"/>
              </w:rPr>
            </w:pPr>
          </w:p>
          <w:p w14:paraId="57C5C09A" w14:textId="77777777" w:rsidR="00C81086" w:rsidRPr="00484AE9" w:rsidRDefault="00C81086" w:rsidP="002E0614">
            <w:pPr>
              <w:pStyle w:val="TableText0"/>
              <w:keepNext w:val="0"/>
              <w:widowControl w:val="0"/>
              <w:rPr>
                <w:strike/>
                <w:color w:val="FF0000"/>
                <w:szCs w:val="20"/>
              </w:rPr>
            </w:pPr>
            <w:r w:rsidRPr="00484AE9">
              <w:rPr>
                <w:strike/>
                <w:color w:val="FF0000"/>
                <w:szCs w:val="20"/>
              </w:rPr>
              <w:t>Where PCR is used to confirm diagnosis, the result, testing date, location and test provider must be recorded on the patient record.</w:t>
            </w:r>
          </w:p>
          <w:p w14:paraId="587AC6F6" w14:textId="77777777" w:rsidR="00C81086" w:rsidRPr="00484AE9" w:rsidRDefault="00C81086" w:rsidP="002E0614">
            <w:pPr>
              <w:pStyle w:val="TableText0"/>
              <w:keepNext w:val="0"/>
              <w:widowControl w:val="0"/>
              <w:rPr>
                <w:strike/>
                <w:color w:val="FF0000"/>
                <w:szCs w:val="20"/>
              </w:rPr>
            </w:pPr>
          </w:p>
          <w:p w14:paraId="792F9E3C" w14:textId="77777777" w:rsidR="00C81086" w:rsidRPr="00484AE9" w:rsidRDefault="00C81086" w:rsidP="002E0614">
            <w:pPr>
              <w:pStyle w:val="TableText0"/>
              <w:keepNext w:val="0"/>
              <w:widowControl w:val="0"/>
              <w:rPr>
                <w:strike/>
                <w:color w:val="FF0000"/>
                <w:szCs w:val="20"/>
              </w:rPr>
            </w:pPr>
            <w:r w:rsidRPr="00484AE9">
              <w:rPr>
                <w:strike/>
                <w:color w:val="FF0000"/>
                <w:szCs w:val="20"/>
              </w:rPr>
              <w:t>Where a RAT is used to confirm diagnosis, available information about the test result, testing date, location and test provider (where relevant) must be recorded on the patient record.</w:t>
            </w:r>
          </w:p>
          <w:p w14:paraId="32D65FF4" w14:textId="77777777" w:rsidR="00C81086" w:rsidRPr="00484AE9" w:rsidRDefault="00C81086" w:rsidP="002E0614">
            <w:pPr>
              <w:pStyle w:val="TableText0"/>
              <w:keepNext w:val="0"/>
              <w:widowControl w:val="0"/>
              <w:rPr>
                <w:strike/>
                <w:color w:val="FF0000"/>
                <w:szCs w:val="20"/>
              </w:rPr>
            </w:pPr>
          </w:p>
          <w:p w14:paraId="652BECBA" w14:textId="77777777" w:rsidR="00C81086" w:rsidRPr="00484AE9" w:rsidRDefault="00C81086" w:rsidP="002E0614">
            <w:pPr>
              <w:pStyle w:val="TableText0"/>
              <w:keepNext w:val="0"/>
              <w:widowControl w:val="0"/>
              <w:rPr>
                <w:strike/>
                <w:color w:val="FF0000"/>
                <w:szCs w:val="20"/>
              </w:rPr>
            </w:pPr>
            <w:r w:rsidRPr="00484AE9">
              <w:rPr>
                <w:strike/>
                <w:color w:val="FF0000"/>
                <w:szCs w:val="20"/>
              </w:rPr>
              <w:t>This drug is not PBS-subsidised for pre-exposure or post-exposure prophylaxis for the prevention of SARS-CoV-2 infection.</w:t>
            </w:r>
          </w:p>
          <w:p w14:paraId="61259AA6" w14:textId="77777777" w:rsidR="00C81086" w:rsidRPr="00484AE9" w:rsidRDefault="00C81086" w:rsidP="002E0614">
            <w:pPr>
              <w:pStyle w:val="TableText0"/>
              <w:keepNext w:val="0"/>
              <w:widowControl w:val="0"/>
              <w:rPr>
                <w:szCs w:val="20"/>
              </w:rPr>
            </w:pPr>
          </w:p>
          <w:p w14:paraId="7AAAAE8A" w14:textId="77777777" w:rsidR="00C81086" w:rsidRPr="00484AE9" w:rsidRDefault="00C81086" w:rsidP="002E0614">
            <w:pPr>
              <w:rPr>
                <w:rFonts w:ascii="Arial Narrow" w:eastAsia="MS Gothic" w:hAnsi="Arial Narrow" w:cs="Times New Roman"/>
                <w:bCs/>
                <w:sz w:val="20"/>
              </w:rPr>
            </w:pPr>
            <w:r w:rsidRPr="00484AE9">
              <w:rPr>
                <w:rFonts w:ascii="Arial Narrow" w:eastAsia="MS Gothic" w:hAnsi="Arial Narrow" w:cs="Times New Roman"/>
                <w:bCs/>
                <w:sz w:val="20"/>
              </w:rPr>
              <w:t>For the purpose of administering this restriction, high risk is defined as either a past COVID-19 infection episode resulting in hospitalisation, or the presence of at least two of the following conditions:</w:t>
            </w:r>
          </w:p>
          <w:p w14:paraId="00F6D4FB" w14:textId="77777777" w:rsidR="00C81086" w:rsidRPr="00484AE9" w:rsidRDefault="00C81086" w:rsidP="00445429">
            <w:pPr>
              <w:numPr>
                <w:ilvl w:val="0"/>
                <w:numId w:val="13"/>
              </w:numPr>
              <w:rPr>
                <w:rFonts w:ascii="Arial Narrow" w:eastAsia="MS Gothic" w:hAnsi="Arial Narrow" w:cs="Times New Roman"/>
                <w:bCs/>
                <w:sz w:val="20"/>
              </w:rPr>
            </w:pPr>
            <w:r w:rsidRPr="00484AE9">
              <w:rPr>
                <w:rFonts w:ascii="Arial Narrow" w:eastAsia="MS Gothic" w:hAnsi="Arial Narrow" w:cs="Times New Roman"/>
                <w:bCs/>
                <w:sz w:val="20"/>
              </w:rPr>
              <w:t>The patient is in residential aged care,</w:t>
            </w:r>
          </w:p>
          <w:p w14:paraId="18554394" w14:textId="77777777" w:rsidR="00C81086" w:rsidRPr="00484AE9" w:rsidRDefault="00C81086" w:rsidP="00445429">
            <w:pPr>
              <w:numPr>
                <w:ilvl w:val="0"/>
                <w:numId w:val="13"/>
              </w:numPr>
              <w:rPr>
                <w:rFonts w:ascii="Arial Narrow" w:eastAsia="MS Gothic" w:hAnsi="Arial Narrow" w:cs="Times New Roman"/>
                <w:bCs/>
                <w:sz w:val="20"/>
              </w:rPr>
            </w:pPr>
            <w:r w:rsidRPr="00484AE9">
              <w:rPr>
                <w:rFonts w:ascii="Arial Narrow" w:eastAsia="MS Gothic" w:hAnsi="Arial Narrow" w:cs="Times New Roman"/>
                <w:bCs/>
                <w:sz w:val="20"/>
              </w:rPr>
              <w:t>The patient has disability with multiple comorbidities and/or frailty,</w:t>
            </w:r>
          </w:p>
          <w:p w14:paraId="1A0E468E" w14:textId="77777777" w:rsidR="00C81086" w:rsidRPr="00484AE9" w:rsidRDefault="00C81086" w:rsidP="00445429">
            <w:pPr>
              <w:numPr>
                <w:ilvl w:val="0"/>
                <w:numId w:val="13"/>
              </w:numPr>
              <w:rPr>
                <w:rFonts w:ascii="Arial Narrow" w:eastAsia="MS Gothic" w:hAnsi="Arial Narrow" w:cs="Times New Roman"/>
                <w:bCs/>
                <w:sz w:val="20"/>
              </w:rPr>
            </w:pPr>
            <w:r w:rsidRPr="00484AE9">
              <w:rPr>
                <w:rFonts w:ascii="Arial Narrow" w:eastAsia="MS Gothic" w:hAnsi="Arial Narrow" w:cs="Times New Roman"/>
                <w:bCs/>
                <w:sz w:val="20"/>
              </w:rPr>
              <w:t>Neurological conditions, including stroke and dementia and demyelinating conditions,</w:t>
            </w:r>
          </w:p>
          <w:p w14:paraId="30B586FF" w14:textId="77777777" w:rsidR="00C81086" w:rsidRPr="00484AE9" w:rsidRDefault="00C81086" w:rsidP="00445429">
            <w:pPr>
              <w:numPr>
                <w:ilvl w:val="0"/>
                <w:numId w:val="13"/>
              </w:numPr>
              <w:rPr>
                <w:rFonts w:ascii="Arial Narrow" w:eastAsia="MS Gothic" w:hAnsi="Arial Narrow" w:cs="Times New Roman"/>
                <w:bCs/>
                <w:sz w:val="20"/>
              </w:rPr>
            </w:pPr>
            <w:r w:rsidRPr="00484AE9">
              <w:rPr>
                <w:rFonts w:ascii="Arial Narrow" w:eastAsia="MS Gothic" w:hAnsi="Arial Narrow" w:cs="Times New Roman"/>
                <w:bCs/>
                <w:sz w:val="20"/>
              </w:rPr>
              <w:t>Respiratory compromise, including COPD, moderate or severe asthma (required inhaled steroids), and bronchiectasis, or caused by neurological or musculoskeletal disease,</w:t>
            </w:r>
          </w:p>
          <w:p w14:paraId="3F08B8D2" w14:textId="77777777" w:rsidR="00C81086" w:rsidRPr="00484AE9" w:rsidRDefault="00C81086" w:rsidP="00445429">
            <w:pPr>
              <w:numPr>
                <w:ilvl w:val="0"/>
                <w:numId w:val="13"/>
              </w:numPr>
              <w:rPr>
                <w:rFonts w:ascii="Arial Narrow" w:eastAsia="MS Gothic" w:hAnsi="Arial Narrow" w:cs="Times New Roman"/>
                <w:bCs/>
                <w:sz w:val="20"/>
              </w:rPr>
            </w:pPr>
            <w:r w:rsidRPr="00484AE9">
              <w:rPr>
                <w:rFonts w:ascii="Arial Narrow" w:eastAsia="MS Gothic" w:hAnsi="Arial Narrow" w:cs="Times New Roman"/>
                <w:bCs/>
                <w:sz w:val="20"/>
              </w:rPr>
              <w:t>Heart failure, coronary artery disease, cardiomyopathies,</w:t>
            </w:r>
          </w:p>
          <w:p w14:paraId="4CA719C1" w14:textId="77777777" w:rsidR="00C81086" w:rsidRPr="00484AE9" w:rsidRDefault="00C81086" w:rsidP="00445429">
            <w:pPr>
              <w:numPr>
                <w:ilvl w:val="0"/>
                <w:numId w:val="13"/>
              </w:numPr>
              <w:rPr>
                <w:rFonts w:ascii="Arial Narrow" w:eastAsia="MS Gothic" w:hAnsi="Arial Narrow" w:cs="Times New Roman"/>
                <w:bCs/>
                <w:sz w:val="20"/>
              </w:rPr>
            </w:pPr>
            <w:r w:rsidRPr="00484AE9">
              <w:rPr>
                <w:rFonts w:ascii="Arial Narrow" w:eastAsia="MS Gothic" w:hAnsi="Arial Narrow" w:cs="Times New Roman"/>
                <w:bCs/>
                <w:sz w:val="20"/>
              </w:rPr>
              <w:t>Obesity (BMI greater than 30 kg/m</w:t>
            </w:r>
            <w:r w:rsidRPr="00484AE9">
              <w:rPr>
                <w:rFonts w:ascii="Arial Narrow" w:eastAsia="MS Gothic" w:hAnsi="Arial Narrow" w:cs="Times New Roman"/>
                <w:bCs/>
                <w:sz w:val="20"/>
                <w:vertAlign w:val="superscript"/>
              </w:rPr>
              <w:t>2</w:t>
            </w:r>
            <w:r w:rsidRPr="00484AE9">
              <w:rPr>
                <w:rFonts w:ascii="Arial Narrow" w:eastAsia="MS Gothic" w:hAnsi="Arial Narrow" w:cs="Times New Roman"/>
                <w:bCs/>
                <w:sz w:val="20"/>
              </w:rPr>
              <w:t>),</w:t>
            </w:r>
          </w:p>
          <w:p w14:paraId="4193F1F5" w14:textId="77777777" w:rsidR="00C81086" w:rsidRPr="00484AE9" w:rsidRDefault="00C81086" w:rsidP="00445429">
            <w:pPr>
              <w:numPr>
                <w:ilvl w:val="0"/>
                <w:numId w:val="13"/>
              </w:numPr>
              <w:rPr>
                <w:rFonts w:ascii="Arial Narrow" w:eastAsia="MS Gothic" w:hAnsi="Arial Narrow" w:cs="Times New Roman"/>
                <w:bCs/>
                <w:sz w:val="20"/>
              </w:rPr>
            </w:pPr>
            <w:r w:rsidRPr="00484AE9">
              <w:rPr>
                <w:rFonts w:ascii="Arial Narrow" w:eastAsia="MS Gothic" w:hAnsi="Arial Narrow" w:cs="Times New Roman"/>
                <w:bCs/>
                <w:sz w:val="20"/>
              </w:rPr>
              <w:t>Diabetes type I or II, requiring medication for glycaemic control,</w:t>
            </w:r>
          </w:p>
          <w:p w14:paraId="63B60C9C" w14:textId="77777777" w:rsidR="00C81086" w:rsidRPr="00484AE9" w:rsidRDefault="00C81086" w:rsidP="00445429">
            <w:pPr>
              <w:numPr>
                <w:ilvl w:val="0"/>
                <w:numId w:val="13"/>
              </w:numPr>
              <w:rPr>
                <w:rFonts w:ascii="Arial Narrow" w:eastAsia="MS Gothic" w:hAnsi="Arial Narrow" w:cs="Times New Roman"/>
                <w:bCs/>
                <w:sz w:val="20"/>
              </w:rPr>
            </w:pPr>
            <w:r w:rsidRPr="00484AE9">
              <w:rPr>
                <w:rFonts w:ascii="Arial Narrow" w:eastAsia="MS Gothic" w:hAnsi="Arial Narrow" w:cs="Times New Roman"/>
                <w:bCs/>
                <w:sz w:val="20"/>
              </w:rPr>
              <w:t>Renal impairment (eGFR less than 60mL/min),</w:t>
            </w:r>
          </w:p>
          <w:p w14:paraId="5A0E96E2" w14:textId="77777777" w:rsidR="00C81086" w:rsidRPr="00484AE9" w:rsidRDefault="00C81086" w:rsidP="00445429">
            <w:pPr>
              <w:numPr>
                <w:ilvl w:val="0"/>
                <w:numId w:val="13"/>
              </w:numPr>
              <w:rPr>
                <w:rFonts w:ascii="Arial Narrow" w:eastAsia="MS Gothic" w:hAnsi="Arial Narrow" w:cs="Times New Roman"/>
                <w:bCs/>
                <w:sz w:val="20"/>
              </w:rPr>
            </w:pPr>
            <w:r w:rsidRPr="00484AE9">
              <w:rPr>
                <w:rFonts w:ascii="Arial Narrow" w:eastAsia="MS Gothic" w:hAnsi="Arial Narrow" w:cs="Times New Roman"/>
                <w:bCs/>
                <w:sz w:val="20"/>
              </w:rPr>
              <w:t>Cirrhosis, or</w:t>
            </w:r>
          </w:p>
          <w:p w14:paraId="7CBF509D" w14:textId="77777777" w:rsidR="00C81086" w:rsidRPr="00484AE9" w:rsidRDefault="00C81086" w:rsidP="00445429">
            <w:pPr>
              <w:numPr>
                <w:ilvl w:val="0"/>
                <w:numId w:val="13"/>
              </w:numPr>
              <w:spacing w:after="120"/>
              <w:rPr>
                <w:rFonts w:ascii="Arial Narrow" w:eastAsia="MS Gothic" w:hAnsi="Arial Narrow" w:cs="Times New Roman"/>
                <w:bCs/>
                <w:sz w:val="20"/>
              </w:rPr>
            </w:pPr>
            <w:r w:rsidRPr="00484AE9">
              <w:rPr>
                <w:rFonts w:ascii="Arial Narrow" w:eastAsia="MS Gothic" w:hAnsi="Arial Narrow" w:cs="Times New Roman"/>
                <w:bCs/>
                <w:sz w:val="20"/>
              </w:rPr>
              <w:t>The patient has reduced, or lack of, access to higher level healthcare and lives in an area of geographic remoteness classified by the Modified Monash Model as Category 5 or above.</w:t>
            </w:r>
          </w:p>
          <w:p w14:paraId="5284822F" w14:textId="77777777" w:rsidR="00C81086" w:rsidRPr="00484AE9" w:rsidRDefault="00C81086" w:rsidP="002E0614">
            <w:pPr>
              <w:rPr>
                <w:rFonts w:ascii="Arial Narrow" w:eastAsia="MS Gothic" w:hAnsi="Arial Narrow" w:cs="Times New Roman"/>
                <w:bCs/>
                <w:sz w:val="20"/>
              </w:rPr>
            </w:pPr>
            <w:r w:rsidRPr="00484AE9">
              <w:rPr>
                <w:rFonts w:ascii="Arial Narrow" w:eastAsia="MS Gothic" w:hAnsi="Arial Narrow" w:cs="Times New Roman"/>
                <w:bCs/>
                <w:sz w:val="20"/>
              </w:rPr>
              <w:t>Details of the patient's medical condition necessitating use of this drug must be recorded in the patient's medical records.</w:t>
            </w:r>
          </w:p>
          <w:p w14:paraId="40831553" w14:textId="77777777" w:rsidR="00C81086" w:rsidRPr="00484AE9" w:rsidRDefault="00C81086" w:rsidP="002E0614">
            <w:pPr>
              <w:rPr>
                <w:rFonts w:ascii="Arial Narrow" w:eastAsia="MS Gothic" w:hAnsi="Arial Narrow" w:cs="Times New Roman"/>
                <w:bCs/>
                <w:sz w:val="20"/>
              </w:rPr>
            </w:pPr>
            <w:r w:rsidRPr="00484AE9">
              <w:rPr>
                <w:rFonts w:ascii="Arial Narrow" w:eastAsia="MS Gothic" w:hAnsi="Arial Narrow" w:cs="Times New Roman"/>
                <w:bCs/>
                <w:sz w:val="20"/>
              </w:rPr>
              <w:t>For the purpose of administering this restriction, signs or symptoms attributable to COVID-19 are: fever greater than 38 degrees Celsius, chills, cough, sore throat, shortness of breath or difficulty breathing with exertion, fatigue, nasal congestion, runny nose, headache, muscle or body aches, nausea, vomiting, diarrhea, loss of taste, loss of smell.</w:t>
            </w:r>
          </w:p>
          <w:p w14:paraId="7FD5D93B" w14:textId="77777777" w:rsidR="00C81086" w:rsidRPr="00484AE9" w:rsidRDefault="00C81086" w:rsidP="002E0614">
            <w:pPr>
              <w:rPr>
                <w:rFonts w:ascii="Arial Narrow" w:eastAsia="MS Gothic" w:hAnsi="Arial Narrow" w:cs="Times New Roman"/>
                <w:bCs/>
                <w:sz w:val="20"/>
              </w:rPr>
            </w:pPr>
            <w:r w:rsidRPr="00484AE9">
              <w:rPr>
                <w:rFonts w:ascii="Arial Narrow" w:eastAsia="MS Gothic" w:hAnsi="Arial Narrow" w:cs="Times New Roman"/>
                <w:bCs/>
                <w:sz w:val="20"/>
              </w:rPr>
              <w:t>Access to this drug through this restriction is permitted irrespective of vaccination status.</w:t>
            </w:r>
          </w:p>
          <w:p w14:paraId="49FBA298" w14:textId="77777777" w:rsidR="00C81086" w:rsidRPr="00484AE9" w:rsidRDefault="00C81086" w:rsidP="002E0614">
            <w:pPr>
              <w:rPr>
                <w:rFonts w:ascii="Arial Narrow" w:eastAsia="MS Gothic" w:hAnsi="Arial Narrow" w:cs="Times New Roman"/>
                <w:bCs/>
                <w:sz w:val="20"/>
              </w:rPr>
            </w:pPr>
            <w:r w:rsidRPr="00484AE9">
              <w:rPr>
                <w:rFonts w:ascii="Arial Narrow" w:eastAsia="MS Gothic" w:hAnsi="Arial Narrow" w:cs="Times New Roman"/>
                <w:bCs/>
                <w:sz w:val="20"/>
              </w:rPr>
              <w:t>Where PCR is used to confirm diagnosis, the result, testing date, location and test provider must be recorded on the patient record.</w:t>
            </w:r>
          </w:p>
          <w:p w14:paraId="55998C4A" w14:textId="77777777" w:rsidR="00C81086" w:rsidRPr="00484AE9" w:rsidRDefault="00C81086" w:rsidP="002E0614">
            <w:pPr>
              <w:rPr>
                <w:rFonts w:ascii="Arial Narrow" w:eastAsia="MS Gothic" w:hAnsi="Arial Narrow" w:cs="Times New Roman"/>
                <w:bCs/>
                <w:sz w:val="20"/>
              </w:rPr>
            </w:pPr>
            <w:r w:rsidRPr="00484AE9">
              <w:rPr>
                <w:rFonts w:ascii="Arial Narrow" w:eastAsia="MS Gothic" w:hAnsi="Arial Narrow" w:cs="Times New Roman"/>
                <w:bCs/>
                <w:sz w:val="20"/>
              </w:rPr>
              <w:t>Where a RAT is used to confirm diagnosis, available information about the test result, testing date, location and test provider (where relevant) must be recorded on the patient record.</w:t>
            </w:r>
          </w:p>
          <w:p w14:paraId="7EA7E25F" w14:textId="77777777" w:rsidR="00C81086" w:rsidRPr="00484AE9" w:rsidRDefault="00C81086" w:rsidP="002E0614">
            <w:pPr>
              <w:rPr>
                <w:rFonts w:ascii="Arial Narrow" w:eastAsia="MS Gothic" w:hAnsi="Arial Narrow" w:cs="Times New Roman"/>
                <w:bCs/>
                <w:sz w:val="20"/>
              </w:rPr>
            </w:pPr>
            <w:r w:rsidRPr="00484AE9">
              <w:rPr>
                <w:rFonts w:ascii="Arial Narrow" w:eastAsia="MS Gothic" w:hAnsi="Arial Narrow" w:cs="Times New Roman"/>
                <w:bCs/>
                <w:sz w:val="20"/>
              </w:rPr>
              <w:t>This drug is not PBS-subsidised for pre-exposure or post-exposure prophylaxis for the prevention of SARS-CoV-2 infection.</w:t>
            </w:r>
          </w:p>
          <w:p w14:paraId="09A46182" w14:textId="77777777" w:rsidR="00C81086" w:rsidRPr="00484AE9" w:rsidRDefault="00C81086" w:rsidP="002E0614">
            <w:pPr>
              <w:rPr>
                <w:rFonts w:ascii="Arial Narrow" w:eastAsia="MS Gothic" w:hAnsi="Arial Narrow" w:cs="Times New Roman"/>
                <w:b/>
                <w:bCs/>
                <w:sz w:val="20"/>
                <w:u w:val="single"/>
              </w:rPr>
            </w:pPr>
            <w:r w:rsidRPr="00484AE9">
              <w:rPr>
                <w:rFonts w:ascii="Arial Narrow" w:eastAsia="MS Gothic" w:hAnsi="Arial Narrow" w:cs="Times New Roman"/>
                <w:b/>
                <w:bCs/>
                <w:sz w:val="20"/>
                <w:u w:val="single"/>
              </w:rPr>
              <w:t>Note</w:t>
            </w:r>
          </w:p>
          <w:p w14:paraId="023D699C" w14:textId="64C0337A" w:rsidR="00C81086" w:rsidRPr="00484AE9" w:rsidRDefault="00C81086" w:rsidP="002E0614">
            <w:pPr>
              <w:pStyle w:val="TableText0"/>
              <w:keepNext w:val="0"/>
              <w:widowControl w:val="0"/>
              <w:rPr>
                <w:szCs w:val="20"/>
              </w:rPr>
            </w:pPr>
            <w:r w:rsidRPr="00484AE9">
              <w:rPr>
                <w:rFonts w:eastAsia="MS Gothic" w:cs="Times New Roman"/>
              </w:rPr>
              <w:t xml:space="preserve">The Modified Monash Model categorises an area according to geographical remoteness and town size. Details can be found at: </w:t>
            </w:r>
            <w:hyperlink r:id="rId22" w:history="1">
              <w:r w:rsidRPr="00484AE9">
                <w:rPr>
                  <w:rStyle w:val="Hyperlink"/>
                  <w:rFonts w:eastAsia="MS Gothic" w:cs="Times New Roman"/>
                </w:rPr>
                <w:t>https://www.health.gov.au/health-topics/rural-health-workforce/classifications/mmm</w:t>
              </w:r>
            </w:hyperlink>
          </w:p>
        </w:tc>
      </w:tr>
      <w:tr w:rsidR="00C81086" w:rsidRPr="00484AE9" w14:paraId="3688476F" w14:textId="77777777" w:rsidTr="002E0614">
        <w:trPr>
          <w:trHeight w:val="20"/>
        </w:trPr>
        <w:tc>
          <w:tcPr>
            <w:tcW w:w="5000" w:type="pct"/>
            <w:vAlign w:val="center"/>
            <w:hideMark/>
          </w:tcPr>
          <w:p w14:paraId="402A6C44" w14:textId="77777777" w:rsidR="00C81086" w:rsidRPr="00484AE9" w:rsidRDefault="00C81086" w:rsidP="002E0614">
            <w:pPr>
              <w:pStyle w:val="TableText0"/>
              <w:keepNext w:val="0"/>
              <w:widowControl w:val="0"/>
              <w:rPr>
                <w:i/>
                <w:szCs w:val="20"/>
              </w:rPr>
            </w:pPr>
            <w:r w:rsidRPr="00484AE9">
              <w:rPr>
                <w:b/>
                <w:i/>
                <w:szCs w:val="20"/>
              </w:rPr>
              <w:lastRenderedPageBreak/>
              <w:t>Caution:</w:t>
            </w:r>
            <w:r w:rsidRPr="00484AE9">
              <w:rPr>
                <w:b/>
                <w:i/>
                <w:szCs w:val="20"/>
              </w:rPr>
              <w:br/>
            </w:r>
            <w:r w:rsidRPr="00484AE9">
              <w:rPr>
                <w:bCs w:val="0"/>
                <w:i/>
                <w:szCs w:val="20"/>
              </w:rPr>
              <w:t>Nirmatrelvir with ritonavir has significant drug-drug interactions. Please refer to the TGA approved Nirmatrelvir and ritonavir Product Information. Prescribers and dispensers should carefully review a patient's concomitant medications including over-the-counter medications, herbal supplements, and recreational drugs.</w:t>
            </w:r>
          </w:p>
        </w:tc>
      </w:tr>
      <w:tr w:rsidR="00C81086" w:rsidRPr="00484AE9" w14:paraId="3920A483" w14:textId="77777777" w:rsidTr="002E0614">
        <w:trPr>
          <w:trHeight w:val="20"/>
        </w:trPr>
        <w:tc>
          <w:tcPr>
            <w:tcW w:w="5000" w:type="pct"/>
            <w:tcBorders>
              <w:top w:val="single" w:sz="4" w:space="0" w:color="auto"/>
              <w:left w:val="single" w:sz="4" w:space="0" w:color="auto"/>
              <w:bottom w:val="single" w:sz="4" w:space="0" w:color="auto"/>
              <w:right w:val="single" w:sz="4" w:space="0" w:color="auto"/>
            </w:tcBorders>
            <w:vAlign w:val="center"/>
            <w:hideMark/>
          </w:tcPr>
          <w:p w14:paraId="2529369B" w14:textId="77777777" w:rsidR="00C81086" w:rsidRPr="00484AE9" w:rsidRDefault="00C81086" w:rsidP="002E0614">
            <w:pPr>
              <w:pStyle w:val="TableText0"/>
              <w:keepNext w:val="0"/>
              <w:widowControl w:val="0"/>
              <w:rPr>
                <w:b/>
                <w:i/>
                <w:szCs w:val="20"/>
              </w:rPr>
            </w:pPr>
            <w:r w:rsidRPr="00484AE9">
              <w:rPr>
                <w:b/>
                <w:i/>
                <w:szCs w:val="20"/>
              </w:rPr>
              <w:t xml:space="preserve">Administrative Advice: </w:t>
            </w:r>
            <w:r w:rsidRPr="00484AE9">
              <w:rPr>
                <w:bCs w:val="0"/>
                <w:i/>
                <w:szCs w:val="20"/>
              </w:rPr>
              <w:t>No increase in the maximum quantity or number of units may be authorised.</w:t>
            </w:r>
          </w:p>
        </w:tc>
      </w:tr>
      <w:tr w:rsidR="00C81086" w:rsidRPr="00484AE9" w14:paraId="1651329D" w14:textId="77777777" w:rsidTr="002E0614">
        <w:trPr>
          <w:trHeight w:val="20"/>
        </w:trPr>
        <w:tc>
          <w:tcPr>
            <w:tcW w:w="5000" w:type="pct"/>
            <w:tcBorders>
              <w:top w:val="single" w:sz="4" w:space="0" w:color="auto"/>
              <w:left w:val="single" w:sz="4" w:space="0" w:color="auto"/>
              <w:bottom w:val="single" w:sz="4" w:space="0" w:color="auto"/>
              <w:right w:val="single" w:sz="4" w:space="0" w:color="auto"/>
            </w:tcBorders>
            <w:vAlign w:val="center"/>
            <w:hideMark/>
          </w:tcPr>
          <w:p w14:paraId="34540504" w14:textId="77777777" w:rsidR="00C81086" w:rsidRPr="00484AE9" w:rsidRDefault="00C81086" w:rsidP="002E0614">
            <w:pPr>
              <w:pStyle w:val="TableText0"/>
              <w:keepNext w:val="0"/>
              <w:widowControl w:val="0"/>
              <w:rPr>
                <w:b/>
                <w:iCs/>
                <w:szCs w:val="20"/>
              </w:rPr>
            </w:pPr>
            <w:r w:rsidRPr="00484AE9">
              <w:rPr>
                <w:b/>
                <w:iCs/>
                <w:szCs w:val="20"/>
              </w:rPr>
              <w:t xml:space="preserve">Administrative Advice: </w:t>
            </w:r>
            <w:r w:rsidRPr="00484AE9">
              <w:rPr>
                <w:bCs w:val="0"/>
                <w:iCs/>
                <w:szCs w:val="20"/>
              </w:rPr>
              <w:t>No increase in the maximum number of repeats may be authorised.</w:t>
            </w:r>
          </w:p>
        </w:tc>
      </w:tr>
    </w:tbl>
    <w:p w14:paraId="3D40AD9D" w14:textId="38175F6B" w:rsidR="00682BA8" w:rsidRDefault="00C81086" w:rsidP="00F23EA5">
      <w:pPr>
        <w:spacing w:before="120"/>
        <w:jc w:val="left"/>
        <w:rPr>
          <w:rFonts w:asciiTheme="minorHAnsi" w:hAnsiTheme="minorHAnsi"/>
          <w:bCs/>
          <w:snapToGrid w:val="0"/>
        </w:rPr>
      </w:pPr>
      <w:bookmarkStart w:id="199" w:name="_Hlk150861865"/>
      <w:r w:rsidRPr="00484AE9">
        <w:rPr>
          <w:b/>
          <w:i/>
        </w:rPr>
        <w:t>This restriction may be subject to further review. Should there be any changes made to the restriction the sponsor will be informed.</w:t>
      </w:r>
    </w:p>
    <w:p w14:paraId="755125A4" w14:textId="77777777" w:rsidR="00682BA8" w:rsidRPr="00490DAE" w:rsidRDefault="00682BA8" w:rsidP="00682BA8">
      <w:pPr>
        <w:pStyle w:val="2-SectionHeading"/>
        <w:numPr>
          <w:ilvl w:val="0"/>
          <w:numId w:val="1"/>
        </w:numPr>
        <w:rPr>
          <w:b w:val="0"/>
          <w:bCs/>
          <w:lang w:val="en-GB"/>
        </w:rPr>
      </w:pPr>
      <w:r w:rsidRPr="00490DAE">
        <w:t>Context for Decision</w:t>
      </w:r>
    </w:p>
    <w:p w14:paraId="451DFAF7" w14:textId="77777777" w:rsidR="00682BA8" w:rsidRPr="00490DAE" w:rsidRDefault="00682BA8" w:rsidP="00682BA8">
      <w:pPr>
        <w:spacing w:after="120"/>
        <w:ind w:left="720"/>
        <w:rPr>
          <w:rFonts w:asciiTheme="minorHAnsi" w:hAnsiTheme="minorHAnsi"/>
          <w:bCs/>
          <w:lang w:val="en-GB"/>
        </w:rPr>
      </w:pPr>
      <w:r w:rsidRPr="00490DAE">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A31AF45" w14:textId="77777777" w:rsidR="00682BA8" w:rsidRPr="00490DAE" w:rsidRDefault="00682BA8" w:rsidP="00682BA8">
      <w:pPr>
        <w:pStyle w:val="2-SectionHeading"/>
        <w:numPr>
          <w:ilvl w:val="0"/>
          <w:numId w:val="1"/>
        </w:numPr>
        <w:rPr>
          <w:b w:val="0"/>
        </w:rPr>
      </w:pPr>
      <w:r w:rsidRPr="00490DAE">
        <w:lastRenderedPageBreak/>
        <w:t>Sponsor’s Comment</w:t>
      </w:r>
    </w:p>
    <w:p w14:paraId="2F84A762" w14:textId="22E3D464" w:rsidR="003356DA" w:rsidRPr="00F23EA5" w:rsidRDefault="007706E4" w:rsidP="00F23EA5">
      <w:pPr>
        <w:spacing w:after="120" w:line="276" w:lineRule="auto"/>
        <w:ind w:left="720"/>
        <w:rPr>
          <w:rFonts w:asciiTheme="minorHAnsi" w:eastAsiaTheme="minorHAnsi" w:hAnsiTheme="minorHAnsi"/>
          <w:bCs/>
          <w:lang w:eastAsia="en-US"/>
        </w:rPr>
      </w:pPr>
      <w:r w:rsidRPr="007706E4">
        <w:rPr>
          <w:rFonts w:asciiTheme="minorHAnsi" w:eastAsiaTheme="minorHAnsi" w:hAnsiTheme="minorHAnsi"/>
          <w:bCs/>
          <w:szCs w:val="22"/>
          <w:lang w:val="en-GB" w:eastAsia="en-US"/>
        </w:rPr>
        <w:t xml:space="preserve">It was Pfizer’s understanding that the PBAC considered access for patients aged 50-69 years with one additional risk factor to be temporary. Scenarios were presented in the initial submission on that basis, in order to facilitate a recommendation based on an understanding of the cost-effectiveness of Paxlovid across all current populations. Pfizer is committed to a smooth transition and is working collaboratively with the Australian Government to ensure continued broad and equitable access to this medicine for all eligible patients.  </w:t>
      </w:r>
      <w:bookmarkEnd w:id="179"/>
      <w:bookmarkEnd w:id="199"/>
      <w:bookmarkEnd w:id="180"/>
      <w:bookmarkEnd w:id="181"/>
    </w:p>
    <w:sectPr w:rsidR="003356DA" w:rsidRPr="00F23EA5" w:rsidSect="00251006">
      <w:headerReference w:type="even" r:id="rId23"/>
      <w:headerReference w:type="default" r:id="rId24"/>
      <w:footerReference w:type="even" r:id="rId25"/>
      <w:footerReference w:type="default" r:id="rId26"/>
      <w:headerReference w:type="first" r:id="rId27"/>
      <w:footerReference w:type="first" r:id="rId28"/>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91770" w14:textId="77777777" w:rsidR="00F67BBE" w:rsidRPr="00A47C0F" w:rsidRDefault="00F67BBE" w:rsidP="00124A51">
      <w:r w:rsidRPr="00A47C0F">
        <w:separator/>
      </w:r>
    </w:p>
    <w:p w14:paraId="13D5065F" w14:textId="77777777" w:rsidR="00F67BBE" w:rsidRPr="00A47C0F" w:rsidRDefault="00F67BBE"/>
  </w:endnote>
  <w:endnote w:type="continuationSeparator" w:id="0">
    <w:p w14:paraId="466A15F8" w14:textId="77777777" w:rsidR="00F67BBE" w:rsidRPr="00A47C0F" w:rsidRDefault="00F67BBE" w:rsidP="00124A51">
      <w:r w:rsidRPr="00A47C0F">
        <w:continuationSeparator/>
      </w:r>
    </w:p>
    <w:p w14:paraId="6ED99F3C" w14:textId="77777777" w:rsidR="00F67BBE" w:rsidRPr="00A47C0F" w:rsidRDefault="00F67BBE"/>
  </w:endnote>
  <w:endnote w:type="continuationNotice" w:id="1">
    <w:p w14:paraId="09E50FFD" w14:textId="77777777" w:rsidR="00F67BBE" w:rsidRDefault="00F67B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70861" w14:textId="77777777" w:rsidR="00696519" w:rsidRDefault="006965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B590D" w14:textId="77777777" w:rsidR="00F9455F" w:rsidRDefault="00F9455F" w:rsidP="00F9455F">
    <w:pPr>
      <w:pStyle w:val="Footer"/>
      <w:keepNext/>
      <w:ind w:left="360"/>
      <w:jc w:val="center"/>
    </w:pPr>
    <w:bookmarkStart w:id="201" w:name="_Hlk76375156"/>
  </w:p>
  <w:p w14:paraId="37484CD3" w14:textId="0A49AD57" w:rsidR="008B03CB" w:rsidRPr="00F9455F" w:rsidRDefault="00F9455F" w:rsidP="00F9455F">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bookmarkEnd w:id="20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D9E5E" w14:textId="77777777" w:rsidR="00696519" w:rsidRDefault="006965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91D24" w14:textId="77777777" w:rsidR="00F67BBE" w:rsidRPr="00A47C0F" w:rsidRDefault="00F67BBE" w:rsidP="00124A51">
      <w:r w:rsidRPr="00A47C0F">
        <w:separator/>
      </w:r>
    </w:p>
    <w:p w14:paraId="63DFA034" w14:textId="77777777" w:rsidR="00F67BBE" w:rsidRPr="00A47C0F" w:rsidRDefault="00F67BBE"/>
  </w:footnote>
  <w:footnote w:type="continuationSeparator" w:id="0">
    <w:p w14:paraId="68AEC955" w14:textId="77777777" w:rsidR="00F67BBE" w:rsidRPr="00A47C0F" w:rsidRDefault="00F67BBE" w:rsidP="00124A51">
      <w:r w:rsidRPr="00A47C0F">
        <w:continuationSeparator/>
      </w:r>
    </w:p>
    <w:p w14:paraId="146EAFBA" w14:textId="77777777" w:rsidR="00F67BBE" w:rsidRPr="00A47C0F" w:rsidRDefault="00F67BBE"/>
  </w:footnote>
  <w:footnote w:type="continuationNotice" w:id="1">
    <w:p w14:paraId="535C1926" w14:textId="77777777" w:rsidR="00F67BBE" w:rsidRDefault="00F67BBE"/>
  </w:footnote>
  <w:footnote w:id="2">
    <w:p w14:paraId="41191832" w14:textId="3126D14B" w:rsidR="008B03CB" w:rsidRDefault="008B03CB">
      <w:pPr>
        <w:pStyle w:val="FootnoteText"/>
      </w:pPr>
      <w:r>
        <w:rPr>
          <w:rStyle w:val="FootnoteReference"/>
        </w:rPr>
        <w:footnoteRef/>
      </w:r>
      <w:r w:rsidR="00696519" w:rsidRPr="00696519">
        <w:t xml:space="preserve"> </w:t>
      </w:r>
      <w:hyperlink r:id="rId1" w:history="1">
        <w:r w:rsidRPr="00AD6ECB">
          <w:rPr>
            <w:rStyle w:val="Hyperlink"/>
          </w:rPr>
          <w:t>https://www.pbs.gov.au/info/industry/pricing/catch-up_statutory_price_reductions</w:t>
        </w:r>
      </w:hyperlink>
      <w:r>
        <w:t xml:space="preserve"> </w:t>
      </w:r>
    </w:p>
  </w:footnote>
  <w:footnote w:id="3">
    <w:p w14:paraId="64EE1BC1" w14:textId="1146B52B" w:rsidR="008B03CB" w:rsidRPr="00F07854" w:rsidRDefault="008B03CB" w:rsidP="00525062">
      <w:pPr>
        <w:pStyle w:val="EndnoteText"/>
        <w:rPr>
          <w:rFonts w:ascii="Arial Narrow" w:hAnsi="Arial Narrow"/>
          <w:sz w:val="18"/>
          <w:szCs w:val="18"/>
        </w:rPr>
      </w:pPr>
      <w:r w:rsidRPr="00F07854">
        <w:rPr>
          <w:rFonts w:ascii="Arial Narrow" w:hAnsi="Arial Narrow"/>
          <w:sz w:val="18"/>
          <w:szCs w:val="18"/>
        </w:rPr>
        <w:footnoteRef/>
      </w:r>
      <w:r w:rsidRPr="00F07854">
        <w:rPr>
          <w:rFonts w:ascii="Arial Narrow" w:hAnsi="Arial Narrow"/>
          <w:sz w:val="18"/>
          <w:szCs w:val="18"/>
        </w:rPr>
        <w:t xml:space="preserve"> </w:t>
      </w:r>
      <w:bookmarkStart w:id="46" w:name="_Hlk139225201"/>
      <w:r w:rsidRPr="00F07854">
        <w:rPr>
          <w:rFonts w:ascii="Arial Narrow" w:hAnsi="Arial Narrow"/>
          <w:sz w:val="18"/>
          <w:szCs w:val="18"/>
        </w:rPr>
        <w:t>Pfizer. Internal data on file (Based on Optum US EHR Data) 28 June 2023</w:t>
      </w:r>
      <w:bookmarkEnd w:id="46"/>
      <w:r w:rsidRPr="00F07854">
        <w:rPr>
          <w:rFonts w:ascii="Arial Narrow" w:hAnsi="Arial Narrow"/>
          <w:sz w:val="18"/>
          <w:szCs w:val="18"/>
        </w:rPr>
        <w:t>.</w:t>
      </w:r>
    </w:p>
  </w:footnote>
  <w:footnote w:id="4">
    <w:p w14:paraId="56A9ECFF" w14:textId="7A00AA9A" w:rsidR="008B03CB" w:rsidRPr="00F07854" w:rsidRDefault="008B03CB">
      <w:pPr>
        <w:pStyle w:val="FootnoteText"/>
        <w:rPr>
          <w:rFonts w:ascii="Arial Narrow" w:hAnsi="Arial Narrow"/>
          <w:sz w:val="18"/>
          <w:szCs w:val="18"/>
        </w:rPr>
      </w:pPr>
      <w:r w:rsidRPr="00F07854">
        <w:rPr>
          <w:rFonts w:ascii="Arial Narrow" w:hAnsi="Arial Narrow"/>
          <w:sz w:val="18"/>
          <w:szCs w:val="18"/>
        </w:rPr>
        <w:footnoteRef/>
      </w:r>
      <w:r w:rsidRPr="00F07854">
        <w:rPr>
          <w:rFonts w:ascii="Arial Narrow" w:hAnsi="Arial Narrow"/>
          <w:sz w:val="18"/>
          <w:szCs w:val="18"/>
        </w:rPr>
        <w:t xml:space="preserve"> Lim S, Tignanelli CJ, Hoertel N, Boulware DR, Usher MG. Prevalence of Medical Contraindications to Nirmatrelvir/Ritonavir in a Cohort of Hospitalized and Nonhospitalized Patients With COVID-19. Open Forum Infect Dis. 2022 Aug 3;9(8):ofac389. doi: 10.1093/ofid/ofac389.</w:t>
      </w:r>
    </w:p>
  </w:footnote>
  <w:footnote w:id="5">
    <w:p w14:paraId="05E6970F" w14:textId="668E57B6" w:rsidR="008B03CB" w:rsidRDefault="008B03CB">
      <w:pPr>
        <w:pStyle w:val="FootnoteText"/>
      </w:pPr>
      <w:r w:rsidRPr="00F07854">
        <w:rPr>
          <w:rFonts w:ascii="Arial Narrow" w:hAnsi="Arial Narrow"/>
          <w:sz w:val="18"/>
          <w:szCs w:val="18"/>
        </w:rPr>
        <w:footnoteRef/>
      </w:r>
      <w:r w:rsidRPr="00F07854">
        <w:rPr>
          <w:rFonts w:ascii="Arial Narrow" w:hAnsi="Arial Narrow"/>
          <w:sz w:val="18"/>
          <w:szCs w:val="18"/>
        </w:rPr>
        <w:t xml:space="preserve"> Hoertel N, Boulware DR, Sánchez-Rico M, Burgun A, Limosin F. Prevalence of Contraindications to Nirmatrelvir-Ritonavir Among Hospitalized Patients With COVID-19 at Risk for Progression to Severe Disease. JAMA Netw Open. 2022 Nov 1;5(11):e2242140.</w:t>
      </w:r>
    </w:p>
  </w:footnote>
  <w:footnote w:id="6">
    <w:p w14:paraId="0ED6C8A5" w14:textId="77777777" w:rsidR="008B03CB" w:rsidRDefault="008B03CB" w:rsidP="001B7C07">
      <w:pPr>
        <w:pStyle w:val="FootnoteText"/>
        <w:jc w:val="left"/>
      </w:pPr>
      <w:r>
        <w:rPr>
          <w:rStyle w:val="FootnoteReference"/>
        </w:rPr>
        <w:footnoteRef/>
      </w:r>
      <w:r>
        <w:t xml:space="preserve"> </w:t>
      </w:r>
      <w:hyperlink r:id="rId2" w:history="1">
        <w:r w:rsidRPr="00B741BA">
          <w:rPr>
            <w:rStyle w:val="Hyperlink"/>
          </w:rPr>
          <w:t>https://www.pbs.gov.au/industry/listing/elements/pbac-meetings/pbac-outcomes/2023-07/pbac-web-outcomes-07-2023-v2.pdf</w:t>
        </w:r>
      </w:hyperlink>
      <w:r>
        <w:t xml:space="preserve"> </w:t>
      </w:r>
    </w:p>
  </w:footnote>
  <w:footnote w:id="7">
    <w:p w14:paraId="7F788CBF" w14:textId="346D2695" w:rsidR="008E6E47" w:rsidRDefault="008E6E47">
      <w:pPr>
        <w:pStyle w:val="FootnoteText"/>
      </w:pPr>
      <w:r>
        <w:rPr>
          <w:rStyle w:val="FootnoteReference"/>
        </w:rPr>
        <w:footnoteRef/>
      </w:r>
      <w:r>
        <w:t xml:space="preserve"> </w:t>
      </w:r>
      <w:hyperlink r:id="rId3" w:history="1">
        <w:r w:rsidRPr="00470E42">
          <w:rPr>
            <w:rStyle w:val="Hyperlink"/>
          </w:rPr>
          <w:t>https://www.aph.gov.au/longandrepeatedcovid</w:t>
        </w:r>
      </w:hyperlink>
      <w:r>
        <w:t xml:space="preserve"> </w:t>
      </w:r>
    </w:p>
  </w:footnote>
  <w:footnote w:id="8">
    <w:p w14:paraId="1199D5CD" w14:textId="594334D2" w:rsidR="008B03CB" w:rsidRDefault="008B03CB">
      <w:pPr>
        <w:pStyle w:val="FootnoteText"/>
      </w:pPr>
      <w:r>
        <w:rPr>
          <w:rStyle w:val="FootnoteReference"/>
        </w:rPr>
        <w:footnoteRef/>
      </w:r>
      <w:r>
        <w:t xml:space="preserve"> </w:t>
      </w:r>
      <w:r w:rsidRPr="00EE1346">
        <w:t>Risk factors for age and BMI were conditional based on when participants enrolled. The protocol was amended on 21 January 2022 to change age risk factor from ≥60 years to ≥65 years and change BMI risk factor from ≥25 kg/m</w:t>
      </w:r>
      <w:r w:rsidRPr="00A27AD5">
        <w:rPr>
          <w:vertAlign w:val="superscript"/>
        </w:rPr>
        <w:t>2</w:t>
      </w:r>
      <w:r w:rsidRPr="00EE1346">
        <w:t xml:space="preserve"> to ≥30 kg/m</w:t>
      </w:r>
      <w:r w:rsidRPr="00A27AD5">
        <w:rPr>
          <w:vertAlign w:val="superscript"/>
        </w:rPr>
        <w:t>2</w:t>
      </w:r>
      <w:r w:rsidRPr="00EE1346">
        <w:t>).</w:t>
      </w:r>
    </w:p>
  </w:footnote>
  <w:footnote w:id="9">
    <w:p w14:paraId="32FEC496" w14:textId="4C5D070D" w:rsidR="008B03CB" w:rsidRPr="00B600AA" w:rsidRDefault="008B03CB">
      <w:pPr>
        <w:pStyle w:val="FootnoteText"/>
        <w:rPr>
          <w:rFonts w:ascii="Arial Narrow" w:hAnsi="Arial Narrow"/>
        </w:rPr>
      </w:pPr>
      <w:r w:rsidRPr="00B600AA">
        <w:rPr>
          <w:rStyle w:val="FootnoteReference"/>
          <w:rFonts w:ascii="Arial Narrow" w:hAnsi="Arial Narrow"/>
        </w:rPr>
        <w:footnoteRef/>
      </w:r>
      <w:r w:rsidRPr="00B600AA">
        <w:rPr>
          <w:rFonts w:ascii="Arial Narrow" w:hAnsi="Arial Narrow"/>
        </w:rPr>
        <w:t xml:space="preserve"> Van Heer, Christina, et al. "Effectiveness of community-based oral antiviral treatments against severe COVID-19 outcomes in people 70 years and over in Victoria, Australia, 2022: an observational study." The Lancet Regional Health–Western Pacific 41 (2023).</w:t>
      </w:r>
      <w:r>
        <w:rPr>
          <w:rFonts w:ascii="Arial Narrow" w:hAnsi="Arial Narrow"/>
        </w:rPr>
        <w:t xml:space="preserve"> </w:t>
      </w:r>
      <w:r w:rsidRPr="00B600AA">
        <w:rPr>
          <w:rFonts w:ascii="Arial Narrow" w:hAnsi="Arial Narrow"/>
        </w:rPr>
        <w:t>http://dx.doi.org/10.2139/ssrn.4495142; subsequently published at https://doi.org/10.1016/j.lanwpc.2023.100917</w:t>
      </w:r>
      <w:r>
        <w:rPr>
          <w:rFonts w:ascii="Arial Narrow" w:hAnsi="Arial Narrow"/>
        </w:rPr>
        <w:t xml:space="preserve"> </w:t>
      </w:r>
    </w:p>
  </w:footnote>
  <w:footnote w:id="10">
    <w:p w14:paraId="2D01A9E0" w14:textId="77777777" w:rsidR="00F1452A" w:rsidRDefault="00F1452A" w:rsidP="00F1452A">
      <w:pPr>
        <w:pStyle w:val="FootnoteText"/>
      </w:pPr>
      <w:r>
        <w:rPr>
          <w:rStyle w:val="FootnoteReference"/>
        </w:rPr>
        <w:footnoteRef/>
      </w:r>
      <w:r>
        <w:t xml:space="preserve"> </w:t>
      </w:r>
      <w:r w:rsidRPr="00FB7BEB">
        <w:t>ATAGI Update on the COVID-19 Vaccination Program</w:t>
      </w:r>
      <w:r>
        <w:t xml:space="preserve">, published 1 September 2023. </w:t>
      </w:r>
      <w:hyperlink r:id="rId4" w:history="1">
        <w:r w:rsidRPr="00E05474">
          <w:rPr>
            <w:rStyle w:val="Hyperlink"/>
          </w:rPr>
          <w:t>https://www.health.gov.au/news/atagi-update-on-the-covid-19-vaccination-program</w:t>
        </w:r>
      </w:hyperlink>
      <w:r>
        <w:rPr>
          <w:rStyle w:val="Hyperlink"/>
        </w:rPr>
        <w:t>.</w:t>
      </w:r>
    </w:p>
  </w:footnote>
  <w:footnote w:id="11">
    <w:p w14:paraId="6789E272" w14:textId="77777777" w:rsidR="008B03CB" w:rsidRPr="00FC4E9C" w:rsidRDefault="008B03CB" w:rsidP="000523A1">
      <w:pPr>
        <w:pStyle w:val="EndnoteText"/>
        <w:rPr>
          <w:rFonts w:ascii="Arial Narrow" w:hAnsi="Arial Narrow"/>
          <w:sz w:val="18"/>
          <w:szCs w:val="18"/>
        </w:rPr>
      </w:pPr>
      <w:r>
        <w:rPr>
          <w:rStyle w:val="FootnoteReference"/>
        </w:rPr>
        <w:footnoteRef/>
      </w:r>
      <w:r>
        <w:t xml:space="preserve"> </w:t>
      </w:r>
      <w:r w:rsidRPr="00FC4E9C">
        <w:rPr>
          <w:rFonts w:ascii="Arial Narrow" w:hAnsi="Arial Narrow"/>
          <w:sz w:val="18"/>
          <w:szCs w:val="18"/>
        </w:rPr>
        <w:t>House of Representatives Standing Committee on Health, Aged Care and Sport. Sick and tired: Casting a long</w:t>
      </w:r>
    </w:p>
    <w:p w14:paraId="4E4A872F" w14:textId="2FC123C7" w:rsidR="008B03CB" w:rsidRPr="00FC4E9C" w:rsidRDefault="008B03CB" w:rsidP="000523A1">
      <w:pPr>
        <w:pStyle w:val="FootnoteText"/>
        <w:rPr>
          <w:sz w:val="18"/>
          <w:szCs w:val="18"/>
        </w:rPr>
      </w:pPr>
      <w:r w:rsidRPr="00FC4E9C">
        <w:rPr>
          <w:rFonts w:ascii="Arial Narrow" w:hAnsi="Arial Narrow"/>
          <w:sz w:val="18"/>
          <w:szCs w:val="18"/>
        </w:rPr>
        <w:t>Shadow. April 2023</w:t>
      </w:r>
    </w:p>
  </w:footnote>
  <w:footnote w:id="12">
    <w:p w14:paraId="53ABA9AB" w14:textId="3B812B19" w:rsidR="008B03CB" w:rsidRDefault="008B03CB">
      <w:pPr>
        <w:pStyle w:val="FootnoteText"/>
      </w:pPr>
      <w:r w:rsidRPr="00FC4E9C">
        <w:rPr>
          <w:rStyle w:val="FootnoteReference"/>
          <w:sz w:val="18"/>
          <w:szCs w:val="18"/>
        </w:rPr>
        <w:footnoteRef/>
      </w:r>
      <w:r w:rsidRPr="00FC4E9C">
        <w:rPr>
          <w:sz w:val="18"/>
          <w:szCs w:val="18"/>
        </w:rPr>
        <w:t xml:space="preserve"> </w:t>
      </w:r>
      <w:r w:rsidRPr="00FC4E9C">
        <w:rPr>
          <w:rFonts w:ascii="Arial Narrow" w:hAnsi="Arial Narrow"/>
          <w:sz w:val="18"/>
          <w:szCs w:val="18"/>
          <w:lang w:val="en-US"/>
        </w:rPr>
        <w:t>Xie, Y., T. Choi, and Z. Al-Aly. 2023. "Association of Treatment With Nirmatrelvir and the Risk of Post-COVID-19 Condition."</w:t>
      </w:r>
      <w:r w:rsidR="00F76D9A">
        <w:rPr>
          <w:rFonts w:ascii="Arial Narrow" w:hAnsi="Arial Narrow"/>
          <w:sz w:val="18"/>
          <w:szCs w:val="18"/>
          <w:lang w:val="en-US"/>
        </w:rPr>
        <w:t xml:space="preserve"> </w:t>
      </w:r>
      <w:r w:rsidRPr="00FC4E9C">
        <w:rPr>
          <w:rFonts w:ascii="Arial Narrow" w:hAnsi="Arial Narrow"/>
          <w:sz w:val="18"/>
          <w:szCs w:val="18"/>
          <w:lang w:val="en-US"/>
        </w:rPr>
        <w:t>JAMA Intern Med. doi: 10.1001/jamainternmed.2023.0743</w:t>
      </w:r>
      <w:r w:rsidRPr="00FC4E9C">
        <w:rPr>
          <w:sz w:val="18"/>
          <w:szCs w:val="18"/>
          <w:lang w:val="en-US"/>
        </w:rPr>
        <w:t>.</w:t>
      </w:r>
    </w:p>
  </w:footnote>
  <w:footnote w:id="13">
    <w:p w14:paraId="06DAEC57" w14:textId="588F727C" w:rsidR="008B03CB" w:rsidRPr="00FC4E9C" w:rsidRDefault="008B03CB">
      <w:pPr>
        <w:pStyle w:val="FootnoteText"/>
        <w:rPr>
          <w:rFonts w:ascii="Arial Narrow" w:hAnsi="Arial Narrow"/>
          <w:sz w:val="18"/>
          <w:szCs w:val="18"/>
        </w:rPr>
      </w:pPr>
      <w:r w:rsidRPr="00357112">
        <w:rPr>
          <w:rStyle w:val="FootnoteReference"/>
          <w:rFonts w:ascii="Arial Narrow" w:hAnsi="Arial Narrow"/>
        </w:rPr>
        <w:footnoteRef/>
      </w:r>
      <w:r w:rsidRPr="00357112">
        <w:rPr>
          <w:rFonts w:ascii="Arial Narrow" w:hAnsi="Arial Narrow"/>
        </w:rPr>
        <w:t xml:space="preserve"> </w:t>
      </w:r>
      <w:r w:rsidRPr="00FC4E9C">
        <w:rPr>
          <w:rFonts w:ascii="Arial Narrow" w:hAnsi="Arial Narrow"/>
          <w:sz w:val="18"/>
          <w:szCs w:val="18"/>
        </w:rPr>
        <w:t>Durstenfeld M, et al 2023. Association of Nirmatrelvir/Ritonavir Treatment with Long COVID Symptoms in an Online Cohort of Non-Hospitalized Individuals Experiencing Breakthrough SARS-CoV-2 Infection in the Omicron Era (Preprint) medRxiv 2023.03.02.23286730; doi: https://doi.org/10.1101/2023.03.02.23286730</w:t>
      </w:r>
    </w:p>
  </w:footnote>
  <w:footnote w:id="14">
    <w:p w14:paraId="4619AACD" w14:textId="72169F05" w:rsidR="008B03CB" w:rsidRDefault="008B03CB">
      <w:pPr>
        <w:pStyle w:val="FootnoteText"/>
      </w:pPr>
      <w:r w:rsidRPr="00FC4E9C">
        <w:rPr>
          <w:rStyle w:val="FootnoteReference"/>
          <w:rFonts w:ascii="Arial Narrow" w:hAnsi="Arial Narrow"/>
          <w:sz w:val="18"/>
          <w:szCs w:val="18"/>
        </w:rPr>
        <w:footnoteRef/>
      </w:r>
      <w:r w:rsidRPr="00FC4E9C">
        <w:rPr>
          <w:rFonts w:ascii="Arial Narrow" w:hAnsi="Arial Narrow"/>
          <w:sz w:val="18"/>
          <w:szCs w:val="18"/>
        </w:rPr>
        <w:t xml:space="preserve"> Chuang, M-H, Wu, J-Y, Liu, T-H, et al. Efficacy of nirmatrelvir and ritonavir for post-acute COVID-19 sequelae beyond 3 months of SARS-CoV-2 infection. J Med Virol. 2023; 95:e28750. doi:10.1002/jmv.28750</w:t>
      </w:r>
      <w:r>
        <w:t xml:space="preserve"> </w:t>
      </w:r>
    </w:p>
  </w:footnote>
  <w:footnote w:id="15">
    <w:p w14:paraId="2878F0B2" w14:textId="24A0D5E3" w:rsidR="006059E0" w:rsidRDefault="006059E0">
      <w:pPr>
        <w:pStyle w:val="FootnoteText"/>
      </w:pPr>
      <w:r>
        <w:rPr>
          <w:rStyle w:val="FootnoteReference"/>
        </w:rPr>
        <w:footnoteRef/>
      </w:r>
      <w:r>
        <w:t xml:space="preserve"> </w:t>
      </w:r>
      <w:r w:rsidRPr="006059E0">
        <w:rPr>
          <w:rFonts w:ascii="Arial Narrow" w:hAnsi="Arial Narrow"/>
          <w:sz w:val="18"/>
          <w:szCs w:val="18"/>
        </w:rPr>
        <w:t>Ioannou GN, et al. Effectiveness of Nirmatrelvir-Ritonavir Against the Development of Post-COVID-19 Conditions Among U.S. Veterans : A Target Trial Emulation. Ann Intern Med. 2023 Oct 31: doi: 10.7326/M23-1394. Epub ahead of print.</w:t>
      </w:r>
      <w:r w:rsidRPr="006059E0">
        <w:t xml:space="preserve"> </w:t>
      </w:r>
    </w:p>
  </w:footnote>
  <w:footnote w:id="16">
    <w:p w14:paraId="10952F5F" w14:textId="5B9E1FF3" w:rsidR="008B03CB" w:rsidRDefault="008B03CB">
      <w:pPr>
        <w:pStyle w:val="FootnoteText"/>
      </w:pPr>
      <w:r>
        <w:rPr>
          <w:rStyle w:val="FootnoteReference"/>
        </w:rPr>
        <w:footnoteRef/>
      </w:r>
      <w:r>
        <w:t xml:space="preserve"> </w:t>
      </w:r>
      <w:r w:rsidRPr="00FC4E9C">
        <w:rPr>
          <w:rFonts w:ascii="Arial Narrow" w:hAnsi="Arial Narrow"/>
          <w:sz w:val="18"/>
          <w:szCs w:val="18"/>
        </w:rPr>
        <w:t>Anderson AS, Caubel P, Rusnak JM; EPIC-HR Trial Investigators. Nirmatrelvir-Ritonavir and Viral Load Rebound in Covid-19. N Engl J Med. 2022 Sep 15;387(11):1047-1049. doi: 10.1056/NEJMc2205944. Epub 2022 Sep 7.</w:t>
      </w:r>
    </w:p>
  </w:footnote>
  <w:footnote w:id="17">
    <w:p w14:paraId="5E85EBAD" w14:textId="042ABE27" w:rsidR="008B03CB" w:rsidRPr="00FC4E9C" w:rsidRDefault="008B03CB">
      <w:pPr>
        <w:pStyle w:val="FootnoteText"/>
        <w:rPr>
          <w:rFonts w:ascii="Arial Narrow" w:hAnsi="Arial Narrow"/>
          <w:sz w:val="18"/>
          <w:szCs w:val="18"/>
        </w:rPr>
      </w:pPr>
      <w:r>
        <w:rPr>
          <w:rStyle w:val="FootnoteReference"/>
        </w:rPr>
        <w:footnoteRef/>
      </w:r>
      <w:r>
        <w:t xml:space="preserve"> </w:t>
      </w:r>
      <w:r w:rsidRPr="00FC4E9C">
        <w:rPr>
          <w:rFonts w:ascii="Arial Narrow" w:hAnsi="Arial Narrow"/>
          <w:sz w:val="18"/>
          <w:szCs w:val="18"/>
        </w:rPr>
        <w:t xml:space="preserve">Macedo A, Gonçalves N, Febra C. COVID-19 fatality rates in hospitalized patients: systematic review and meta-analysis. </w:t>
      </w:r>
      <w:r w:rsidRPr="006C2798">
        <w:rPr>
          <w:rFonts w:ascii="Arial Narrow" w:hAnsi="Arial Narrow"/>
          <w:iCs/>
          <w:sz w:val="18"/>
          <w:szCs w:val="18"/>
        </w:rPr>
        <w:t xml:space="preserve">Ann Epidemiol. </w:t>
      </w:r>
      <w:r w:rsidRPr="00FC4E9C">
        <w:rPr>
          <w:rFonts w:ascii="Arial Narrow" w:hAnsi="Arial Narrow"/>
          <w:sz w:val="18"/>
          <w:szCs w:val="18"/>
        </w:rPr>
        <w:t xml:space="preserve">2021;57:14-21. </w:t>
      </w:r>
      <w:hyperlink r:id="rId5" w:history="1">
        <w:r w:rsidRPr="00FC4E9C">
          <w:rPr>
            <w:rStyle w:val="Hyperlink"/>
            <w:rFonts w:ascii="Arial Narrow" w:hAnsi="Arial Narrow"/>
            <w:sz w:val="18"/>
            <w:szCs w:val="18"/>
          </w:rPr>
          <w:t>https://doi.org/10.1016/j.annepidem.2021.02.012</w:t>
        </w:r>
      </w:hyperlink>
      <w:r w:rsidRPr="00FC4E9C">
        <w:rPr>
          <w:rFonts w:ascii="Arial Narrow" w:hAnsi="Arial Narrow"/>
          <w:sz w:val="18"/>
          <w:szCs w:val="18"/>
        </w:rPr>
        <w:t xml:space="preserve"> </w:t>
      </w:r>
    </w:p>
  </w:footnote>
  <w:footnote w:id="18">
    <w:p w14:paraId="707DAA59" w14:textId="7BEA0341" w:rsidR="008B03CB" w:rsidRDefault="008B03CB">
      <w:pPr>
        <w:pStyle w:val="FootnoteText"/>
      </w:pPr>
      <w:r w:rsidRPr="00FC4E9C">
        <w:rPr>
          <w:rStyle w:val="FootnoteReference"/>
          <w:rFonts w:ascii="Arial Narrow" w:hAnsi="Arial Narrow"/>
          <w:sz w:val="18"/>
          <w:szCs w:val="18"/>
        </w:rPr>
        <w:footnoteRef/>
      </w:r>
      <w:r w:rsidRPr="00FC4E9C">
        <w:rPr>
          <w:rFonts w:ascii="Arial Narrow" w:hAnsi="Arial Narrow"/>
          <w:sz w:val="18"/>
          <w:szCs w:val="18"/>
        </w:rPr>
        <w:t xml:space="preserve"> Davis H et al. Long COVID: major findings, mechanisms and recommendations. Nature reviews microbiologyVolume 21 MRCH 2023. https://doi.org/10.1038/s41579-022-00846-2</w:t>
      </w:r>
    </w:p>
  </w:footnote>
  <w:footnote w:id="19">
    <w:p w14:paraId="5D5B0D80" w14:textId="77777777" w:rsidR="0036036C" w:rsidRDefault="0036036C" w:rsidP="0036036C">
      <w:pPr>
        <w:pStyle w:val="FootnoteText"/>
      </w:pPr>
      <w:r>
        <w:rPr>
          <w:rStyle w:val="FootnoteReference"/>
        </w:rPr>
        <w:footnoteRef/>
      </w:r>
      <w:r>
        <w:t xml:space="preserve"> </w:t>
      </w:r>
      <w:r w:rsidRPr="00910827">
        <w:rPr>
          <w:rFonts w:cstheme="minorHAnsi"/>
          <w:color w:val="222222"/>
          <w:shd w:val="clear" w:color="auto" w:fill="FFFFFF"/>
        </w:rPr>
        <w:t>He, D., Lui, R., Wang, L. et al. Global Spatio-temporal Patterns of Influenza in the Post-pandemic Era. Sci Rep 5, 11013 (2015). https://doi.org/10.1038/srep11013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78BE9" w14:textId="77777777" w:rsidR="00696519" w:rsidRDefault="006965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8B081" w14:textId="01D5DE33" w:rsidR="00F9455F" w:rsidRPr="00056684" w:rsidRDefault="008728AB" w:rsidP="00F9455F">
    <w:pPr>
      <w:pStyle w:val="Header"/>
      <w:ind w:left="360"/>
      <w:rPr>
        <w:rFonts w:asciiTheme="minorHAnsi" w:hAnsiTheme="minorHAnsi"/>
        <w:i/>
        <w:color w:val="808080"/>
      </w:rPr>
    </w:pPr>
    <w:bookmarkStart w:id="200" w:name="_Hlk76375146"/>
    <w:r w:rsidRPr="008728AB">
      <w:rPr>
        <w:rFonts w:asciiTheme="minorHAnsi" w:hAnsiTheme="minorHAnsi"/>
        <w:i/>
        <w:color w:val="808080"/>
      </w:rPr>
      <w:t xml:space="preserve">Public Summary Document </w:t>
    </w:r>
    <w:r w:rsidR="00F9455F" w:rsidRPr="00056684">
      <w:rPr>
        <w:rFonts w:asciiTheme="minorHAnsi" w:hAnsiTheme="minorHAnsi"/>
        <w:i/>
        <w:color w:val="808080"/>
      </w:rPr>
      <w:t xml:space="preserve">– </w:t>
    </w:r>
    <w:r w:rsidR="00F9455F">
      <w:rPr>
        <w:rFonts w:asciiTheme="minorHAnsi" w:hAnsiTheme="minorHAnsi"/>
        <w:i/>
        <w:color w:val="808080"/>
      </w:rPr>
      <w:t>November 2023</w:t>
    </w:r>
    <w:r w:rsidR="00F9455F" w:rsidRPr="00056684">
      <w:rPr>
        <w:rFonts w:asciiTheme="minorHAnsi" w:hAnsiTheme="minorHAnsi"/>
        <w:i/>
        <w:color w:val="808080"/>
      </w:rPr>
      <w:t xml:space="preserve"> PBAC Meeting</w:t>
    </w:r>
  </w:p>
  <w:bookmarkEnd w:id="200"/>
  <w:p w14:paraId="03AF943B" w14:textId="77777777" w:rsidR="008B03CB" w:rsidRPr="00A47C0F" w:rsidRDefault="008B03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61E7A" w14:textId="77777777" w:rsidR="00696519" w:rsidRDefault="006965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14CF0E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6086064"/>
    <w:multiLevelType w:val="hybridMultilevel"/>
    <w:tmpl w:val="42588A5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33AD38CB"/>
    <w:multiLevelType w:val="hybridMultilevel"/>
    <w:tmpl w:val="F5D0D97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524439"/>
    <w:multiLevelType w:val="hybridMultilevel"/>
    <w:tmpl w:val="D480EA64"/>
    <w:lvl w:ilvl="0" w:tplc="9FCCEA16">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59D63201"/>
    <w:multiLevelType w:val="hybridMultilevel"/>
    <w:tmpl w:val="1C3ED8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E314C29"/>
    <w:multiLevelType w:val="hybridMultilevel"/>
    <w:tmpl w:val="B888E1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15:restartNumberingAfterBreak="0">
    <w:nsid w:val="77EA0F79"/>
    <w:multiLevelType w:val="hybridMultilevel"/>
    <w:tmpl w:val="91D4F28C"/>
    <w:lvl w:ilvl="0" w:tplc="D9F424BE">
      <w:start w:val="1"/>
      <w:numFmt w:val="bullet"/>
      <w:pStyle w:val="Tabletex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84D033C"/>
    <w:multiLevelType w:val="multilevel"/>
    <w:tmpl w:val="C7688304"/>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98533C5"/>
    <w:multiLevelType w:val="hybridMultilevel"/>
    <w:tmpl w:val="A9B640CA"/>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2087190882">
    <w:abstractNumId w:val="10"/>
  </w:num>
  <w:num w:numId="2" w16cid:durableId="1101222906">
    <w:abstractNumId w:val="3"/>
  </w:num>
  <w:num w:numId="3" w16cid:durableId="759833772">
    <w:abstractNumId w:val="4"/>
  </w:num>
  <w:num w:numId="4" w16cid:durableId="1673873415">
    <w:abstractNumId w:val="2"/>
  </w:num>
  <w:num w:numId="5" w16cid:durableId="258758722">
    <w:abstractNumId w:val="0"/>
  </w:num>
  <w:num w:numId="6" w16cid:durableId="313023871">
    <w:abstractNumId w:val="10"/>
  </w:num>
  <w:num w:numId="7" w16cid:durableId="1693334971">
    <w:abstractNumId w:val="8"/>
  </w:num>
  <w:num w:numId="8" w16cid:durableId="10378638">
    <w:abstractNumId w:val="1"/>
  </w:num>
  <w:num w:numId="9" w16cid:durableId="1818570971">
    <w:abstractNumId w:val="6"/>
  </w:num>
  <w:num w:numId="10" w16cid:durableId="1398284326">
    <w:abstractNumId w:val="5"/>
  </w:num>
  <w:num w:numId="11" w16cid:durableId="1103453323">
    <w:abstractNumId w:val="7"/>
  </w:num>
  <w:num w:numId="12" w16cid:durableId="2086487011">
    <w:abstractNumId w:val="9"/>
  </w:num>
  <w:num w:numId="13" w16cid:durableId="836461647">
    <w:abstractNumId w:val="11"/>
  </w:num>
  <w:num w:numId="14" w16cid:durableId="166484039">
    <w:abstractNumId w:val="10"/>
  </w:num>
  <w:num w:numId="15" w16cid:durableId="510687334">
    <w:abstractNumId w:val="10"/>
  </w:num>
  <w:num w:numId="16" w16cid:durableId="1218785489">
    <w:abstractNumId w:val="10"/>
  </w:num>
  <w:num w:numId="17" w16cid:durableId="8565830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7550953">
    <w:abstractNumId w:val="10"/>
  </w:num>
  <w:num w:numId="19" w16cid:durableId="1606838116">
    <w:abstractNumId w:val="0"/>
  </w:num>
  <w:num w:numId="20" w16cid:durableId="1259097295">
    <w:abstractNumId w:val="0"/>
  </w:num>
  <w:num w:numId="21" w16cid:durableId="1081215261">
    <w:abstractNumId w:val="0"/>
  </w:num>
  <w:num w:numId="22" w16cid:durableId="1133904414">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YzMTO0BAIDM0tjMyUdpeDU4uLM/DyQAkPjWgAMoQHlLQAAAA=="/>
  </w:docVars>
  <w:rsids>
    <w:rsidRoot w:val="00E65E79"/>
    <w:rsid w:val="00000790"/>
    <w:rsid w:val="00000B9F"/>
    <w:rsid w:val="00000C48"/>
    <w:rsid w:val="0000110B"/>
    <w:rsid w:val="000017A9"/>
    <w:rsid w:val="00001C3F"/>
    <w:rsid w:val="000023E0"/>
    <w:rsid w:val="000024D6"/>
    <w:rsid w:val="00002895"/>
    <w:rsid w:val="00002ACE"/>
    <w:rsid w:val="00002DDB"/>
    <w:rsid w:val="00002F58"/>
    <w:rsid w:val="000032C6"/>
    <w:rsid w:val="00003499"/>
    <w:rsid w:val="00003506"/>
    <w:rsid w:val="00003572"/>
    <w:rsid w:val="000038E5"/>
    <w:rsid w:val="000039B7"/>
    <w:rsid w:val="00004C9D"/>
    <w:rsid w:val="00004FCD"/>
    <w:rsid w:val="00005411"/>
    <w:rsid w:val="00005651"/>
    <w:rsid w:val="000056B9"/>
    <w:rsid w:val="00005D73"/>
    <w:rsid w:val="0000639A"/>
    <w:rsid w:val="000068E8"/>
    <w:rsid w:val="0000692F"/>
    <w:rsid w:val="00007227"/>
    <w:rsid w:val="000073EE"/>
    <w:rsid w:val="00007AD4"/>
    <w:rsid w:val="00007BCB"/>
    <w:rsid w:val="00007CCE"/>
    <w:rsid w:val="00007DCD"/>
    <w:rsid w:val="000106C6"/>
    <w:rsid w:val="000106D7"/>
    <w:rsid w:val="00010BFC"/>
    <w:rsid w:val="00010EC2"/>
    <w:rsid w:val="00011732"/>
    <w:rsid w:val="000120D4"/>
    <w:rsid w:val="000124F5"/>
    <w:rsid w:val="000130F9"/>
    <w:rsid w:val="0001319D"/>
    <w:rsid w:val="00013247"/>
    <w:rsid w:val="00013DC0"/>
    <w:rsid w:val="000142CA"/>
    <w:rsid w:val="00014C0D"/>
    <w:rsid w:val="00015324"/>
    <w:rsid w:val="00015886"/>
    <w:rsid w:val="00015C56"/>
    <w:rsid w:val="00015D53"/>
    <w:rsid w:val="000162EF"/>
    <w:rsid w:val="00016784"/>
    <w:rsid w:val="00016A4F"/>
    <w:rsid w:val="00016A99"/>
    <w:rsid w:val="0001768E"/>
    <w:rsid w:val="00020697"/>
    <w:rsid w:val="000207C9"/>
    <w:rsid w:val="00020CA8"/>
    <w:rsid w:val="00020D96"/>
    <w:rsid w:val="0002165A"/>
    <w:rsid w:val="000219D5"/>
    <w:rsid w:val="0002225F"/>
    <w:rsid w:val="0002258A"/>
    <w:rsid w:val="0002278E"/>
    <w:rsid w:val="00022DD0"/>
    <w:rsid w:val="00022EFD"/>
    <w:rsid w:val="0002308C"/>
    <w:rsid w:val="00023097"/>
    <w:rsid w:val="0002318F"/>
    <w:rsid w:val="00023497"/>
    <w:rsid w:val="000234BE"/>
    <w:rsid w:val="00023763"/>
    <w:rsid w:val="00024954"/>
    <w:rsid w:val="00024EB5"/>
    <w:rsid w:val="0002623D"/>
    <w:rsid w:val="0002698E"/>
    <w:rsid w:val="00026BB7"/>
    <w:rsid w:val="00027171"/>
    <w:rsid w:val="000274B8"/>
    <w:rsid w:val="00027558"/>
    <w:rsid w:val="00027B94"/>
    <w:rsid w:val="00027E77"/>
    <w:rsid w:val="00027F9C"/>
    <w:rsid w:val="000300D3"/>
    <w:rsid w:val="00030119"/>
    <w:rsid w:val="0003013A"/>
    <w:rsid w:val="0003031A"/>
    <w:rsid w:val="00030419"/>
    <w:rsid w:val="0003052E"/>
    <w:rsid w:val="000305B8"/>
    <w:rsid w:val="000305E1"/>
    <w:rsid w:val="0003084C"/>
    <w:rsid w:val="00030EE0"/>
    <w:rsid w:val="00031DFD"/>
    <w:rsid w:val="000321EB"/>
    <w:rsid w:val="000321EF"/>
    <w:rsid w:val="0003256C"/>
    <w:rsid w:val="000325E3"/>
    <w:rsid w:val="00032882"/>
    <w:rsid w:val="0003289A"/>
    <w:rsid w:val="00032BDE"/>
    <w:rsid w:val="00032D3C"/>
    <w:rsid w:val="00033863"/>
    <w:rsid w:val="0003386A"/>
    <w:rsid w:val="00034101"/>
    <w:rsid w:val="000345A2"/>
    <w:rsid w:val="00034758"/>
    <w:rsid w:val="00034AB5"/>
    <w:rsid w:val="00034DE5"/>
    <w:rsid w:val="00034F21"/>
    <w:rsid w:val="00035214"/>
    <w:rsid w:val="00035609"/>
    <w:rsid w:val="00035DC0"/>
    <w:rsid w:val="000365A1"/>
    <w:rsid w:val="00036829"/>
    <w:rsid w:val="0003732D"/>
    <w:rsid w:val="00037960"/>
    <w:rsid w:val="000379A1"/>
    <w:rsid w:val="000379B4"/>
    <w:rsid w:val="00040895"/>
    <w:rsid w:val="00040CA3"/>
    <w:rsid w:val="000410A0"/>
    <w:rsid w:val="000414EF"/>
    <w:rsid w:val="000416AE"/>
    <w:rsid w:val="00041DAE"/>
    <w:rsid w:val="00041FF5"/>
    <w:rsid w:val="00042E61"/>
    <w:rsid w:val="00042FEF"/>
    <w:rsid w:val="00043418"/>
    <w:rsid w:val="000435EE"/>
    <w:rsid w:val="00043C37"/>
    <w:rsid w:val="00044270"/>
    <w:rsid w:val="00044422"/>
    <w:rsid w:val="000444E7"/>
    <w:rsid w:val="00044FBA"/>
    <w:rsid w:val="0004500B"/>
    <w:rsid w:val="00045017"/>
    <w:rsid w:val="00045831"/>
    <w:rsid w:val="00045A2B"/>
    <w:rsid w:val="00045AE2"/>
    <w:rsid w:val="0004698F"/>
    <w:rsid w:val="00046D64"/>
    <w:rsid w:val="000477A1"/>
    <w:rsid w:val="00047A3C"/>
    <w:rsid w:val="00047B43"/>
    <w:rsid w:val="00047D21"/>
    <w:rsid w:val="0005005C"/>
    <w:rsid w:val="0005005E"/>
    <w:rsid w:val="000505C1"/>
    <w:rsid w:val="00050809"/>
    <w:rsid w:val="000508C2"/>
    <w:rsid w:val="00050A98"/>
    <w:rsid w:val="00050E4A"/>
    <w:rsid w:val="00051260"/>
    <w:rsid w:val="000516F2"/>
    <w:rsid w:val="00051A1B"/>
    <w:rsid w:val="00051A86"/>
    <w:rsid w:val="00051D58"/>
    <w:rsid w:val="000522FF"/>
    <w:rsid w:val="000523A1"/>
    <w:rsid w:val="000527BB"/>
    <w:rsid w:val="00053223"/>
    <w:rsid w:val="000539D0"/>
    <w:rsid w:val="00053C5C"/>
    <w:rsid w:val="000540D5"/>
    <w:rsid w:val="00054621"/>
    <w:rsid w:val="000546D7"/>
    <w:rsid w:val="000547FA"/>
    <w:rsid w:val="00054999"/>
    <w:rsid w:val="00054A8D"/>
    <w:rsid w:val="00054DFD"/>
    <w:rsid w:val="00054E20"/>
    <w:rsid w:val="00055A15"/>
    <w:rsid w:val="0005633F"/>
    <w:rsid w:val="00056CE5"/>
    <w:rsid w:val="00056E44"/>
    <w:rsid w:val="00056E63"/>
    <w:rsid w:val="00056ECF"/>
    <w:rsid w:val="00057A49"/>
    <w:rsid w:val="000601B7"/>
    <w:rsid w:val="000604DF"/>
    <w:rsid w:val="000605DA"/>
    <w:rsid w:val="000607AB"/>
    <w:rsid w:val="00060952"/>
    <w:rsid w:val="00060DEB"/>
    <w:rsid w:val="000619CC"/>
    <w:rsid w:val="00061BBC"/>
    <w:rsid w:val="00061CA4"/>
    <w:rsid w:val="00061E35"/>
    <w:rsid w:val="000620D7"/>
    <w:rsid w:val="00062324"/>
    <w:rsid w:val="00062906"/>
    <w:rsid w:val="00062CCD"/>
    <w:rsid w:val="00063109"/>
    <w:rsid w:val="00063717"/>
    <w:rsid w:val="000638B6"/>
    <w:rsid w:val="000644C9"/>
    <w:rsid w:val="00064593"/>
    <w:rsid w:val="00064B77"/>
    <w:rsid w:val="00064C9B"/>
    <w:rsid w:val="000653B5"/>
    <w:rsid w:val="000653BA"/>
    <w:rsid w:val="00065727"/>
    <w:rsid w:val="00065B1C"/>
    <w:rsid w:val="0006634A"/>
    <w:rsid w:val="00066360"/>
    <w:rsid w:val="00066AF8"/>
    <w:rsid w:val="00066C85"/>
    <w:rsid w:val="00066FF6"/>
    <w:rsid w:val="000671D5"/>
    <w:rsid w:val="000673F4"/>
    <w:rsid w:val="0006767F"/>
    <w:rsid w:val="0006768F"/>
    <w:rsid w:val="00070D0B"/>
    <w:rsid w:val="00070F7E"/>
    <w:rsid w:val="00070FE3"/>
    <w:rsid w:val="00071248"/>
    <w:rsid w:val="000719F1"/>
    <w:rsid w:val="00071DD5"/>
    <w:rsid w:val="000720B9"/>
    <w:rsid w:val="0007214B"/>
    <w:rsid w:val="000723C1"/>
    <w:rsid w:val="00072789"/>
    <w:rsid w:val="00072BF3"/>
    <w:rsid w:val="000737F7"/>
    <w:rsid w:val="000739EF"/>
    <w:rsid w:val="00074BCB"/>
    <w:rsid w:val="000750A4"/>
    <w:rsid w:val="000750AF"/>
    <w:rsid w:val="00075405"/>
    <w:rsid w:val="000759C3"/>
    <w:rsid w:val="00076017"/>
    <w:rsid w:val="00076547"/>
    <w:rsid w:val="000766CD"/>
    <w:rsid w:val="0007672F"/>
    <w:rsid w:val="00076B54"/>
    <w:rsid w:val="00076C7A"/>
    <w:rsid w:val="00076D32"/>
    <w:rsid w:val="00076F2D"/>
    <w:rsid w:val="000774F0"/>
    <w:rsid w:val="00077897"/>
    <w:rsid w:val="00077A93"/>
    <w:rsid w:val="00077CF6"/>
    <w:rsid w:val="00077FFA"/>
    <w:rsid w:val="00080909"/>
    <w:rsid w:val="00080CE4"/>
    <w:rsid w:val="00080D2E"/>
    <w:rsid w:val="0008118C"/>
    <w:rsid w:val="000811F7"/>
    <w:rsid w:val="000812CA"/>
    <w:rsid w:val="0008138F"/>
    <w:rsid w:val="000815A0"/>
    <w:rsid w:val="000818D6"/>
    <w:rsid w:val="00081B4B"/>
    <w:rsid w:val="00081E63"/>
    <w:rsid w:val="00082350"/>
    <w:rsid w:val="0008258D"/>
    <w:rsid w:val="000825D6"/>
    <w:rsid w:val="00082675"/>
    <w:rsid w:val="000827C5"/>
    <w:rsid w:val="00082A12"/>
    <w:rsid w:val="00082EE5"/>
    <w:rsid w:val="0008321B"/>
    <w:rsid w:val="0008335A"/>
    <w:rsid w:val="0008366C"/>
    <w:rsid w:val="000836FE"/>
    <w:rsid w:val="0008386C"/>
    <w:rsid w:val="00083DF0"/>
    <w:rsid w:val="00083E99"/>
    <w:rsid w:val="000844D7"/>
    <w:rsid w:val="00084FA8"/>
    <w:rsid w:val="00085085"/>
    <w:rsid w:val="00085564"/>
    <w:rsid w:val="000856C5"/>
    <w:rsid w:val="00085831"/>
    <w:rsid w:val="00085C31"/>
    <w:rsid w:val="000862E6"/>
    <w:rsid w:val="00086620"/>
    <w:rsid w:val="00086A41"/>
    <w:rsid w:val="00086E0A"/>
    <w:rsid w:val="000874BB"/>
    <w:rsid w:val="00087515"/>
    <w:rsid w:val="000902D9"/>
    <w:rsid w:val="0009040E"/>
    <w:rsid w:val="00090474"/>
    <w:rsid w:val="00090C7E"/>
    <w:rsid w:val="00090DE1"/>
    <w:rsid w:val="00090E7C"/>
    <w:rsid w:val="00090FE7"/>
    <w:rsid w:val="000911AC"/>
    <w:rsid w:val="00091437"/>
    <w:rsid w:val="0009155B"/>
    <w:rsid w:val="000915C3"/>
    <w:rsid w:val="0009194B"/>
    <w:rsid w:val="00091E00"/>
    <w:rsid w:val="0009212B"/>
    <w:rsid w:val="0009220A"/>
    <w:rsid w:val="0009230F"/>
    <w:rsid w:val="0009246D"/>
    <w:rsid w:val="00092600"/>
    <w:rsid w:val="0009262B"/>
    <w:rsid w:val="00092DA4"/>
    <w:rsid w:val="00092F86"/>
    <w:rsid w:val="00093310"/>
    <w:rsid w:val="00093571"/>
    <w:rsid w:val="00093F02"/>
    <w:rsid w:val="0009445C"/>
    <w:rsid w:val="00094EB6"/>
    <w:rsid w:val="00094F65"/>
    <w:rsid w:val="00094F7D"/>
    <w:rsid w:val="00095200"/>
    <w:rsid w:val="00095344"/>
    <w:rsid w:val="000953FE"/>
    <w:rsid w:val="00095618"/>
    <w:rsid w:val="0009586D"/>
    <w:rsid w:val="00095FE5"/>
    <w:rsid w:val="00096284"/>
    <w:rsid w:val="00096695"/>
    <w:rsid w:val="00096E2B"/>
    <w:rsid w:val="00096F7D"/>
    <w:rsid w:val="00097616"/>
    <w:rsid w:val="00097665"/>
    <w:rsid w:val="00097B03"/>
    <w:rsid w:val="00097C8A"/>
    <w:rsid w:val="000A0C63"/>
    <w:rsid w:val="000A0D07"/>
    <w:rsid w:val="000A13C8"/>
    <w:rsid w:val="000A1B68"/>
    <w:rsid w:val="000A1BC0"/>
    <w:rsid w:val="000A2371"/>
    <w:rsid w:val="000A2679"/>
    <w:rsid w:val="000A2F9E"/>
    <w:rsid w:val="000A3115"/>
    <w:rsid w:val="000A35FD"/>
    <w:rsid w:val="000A38D0"/>
    <w:rsid w:val="000A3D5C"/>
    <w:rsid w:val="000A3DD2"/>
    <w:rsid w:val="000A3DD5"/>
    <w:rsid w:val="000A3E47"/>
    <w:rsid w:val="000A4B7D"/>
    <w:rsid w:val="000A4DB3"/>
    <w:rsid w:val="000A522B"/>
    <w:rsid w:val="000A5DC6"/>
    <w:rsid w:val="000A5F02"/>
    <w:rsid w:val="000A6039"/>
    <w:rsid w:val="000A61ED"/>
    <w:rsid w:val="000A653C"/>
    <w:rsid w:val="000A6626"/>
    <w:rsid w:val="000A6D60"/>
    <w:rsid w:val="000A6E38"/>
    <w:rsid w:val="000A6F10"/>
    <w:rsid w:val="000A7453"/>
    <w:rsid w:val="000A75F6"/>
    <w:rsid w:val="000A7D08"/>
    <w:rsid w:val="000B0121"/>
    <w:rsid w:val="000B027A"/>
    <w:rsid w:val="000B030D"/>
    <w:rsid w:val="000B0670"/>
    <w:rsid w:val="000B0B27"/>
    <w:rsid w:val="000B0E75"/>
    <w:rsid w:val="000B129E"/>
    <w:rsid w:val="000B1DB4"/>
    <w:rsid w:val="000B1ED3"/>
    <w:rsid w:val="000B2DCB"/>
    <w:rsid w:val="000B33D9"/>
    <w:rsid w:val="000B33F8"/>
    <w:rsid w:val="000B36B1"/>
    <w:rsid w:val="000B4577"/>
    <w:rsid w:val="000B4579"/>
    <w:rsid w:val="000B52CD"/>
    <w:rsid w:val="000B566C"/>
    <w:rsid w:val="000B5CE0"/>
    <w:rsid w:val="000B64F3"/>
    <w:rsid w:val="000B6CAC"/>
    <w:rsid w:val="000B7612"/>
    <w:rsid w:val="000B78AE"/>
    <w:rsid w:val="000C0192"/>
    <w:rsid w:val="000C109D"/>
    <w:rsid w:val="000C1BFE"/>
    <w:rsid w:val="000C3662"/>
    <w:rsid w:val="000C36A2"/>
    <w:rsid w:val="000C3769"/>
    <w:rsid w:val="000C3A72"/>
    <w:rsid w:val="000C3DF9"/>
    <w:rsid w:val="000C4240"/>
    <w:rsid w:val="000C498D"/>
    <w:rsid w:val="000C4A8E"/>
    <w:rsid w:val="000C4BFD"/>
    <w:rsid w:val="000C4CF2"/>
    <w:rsid w:val="000C4EDC"/>
    <w:rsid w:val="000C5078"/>
    <w:rsid w:val="000C514B"/>
    <w:rsid w:val="000C5509"/>
    <w:rsid w:val="000C599E"/>
    <w:rsid w:val="000C5FF6"/>
    <w:rsid w:val="000C63E4"/>
    <w:rsid w:val="000C640D"/>
    <w:rsid w:val="000C64DB"/>
    <w:rsid w:val="000C6713"/>
    <w:rsid w:val="000C6BD4"/>
    <w:rsid w:val="000C6F41"/>
    <w:rsid w:val="000C7037"/>
    <w:rsid w:val="000C77DF"/>
    <w:rsid w:val="000C7EDC"/>
    <w:rsid w:val="000D14C3"/>
    <w:rsid w:val="000D164B"/>
    <w:rsid w:val="000D1BFC"/>
    <w:rsid w:val="000D1D5D"/>
    <w:rsid w:val="000D281A"/>
    <w:rsid w:val="000D2848"/>
    <w:rsid w:val="000D326A"/>
    <w:rsid w:val="000D3487"/>
    <w:rsid w:val="000D37EC"/>
    <w:rsid w:val="000D3A05"/>
    <w:rsid w:val="000D3FAF"/>
    <w:rsid w:val="000D51FB"/>
    <w:rsid w:val="000D65C0"/>
    <w:rsid w:val="000D6DD0"/>
    <w:rsid w:val="000D6E17"/>
    <w:rsid w:val="000D6F2D"/>
    <w:rsid w:val="000D7F20"/>
    <w:rsid w:val="000E00E1"/>
    <w:rsid w:val="000E054F"/>
    <w:rsid w:val="000E0640"/>
    <w:rsid w:val="000E08F7"/>
    <w:rsid w:val="000E0BFC"/>
    <w:rsid w:val="000E1229"/>
    <w:rsid w:val="000E135D"/>
    <w:rsid w:val="000E140F"/>
    <w:rsid w:val="000E193C"/>
    <w:rsid w:val="000E1BF7"/>
    <w:rsid w:val="000E1E18"/>
    <w:rsid w:val="000E215A"/>
    <w:rsid w:val="000E22CF"/>
    <w:rsid w:val="000E236B"/>
    <w:rsid w:val="000E2880"/>
    <w:rsid w:val="000E309E"/>
    <w:rsid w:val="000E3686"/>
    <w:rsid w:val="000E3B4C"/>
    <w:rsid w:val="000E4BE9"/>
    <w:rsid w:val="000E4EA0"/>
    <w:rsid w:val="000E57BD"/>
    <w:rsid w:val="000E5A5A"/>
    <w:rsid w:val="000E6A3B"/>
    <w:rsid w:val="000E7078"/>
    <w:rsid w:val="000E7201"/>
    <w:rsid w:val="000E7401"/>
    <w:rsid w:val="000E7687"/>
    <w:rsid w:val="000F00BA"/>
    <w:rsid w:val="000F0133"/>
    <w:rsid w:val="000F052A"/>
    <w:rsid w:val="000F0A0B"/>
    <w:rsid w:val="000F0D82"/>
    <w:rsid w:val="000F0D87"/>
    <w:rsid w:val="000F16A4"/>
    <w:rsid w:val="000F17BE"/>
    <w:rsid w:val="000F1E04"/>
    <w:rsid w:val="000F2D61"/>
    <w:rsid w:val="000F316A"/>
    <w:rsid w:val="000F34BF"/>
    <w:rsid w:val="000F3A4A"/>
    <w:rsid w:val="000F3BB8"/>
    <w:rsid w:val="000F3C74"/>
    <w:rsid w:val="000F4746"/>
    <w:rsid w:val="000F4947"/>
    <w:rsid w:val="000F4BB8"/>
    <w:rsid w:val="000F4DA7"/>
    <w:rsid w:val="000F4E55"/>
    <w:rsid w:val="000F4FA9"/>
    <w:rsid w:val="000F53FB"/>
    <w:rsid w:val="000F5706"/>
    <w:rsid w:val="000F58A6"/>
    <w:rsid w:val="000F6030"/>
    <w:rsid w:val="000F612B"/>
    <w:rsid w:val="000F679C"/>
    <w:rsid w:val="000F695E"/>
    <w:rsid w:val="000F7126"/>
    <w:rsid w:val="000F7127"/>
    <w:rsid w:val="000F72E7"/>
    <w:rsid w:val="000F75EC"/>
    <w:rsid w:val="000F7B54"/>
    <w:rsid w:val="000F7BF1"/>
    <w:rsid w:val="00100001"/>
    <w:rsid w:val="001000B3"/>
    <w:rsid w:val="00100119"/>
    <w:rsid w:val="00100A68"/>
    <w:rsid w:val="00100F8A"/>
    <w:rsid w:val="00101130"/>
    <w:rsid w:val="0010115B"/>
    <w:rsid w:val="00101356"/>
    <w:rsid w:val="00101449"/>
    <w:rsid w:val="001014C9"/>
    <w:rsid w:val="001018C8"/>
    <w:rsid w:val="00101DC4"/>
    <w:rsid w:val="001020E2"/>
    <w:rsid w:val="0010218B"/>
    <w:rsid w:val="00102300"/>
    <w:rsid w:val="00102B89"/>
    <w:rsid w:val="00102FC7"/>
    <w:rsid w:val="001030A4"/>
    <w:rsid w:val="00103E4D"/>
    <w:rsid w:val="001041E2"/>
    <w:rsid w:val="0010452E"/>
    <w:rsid w:val="00104711"/>
    <w:rsid w:val="00104800"/>
    <w:rsid w:val="001057D2"/>
    <w:rsid w:val="00105AE2"/>
    <w:rsid w:val="00105C72"/>
    <w:rsid w:val="001060C6"/>
    <w:rsid w:val="00106676"/>
    <w:rsid w:val="001066F3"/>
    <w:rsid w:val="00106796"/>
    <w:rsid w:val="00106B80"/>
    <w:rsid w:val="00106BF5"/>
    <w:rsid w:val="00107302"/>
    <w:rsid w:val="00107A93"/>
    <w:rsid w:val="0011032E"/>
    <w:rsid w:val="00111138"/>
    <w:rsid w:val="00111540"/>
    <w:rsid w:val="00111780"/>
    <w:rsid w:val="001118A5"/>
    <w:rsid w:val="001119AE"/>
    <w:rsid w:val="001121DB"/>
    <w:rsid w:val="0011222A"/>
    <w:rsid w:val="0011348B"/>
    <w:rsid w:val="001136E1"/>
    <w:rsid w:val="00113944"/>
    <w:rsid w:val="00114513"/>
    <w:rsid w:val="0011462E"/>
    <w:rsid w:val="00114724"/>
    <w:rsid w:val="00115982"/>
    <w:rsid w:val="00115F3D"/>
    <w:rsid w:val="0011652A"/>
    <w:rsid w:val="001165A3"/>
    <w:rsid w:val="0011696E"/>
    <w:rsid w:val="00116C53"/>
    <w:rsid w:val="00117232"/>
    <w:rsid w:val="00117AE3"/>
    <w:rsid w:val="00121799"/>
    <w:rsid w:val="001217EE"/>
    <w:rsid w:val="00121BBE"/>
    <w:rsid w:val="00121C3A"/>
    <w:rsid w:val="0012208D"/>
    <w:rsid w:val="001221A4"/>
    <w:rsid w:val="001222A2"/>
    <w:rsid w:val="001222FC"/>
    <w:rsid w:val="0012232C"/>
    <w:rsid w:val="00122D56"/>
    <w:rsid w:val="00122FBC"/>
    <w:rsid w:val="00123902"/>
    <w:rsid w:val="00123BDB"/>
    <w:rsid w:val="001245BC"/>
    <w:rsid w:val="00124A51"/>
    <w:rsid w:val="00124AAA"/>
    <w:rsid w:val="00124DB4"/>
    <w:rsid w:val="001255E5"/>
    <w:rsid w:val="00125B4D"/>
    <w:rsid w:val="00125F68"/>
    <w:rsid w:val="00126621"/>
    <w:rsid w:val="00126A59"/>
    <w:rsid w:val="00126A9F"/>
    <w:rsid w:val="00126B1D"/>
    <w:rsid w:val="001270B6"/>
    <w:rsid w:val="0012792C"/>
    <w:rsid w:val="00127A50"/>
    <w:rsid w:val="00127A82"/>
    <w:rsid w:val="001301E9"/>
    <w:rsid w:val="00130352"/>
    <w:rsid w:val="001309E1"/>
    <w:rsid w:val="001311DE"/>
    <w:rsid w:val="001318D6"/>
    <w:rsid w:val="00131D26"/>
    <w:rsid w:val="00131D69"/>
    <w:rsid w:val="00131D82"/>
    <w:rsid w:val="00131E8F"/>
    <w:rsid w:val="00131FAE"/>
    <w:rsid w:val="00132305"/>
    <w:rsid w:val="00132318"/>
    <w:rsid w:val="00132B22"/>
    <w:rsid w:val="00132DCC"/>
    <w:rsid w:val="00132E00"/>
    <w:rsid w:val="001330B6"/>
    <w:rsid w:val="0013315F"/>
    <w:rsid w:val="00133D36"/>
    <w:rsid w:val="0013435D"/>
    <w:rsid w:val="00134A47"/>
    <w:rsid w:val="00134A4D"/>
    <w:rsid w:val="0013506E"/>
    <w:rsid w:val="00135668"/>
    <w:rsid w:val="00135E91"/>
    <w:rsid w:val="00136F6B"/>
    <w:rsid w:val="00137405"/>
    <w:rsid w:val="00137645"/>
    <w:rsid w:val="00137753"/>
    <w:rsid w:val="001378CB"/>
    <w:rsid w:val="00137AED"/>
    <w:rsid w:val="00137E0D"/>
    <w:rsid w:val="0014015A"/>
    <w:rsid w:val="0014069C"/>
    <w:rsid w:val="0014095F"/>
    <w:rsid w:val="00140A79"/>
    <w:rsid w:val="00140E99"/>
    <w:rsid w:val="00140F66"/>
    <w:rsid w:val="001410E8"/>
    <w:rsid w:val="0014113A"/>
    <w:rsid w:val="001414B1"/>
    <w:rsid w:val="00141A96"/>
    <w:rsid w:val="00141AA9"/>
    <w:rsid w:val="00142681"/>
    <w:rsid w:val="001426B4"/>
    <w:rsid w:val="00142787"/>
    <w:rsid w:val="00142CF9"/>
    <w:rsid w:val="00142E09"/>
    <w:rsid w:val="00143416"/>
    <w:rsid w:val="00143F67"/>
    <w:rsid w:val="00144CED"/>
    <w:rsid w:val="00145234"/>
    <w:rsid w:val="00145540"/>
    <w:rsid w:val="001456B0"/>
    <w:rsid w:val="001460AB"/>
    <w:rsid w:val="00146164"/>
    <w:rsid w:val="0014679C"/>
    <w:rsid w:val="001467AB"/>
    <w:rsid w:val="00146B3A"/>
    <w:rsid w:val="00147446"/>
    <w:rsid w:val="00147CF9"/>
    <w:rsid w:val="00147DEA"/>
    <w:rsid w:val="00147E13"/>
    <w:rsid w:val="001500A5"/>
    <w:rsid w:val="00150397"/>
    <w:rsid w:val="001508C3"/>
    <w:rsid w:val="00150D7C"/>
    <w:rsid w:val="00151696"/>
    <w:rsid w:val="00151BA0"/>
    <w:rsid w:val="00152540"/>
    <w:rsid w:val="00152DC5"/>
    <w:rsid w:val="00152DCE"/>
    <w:rsid w:val="00153D6D"/>
    <w:rsid w:val="001547AB"/>
    <w:rsid w:val="00154947"/>
    <w:rsid w:val="00155600"/>
    <w:rsid w:val="00155AFB"/>
    <w:rsid w:val="0015652C"/>
    <w:rsid w:val="00156728"/>
    <w:rsid w:val="00156F8F"/>
    <w:rsid w:val="00157130"/>
    <w:rsid w:val="00157149"/>
    <w:rsid w:val="001571DE"/>
    <w:rsid w:val="001571EA"/>
    <w:rsid w:val="001576B1"/>
    <w:rsid w:val="0016020E"/>
    <w:rsid w:val="00160249"/>
    <w:rsid w:val="0016047B"/>
    <w:rsid w:val="001604D8"/>
    <w:rsid w:val="00160A4C"/>
    <w:rsid w:val="00160F68"/>
    <w:rsid w:val="00161982"/>
    <w:rsid w:val="001622A2"/>
    <w:rsid w:val="00162913"/>
    <w:rsid w:val="00162BF7"/>
    <w:rsid w:val="00163065"/>
    <w:rsid w:val="0016377C"/>
    <w:rsid w:val="00163EFF"/>
    <w:rsid w:val="00163F66"/>
    <w:rsid w:val="00164336"/>
    <w:rsid w:val="0016478E"/>
    <w:rsid w:val="00164AAA"/>
    <w:rsid w:val="00164B80"/>
    <w:rsid w:val="00164E2E"/>
    <w:rsid w:val="00164EC2"/>
    <w:rsid w:val="00164EC6"/>
    <w:rsid w:val="001658D2"/>
    <w:rsid w:val="00165B71"/>
    <w:rsid w:val="00165EC4"/>
    <w:rsid w:val="00165F6A"/>
    <w:rsid w:val="001661FB"/>
    <w:rsid w:val="001662C2"/>
    <w:rsid w:val="00166362"/>
    <w:rsid w:val="0016689E"/>
    <w:rsid w:val="00166B26"/>
    <w:rsid w:val="00166D3B"/>
    <w:rsid w:val="00166FB9"/>
    <w:rsid w:val="001671A0"/>
    <w:rsid w:val="0016767F"/>
    <w:rsid w:val="00167A69"/>
    <w:rsid w:val="00167D33"/>
    <w:rsid w:val="00167E5D"/>
    <w:rsid w:val="001706D6"/>
    <w:rsid w:val="00170C56"/>
    <w:rsid w:val="00170E0B"/>
    <w:rsid w:val="001710BC"/>
    <w:rsid w:val="00171287"/>
    <w:rsid w:val="00171404"/>
    <w:rsid w:val="0017169F"/>
    <w:rsid w:val="00171A7B"/>
    <w:rsid w:val="00171AAB"/>
    <w:rsid w:val="001721F7"/>
    <w:rsid w:val="00172421"/>
    <w:rsid w:val="0017330A"/>
    <w:rsid w:val="00173565"/>
    <w:rsid w:val="00173B07"/>
    <w:rsid w:val="00174CF0"/>
    <w:rsid w:val="001751FA"/>
    <w:rsid w:val="0017524E"/>
    <w:rsid w:val="00177405"/>
    <w:rsid w:val="00177513"/>
    <w:rsid w:val="00177881"/>
    <w:rsid w:val="00177967"/>
    <w:rsid w:val="00177EB9"/>
    <w:rsid w:val="00177EF2"/>
    <w:rsid w:val="001812B4"/>
    <w:rsid w:val="00181581"/>
    <w:rsid w:val="0018174E"/>
    <w:rsid w:val="00181B2A"/>
    <w:rsid w:val="00181C10"/>
    <w:rsid w:val="00181D9C"/>
    <w:rsid w:val="00182596"/>
    <w:rsid w:val="001825F2"/>
    <w:rsid w:val="001831FB"/>
    <w:rsid w:val="001837FF"/>
    <w:rsid w:val="0018393A"/>
    <w:rsid w:val="00183B8A"/>
    <w:rsid w:val="00183F01"/>
    <w:rsid w:val="0018480F"/>
    <w:rsid w:val="00184B0E"/>
    <w:rsid w:val="00184F0C"/>
    <w:rsid w:val="001863AD"/>
    <w:rsid w:val="001869BD"/>
    <w:rsid w:val="00186AF5"/>
    <w:rsid w:val="0018752F"/>
    <w:rsid w:val="0019074B"/>
    <w:rsid w:val="00190895"/>
    <w:rsid w:val="00190BC9"/>
    <w:rsid w:val="001914B5"/>
    <w:rsid w:val="0019162D"/>
    <w:rsid w:val="00191683"/>
    <w:rsid w:val="00191C84"/>
    <w:rsid w:val="00191DFF"/>
    <w:rsid w:val="0019264A"/>
    <w:rsid w:val="00192C10"/>
    <w:rsid w:val="00193092"/>
    <w:rsid w:val="001930B6"/>
    <w:rsid w:val="001935EB"/>
    <w:rsid w:val="001937B1"/>
    <w:rsid w:val="00193838"/>
    <w:rsid w:val="00193E18"/>
    <w:rsid w:val="00193E1F"/>
    <w:rsid w:val="00193EC6"/>
    <w:rsid w:val="00194596"/>
    <w:rsid w:val="00194AD8"/>
    <w:rsid w:val="00195057"/>
    <w:rsid w:val="00195222"/>
    <w:rsid w:val="00195452"/>
    <w:rsid w:val="001954C2"/>
    <w:rsid w:val="00195931"/>
    <w:rsid w:val="00196262"/>
    <w:rsid w:val="00196411"/>
    <w:rsid w:val="0019649C"/>
    <w:rsid w:val="00196CC5"/>
    <w:rsid w:val="001975D8"/>
    <w:rsid w:val="00197FCA"/>
    <w:rsid w:val="001A04FC"/>
    <w:rsid w:val="001A0687"/>
    <w:rsid w:val="001A0FC0"/>
    <w:rsid w:val="001A146D"/>
    <w:rsid w:val="001A178E"/>
    <w:rsid w:val="001A17C4"/>
    <w:rsid w:val="001A1B36"/>
    <w:rsid w:val="001A1BEC"/>
    <w:rsid w:val="001A2874"/>
    <w:rsid w:val="001A2C96"/>
    <w:rsid w:val="001A302B"/>
    <w:rsid w:val="001A3908"/>
    <w:rsid w:val="001A426A"/>
    <w:rsid w:val="001A4350"/>
    <w:rsid w:val="001A43EF"/>
    <w:rsid w:val="001A43FA"/>
    <w:rsid w:val="001A44D3"/>
    <w:rsid w:val="001A47C5"/>
    <w:rsid w:val="001A48DC"/>
    <w:rsid w:val="001A4CA4"/>
    <w:rsid w:val="001A4CBB"/>
    <w:rsid w:val="001A4E5D"/>
    <w:rsid w:val="001A5252"/>
    <w:rsid w:val="001A59FB"/>
    <w:rsid w:val="001A5D26"/>
    <w:rsid w:val="001A5E9E"/>
    <w:rsid w:val="001A5FA5"/>
    <w:rsid w:val="001A62A1"/>
    <w:rsid w:val="001A6354"/>
    <w:rsid w:val="001A6366"/>
    <w:rsid w:val="001A6789"/>
    <w:rsid w:val="001A70E7"/>
    <w:rsid w:val="001A72F5"/>
    <w:rsid w:val="001A737B"/>
    <w:rsid w:val="001A764C"/>
    <w:rsid w:val="001A7AE8"/>
    <w:rsid w:val="001A7C46"/>
    <w:rsid w:val="001B0203"/>
    <w:rsid w:val="001B0869"/>
    <w:rsid w:val="001B10C8"/>
    <w:rsid w:val="001B1389"/>
    <w:rsid w:val="001B1F01"/>
    <w:rsid w:val="001B204E"/>
    <w:rsid w:val="001B225E"/>
    <w:rsid w:val="001B2372"/>
    <w:rsid w:val="001B2D1B"/>
    <w:rsid w:val="001B3443"/>
    <w:rsid w:val="001B380A"/>
    <w:rsid w:val="001B385B"/>
    <w:rsid w:val="001B3D1A"/>
    <w:rsid w:val="001B3D56"/>
    <w:rsid w:val="001B4748"/>
    <w:rsid w:val="001B4992"/>
    <w:rsid w:val="001B49B9"/>
    <w:rsid w:val="001B4D20"/>
    <w:rsid w:val="001B543B"/>
    <w:rsid w:val="001B562B"/>
    <w:rsid w:val="001B5A7C"/>
    <w:rsid w:val="001B5BC2"/>
    <w:rsid w:val="001B6170"/>
    <w:rsid w:val="001B6287"/>
    <w:rsid w:val="001B6CBA"/>
    <w:rsid w:val="001B745C"/>
    <w:rsid w:val="001B77C3"/>
    <w:rsid w:val="001B7819"/>
    <w:rsid w:val="001B7BC7"/>
    <w:rsid w:val="001B7C07"/>
    <w:rsid w:val="001B7F84"/>
    <w:rsid w:val="001C0045"/>
    <w:rsid w:val="001C0B7A"/>
    <w:rsid w:val="001C1661"/>
    <w:rsid w:val="001C1785"/>
    <w:rsid w:val="001C1C3B"/>
    <w:rsid w:val="001C245F"/>
    <w:rsid w:val="001C2658"/>
    <w:rsid w:val="001C2A9B"/>
    <w:rsid w:val="001C3638"/>
    <w:rsid w:val="001C36D8"/>
    <w:rsid w:val="001C3DD6"/>
    <w:rsid w:val="001C3EC9"/>
    <w:rsid w:val="001C4299"/>
    <w:rsid w:val="001C44D7"/>
    <w:rsid w:val="001C4874"/>
    <w:rsid w:val="001C4B03"/>
    <w:rsid w:val="001C4C84"/>
    <w:rsid w:val="001C4CA1"/>
    <w:rsid w:val="001C4DD2"/>
    <w:rsid w:val="001C5463"/>
    <w:rsid w:val="001C567F"/>
    <w:rsid w:val="001C5F94"/>
    <w:rsid w:val="001C6824"/>
    <w:rsid w:val="001C6E66"/>
    <w:rsid w:val="001C71EF"/>
    <w:rsid w:val="001C7D59"/>
    <w:rsid w:val="001C7D78"/>
    <w:rsid w:val="001D1100"/>
    <w:rsid w:val="001D1391"/>
    <w:rsid w:val="001D1B62"/>
    <w:rsid w:val="001D22C0"/>
    <w:rsid w:val="001D23AA"/>
    <w:rsid w:val="001D25D7"/>
    <w:rsid w:val="001D2AFD"/>
    <w:rsid w:val="001D2B12"/>
    <w:rsid w:val="001D2B58"/>
    <w:rsid w:val="001D2E0A"/>
    <w:rsid w:val="001D3DC0"/>
    <w:rsid w:val="001D4BA7"/>
    <w:rsid w:val="001D4C40"/>
    <w:rsid w:val="001D4EBB"/>
    <w:rsid w:val="001D50B2"/>
    <w:rsid w:val="001D5519"/>
    <w:rsid w:val="001D64F0"/>
    <w:rsid w:val="001D6526"/>
    <w:rsid w:val="001D668B"/>
    <w:rsid w:val="001D66A5"/>
    <w:rsid w:val="001D6968"/>
    <w:rsid w:val="001D6C1E"/>
    <w:rsid w:val="001D6E51"/>
    <w:rsid w:val="001D6E6D"/>
    <w:rsid w:val="001D71F4"/>
    <w:rsid w:val="001D7645"/>
    <w:rsid w:val="001D79AB"/>
    <w:rsid w:val="001E0EDE"/>
    <w:rsid w:val="001E1BFA"/>
    <w:rsid w:val="001E1D2B"/>
    <w:rsid w:val="001E1E86"/>
    <w:rsid w:val="001E1EF8"/>
    <w:rsid w:val="001E238E"/>
    <w:rsid w:val="001E23B4"/>
    <w:rsid w:val="001E2483"/>
    <w:rsid w:val="001E249B"/>
    <w:rsid w:val="001E2B1E"/>
    <w:rsid w:val="001E2CFF"/>
    <w:rsid w:val="001E2DFE"/>
    <w:rsid w:val="001E2F24"/>
    <w:rsid w:val="001E30D4"/>
    <w:rsid w:val="001E34DF"/>
    <w:rsid w:val="001E351E"/>
    <w:rsid w:val="001E3543"/>
    <w:rsid w:val="001E3648"/>
    <w:rsid w:val="001E39F5"/>
    <w:rsid w:val="001E3CC2"/>
    <w:rsid w:val="001E4030"/>
    <w:rsid w:val="001E40B2"/>
    <w:rsid w:val="001E4E4D"/>
    <w:rsid w:val="001E52EB"/>
    <w:rsid w:val="001E5456"/>
    <w:rsid w:val="001E5CD4"/>
    <w:rsid w:val="001E61D2"/>
    <w:rsid w:val="001E64F3"/>
    <w:rsid w:val="001E6998"/>
    <w:rsid w:val="001E6B22"/>
    <w:rsid w:val="001E6D66"/>
    <w:rsid w:val="001E6F3B"/>
    <w:rsid w:val="001E6FD5"/>
    <w:rsid w:val="001E740C"/>
    <w:rsid w:val="001E754E"/>
    <w:rsid w:val="001E76BB"/>
    <w:rsid w:val="001E7845"/>
    <w:rsid w:val="001E7D32"/>
    <w:rsid w:val="001F04C2"/>
    <w:rsid w:val="001F0BD7"/>
    <w:rsid w:val="001F0E81"/>
    <w:rsid w:val="001F1117"/>
    <w:rsid w:val="001F1235"/>
    <w:rsid w:val="001F12BD"/>
    <w:rsid w:val="001F1441"/>
    <w:rsid w:val="001F1715"/>
    <w:rsid w:val="001F1990"/>
    <w:rsid w:val="001F1CB3"/>
    <w:rsid w:val="001F2B5E"/>
    <w:rsid w:val="001F2CE5"/>
    <w:rsid w:val="001F2EAD"/>
    <w:rsid w:val="001F37AC"/>
    <w:rsid w:val="001F38B5"/>
    <w:rsid w:val="001F39F6"/>
    <w:rsid w:val="001F4081"/>
    <w:rsid w:val="001F4194"/>
    <w:rsid w:val="001F4270"/>
    <w:rsid w:val="001F4297"/>
    <w:rsid w:val="001F4927"/>
    <w:rsid w:val="001F4EED"/>
    <w:rsid w:val="001F5E43"/>
    <w:rsid w:val="001F6A5B"/>
    <w:rsid w:val="001F7361"/>
    <w:rsid w:val="001F7499"/>
    <w:rsid w:val="001F7CB4"/>
    <w:rsid w:val="00200E47"/>
    <w:rsid w:val="00200EFA"/>
    <w:rsid w:val="002011B0"/>
    <w:rsid w:val="00202105"/>
    <w:rsid w:val="002025F7"/>
    <w:rsid w:val="002028B2"/>
    <w:rsid w:val="0020299A"/>
    <w:rsid w:val="00202DEE"/>
    <w:rsid w:val="00202E9B"/>
    <w:rsid w:val="00202F64"/>
    <w:rsid w:val="00203181"/>
    <w:rsid w:val="00203783"/>
    <w:rsid w:val="0020385F"/>
    <w:rsid w:val="00204FB5"/>
    <w:rsid w:val="002055FC"/>
    <w:rsid w:val="00205941"/>
    <w:rsid w:val="00205AC7"/>
    <w:rsid w:val="00205F06"/>
    <w:rsid w:val="00205FD8"/>
    <w:rsid w:val="00206291"/>
    <w:rsid w:val="0020640A"/>
    <w:rsid w:val="002068A0"/>
    <w:rsid w:val="00206D5D"/>
    <w:rsid w:val="00206E82"/>
    <w:rsid w:val="00207021"/>
    <w:rsid w:val="002071A6"/>
    <w:rsid w:val="00207292"/>
    <w:rsid w:val="0020732F"/>
    <w:rsid w:val="00207B1F"/>
    <w:rsid w:val="00207D00"/>
    <w:rsid w:val="00207DE5"/>
    <w:rsid w:val="00207EEA"/>
    <w:rsid w:val="00207EEC"/>
    <w:rsid w:val="002103B1"/>
    <w:rsid w:val="002105C1"/>
    <w:rsid w:val="00210C26"/>
    <w:rsid w:val="002116FD"/>
    <w:rsid w:val="002116FF"/>
    <w:rsid w:val="00211E19"/>
    <w:rsid w:val="002121B6"/>
    <w:rsid w:val="002129BA"/>
    <w:rsid w:val="00212BDC"/>
    <w:rsid w:val="00212F1D"/>
    <w:rsid w:val="00212FEE"/>
    <w:rsid w:val="002131B9"/>
    <w:rsid w:val="002132DE"/>
    <w:rsid w:val="00213626"/>
    <w:rsid w:val="00213EF5"/>
    <w:rsid w:val="00214C5F"/>
    <w:rsid w:val="00214FEC"/>
    <w:rsid w:val="00215234"/>
    <w:rsid w:val="00215A73"/>
    <w:rsid w:val="00216047"/>
    <w:rsid w:val="00216BF5"/>
    <w:rsid w:val="00217289"/>
    <w:rsid w:val="0021734F"/>
    <w:rsid w:val="00217E2C"/>
    <w:rsid w:val="00217F03"/>
    <w:rsid w:val="00220075"/>
    <w:rsid w:val="002209D0"/>
    <w:rsid w:val="00220D5F"/>
    <w:rsid w:val="00220EA5"/>
    <w:rsid w:val="002215E6"/>
    <w:rsid w:val="00221A5D"/>
    <w:rsid w:val="00221E52"/>
    <w:rsid w:val="0022226C"/>
    <w:rsid w:val="00222B39"/>
    <w:rsid w:val="00222B9F"/>
    <w:rsid w:val="00223A14"/>
    <w:rsid w:val="00223B49"/>
    <w:rsid w:val="00223D5A"/>
    <w:rsid w:val="00223F0A"/>
    <w:rsid w:val="0022430B"/>
    <w:rsid w:val="00224DD4"/>
    <w:rsid w:val="00224F8B"/>
    <w:rsid w:val="002257FD"/>
    <w:rsid w:val="00225A70"/>
    <w:rsid w:val="00225BBA"/>
    <w:rsid w:val="00226177"/>
    <w:rsid w:val="00226529"/>
    <w:rsid w:val="0022658A"/>
    <w:rsid w:val="00226E0D"/>
    <w:rsid w:val="00226F1D"/>
    <w:rsid w:val="00226F88"/>
    <w:rsid w:val="00227007"/>
    <w:rsid w:val="00227115"/>
    <w:rsid w:val="00227144"/>
    <w:rsid w:val="002274F7"/>
    <w:rsid w:val="002276C6"/>
    <w:rsid w:val="002278A0"/>
    <w:rsid w:val="002279FC"/>
    <w:rsid w:val="002300F8"/>
    <w:rsid w:val="002303AD"/>
    <w:rsid w:val="002306D8"/>
    <w:rsid w:val="00230948"/>
    <w:rsid w:val="002309CC"/>
    <w:rsid w:val="00231281"/>
    <w:rsid w:val="00231BA9"/>
    <w:rsid w:val="00231E1F"/>
    <w:rsid w:val="00231F84"/>
    <w:rsid w:val="0023209F"/>
    <w:rsid w:val="00232C40"/>
    <w:rsid w:val="002331AD"/>
    <w:rsid w:val="002333DC"/>
    <w:rsid w:val="00233C01"/>
    <w:rsid w:val="00233CA6"/>
    <w:rsid w:val="0023413C"/>
    <w:rsid w:val="00234300"/>
    <w:rsid w:val="002346F0"/>
    <w:rsid w:val="00234BC5"/>
    <w:rsid w:val="00235046"/>
    <w:rsid w:val="00235057"/>
    <w:rsid w:val="00235238"/>
    <w:rsid w:val="0023629D"/>
    <w:rsid w:val="002365E2"/>
    <w:rsid w:val="002368AE"/>
    <w:rsid w:val="0023708A"/>
    <w:rsid w:val="00237241"/>
    <w:rsid w:val="00237255"/>
    <w:rsid w:val="002372A2"/>
    <w:rsid w:val="002403C8"/>
    <w:rsid w:val="0024049B"/>
    <w:rsid w:val="00240EB0"/>
    <w:rsid w:val="00241064"/>
    <w:rsid w:val="0024110E"/>
    <w:rsid w:val="002415CB"/>
    <w:rsid w:val="0024181D"/>
    <w:rsid w:val="00241A13"/>
    <w:rsid w:val="00241AFE"/>
    <w:rsid w:val="00241DB7"/>
    <w:rsid w:val="00241F0B"/>
    <w:rsid w:val="0024208E"/>
    <w:rsid w:val="002421E2"/>
    <w:rsid w:val="0024247E"/>
    <w:rsid w:val="002424AF"/>
    <w:rsid w:val="002426CC"/>
    <w:rsid w:val="002427FB"/>
    <w:rsid w:val="00242A0C"/>
    <w:rsid w:val="00242EC1"/>
    <w:rsid w:val="002439DC"/>
    <w:rsid w:val="00243DF4"/>
    <w:rsid w:val="00243F3B"/>
    <w:rsid w:val="002441D2"/>
    <w:rsid w:val="00244CF4"/>
    <w:rsid w:val="00244DC8"/>
    <w:rsid w:val="0024516F"/>
    <w:rsid w:val="0024532E"/>
    <w:rsid w:val="00245698"/>
    <w:rsid w:val="002458BA"/>
    <w:rsid w:val="002459F9"/>
    <w:rsid w:val="00245BAE"/>
    <w:rsid w:val="00245CE9"/>
    <w:rsid w:val="00245DEA"/>
    <w:rsid w:val="00245E25"/>
    <w:rsid w:val="0024603E"/>
    <w:rsid w:val="0024636C"/>
    <w:rsid w:val="00246372"/>
    <w:rsid w:val="0024649D"/>
    <w:rsid w:val="00246AD8"/>
    <w:rsid w:val="00246D58"/>
    <w:rsid w:val="002478E5"/>
    <w:rsid w:val="00247925"/>
    <w:rsid w:val="00250A83"/>
    <w:rsid w:val="00251006"/>
    <w:rsid w:val="002513CC"/>
    <w:rsid w:val="002519BD"/>
    <w:rsid w:val="00251A3C"/>
    <w:rsid w:val="00251AA4"/>
    <w:rsid w:val="00251C9A"/>
    <w:rsid w:val="00251F95"/>
    <w:rsid w:val="00252050"/>
    <w:rsid w:val="0025208A"/>
    <w:rsid w:val="0025209A"/>
    <w:rsid w:val="002522A5"/>
    <w:rsid w:val="002524D5"/>
    <w:rsid w:val="0025256D"/>
    <w:rsid w:val="00252B67"/>
    <w:rsid w:val="00252BC1"/>
    <w:rsid w:val="00252F24"/>
    <w:rsid w:val="0025369B"/>
    <w:rsid w:val="00253B1D"/>
    <w:rsid w:val="00254AEE"/>
    <w:rsid w:val="00254B3C"/>
    <w:rsid w:val="00254BBD"/>
    <w:rsid w:val="00254DCF"/>
    <w:rsid w:val="00254E52"/>
    <w:rsid w:val="0025504E"/>
    <w:rsid w:val="0025534B"/>
    <w:rsid w:val="00255BB7"/>
    <w:rsid w:val="00256209"/>
    <w:rsid w:val="0025640C"/>
    <w:rsid w:val="002571BE"/>
    <w:rsid w:val="002573F4"/>
    <w:rsid w:val="00257541"/>
    <w:rsid w:val="002577E5"/>
    <w:rsid w:val="00257A39"/>
    <w:rsid w:val="00257AC4"/>
    <w:rsid w:val="00257BBE"/>
    <w:rsid w:val="002601A0"/>
    <w:rsid w:val="002612E4"/>
    <w:rsid w:val="00261343"/>
    <w:rsid w:val="0026151C"/>
    <w:rsid w:val="00261EEF"/>
    <w:rsid w:val="0026227F"/>
    <w:rsid w:val="00262A1A"/>
    <w:rsid w:val="00262A87"/>
    <w:rsid w:val="00262E87"/>
    <w:rsid w:val="00263303"/>
    <w:rsid w:val="002634FE"/>
    <w:rsid w:val="002635D2"/>
    <w:rsid w:val="002645AC"/>
    <w:rsid w:val="0026476C"/>
    <w:rsid w:val="00264D26"/>
    <w:rsid w:val="00264F65"/>
    <w:rsid w:val="00265738"/>
    <w:rsid w:val="0026586C"/>
    <w:rsid w:val="00265C11"/>
    <w:rsid w:val="002660A9"/>
    <w:rsid w:val="00266430"/>
    <w:rsid w:val="00266530"/>
    <w:rsid w:val="00266724"/>
    <w:rsid w:val="00266A33"/>
    <w:rsid w:val="00266C5B"/>
    <w:rsid w:val="00267642"/>
    <w:rsid w:val="002676AB"/>
    <w:rsid w:val="00267AEA"/>
    <w:rsid w:val="002700E6"/>
    <w:rsid w:val="00270239"/>
    <w:rsid w:val="00270B2D"/>
    <w:rsid w:val="00271142"/>
    <w:rsid w:val="002713AE"/>
    <w:rsid w:val="00271B76"/>
    <w:rsid w:val="00272103"/>
    <w:rsid w:val="0027294B"/>
    <w:rsid w:val="00272A06"/>
    <w:rsid w:val="00273166"/>
    <w:rsid w:val="00273EB4"/>
    <w:rsid w:val="00274682"/>
    <w:rsid w:val="00274BF8"/>
    <w:rsid w:val="00275158"/>
    <w:rsid w:val="002751A0"/>
    <w:rsid w:val="002752FE"/>
    <w:rsid w:val="00275C5A"/>
    <w:rsid w:val="002800E8"/>
    <w:rsid w:val="002807A8"/>
    <w:rsid w:val="00280B44"/>
    <w:rsid w:val="00281014"/>
    <w:rsid w:val="0028170A"/>
    <w:rsid w:val="00281D28"/>
    <w:rsid w:val="00281DF6"/>
    <w:rsid w:val="00282658"/>
    <w:rsid w:val="00282A44"/>
    <w:rsid w:val="00282DFE"/>
    <w:rsid w:val="00282E0A"/>
    <w:rsid w:val="00282F54"/>
    <w:rsid w:val="00283A58"/>
    <w:rsid w:val="00283FBB"/>
    <w:rsid w:val="00284A09"/>
    <w:rsid w:val="00285987"/>
    <w:rsid w:val="00285BCE"/>
    <w:rsid w:val="00285CA6"/>
    <w:rsid w:val="00285CBB"/>
    <w:rsid w:val="00285E06"/>
    <w:rsid w:val="00285F10"/>
    <w:rsid w:val="00286436"/>
    <w:rsid w:val="0028665D"/>
    <w:rsid w:val="00286717"/>
    <w:rsid w:val="002871A3"/>
    <w:rsid w:val="00287824"/>
    <w:rsid w:val="00287B2B"/>
    <w:rsid w:val="00287BB4"/>
    <w:rsid w:val="00287CF1"/>
    <w:rsid w:val="0029016E"/>
    <w:rsid w:val="002907BA"/>
    <w:rsid w:val="00291001"/>
    <w:rsid w:val="00291548"/>
    <w:rsid w:val="00291773"/>
    <w:rsid w:val="00291CF6"/>
    <w:rsid w:val="00291E2D"/>
    <w:rsid w:val="00291E9C"/>
    <w:rsid w:val="00291FBF"/>
    <w:rsid w:val="0029215E"/>
    <w:rsid w:val="00292FD6"/>
    <w:rsid w:val="0029386C"/>
    <w:rsid w:val="00293F2D"/>
    <w:rsid w:val="00293FCA"/>
    <w:rsid w:val="002947E5"/>
    <w:rsid w:val="00294A95"/>
    <w:rsid w:val="00294BFE"/>
    <w:rsid w:val="00294C2C"/>
    <w:rsid w:val="00294CC3"/>
    <w:rsid w:val="00294EF6"/>
    <w:rsid w:val="002952D2"/>
    <w:rsid w:val="00295BA8"/>
    <w:rsid w:val="00296644"/>
    <w:rsid w:val="00296EFF"/>
    <w:rsid w:val="00297902"/>
    <w:rsid w:val="002A0216"/>
    <w:rsid w:val="002A14AB"/>
    <w:rsid w:val="002A1549"/>
    <w:rsid w:val="002A22A6"/>
    <w:rsid w:val="002A26E3"/>
    <w:rsid w:val="002A2ADE"/>
    <w:rsid w:val="002A2F50"/>
    <w:rsid w:val="002A31F8"/>
    <w:rsid w:val="002A331B"/>
    <w:rsid w:val="002A3343"/>
    <w:rsid w:val="002A3E6F"/>
    <w:rsid w:val="002A3F0F"/>
    <w:rsid w:val="002A47F5"/>
    <w:rsid w:val="002A4C97"/>
    <w:rsid w:val="002A4F48"/>
    <w:rsid w:val="002A581A"/>
    <w:rsid w:val="002A60B1"/>
    <w:rsid w:val="002A6291"/>
    <w:rsid w:val="002A692C"/>
    <w:rsid w:val="002A6ABC"/>
    <w:rsid w:val="002A6E41"/>
    <w:rsid w:val="002A7892"/>
    <w:rsid w:val="002A7943"/>
    <w:rsid w:val="002A7FDA"/>
    <w:rsid w:val="002B0191"/>
    <w:rsid w:val="002B0444"/>
    <w:rsid w:val="002B05A1"/>
    <w:rsid w:val="002B0730"/>
    <w:rsid w:val="002B09A4"/>
    <w:rsid w:val="002B19D8"/>
    <w:rsid w:val="002B1C1F"/>
    <w:rsid w:val="002B1EDD"/>
    <w:rsid w:val="002B1F39"/>
    <w:rsid w:val="002B22B5"/>
    <w:rsid w:val="002B246D"/>
    <w:rsid w:val="002B262F"/>
    <w:rsid w:val="002B302F"/>
    <w:rsid w:val="002B311A"/>
    <w:rsid w:val="002B35A3"/>
    <w:rsid w:val="002B3A85"/>
    <w:rsid w:val="002B3D62"/>
    <w:rsid w:val="002B40CB"/>
    <w:rsid w:val="002B4242"/>
    <w:rsid w:val="002B432F"/>
    <w:rsid w:val="002B4734"/>
    <w:rsid w:val="002B47F6"/>
    <w:rsid w:val="002B4E1B"/>
    <w:rsid w:val="002B4EF3"/>
    <w:rsid w:val="002B5535"/>
    <w:rsid w:val="002B5986"/>
    <w:rsid w:val="002B5B08"/>
    <w:rsid w:val="002B62B3"/>
    <w:rsid w:val="002B6318"/>
    <w:rsid w:val="002B639F"/>
    <w:rsid w:val="002B6754"/>
    <w:rsid w:val="002B6A83"/>
    <w:rsid w:val="002B6CCE"/>
    <w:rsid w:val="002B6FF4"/>
    <w:rsid w:val="002B78C2"/>
    <w:rsid w:val="002B7C09"/>
    <w:rsid w:val="002C0A88"/>
    <w:rsid w:val="002C0AA4"/>
    <w:rsid w:val="002C0F41"/>
    <w:rsid w:val="002C189F"/>
    <w:rsid w:val="002C1DC7"/>
    <w:rsid w:val="002C241E"/>
    <w:rsid w:val="002C2510"/>
    <w:rsid w:val="002C2775"/>
    <w:rsid w:val="002C27C1"/>
    <w:rsid w:val="002C2A1F"/>
    <w:rsid w:val="002C2BA8"/>
    <w:rsid w:val="002C2E6A"/>
    <w:rsid w:val="002C2EF1"/>
    <w:rsid w:val="002C304A"/>
    <w:rsid w:val="002C36E3"/>
    <w:rsid w:val="002C37AD"/>
    <w:rsid w:val="002C3B92"/>
    <w:rsid w:val="002C40D9"/>
    <w:rsid w:val="002C44E3"/>
    <w:rsid w:val="002C47A7"/>
    <w:rsid w:val="002C4DEE"/>
    <w:rsid w:val="002C5099"/>
    <w:rsid w:val="002C560A"/>
    <w:rsid w:val="002C5838"/>
    <w:rsid w:val="002C5889"/>
    <w:rsid w:val="002C5B6C"/>
    <w:rsid w:val="002C5BAF"/>
    <w:rsid w:val="002C5E10"/>
    <w:rsid w:val="002C61DF"/>
    <w:rsid w:val="002C6F6C"/>
    <w:rsid w:val="002C71CE"/>
    <w:rsid w:val="002C7B44"/>
    <w:rsid w:val="002C7BE9"/>
    <w:rsid w:val="002C7C59"/>
    <w:rsid w:val="002C7F4E"/>
    <w:rsid w:val="002D004A"/>
    <w:rsid w:val="002D04B8"/>
    <w:rsid w:val="002D0734"/>
    <w:rsid w:val="002D08F8"/>
    <w:rsid w:val="002D0B6D"/>
    <w:rsid w:val="002D19CD"/>
    <w:rsid w:val="002D1B6F"/>
    <w:rsid w:val="002D2536"/>
    <w:rsid w:val="002D2B64"/>
    <w:rsid w:val="002D2BD9"/>
    <w:rsid w:val="002D2CFC"/>
    <w:rsid w:val="002D2EBB"/>
    <w:rsid w:val="002D2FD0"/>
    <w:rsid w:val="002D43FD"/>
    <w:rsid w:val="002D4EDC"/>
    <w:rsid w:val="002D577C"/>
    <w:rsid w:val="002D6003"/>
    <w:rsid w:val="002D61B0"/>
    <w:rsid w:val="002D6603"/>
    <w:rsid w:val="002D6B49"/>
    <w:rsid w:val="002D6F28"/>
    <w:rsid w:val="002D7744"/>
    <w:rsid w:val="002D7832"/>
    <w:rsid w:val="002E0024"/>
    <w:rsid w:val="002E00F7"/>
    <w:rsid w:val="002E0266"/>
    <w:rsid w:val="002E1071"/>
    <w:rsid w:val="002E15B9"/>
    <w:rsid w:val="002E18B5"/>
    <w:rsid w:val="002E194F"/>
    <w:rsid w:val="002E1AB6"/>
    <w:rsid w:val="002E2158"/>
    <w:rsid w:val="002E22B3"/>
    <w:rsid w:val="002E2F00"/>
    <w:rsid w:val="002E307A"/>
    <w:rsid w:val="002E40B5"/>
    <w:rsid w:val="002E4318"/>
    <w:rsid w:val="002E4F02"/>
    <w:rsid w:val="002E4F4B"/>
    <w:rsid w:val="002E6687"/>
    <w:rsid w:val="002E6CB8"/>
    <w:rsid w:val="002E7388"/>
    <w:rsid w:val="002E7722"/>
    <w:rsid w:val="002F07BA"/>
    <w:rsid w:val="002F0D65"/>
    <w:rsid w:val="002F0DA9"/>
    <w:rsid w:val="002F1014"/>
    <w:rsid w:val="002F1159"/>
    <w:rsid w:val="002F1588"/>
    <w:rsid w:val="002F19B5"/>
    <w:rsid w:val="002F1E3B"/>
    <w:rsid w:val="002F1E71"/>
    <w:rsid w:val="002F1EDC"/>
    <w:rsid w:val="002F208D"/>
    <w:rsid w:val="002F258D"/>
    <w:rsid w:val="002F283C"/>
    <w:rsid w:val="002F39F8"/>
    <w:rsid w:val="002F49BC"/>
    <w:rsid w:val="002F49EB"/>
    <w:rsid w:val="002F4AFD"/>
    <w:rsid w:val="002F5B37"/>
    <w:rsid w:val="002F5F94"/>
    <w:rsid w:val="002F643C"/>
    <w:rsid w:val="002F6722"/>
    <w:rsid w:val="002F6744"/>
    <w:rsid w:val="002F71C0"/>
    <w:rsid w:val="002F7227"/>
    <w:rsid w:val="002F74F1"/>
    <w:rsid w:val="002F7929"/>
    <w:rsid w:val="002F7BCA"/>
    <w:rsid w:val="0030012E"/>
    <w:rsid w:val="0030088F"/>
    <w:rsid w:val="00301017"/>
    <w:rsid w:val="0030155F"/>
    <w:rsid w:val="00301C6B"/>
    <w:rsid w:val="00302288"/>
    <w:rsid w:val="00302381"/>
    <w:rsid w:val="0030246E"/>
    <w:rsid w:val="00302473"/>
    <w:rsid w:val="00302970"/>
    <w:rsid w:val="00302ABB"/>
    <w:rsid w:val="00303AC4"/>
    <w:rsid w:val="00303E38"/>
    <w:rsid w:val="003054AE"/>
    <w:rsid w:val="0030581F"/>
    <w:rsid w:val="0030587B"/>
    <w:rsid w:val="00306075"/>
    <w:rsid w:val="003064AF"/>
    <w:rsid w:val="00306D98"/>
    <w:rsid w:val="0030728A"/>
    <w:rsid w:val="0030729E"/>
    <w:rsid w:val="00307571"/>
    <w:rsid w:val="00307670"/>
    <w:rsid w:val="0030786C"/>
    <w:rsid w:val="003078C1"/>
    <w:rsid w:val="003100B4"/>
    <w:rsid w:val="0031019D"/>
    <w:rsid w:val="0031031A"/>
    <w:rsid w:val="0031083A"/>
    <w:rsid w:val="00310981"/>
    <w:rsid w:val="00310DFB"/>
    <w:rsid w:val="003118B0"/>
    <w:rsid w:val="00311D9B"/>
    <w:rsid w:val="003124D9"/>
    <w:rsid w:val="003124FF"/>
    <w:rsid w:val="00312594"/>
    <w:rsid w:val="00312742"/>
    <w:rsid w:val="00312B45"/>
    <w:rsid w:val="003131C5"/>
    <w:rsid w:val="00313A98"/>
    <w:rsid w:val="00313AD9"/>
    <w:rsid w:val="00314376"/>
    <w:rsid w:val="0031499A"/>
    <w:rsid w:val="00314AFD"/>
    <w:rsid w:val="00315106"/>
    <w:rsid w:val="00315238"/>
    <w:rsid w:val="00315498"/>
    <w:rsid w:val="00315837"/>
    <w:rsid w:val="0031598C"/>
    <w:rsid w:val="00315E21"/>
    <w:rsid w:val="0031633F"/>
    <w:rsid w:val="00316381"/>
    <w:rsid w:val="00316474"/>
    <w:rsid w:val="00316941"/>
    <w:rsid w:val="00316FB1"/>
    <w:rsid w:val="00317940"/>
    <w:rsid w:val="00317D99"/>
    <w:rsid w:val="0032087E"/>
    <w:rsid w:val="00320DBE"/>
    <w:rsid w:val="00320F9B"/>
    <w:rsid w:val="0032127F"/>
    <w:rsid w:val="003219A8"/>
    <w:rsid w:val="00321B80"/>
    <w:rsid w:val="00321F0D"/>
    <w:rsid w:val="003220C7"/>
    <w:rsid w:val="00322107"/>
    <w:rsid w:val="00322355"/>
    <w:rsid w:val="00322675"/>
    <w:rsid w:val="00322846"/>
    <w:rsid w:val="0032292E"/>
    <w:rsid w:val="00322A6F"/>
    <w:rsid w:val="003235B6"/>
    <w:rsid w:val="003236CF"/>
    <w:rsid w:val="00323B64"/>
    <w:rsid w:val="00323EEB"/>
    <w:rsid w:val="003240A5"/>
    <w:rsid w:val="003243B6"/>
    <w:rsid w:val="003244F8"/>
    <w:rsid w:val="00324B7C"/>
    <w:rsid w:val="0032530B"/>
    <w:rsid w:val="00325A75"/>
    <w:rsid w:val="00325C36"/>
    <w:rsid w:val="00326867"/>
    <w:rsid w:val="00326D65"/>
    <w:rsid w:val="00326DA7"/>
    <w:rsid w:val="003270E4"/>
    <w:rsid w:val="0032795D"/>
    <w:rsid w:val="0033020F"/>
    <w:rsid w:val="0033072F"/>
    <w:rsid w:val="0033093C"/>
    <w:rsid w:val="00330DAA"/>
    <w:rsid w:val="00330F5C"/>
    <w:rsid w:val="003310B2"/>
    <w:rsid w:val="003317EE"/>
    <w:rsid w:val="0033217F"/>
    <w:rsid w:val="0033255B"/>
    <w:rsid w:val="00332D41"/>
    <w:rsid w:val="003339A7"/>
    <w:rsid w:val="00333CAD"/>
    <w:rsid w:val="00333F0A"/>
    <w:rsid w:val="00334C50"/>
    <w:rsid w:val="003350DA"/>
    <w:rsid w:val="003356DA"/>
    <w:rsid w:val="00335752"/>
    <w:rsid w:val="0033590E"/>
    <w:rsid w:val="00335E7E"/>
    <w:rsid w:val="003362AB"/>
    <w:rsid w:val="003366C9"/>
    <w:rsid w:val="003371B0"/>
    <w:rsid w:val="00337538"/>
    <w:rsid w:val="00337EAA"/>
    <w:rsid w:val="0034009E"/>
    <w:rsid w:val="00340DF1"/>
    <w:rsid w:val="00341FF9"/>
    <w:rsid w:val="003429DA"/>
    <w:rsid w:val="00342BFD"/>
    <w:rsid w:val="00343727"/>
    <w:rsid w:val="00343820"/>
    <w:rsid w:val="0034473D"/>
    <w:rsid w:val="00344BA2"/>
    <w:rsid w:val="00344C8A"/>
    <w:rsid w:val="00345120"/>
    <w:rsid w:val="00345181"/>
    <w:rsid w:val="00345337"/>
    <w:rsid w:val="00345695"/>
    <w:rsid w:val="00345930"/>
    <w:rsid w:val="00345ECF"/>
    <w:rsid w:val="00345ED0"/>
    <w:rsid w:val="00345F3E"/>
    <w:rsid w:val="00346729"/>
    <w:rsid w:val="003468DC"/>
    <w:rsid w:val="00346F1E"/>
    <w:rsid w:val="00347E4C"/>
    <w:rsid w:val="003501A9"/>
    <w:rsid w:val="003507E3"/>
    <w:rsid w:val="00350870"/>
    <w:rsid w:val="00351333"/>
    <w:rsid w:val="003513D9"/>
    <w:rsid w:val="003517F9"/>
    <w:rsid w:val="00351BA9"/>
    <w:rsid w:val="00351C95"/>
    <w:rsid w:val="00352582"/>
    <w:rsid w:val="00352BF8"/>
    <w:rsid w:val="00353150"/>
    <w:rsid w:val="003532B8"/>
    <w:rsid w:val="0035338F"/>
    <w:rsid w:val="003538EB"/>
    <w:rsid w:val="00353C80"/>
    <w:rsid w:val="00354513"/>
    <w:rsid w:val="00354544"/>
    <w:rsid w:val="00354F64"/>
    <w:rsid w:val="00354F68"/>
    <w:rsid w:val="00354F6E"/>
    <w:rsid w:val="00355168"/>
    <w:rsid w:val="003553D4"/>
    <w:rsid w:val="00355522"/>
    <w:rsid w:val="00355712"/>
    <w:rsid w:val="00355A04"/>
    <w:rsid w:val="00355B69"/>
    <w:rsid w:val="0035620E"/>
    <w:rsid w:val="00356A63"/>
    <w:rsid w:val="0035700C"/>
    <w:rsid w:val="00357112"/>
    <w:rsid w:val="003575BE"/>
    <w:rsid w:val="00357629"/>
    <w:rsid w:val="00357757"/>
    <w:rsid w:val="003578F6"/>
    <w:rsid w:val="00360345"/>
    <w:rsid w:val="0036036C"/>
    <w:rsid w:val="0036058D"/>
    <w:rsid w:val="003606AE"/>
    <w:rsid w:val="003606E7"/>
    <w:rsid w:val="0036077C"/>
    <w:rsid w:val="00360B2D"/>
    <w:rsid w:val="00360DA3"/>
    <w:rsid w:val="00360E50"/>
    <w:rsid w:val="00360FDD"/>
    <w:rsid w:val="0036108A"/>
    <w:rsid w:val="00361796"/>
    <w:rsid w:val="0036192A"/>
    <w:rsid w:val="00361A05"/>
    <w:rsid w:val="00361A75"/>
    <w:rsid w:val="00361F16"/>
    <w:rsid w:val="003621B0"/>
    <w:rsid w:val="003624C4"/>
    <w:rsid w:val="00362F53"/>
    <w:rsid w:val="003636DA"/>
    <w:rsid w:val="00363B00"/>
    <w:rsid w:val="00363DCC"/>
    <w:rsid w:val="00363EB6"/>
    <w:rsid w:val="00364481"/>
    <w:rsid w:val="00364744"/>
    <w:rsid w:val="00365455"/>
    <w:rsid w:val="003654AC"/>
    <w:rsid w:val="00365629"/>
    <w:rsid w:val="00365680"/>
    <w:rsid w:val="00365887"/>
    <w:rsid w:val="0036594D"/>
    <w:rsid w:val="003660A5"/>
    <w:rsid w:val="00366B90"/>
    <w:rsid w:val="00367866"/>
    <w:rsid w:val="00367B53"/>
    <w:rsid w:val="00367CB0"/>
    <w:rsid w:val="00370678"/>
    <w:rsid w:val="00370864"/>
    <w:rsid w:val="00370DAD"/>
    <w:rsid w:val="003710CF"/>
    <w:rsid w:val="003717B1"/>
    <w:rsid w:val="00371AF7"/>
    <w:rsid w:val="00372426"/>
    <w:rsid w:val="0037245F"/>
    <w:rsid w:val="00372540"/>
    <w:rsid w:val="0037358A"/>
    <w:rsid w:val="0037376D"/>
    <w:rsid w:val="0037392D"/>
    <w:rsid w:val="0037458C"/>
    <w:rsid w:val="00374AE2"/>
    <w:rsid w:val="003750F6"/>
    <w:rsid w:val="00375610"/>
    <w:rsid w:val="00375AE7"/>
    <w:rsid w:val="003760FC"/>
    <w:rsid w:val="00376C96"/>
    <w:rsid w:val="00376DC1"/>
    <w:rsid w:val="003770C8"/>
    <w:rsid w:val="00377AE9"/>
    <w:rsid w:val="00377CCD"/>
    <w:rsid w:val="00377FA5"/>
    <w:rsid w:val="00380869"/>
    <w:rsid w:val="00381742"/>
    <w:rsid w:val="003818BF"/>
    <w:rsid w:val="003819E9"/>
    <w:rsid w:val="00381D70"/>
    <w:rsid w:val="0038206C"/>
    <w:rsid w:val="0038290E"/>
    <w:rsid w:val="00382919"/>
    <w:rsid w:val="00383620"/>
    <w:rsid w:val="0038365C"/>
    <w:rsid w:val="0038369B"/>
    <w:rsid w:val="003839DE"/>
    <w:rsid w:val="00383B78"/>
    <w:rsid w:val="00384311"/>
    <w:rsid w:val="0038433F"/>
    <w:rsid w:val="00385114"/>
    <w:rsid w:val="00385595"/>
    <w:rsid w:val="00385640"/>
    <w:rsid w:val="00385709"/>
    <w:rsid w:val="00385A9D"/>
    <w:rsid w:val="00387121"/>
    <w:rsid w:val="003875FE"/>
    <w:rsid w:val="00387892"/>
    <w:rsid w:val="00387A89"/>
    <w:rsid w:val="00387D58"/>
    <w:rsid w:val="003902B1"/>
    <w:rsid w:val="00390317"/>
    <w:rsid w:val="0039045E"/>
    <w:rsid w:val="00390AFF"/>
    <w:rsid w:val="00390DBE"/>
    <w:rsid w:val="00390F27"/>
    <w:rsid w:val="003912DD"/>
    <w:rsid w:val="00391373"/>
    <w:rsid w:val="0039179C"/>
    <w:rsid w:val="003919C9"/>
    <w:rsid w:val="00391A09"/>
    <w:rsid w:val="00391C3A"/>
    <w:rsid w:val="0039206C"/>
    <w:rsid w:val="003935BC"/>
    <w:rsid w:val="003940AB"/>
    <w:rsid w:val="0039487C"/>
    <w:rsid w:val="003953A3"/>
    <w:rsid w:val="003958FE"/>
    <w:rsid w:val="00395980"/>
    <w:rsid w:val="00395A73"/>
    <w:rsid w:val="00396813"/>
    <w:rsid w:val="00396896"/>
    <w:rsid w:val="00396A20"/>
    <w:rsid w:val="00396B53"/>
    <w:rsid w:val="00396DCE"/>
    <w:rsid w:val="00396EBC"/>
    <w:rsid w:val="00396FD0"/>
    <w:rsid w:val="003972C2"/>
    <w:rsid w:val="00397D18"/>
    <w:rsid w:val="003A02CA"/>
    <w:rsid w:val="003A0F4F"/>
    <w:rsid w:val="003A13E5"/>
    <w:rsid w:val="003A145F"/>
    <w:rsid w:val="003A1A7A"/>
    <w:rsid w:val="003A2392"/>
    <w:rsid w:val="003A23C6"/>
    <w:rsid w:val="003A2831"/>
    <w:rsid w:val="003A3953"/>
    <w:rsid w:val="003A3CB6"/>
    <w:rsid w:val="003A3ED1"/>
    <w:rsid w:val="003A40B3"/>
    <w:rsid w:val="003A44DB"/>
    <w:rsid w:val="003A4C14"/>
    <w:rsid w:val="003A5184"/>
    <w:rsid w:val="003A53B2"/>
    <w:rsid w:val="003A5415"/>
    <w:rsid w:val="003A580C"/>
    <w:rsid w:val="003A5A63"/>
    <w:rsid w:val="003A6158"/>
    <w:rsid w:val="003A66F8"/>
    <w:rsid w:val="003A6A05"/>
    <w:rsid w:val="003A72FC"/>
    <w:rsid w:val="003A794B"/>
    <w:rsid w:val="003B00B9"/>
    <w:rsid w:val="003B01AE"/>
    <w:rsid w:val="003B04C3"/>
    <w:rsid w:val="003B0998"/>
    <w:rsid w:val="003B11DD"/>
    <w:rsid w:val="003B22AE"/>
    <w:rsid w:val="003B2729"/>
    <w:rsid w:val="003B2BC3"/>
    <w:rsid w:val="003B35B1"/>
    <w:rsid w:val="003B35BC"/>
    <w:rsid w:val="003B37E0"/>
    <w:rsid w:val="003B3971"/>
    <w:rsid w:val="003B4059"/>
    <w:rsid w:val="003B408A"/>
    <w:rsid w:val="003B4145"/>
    <w:rsid w:val="003B41C9"/>
    <w:rsid w:val="003B4F4D"/>
    <w:rsid w:val="003B507B"/>
    <w:rsid w:val="003B55D1"/>
    <w:rsid w:val="003B55DE"/>
    <w:rsid w:val="003B59EF"/>
    <w:rsid w:val="003B5B61"/>
    <w:rsid w:val="003B5BA3"/>
    <w:rsid w:val="003B5DFD"/>
    <w:rsid w:val="003B6044"/>
    <w:rsid w:val="003B6D33"/>
    <w:rsid w:val="003B7C6C"/>
    <w:rsid w:val="003B7EC4"/>
    <w:rsid w:val="003C0143"/>
    <w:rsid w:val="003C0384"/>
    <w:rsid w:val="003C07B7"/>
    <w:rsid w:val="003C0E90"/>
    <w:rsid w:val="003C10C9"/>
    <w:rsid w:val="003C1654"/>
    <w:rsid w:val="003C1DA3"/>
    <w:rsid w:val="003C1DD1"/>
    <w:rsid w:val="003C24D3"/>
    <w:rsid w:val="003C2BA3"/>
    <w:rsid w:val="003C2CA8"/>
    <w:rsid w:val="003C3016"/>
    <w:rsid w:val="003C32DC"/>
    <w:rsid w:val="003C3B8F"/>
    <w:rsid w:val="003C3E33"/>
    <w:rsid w:val="003C4658"/>
    <w:rsid w:val="003C4853"/>
    <w:rsid w:val="003C5046"/>
    <w:rsid w:val="003C5074"/>
    <w:rsid w:val="003C5158"/>
    <w:rsid w:val="003C5542"/>
    <w:rsid w:val="003C5880"/>
    <w:rsid w:val="003C5D33"/>
    <w:rsid w:val="003C60FA"/>
    <w:rsid w:val="003C62F8"/>
    <w:rsid w:val="003C63BD"/>
    <w:rsid w:val="003C6B34"/>
    <w:rsid w:val="003C718D"/>
    <w:rsid w:val="003C751D"/>
    <w:rsid w:val="003C7BF8"/>
    <w:rsid w:val="003C7BFF"/>
    <w:rsid w:val="003C7C09"/>
    <w:rsid w:val="003C7C15"/>
    <w:rsid w:val="003C7D19"/>
    <w:rsid w:val="003C7D2F"/>
    <w:rsid w:val="003C7FFD"/>
    <w:rsid w:val="003D0C5A"/>
    <w:rsid w:val="003D1194"/>
    <w:rsid w:val="003D127D"/>
    <w:rsid w:val="003D1828"/>
    <w:rsid w:val="003D189A"/>
    <w:rsid w:val="003D1910"/>
    <w:rsid w:val="003D1DE4"/>
    <w:rsid w:val="003D1E9A"/>
    <w:rsid w:val="003D2422"/>
    <w:rsid w:val="003D297E"/>
    <w:rsid w:val="003D3041"/>
    <w:rsid w:val="003D33D9"/>
    <w:rsid w:val="003D3924"/>
    <w:rsid w:val="003D39A1"/>
    <w:rsid w:val="003D39F4"/>
    <w:rsid w:val="003D3E57"/>
    <w:rsid w:val="003D3EDE"/>
    <w:rsid w:val="003D3FBF"/>
    <w:rsid w:val="003D3FC6"/>
    <w:rsid w:val="003D4945"/>
    <w:rsid w:val="003D4A30"/>
    <w:rsid w:val="003D55F8"/>
    <w:rsid w:val="003D5822"/>
    <w:rsid w:val="003D639C"/>
    <w:rsid w:val="003D6B29"/>
    <w:rsid w:val="003D6E05"/>
    <w:rsid w:val="003D6E95"/>
    <w:rsid w:val="003D727D"/>
    <w:rsid w:val="003D7452"/>
    <w:rsid w:val="003D75AC"/>
    <w:rsid w:val="003D79BB"/>
    <w:rsid w:val="003D7C98"/>
    <w:rsid w:val="003D7D9D"/>
    <w:rsid w:val="003D7E44"/>
    <w:rsid w:val="003E0543"/>
    <w:rsid w:val="003E0D90"/>
    <w:rsid w:val="003E1929"/>
    <w:rsid w:val="003E1C86"/>
    <w:rsid w:val="003E1CAA"/>
    <w:rsid w:val="003E2113"/>
    <w:rsid w:val="003E28FE"/>
    <w:rsid w:val="003E2A1F"/>
    <w:rsid w:val="003E34B8"/>
    <w:rsid w:val="003E3698"/>
    <w:rsid w:val="003E37D7"/>
    <w:rsid w:val="003E4D49"/>
    <w:rsid w:val="003E5155"/>
    <w:rsid w:val="003E529B"/>
    <w:rsid w:val="003E5603"/>
    <w:rsid w:val="003E58AA"/>
    <w:rsid w:val="003E5A83"/>
    <w:rsid w:val="003E5ABF"/>
    <w:rsid w:val="003E626F"/>
    <w:rsid w:val="003E6A65"/>
    <w:rsid w:val="003E7268"/>
    <w:rsid w:val="003E749E"/>
    <w:rsid w:val="003E7797"/>
    <w:rsid w:val="003E793F"/>
    <w:rsid w:val="003E7B21"/>
    <w:rsid w:val="003E7B51"/>
    <w:rsid w:val="003E7ED6"/>
    <w:rsid w:val="003F048B"/>
    <w:rsid w:val="003F05BB"/>
    <w:rsid w:val="003F0647"/>
    <w:rsid w:val="003F0E79"/>
    <w:rsid w:val="003F172D"/>
    <w:rsid w:val="003F1E06"/>
    <w:rsid w:val="003F209C"/>
    <w:rsid w:val="003F28DA"/>
    <w:rsid w:val="003F3C88"/>
    <w:rsid w:val="003F409D"/>
    <w:rsid w:val="003F40FF"/>
    <w:rsid w:val="003F4126"/>
    <w:rsid w:val="003F4156"/>
    <w:rsid w:val="003F419D"/>
    <w:rsid w:val="003F45BF"/>
    <w:rsid w:val="003F49D7"/>
    <w:rsid w:val="003F4CE6"/>
    <w:rsid w:val="003F4FA8"/>
    <w:rsid w:val="003F579E"/>
    <w:rsid w:val="003F57A6"/>
    <w:rsid w:val="003F5964"/>
    <w:rsid w:val="003F5ADF"/>
    <w:rsid w:val="003F691D"/>
    <w:rsid w:val="003F6CCE"/>
    <w:rsid w:val="003F7268"/>
    <w:rsid w:val="003F72EA"/>
    <w:rsid w:val="003F7E7A"/>
    <w:rsid w:val="004001A1"/>
    <w:rsid w:val="004002AE"/>
    <w:rsid w:val="0040097E"/>
    <w:rsid w:val="00400B29"/>
    <w:rsid w:val="00400B9D"/>
    <w:rsid w:val="00401A23"/>
    <w:rsid w:val="00402418"/>
    <w:rsid w:val="00402579"/>
    <w:rsid w:val="00402812"/>
    <w:rsid w:val="00402958"/>
    <w:rsid w:val="00402A64"/>
    <w:rsid w:val="00402B84"/>
    <w:rsid w:val="00403654"/>
    <w:rsid w:val="00403B7F"/>
    <w:rsid w:val="00403C80"/>
    <w:rsid w:val="00403D00"/>
    <w:rsid w:val="00404C10"/>
    <w:rsid w:val="00404E32"/>
    <w:rsid w:val="0040504B"/>
    <w:rsid w:val="00405117"/>
    <w:rsid w:val="00405557"/>
    <w:rsid w:val="0040598B"/>
    <w:rsid w:val="004059F4"/>
    <w:rsid w:val="00405A21"/>
    <w:rsid w:val="00405FEE"/>
    <w:rsid w:val="004060D2"/>
    <w:rsid w:val="004063CE"/>
    <w:rsid w:val="004068F4"/>
    <w:rsid w:val="00406A58"/>
    <w:rsid w:val="00406BDF"/>
    <w:rsid w:val="00406D1E"/>
    <w:rsid w:val="00406E58"/>
    <w:rsid w:val="00407FE5"/>
    <w:rsid w:val="004101B0"/>
    <w:rsid w:val="00410269"/>
    <w:rsid w:val="004102C2"/>
    <w:rsid w:val="004102F6"/>
    <w:rsid w:val="00410326"/>
    <w:rsid w:val="00410708"/>
    <w:rsid w:val="00410870"/>
    <w:rsid w:val="00410CFA"/>
    <w:rsid w:val="00410EC7"/>
    <w:rsid w:val="004116BD"/>
    <w:rsid w:val="00411B39"/>
    <w:rsid w:val="004127A7"/>
    <w:rsid w:val="00413079"/>
    <w:rsid w:val="004131EF"/>
    <w:rsid w:val="00413461"/>
    <w:rsid w:val="00413612"/>
    <w:rsid w:val="00413A1E"/>
    <w:rsid w:val="00413DD6"/>
    <w:rsid w:val="0041420D"/>
    <w:rsid w:val="00414476"/>
    <w:rsid w:val="004144C9"/>
    <w:rsid w:val="00414771"/>
    <w:rsid w:val="00414C2E"/>
    <w:rsid w:val="00414D19"/>
    <w:rsid w:val="004151CF"/>
    <w:rsid w:val="0041548B"/>
    <w:rsid w:val="00415879"/>
    <w:rsid w:val="00415A58"/>
    <w:rsid w:val="00416364"/>
    <w:rsid w:val="00416966"/>
    <w:rsid w:val="00416CE9"/>
    <w:rsid w:val="00417AAA"/>
    <w:rsid w:val="00417D20"/>
    <w:rsid w:val="0042047F"/>
    <w:rsid w:val="00420571"/>
    <w:rsid w:val="00420A6A"/>
    <w:rsid w:val="00420AA6"/>
    <w:rsid w:val="00420B9F"/>
    <w:rsid w:val="00420BFA"/>
    <w:rsid w:val="0042192C"/>
    <w:rsid w:val="00422260"/>
    <w:rsid w:val="00422275"/>
    <w:rsid w:val="004223A0"/>
    <w:rsid w:val="0042282B"/>
    <w:rsid w:val="00422C13"/>
    <w:rsid w:val="00423D81"/>
    <w:rsid w:val="0042413F"/>
    <w:rsid w:val="00424279"/>
    <w:rsid w:val="004247E3"/>
    <w:rsid w:val="00424A93"/>
    <w:rsid w:val="00424F92"/>
    <w:rsid w:val="00425BFF"/>
    <w:rsid w:val="00425F57"/>
    <w:rsid w:val="00426251"/>
    <w:rsid w:val="004267CE"/>
    <w:rsid w:val="00427C28"/>
    <w:rsid w:val="00427E5A"/>
    <w:rsid w:val="00427E89"/>
    <w:rsid w:val="00430D7C"/>
    <w:rsid w:val="00430F40"/>
    <w:rsid w:val="004314E4"/>
    <w:rsid w:val="00431533"/>
    <w:rsid w:val="0043167F"/>
    <w:rsid w:val="004319F8"/>
    <w:rsid w:val="00431AD2"/>
    <w:rsid w:val="00431E55"/>
    <w:rsid w:val="004321F6"/>
    <w:rsid w:val="00432A0A"/>
    <w:rsid w:val="00432C3C"/>
    <w:rsid w:val="00432F3C"/>
    <w:rsid w:val="00433044"/>
    <w:rsid w:val="0043341C"/>
    <w:rsid w:val="0043399D"/>
    <w:rsid w:val="00434088"/>
    <w:rsid w:val="004345BC"/>
    <w:rsid w:val="00434813"/>
    <w:rsid w:val="00434910"/>
    <w:rsid w:val="00434F71"/>
    <w:rsid w:val="00436BF5"/>
    <w:rsid w:val="00436C3D"/>
    <w:rsid w:val="00437147"/>
    <w:rsid w:val="004375B9"/>
    <w:rsid w:val="004375E9"/>
    <w:rsid w:val="00437858"/>
    <w:rsid w:val="00437AC1"/>
    <w:rsid w:val="00437D51"/>
    <w:rsid w:val="00440A51"/>
    <w:rsid w:val="00440C90"/>
    <w:rsid w:val="00441144"/>
    <w:rsid w:val="00441268"/>
    <w:rsid w:val="00441D7A"/>
    <w:rsid w:val="00441D9E"/>
    <w:rsid w:val="004424A1"/>
    <w:rsid w:val="00442896"/>
    <w:rsid w:val="004428D0"/>
    <w:rsid w:val="00443A07"/>
    <w:rsid w:val="00444185"/>
    <w:rsid w:val="004443A7"/>
    <w:rsid w:val="0044442C"/>
    <w:rsid w:val="00444898"/>
    <w:rsid w:val="00444B79"/>
    <w:rsid w:val="00444F6D"/>
    <w:rsid w:val="00445429"/>
    <w:rsid w:val="0044563B"/>
    <w:rsid w:val="00445941"/>
    <w:rsid w:val="004464EB"/>
    <w:rsid w:val="004465A7"/>
    <w:rsid w:val="00446A84"/>
    <w:rsid w:val="00446C7E"/>
    <w:rsid w:val="004472CA"/>
    <w:rsid w:val="00447518"/>
    <w:rsid w:val="00447750"/>
    <w:rsid w:val="00447D26"/>
    <w:rsid w:val="00447DFC"/>
    <w:rsid w:val="00451461"/>
    <w:rsid w:val="00452477"/>
    <w:rsid w:val="004526A1"/>
    <w:rsid w:val="004528EE"/>
    <w:rsid w:val="004529CE"/>
    <w:rsid w:val="0045301C"/>
    <w:rsid w:val="0045363B"/>
    <w:rsid w:val="00453642"/>
    <w:rsid w:val="00453921"/>
    <w:rsid w:val="00453D12"/>
    <w:rsid w:val="00453E6A"/>
    <w:rsid w:val="0045416F"/>
    <w:rsid w:val="00455D45"/>
    <w:rsid w:val="0045618C"/>
    <w:rsid w:val="00456743"/>
    <w:rsid w:val="004567EF"/>
    <w:rsid w:val="00456A04"/>
    <w:rsid w:val="00456B76"/>
    <w:rsid w:val="00456FA7"/>
    <w:rsid w:val="00457EEF"/>
    <w:rsid w:val="00460125"/>
    <w:rsid w:val="00460236"/>
    <w:rsid w:val="00460E90"/>
    <w:rsid w:val="00460F1A"/>
    <w:rsid w:val="0046134B"/>
    <w:rsid w:val="00461B3E"/>
    <w:rsid w:val="004622C0"/>
    <w:rsid w:val="00462793"/>
    <w:rsid w:val="004629C7"/>
    <w:rsid w:val="00462E19"/>
    <w:rsid w:val="004635AE"/>
    <w:rsid w:val="00463D78"/>
    <w:rsid w:val="00463E1C"/>
    <w:rsid w:val="00464595"/>
    <w:rsid w:val="00464721"/>
    <w:rsid w:val="0046472A"/>
    <w:rsid w:val="004648D2"/>
    <w:rsid w:val="00464932"/>
    <w:rsid w:val="004649B2"/>
    <w:rsid w:val="00464B64"/>
    <w:rsid w:val="00464BAD"/>
    <w:rsid w:val="00464C35"/>
    <w:rsid w:val="00464DD0"/>
    <w:rsid w:val="004658B5"/>
    <w:rsid w:val="00466235"/>
    <w:rsid w:val="00466B17"/>
    <w:rsid w:val="00467090"/>
    <w:rsid w:val="004675FD"/>
    <w:rsid w:val="0046764F"/>
    <w:rsid w:val="00467FE8"/>
    <w:rsid w:val="0047004F"/>
    <w:rsid w:val="00470134"/>
    <w:rsid w:val="004708EC"/>
    <w:rsid w:val="00471053"/>
    <w:rsid w:val="00471323"/>
    <w:rsid w:val="0047137C"/>
    <w:rsid w:val="00471811"/>
    <w:rsid w:val="00471EA5"/>
    <w:rsid w:val="00471F1D"/>
    <w:rsid w:val="0047201A"/>
    <w:rsid w:val="004725A0"/>
    <w:rsid w:val="00472A79"/>
    <w:rsid w:val="00473B05"/>
    <w:rsid w:val="00473F19"/>
    <w:rsid w:val="0047449A"/>
    <w:rsid w:val="00474EDE"/>
    <w:rsid w:val="00475792"/>
    <w:rsid w:val="00475920"/>
    <w:rsid w:val="00475E22"/>
    <w:rsid w:val="00475F0A"/>
    <w:rsid w:val="00475FB9"/>
    <w:rsid w:val="00476537"/>
    <w:rsid w:val="004768E5"/>
    <w:rsid w:val="004769DF"/>
    <w:rsid w:val="00476D33"/>
    <w:rsid w:val="00477092"/>
    <w:rsid w:val="0047757C"/>
    <w:rsid w:val="00480550"/>
    <w:rsid w:val="0048088E"/>
    <w:rsid w:val="0048091F"/>
    <w:rsid w:val="004809D8"/>
    <w:rsid w:val="00480F2B"/>
    <w:rsid w:val="0048171C"/>
    <w:rsid w:val="00481DF7"/>
    <w:rsid w:val="00481E2D"/>
    <w:rsid w:val="00481F49"/>
    <w:rsid w:val="00482720"/>
    <w:rsid w:val="00482B8A"/>
    <w:rsid w:val="00482D08"/>
    <w:rsid w:val="00482F93"/>
    <w:rsid w:val="00483027"/>
    <w:rsid w:val="004835E7"/>
    <w:rsid w:val="00483809"/>
    <w:rsid w:val="004843FF"/>
    <w:rsid w:val="004845CB"/>
    <w:rsid w:val="00484681"/>
    <w:rsid w:val="00484AE9"/>
    <w:rsid w:val="00484D0E"/>
    <w:rsid w:val="00485463"/>
    <w:rsid w:val="0048587E"/>
    <w:rsid w:val="004859E1"/>
    <w:rsid w:val="00485A61"/>
    <w:rsid w:val="004861D2"/>
    <w:rsid w:val="004865AB"/>
    <w:rsid w:val="004866D3"/>
    <w:rsid w:val="004867E2"/>
    <w:rsid w:val="00490559"/>
    <w:rsid w:val="004908AD"/>
    <w:rsid w:val="00490B17"/>
    <w:rsid w:val="00490B36"/>
    <w:rsid w:val="00490D6C"/>
    <w:rsid w:val="0049136E"/>
    <w:rsid w:val="00491B3A"/>
    <w:rsid w:val="00491FDF"/>
    <w:rsid w:val="00492283"/>
    <w:rsid w:val="00492A5A"/>
    <w:rsid w:val="00492A7F"/>
    <w:rsid w:val="00492C5C"/>
    <w:rsid w:val="00492CFD"/>
    <w:rsid w:val="00492DD4"/>
    <w:rsid w:val="00493632"/>
    <w:rsid w:val="00493782"/>
    <w:rsid w:val="00493871"/>
    <w:rsid w:val="00493933"/>
    <w:rsid w:val="00493D37"/>
    <w:rsid w:val="00494207"/>
    <w:rsid w:val="00494246"/>
    <w:rsid w:val="00494DD5"/>
    <w:rsid w:val="004951F9"/>
    <w:rsid w:val="00495CD2"/>
    <w:rsid w:val="004962D2"/>
    <w:rsid w:val="00496D23"/>
    <w:rsid w:val="00496F00"/>
    <w:rsid w:val="004A0290"/>
    <w:rsid w:val="004A0763"/>
    <w:rsid w:val="004A0DA1"/>
    <w:rsid w:val="004A12D4"/>
    <w:rsid w:val="004A13D6"/>
    <w:rsid w:val="004A1BAD"/>
    <w:rsid w:val="004A24A7"/>
    <w:rsid w:val="004A2500"/>
    <w:rsid w:val="004A2A8F"/>
    <w:rsid w:val="004A34CF"/>
    <w:rsid w:val="004A392F"/>
    <w:rsid w:val="004A3C47"/>
    <w:rsid w:val="004A3D9B"/>
    <w:rsid w:val="004A4615"/>
    <w:rsid w:val="004A462C"/>
    <w:rsid w:val="004A4B91"/>
    <w:rsid w:val="004A4BCB"/>
    <w:rsid w:val="004A4D78"/>
    <w:rsid w:val="004A4D79"/>
    <w:rsid w:val="004A52E9"/>
    <w:rsid w:val="004A5E33"/>
    <w:rsid w:val="004A5F29"/>
    <w:rsid w:val="004A5FC1"/>
    <w:rsid w:val="004A6040"/>
    <w:rsid w:val="004A6597"/>
    <w:rsid w:val="004A65C9"/>
    <w:rsid w:val="004A6E80"/>
    <w:rsid w:val="004A772E"/>
    <w:rsid w:val="004A7848"/>
    <w:rsid w:val="004A793B"/>
    <w:rsid w:val="004A7E48"/>
    <w:rsid w:val="004B0055"/>
    <w:rsid w:val="004B0543"/>
    <w:rsid w:val="004B0551"/>
    <w:rsid w:val="004B0F80"/>
    <w:rsid w:val="004B11FD"/>
    <w:rsid w:val="004B14C6"/>
    <w:rsid w:val="004B157B"/>
    <w:rsid w:val="004B15EC"/>
    <w:rsid w:val="004B1815"/>
    <w:rsid w:val="004B1A93"/>
    <w:rsid w:val="004B1CB4"/>
    <w:rsid w:val="004B2AFF"/>
    <w:rsid w:val="004B2B27"/>
    <w:rsid w:val="004B2F18"/>
    <w:rsid w:val="004B3612"/>
    <w:rsid w:val="004B3DDB"/>
    <w:rsid w:val="004B3DEC"/>
    <w:rsid w:val="004B3EE5"/>
    <w:rsid w:val="004B44FD"/>
    <w:rsid w:val="004B46CA"/>
    <w:rsid w:val="004B5AA7"/>
    <w:rsid w:val="004B5CBF"/>
    <w:rsid w:val="004B5CFC"/>
    <w:rsid w:val="004B5E91"/>
    <w:rsid w:val="004B5F13"/>
    <w:rsid w:val="004B5FFB"/>
    <w:rsid w:val="004B6294"/>
    <w:rsid w:val="004B654E"/>
    <w:rsid w:val="004B6AF5"/>
    <w:rsid w:val="004B6F79"/>
    <w:rsid w:val="004B739B"/>
    <w:rsid w:val="004B753E"/>
    <w:rsid w:val="004B76A9"/>
    <w:rsid w:val="004B76EA"/>
    <w:rsid w:val="004B774D"/>
    <w:rsid w:val="004C021F"/>
    <w:rsid w:val="004C0234"/>
    <w:rsid w:val="004C02B2"/>
    <w:rsid w:val="004C0455"/>
    <w:rsid w:val="004C086A"/>
    <w:rsid w:val="004C0D5D"/>
    <w:rsid w:val="004C176E"/>
    <w:rsid w:val="004C1A73"/>
    <w:rsid w:val="004C2183"/>
    <w:rsid w:val="004C272D"/>
    <w:rsid w:val="004C2949"/>
    <w:rsid w:val="004C2AC2"/>
    <w:rsid w:val="004C2BCB"/>
    <w:rsid w:val="004C2CFD"/>
    <w:rsid w:val="004C2D8A"/>
    <w:rsid w:val="004C2F2B"/>
    <w:rsid w:val="004C3378"/>
    <w:rsid w:val="004C3645"/>
    <w:rsid w:val="004C3984"/>
    <w:rsid w:val="004C44E5"/>
    <w:rsid w:val="004C44F3"/>
    <w:rsid w:val="004C4AED"/>
    <w:rsid w:val="004C4B41"/>
    <w:rsid w:val="004C5245"/>
    <w:rsid w:val="004C55FD"/>
    <w:rsid w:val="004C681F"/>
    <w:rsid w:val="004C6AB8"/>
    <w:rsid w:val="004C75FC"/>
    <w:rsid w:val="004C7FA8"/>
    <w:rsid w:val="004D059B"/>
    <w:rsid w:val="004D06BE"/>
    <w:rsid w:val="004D0AC6"/>
    <w:rsid w:val="004D0BC5"/>
    <w:rsid w:val="004D1DD0"/>
    <w:rsid w:val="004D212F"/>
    <w:rsid w:val="004D21CD"/>
    <w:rsid w:val="004D23AA"/>
    <w:rsid w:val="004D260B"/>
    <w:rsid w:val="004D266E"/>
    <w:rsid w:val="004D27C4"/>
    <w:rsid w:val="004D2C2D"/>
    <w:rsid w:val="004D2E05"/>
    <w:rsid w:val="004D2F60"/>
    <w:rsid w:val="004D33CC"/>
    <w:rsid w:val="004D345F"/>
    <w:rsid w:val="004D3B0C"/>
    <w:rsid w:val="004D3E5A"/>
    <w:rsid w:val="004D42F9"/>
    <w:rsid w:val="004D4598"/>
    <w:rsid w:val="004D5365"/>
    <w:rsid w:val="004D5912"/>
    <w:rsid w:val="004D5A6C"/>
    <w:rsid w:val="004D5E2D"/>
    <w:rsid w:val="004D6163"/>
    <w:rsid w:val="004D61FA"/>
    <w:rsid w:val="004D673E"/>
    <w:rsid w:val="004D69B5"/>
    <w:rsid w:val="004D6EB5"/>
    <w:rsid w:val="004D7227"/>
    <w:rsid w:val="004D73A2"/>
    <w:rsid w:val="004D74D6"/>
    <w:rsid w:val="004D774C"/>
    <w:rsid w:val="004D7AA4"/>
    <w:rsid w:val="004D7B5E"/>
    <w:rsid w:val="004E002A"/>
    <w:rsid w:val="004E034D"/>
    <w:rsid w:val="004E0E7F"/>
    <w:rsid w:val="004E0EB8"/>
    <w:rsid w:val="004E186E"/>
    <w:rsid w:val="004E18E9"/>
    <w:rsid w:val="004E27EC"/>
    <w:rsid w:val="004E2812"/>
    <w:rsid w:val="004E2ADC"/>
    <w:rsid w:val="004E3E9A"/>
    <w:rsid w:val="004E4089"/>
    <w:rsid w:val="004E43B2"/>
    <w:rsid w:val="004E4609"/>
    <w:rsid w:val="004E485F"/>
    <w:rsid w:val="004E4F34"/>
    <w:rsid w:val="004E5097"/>
    <w:rsid w:val="004E5424"/>
    <w:rsid w:val="004E6D6C"/>
    <w:rsid w:val="004E735C"/>
    <w:rsid w:val="004E7F86"/>
    <w:rsid w:val="004F04A2"/>
    <w:rsid w:val="004F04D7"/>
    <w:rsid w:val="004F05E6"/>
    <w:rsid w:val="004F08A9"/>
    <w:rsid w:val="004F0924"/>
    <w:rsid w:val="004F0AA3"/>
    <w:rsid w:val="004F1704"/>
    <w:rsid w:val="004F1A8F"/>
    <w:rsid w:val="004F1D02"/>
    <w:rsid w:val="004F1E79"/>
    <w:rsid w:val="004F220D"/>
    <w:rsid w:val="004F2679"/>
    <w:rsid w:val="004F2F21"/>
    <w:rsid w:val="004F3554"/>
    <w:rsid w:val="004F3577"/>
    <w:rsid w:val="004F3BE1"/>
    <w:rsid w:val="004F3D11"/>
    <w:rsid w:val="004F3DE5"/>
    <w:rsid w:val="004F40EE"/>
    <w:rsid w:val="004F4171"/>
    <w:rsid w:val="004F48EC"/>
    <w:rsid w:val="004F4BEC"/>
    <w:rsid w:val="004F4D1E"/>
    <w:rsid w:val="004F511A"/>
    <w:rsid w:val="004F5235"/>
    <w:rsid w:val="004F598B"/>
    <w:rsid w:val="004F5C66"/>
    <w:rsid w:val="004F5EF7"/>
    <w:rsid w:val="004F5F35"/>
    <w:rsid w:val="004F66AB"/>
    <w:rsid w:val="004F68E5"/>
    <w:rsid w:val="004F6913"/>
    <w:rsid w:val="004F6B64"/>
    <w:rsid w:val="004F6DCD"/>
    <w:rsid w:val="004F73F7"/>
    <w:rsid w:val="004F7414"/>
    <w:rsid w:val="004F7865"/>
    <w:rsid w:val="00500099"/>
    <w:rsid w:val="0050046F"/>
    <w:rsid w:val="00500D10"/>
    <w:rsid w:val="005012F9"/>
    <w:rsid w:val="0050174E"/>
    <w:rsid w:val="00501854"/>
    <w:rsid w:val="00501CF9"/>
    <w:rsid w:val="00501CFE"/>
    <w:rsid w:val="0050219B"/>
    <w:rsid w:val="00502315"/>
    <w:rsid w:val="00502608"/>
    <w:rsid w:val="005026A5"/>
    <w:rsid w:val="00502B04"/>
    <w:rsid w:val="0050386C"/>
    <w:rsid w:val="00503D1F"/>
    <w:rsid w:val="00503F17"/>
    <w:rsid w:val="00503F3A"/>
    <w:rsid w:val="00504070"/>
    <w:rsid w:val="00504A72"/>
    <w:rsid w:val="00505598"/>
    <w:rsid w:val="005055AD"/>
    <w:rsid w:val="00505AF6"/>
    <w:rsid w:val="00505E9A"/>
    <w:rsid w:val="00506928"/>
    <w:rsid w:val="0050731C"/>
    <w:rsid w:val="005077EF"/>
    <w:rsid w:val="00510180"/>
    <w:rsid w:val="00510FA4"/>
    <w:rsid w:val="005110AE"/>
    <w:rsid w:val="005116BC"/>
    <w:rsid w:val="005118AE"/>
    <w:rsid w:val="00511AD5"/>
    <w:rsid w:val="00511DC7"/>
    <w:rsid w:val="00512BF8"/>
    <w:rsid w:val="00513426"/>
    <w:rsid w:val="00513806"/>
    <w:rsid w:val="00513849"/>
    <w:rsid w:val="005142C5"/>
    <w:rsid w:val="005145B1"/>
    <w:rsid w:val="00514982"/>
    <w:rsid w:val="0051501B"/>
    <w:rsid w:val="0051503D"/>
    <w:rsid w:val="005152B5"/>
    <w:rsid w:val="00515532"/>
    <w:rsid w:val="0051579D"/>
    <w:rsid w:val="00515886"/>
    <w:rsid w:val="00515EFD"/>
    <w:rsid w:val="005160A3"/>
    <w:rsid w:val="00516307"/>
    <w:rsid w:val="005166F6"/>
    <w:rsid w:val="005168EA"/>
    <w:rsid w:val="005208AE"/>
    <w:rsid w:val="00520B27"/>
    <w:rsid w:val="00520D06"/>
    <w:rsid w:val="0052123C"/>
    <w:rsid w:val="00521319"/>
    <w:rsid w:val="00522BC8"/>
    <w:rsid w:val="00522EBB"/>
    <w:rsid w:val="005230B6"/>
    <w:rsid w:val="005231F1"/>
    <w:rsid w:val="005235E1"/>
    <w:rsid w:val="00523738"/>
    <w:rsid w:val="00523C28"/>
    <w:rsid w:val="00523E50"/>
    <w:rsid w:val="00524983"/>
    <w:rsid w:val="00524A0A"/>
    <w:rsid w:val="00525062"/>
    <w:rsid w:val="00525073"/>
    <w:rsid w:val="0052530A"/>
    <w:rsid w:val="005257EA"/>
    <w:rsid w:val="00525836"/>
    <w:rsid w:val="00525A3D"/>
    <w:rsid w:val="0052614B"/>
    <w:rsid w:val="00526771"/>
    <w:rsid w:val="00526954"/>
    <w:rsid w:val="005269BA"/>
    <w:rsid w:val="00526CEE"/>
    <w:rsid w:val="00526FEE"/>
    <w:rsid w:val="005270D8"/>
    <w:rsid w:val="00527204"/>
    <w:rsid w:val="00527382"/>
    <w:rsid w:val="00527A14"/>
    <w:rsid w:val="00527DDD"/>
    <w:rsid w:val="005301E2"/>
    <w:rsid w:val="00530354"/>
    <w:rsid w:val="00530838"/>
    <w:rsid w:val="00530F03"/>
    <w:rsid w:val="0053176B"/>
    <w:rsid w:val="00531CE9"/>
    <w:rsid w:val="00531DF0"/>
    <w:rsid w:val="00532049"/>
    <w:rsid w:val="0053246B"/>
    <w:rsid w:val="005327CA"/>
    <w:rsid w:val="00533128"/>
    <w:rsid w:val="00533383"/>
    <w:rsid w:val="00533777"/>
    <w:rsid w:val="00533AAB"/>
    <w:rsid w:val="005341B3"/>
    <w:rsid w:val="0053556D"/>
    <w:rsid w:val="00535730"/>
    <w:rsid w:val="00535C56"/>
    <w:rsid w:val="00535D05"/>
    <w:rsid w:val="00536A36"/>
    <w:rsid w:val="00536F42"/>
    <w:rsid w:val="0053700C"/>
    <w:rsid w:val="00537141"/>
    <w:rsid w:val="00537182"/>
    <w:rsid w:val="005374C3"/>
    <w:rsid w:val="00537F58"/>
    <w:rsid w:val="005400C7"/>
    <w:rsid w:val="00540217"/>
    <w:rsid w:val="0054050C"/>
    <w:rsid w:val="00540C3D"/>
    <w:rsid w:val="0054146D"/>
    <w:rsid w:val="0054158F"/>
    <w:rsid w:val="0054161F"/>
    <w:rsid w:val="00541738"/>
    <w:rsid w:val="005417A3"/>
    <w:rsid w:val="00541EDD"/>
    <w:rsid w:val="00542743"/>
    <w:rsid w:val="00542C2D"/>
    <w:rsid w:val="00543583"/>
    <w:rsid w:val="00543F6A"/>
    <w:rsid w:val="00544003"/>
    <w:rsid w:val="005440B5"/>
    <w:rsid w:val="00544583"/>
    <w:rsid w:val="005455EF"/>
    <w:rsid w:val="00545845"/>
    <w:rsid w:val="00545A1D"/>
    <w:rsid w:val="00546A96"/>
    <w:rsid w:val="00547024"/>
    <w:rsid w:val="0054710F"/>
    <w:rsid w:val="0054729E"/>
    <w:rsid w:val="005478BD"/>
    <w:rsid w:val="005479AC"/>
    <w:rsid w:val="005479E3"/>
    <w:rsid w:val="005506FD"/>
    <w:rsid w:val="00550B1B"/>
    <w:rsid w:val="00550C33"/>
    <w:rsid w:val="00550C39"/>
    <w:rsid w:val="005517F1"/>
    <w:rsid w:val="00551985"/>
    <w:rsid w:val="00551D78"/>
    <w:rsid w:val="0055227C"/>
    <w:rsid w:val="005523DF"/>
    <w:rsid w:val="00552BD3"/>
    <w:rsid w:val="00552D6F"/>
    <w:rsid w:val="005532A0"/>
    <w:rsid w:val="005536E7"/>
    <w:rsid w:val="005539DD"/>
    <w:rsid w:val="005544B7"/>
    <w:rsid w:val="005547AB"/>
    <w:rsid w:val="00554C1E"/>
    <w:rsid w:val="00555109"/>
    <w:rsid w:val="00555547"/>
    <w:rsid w:val="0055591B"/>
    <w:rsid w:val="00556035"/>
    <w:rsid w:val="005560C9"/>
    <w:rsid w:val="0055678C"/>
    <w:rsid w:val="00556B35"/>
    <w:rsid w:val="00556BED"/>
    <w:rsid w:val="00556C30"/>
    <w:rsid w:val="0055741A"/>
    <w:rsid w:val="00557632"/>
    <w:rsid w:val="00557637"/>
    <w:rsid w:val="0055766B"/>
    <w:rsid w:val="005605A9"/>
    <w:rsid w:val="005611B7"/>
    <w:rsid w:val="005617BD"/>
    <w:rsid w:val="00561827"/>
    <w:rsid w:val="005618D4"/>
    <w:rsid w:val="00561B02"/>
    <w:rsid w:val="005624F7"/>
    <w:rsid w:val="005628E0"/>
    <w:rsid w:val="005636C5"/>
    <w:rsid w:val="005639A8"/>
    <w:rsid w:val="00563F09"/>
    <w:rsid w:val="00564867"/>
    <w:rsid w:val="00564A66"/>
    <w:rsid w:val="00564CFF"/>
    <w:rsid w:val="00564E26"/>
    <w:rsid w:val="00565374"/>
    <w:rsid w:val="0056558C"/>
    <w:rsid w:val="00565A04"/>
    <w:rsid w:val="00565C79"/>
    <w:rsid w:val="00565DF0"/>
    <w:rsid w:val="0056696F"/>
    <w:rsid w:val="00567239"/>
    <w:rsid w:val="00567BFC"/>
    <w:rsid w:val="00570F79"/>
    <w:rsid w:val="00570FE7"/>
    <w:rsid w:val="0057110F"/>
    <w:rsid w:val="0057154D"/>
    <w:rsid w:val="0057191D"/>
    <w:rsid w:val="00571F1A"/>
    <w:rsid w:val="00572269"/>
    <w:rsid w:val="0057244A"/>
    <w:rsid w:val="005726A1"/>
    <w:rsid w:val="00572F26"/>
    <w:rsid w:val="005730DE"/>
    <w:rsid w:val="00573E7D"/>
    <w:rsid w:val="0057413B"/>
    <w:rsid w:val="00574147"/>
    <w:rsid w:val="00574582"/>
    <w:rsid w:val="0057467A"/>
    <w:rsid w:val="0057467B"/>
    <w:rsid w:val="005750C5"/>
    <w:rsid w:val="005752DE"/>
    <w:rsid w:val="00575AC7"/>
    <w:rsid w:val="00575D60"/>
    <w:rsid w:val="00575D8D"/>
    <w:rsid w:val="005765C5"/>
    <w:rsid w:val="005768F2"/>
    <w:rsid w:val="00576972"/>
    <w:rsid w:val="005769B6"/>
    <w:rsid w:val="00576E82"/>
    <w:rsid w:val="00577247"/>
    <w:rsid w:val="00577248"/>
    <w:rsid w:val="00577730"/>
    <w:rsid w:val="00577790"/>
    <w:rsid w:val="00577887"/>
    <w:rsid w:val="00577AA9"/>
    <w:rsid w:val="00577EB6"/>
    <w:rsid w:val="0058088F"/>
    <w:rsid w:val="0058121A"/>
    <w:rsid w:val="00581584"/>
    <w:rsid w:val="00581AF4"/>
    <w:rsid w:val="00581DA1"/>
    <w:rsid w:val="0058240E"/>
    <w:rsid w:val="00582B6D"/>
    <w:rsid w:val="00582BE0"/>
    <w:rsid w:val="00582E6A"/>
    <w:rsid w:val="00582F27"/>
    <w:rsid w:val="00583003"/>
    <w:rsid w:val="00583699"/>
    <w:rsid w:val="0058381E"/>
    <w:rsid w:val="00584384"/>
    <w:rsid w:val="00584721"/>
    <w:rsid w:val="00584957"/>
    <w:rsid w:val="00584B4F"/>
    <w:rsid w:val="00584CC5"/>
    <w:rsid w:val="00585CDD"/>
    <w:rsid w:val="00586411"/>
    <w:rsid w:val="00586E3A"/>
    <w:rsid w:val="00587058"/>
    <w:rsid w:val="005873FA"/>
    <w:rsid w:val="00587690"/>
    <w:rsid w:val="00587B29"/>
    <w:rsid w:val="00587C83"/>
    <w:rsid w:val="005903A3"/>
    <w:rsid w:val="00590858"/>
    <w:rsid w:val="00590A85"/>
    <w:rsid w:val="00590E87"/>
    <w:rsid w:val="00590EAB"/>
    <w:rsid w:val="005910F6"/>
    <w:rsid w:val="005912E4"/>
    <w:rsid w:val="00591957"/>
    <w:rsid w:val="00591BA6"/>
    <w:rsid w:val="00591D4B"/>
    <w:rsid w:val="0059204A"/>
    <w:rsid w:val="00592364"/>
    <w:rsid w:val="00592733"/>
    <w:rsid w:val="00593684"/>
    <w:rsid w:val="00593E8B"/>
    <w:rsid w:val="00593F44"/>
    <w:rsid w:val="00594848"/>
    <w:rsid w:val="00594B86"/>
    <w:rsid w:val="00594D6C"/>
    <w:rsid w:val="00595047"/>
    <w:rsid w:val="005952D1"/>
    <w:rsid w:val="00595783"/>
    <w:rsid w:val="005958A7"/>
    <w:rsid w:val="00595BBE"/>
    <w:rsid w:val="0059643E"/>
    <w:rsid w:val="00596599"/>
    <w:rsid w:val="00596864"/>
    <w:rsid w:val="00597BF9"/>
    <w:rsid w:val="00597E27"/>
    <w:rsid w:val="00597FBE"/>
    <w:rsid w:val="005A0221"/>
    <w:rsid w:val="005A06ED"/>
    <w:rsid w:val="005A0C11"/>
    <w:rsid w:val="005A161D"/>
    <w:rsid w:val="005A170A"/>
    <w:rsid w:val="005A1F5C"/>
    <w:rsid w:val="005A2367"/>
    <w:rsid w:val="005A2579"/>
    <w:rsid w:val="005A2BBF"/>
    <w:rsid w:val="005A309A"/>
    <w:rsid w:val="005A371B"/>
    <w:rsid w:val="005A373D"/>
    <w:rsid w:val="005A3776"/>
    <w:rsid w:val="005A4943"/>
    <w:rsid w:val="005A63E5"/>
    <w:rsid w:val="005A6830"/>
    <w:rsid w:val="005A6D5A"/>
    <w:rsid w:val="005A7225"/>
    <w:rsid w:val="005A72E4"/>
    <w:rsid w:val="005A7639"/>
    <w:rsid w:val="005A785A"/>
    <w:rsid w:val="005A7CEC"/>
    <w:rsid w:val="005B0633"/>
    <w:rsid w:val="005B0A78"/>
    <w:rsid w:val="005B0B30"/>
    <w:rsid w:val="005B0B58"/>
    <w:rsid w:val="005B0F30"/>
    <w:rsid w:val="005B10E0"/>
    <w:rsid w:val="005B21D4"/>
    <w:rsid w:val="005B2264"/>
    <w:rsid w:val="005B246C"/>
    <w:rsid w:val="005B259D"/>
    <w:rsid w:val="005B2DF6"/>
    <w:rsid w:val="005B300D"/>
    <w:rsid w:val="005B3EE9"/>
    <w:rsid w:val="005B4267"/>
    <w:rsid w:val="005B4D2F"/>
    <w:rsid w:val="005B4D48"/>
    <w:rsid w:val="005B4D63"/>
    <w:rsid w:val="005B4E53"/>
    <w:rsid w:val="005B53FB"/>
    <w:rsid w:val="005B5666"/>
    <w:rsid w:val="005B5702"/>
    <w:rsid w:val="005B5732"/>
    <w:rsid w:val="005B5857"/>
    <w:rsid w:val="005B5C32"/>
    <w:rsid w:val="005B5C55"/>
    <w:rsid w:val="005B60E0"/>
    <w:rsid w:val="005B6391"/>
    <w:rsid w:val="005B642E"/>
    <w:rsid w:val="005B6861"/>
    <w:rsid w:val="005B69C3"/>
    <w:rsid w:val="005B6B56"/>
    <w:rsid w:val="005B6BA3"/>
    <w:rsid w:val="005B723F"/>
    <w:rsid w:val="005B7E0B"/>
    <w:rsid w:val="005C078C"/>
    <w:rsid w:val="005C0B09"/>
    <w:rsid w:val="005C0F82"/>
    <w:rsid w:val="005C1418"/>
    <w:rsid w:val="005C182D"/>
    <w:rsid w:val="005C19C4"/>
    <w:rsid w:val="005C1B83"/>
    <w:rsid w:val="005C25FF"/>
    <w:rsid w:val="005C2D41"/>
    <w:rsid w:val="005C2D55"/>
    <w:rsid w:val="005C346B"/>
    <w:rsid w:val="005C3AA5"/>
    <w:rsid w:val="005C4695"/>
    <w:rsid w:val="005C47FC"/>
    <w:rsid w:val="005C511F"/>
    <w:rsid w:val="005C5ABC"/>
    <w:rsid w:val="005C6482"/>
    <w:rsid w:val="005C7174"/>
    <w:rsid w:val="005C7EC8"/>
    <w:rsid w:val="005D01DF"/>
    <w:rsid w:val="005D044D"/>
    <w:rsid w:val="005D0ABD"/>
    <w:rsid w:val="005D0ECE"/>
    <w:rsid w:val="005D14BA"/>
    <w:rsid w:val="005D1556"/>
    <w:rsid w:val="005D15F6"/>
    <w:rsid w:val="005D1883"/>
    <w:rsid w:val="005D18AD"/>
    <w:rsid w:val="005D1D78"/>
    <w:rsid w:val="005D26B4"/>
    <w:rsid w:val="005D2F3F"/>
    <w:rsid w:val="005D2FE5"/>
    <w:rsid w:val="005D4813"/>
    <w:rsid w:val="005D4921"/>
    <w:rsid w:val="005D51BF"/>
    <w:rsid w:val="005D5411"/>
    <w:rsid w:val="005D565F"/>
    <w:rsid w:val="005D594D"/>
    <w:rsid w:val="005D5F5C"/>
    <w:rsid w:val="005D66CA"/>
    <w:rsid w:val="005D679D"/>
    <w:rsid w:val="005D684B"/>
    <w:rsid w:val="005D6893"/>
    <w:rsid w:val="005D6C24"/>
    <w:rsid w:val="005D713E"/>
    <w:rsid w:val="005D7618"/>
    <w:rsid w:val="005D7D19"/>
    <w:rsid w:val="005E0856"/>
    <w:rsid w:val="005E0BA1"/>
    <w:rsid w:val="005E1032"/>
    <w:rsid w:val="005E129B"/>
    <w:rsid w:val="005E1504"/>
    <w:rsid w:val="005E1995"/>
    <w:rsid w:val="005E1DE9"/>
    <w:rsid w:val="005E22CB"/>
    <w:rsid w:val="005E2E06"/>
    <w:rsid w:val="005E33D3"/>
    <w:rsid w:val="005E34AB"/>
    <w:rsid w:val="005E3E40"/>
    <w:rsid w:val="005E43E1"/>
    <w:rsid w:val="005E4E1C"/>
    <w:rsid w:val="005E505A"/>
    <w:rsid w:val="005E5FF8"/>
    <w:rsid w:val="005E6CBC"/>
    <w:rsid w:val="005E72FF"/>
    <w:rsid w:val="005E73C0"/>
    <w:rsid w:val="005E7A80"/>
    <w:rsid w:val="005F0559"/>
    <w:rsid w:val="005F06EE"/>
    <w:rsid w:val="005F07ED"/>
    <w:rsid w:val="005F08D5"/>
    <w:rsid w:val="005F0D77"/>
    <w:rsid w:val="005F0F17"/>
    <w:rsid w:val="005F1BCB"/>
    <w:rsid w:val="005F1F7D"/>
    <w:rsid w:val="005F23E9"/>
    <w:rsid w:val="005F2706"/>
    <w:rsid w:val="005F287B"/>
    <w:rsid w:val="005F2B9D"/>
    <w:rsid w:val="005F3288"/>
    <w:rsid w:val="005F33B3"/>
    <w:rsid w:val="005F3806"/>
    <w:rsid w:val="005F481A"/>
    <w:rsid w:val="005F4FD5"/>
    <w:rsid w:val="005F53E9"/>
    <w:rsid w:val="005F5755"/>
    <w:rsid w:val="005F59D5"/>
    <w:rsid w:val="005F5A1A"/>
    <w:rsid w:val="005F5F4E"/>
    <w:rsid w:val="005F6A8F"/>
    <w:rsid w:val="005F6BB7"/>
    <w:rsid w:val="005F713F"/>
    <w:rsid w:val="005F7588"/>
    <w:rsid w:val="005F7918"/>
    <w:rsid w:val="00600091"/>
    <w:rsid w:val="00600253"/>
    <w:rsid w:val="006002F8"/>
    <w:rsid w:val="00600407"/>
    <w:rsid w:val="006008CB"/>
    <w:rsid w:val="00600EC1"/>
    <w:rsid w:val="0060125A"/>
    <w:rsid w:val="00601DB0"/>
    <w:rsid w:val="00602BE7"/>
    <w:rsid w:val="00602DCD"/>
    <w:rsid w:val="00603855"/>
    <w:rsid w:val="00603C67"/>
    <w:rsid w:val="00603DB9"/>
    <w:rsid w:val="00604162"/>
    <w:rsid w:val="006044C6"/>
    <w:rsid w:val="00604961"/>
    <w:rsid w:val="00604C2B"/>
    <w:rsid w:val="006059E0"/>
    <w:rsid w:val="00606D01"/>
    <w:rsid w:val="00606D07"/>
    <w:rsid w:val="00606FBA"/>
    <w:rsid w:val="0060724B"/>
    <w:rsid w:val="00607440"/>
    <w:rsid w:val="00607669"/>
    <w:rsid w:val="006076F4"/>
    <w:rsid w:val="00607AFD"/>
    <w:rsid w:val="00607D39"/>
    <w:rsid w:val="00607D74"/>
    <w:rsid w:val="00607ED2"/>
    <w:rsid w:val="00610044"/>
    <w:rsid w:val="00610ABE"/>
    <w:rsid w:val="00610DCD"/>
    <w:rsid w:val="006116DF"/>
    <w:rsid w:val="00611B12"/>
    <w:rsid w:val="00611E4F"/>
    <w:rsid w:val="00611FD0"/>
    <w:rsid w:val="006126A3"/>
    <w:rsid w:val="00612931"/>
    <w:rsid w:val="00612A27"/>
    <w:rsid w:val="00612F97"/>
    <w:rsid w:val="00613122"/>
    <w:rsid w:val="0061342D"/>
    <w:rsid w:val="0061345D"/>
    <w:rsid w:val="00613CA0"/>
    <w:rsid w:val="00613E7B"/>
    <w:rsid w:val="00613EB2"/>
    <w:rsid w:val="00614625"/>
    <w:rsid w:val="00614A5B"/>
    <w:rsid w:val="00614ECF"/>
    <w:rsid w:val="0061549B"/>
    <w:rsid w:val="0061561B"/>
    <w:rsid w:val="00615B0E"/>
    <w:rsid w:val="00615CCB"/>
    <w:rsid w:val="00615EC8"/>
    <w:rsid w:val="006162E9"/>
    <w:rsid w:val="00616802"/>
    <w:rsid w:val="00616E7D"/>
    <w:rsid w:val="00617492"/>
    <w:rsid w:val="00617E12"/>
    <w:rsid w:val="006203E5"/>
    <w:rsid w:val="00620A01"/>
    <w:rsid w:val="00620C25"/>
    <w:rsid w:val="00621477"/>
    <w:rsid w:val="006218CA"/>
    <w:rsid w:val="00621973"/>
    <w:rsid w:val="00621ADA"/>
    <w:rsid w:val="00621E16"/>
    <w:rsid w:val="00621F52"/>
    <w:rsid w:val="006220EE"/>
    <w:rsid w:val="006224D4"/>
    <w:rsid w:val="006229A6"/>
    <w:rsid w:val="00622EE8"/>
    <w:rsid w:val="006232F2"/>
    <w:rsid w:val="00623F7B"/>
    <w:rsid w:val="006241E9"/>
    <w:rsid w:val="0062492A"/>
    <w:rsid w:val="00624B21"/>
    <w:rsid w:val="00624BD4"/>
    <w:rsid w:val="00624F3E"/>
    <w:rsid w:val="0062531F"/>
    <w:rsid w:val="0062543E"/>
    <w:rsid w:val="00625581"/>
    <w:rsid w:val="00625A5A"/>
    <w:rsid w:val="00625CC3"/>
    <w:rsid w:val="00626678"/>
    <w:rsid w:val="00626862"/>
    <w:rsid w:val="00626CE1"/>
    <w:rsid w:val="00627492"/>
    <w:rsid w:val="00627F1C"/>
    <w:rsid w:val="00630AC1"/>
    <w:rsid w:val="00630C31"/>
    <w:rsid w:val="00631146"/>
    <w:rsid w:val="0063158F"/>
    <w:rsid w:val="00631C7A"/>
    <w:rsid w:val="00631D6B"/>
    <w:rsid w:val="00632183"/>
    <w:rsid w:val="00632199"/>
    <w:rsid w:val="006329BB"/>
    <w:rsid w:val="006330A1"/>
    <w:rsid w:val="00633521"/>
    <w:rsid w:val="00633DA3"/>
    <w:rsid w:val="006341B9"/>
    <w:rsid w:val="006341C7"/>
    <w:rsid w:val="0063479F"/>
    <w:rsid w:val="00634E17"/>
    <w:rsid w:val="006353F0"/>
    <w:rsid w:val="00635421"/>
    <w:rsid w:val="006354F5"/>
    <w:rsid w:val="00635723"/>
    <w:rsid w:val="006357B5"/>
    <w:rsid w:val="00636043"/>
    <w:rsid w:val="006362AB"/>
    <w:rsid w:val="006364A1"/>
    <w:rsid w:val="0063678E"/>
    <w:rsid w:val="00637331"/>
    <w:rsid w:val="0063751C"/>
    <w:rsid w:val="00637696"/>
    <w:rsid w:val="00637B46"/>
    <w:rsid w:val="00637BFD"/>
    <w:rsid w:val="00637C02"/>
    <w:rsid w:val="00637C5C"/>
    <w:rsid w:val="00637F0B"/>
    <w:rsid w:val="0064041A"/>
    <w:rsid w:val="0064093F"/>
    <w:rsid w:val="006413AA"/>
    <w:rsid w:val="0064195E"/>
    <w:rsid w:val="00641C4E"/>
    <w:rsid w:val="00641FB3"/>
    <w:rsid w:val="00641FC7"/>
    <w:rsid w:val="0064265A"/>
    <w:rsid w:val="00643731"/>
    <w:rsid w:val="00643CAC"/>
    <w:rsid w:val="0064416C"/>
    <w:rsid w:val="0064434C"/>
    <w:rsid w:val="00644463"/>
    <w:rsid w:val="00644BEB"/>
    <w:rsid w:val="00644F9B"/>
    <w:rsid w:val="006453C6"/>
    <w:rsid w:val="00645591"/>
    <w:rsid w:val="00645676"/>
    <w:rsid w:val="00645740"/>
    <w:rsid w:val="00645743"/>
    <w:rsid w:val="00645BB2"/>
    <w:rsid w:val="00645C91"/>
    <w:rsid w:val="00645DF5"/>
    <w:rsid w:val="00646000"/>
    <w:rsid w:val="00646412"/>
    <w:rsid w:val="00646562"/>
    <w:rsid w:val="00646B0D"/>
    <w:rsid w:val="006470AA"/>
    <w:rsid w:val="006471CC"/>
    <w:rsid w:val="006472FE"/>
    <w:rsid w:val="00647A29"/>
    <w:rsid w:val="0065079F"/>
    <w:rsid w:val="0065080E"/>
    <w:rsid w:val="006508B8"/>
    <w:rsid w:val="00651189"/>
    <w:rsid w:val="00651357"/>
    <w:rsid w:val="00651CEB"/>
    <w:rsid w:val="00652509"/>
    <w:rsid w:val="006526D5"/>
    <w:rsid w:val="00652A28"/>
    <w:rsid w:val="00652F2D"/>
    <w:rsid w:val="00653094"/>
    <w:rsid w:val="006532F7"/>
    <w:rsid w:val="0065379F"/>
    <w:rsid w:val="0065397E"/>
    <w:rsid w:val="006543A1"/>
    <w:rsid w:val="00654412"/>
    <w:rsid w:val="0065448C"/>
    <w:rsid w:val="00654703"/>
    <w:rsid w:val="00654F47"/>
    <w:rsid w:val="00655481"/>
    <w:rsid w:val="00655F3D"/>
    <w:rsid w:val="006560FA"/>
    <w:rsid w:val="00656188"/>
    <w:rsid w:val="00656CBE"/>
    <w:rsid w:val="00656ED0"/>
    <w:rsid w:val="00656ED5"/>
    <w:rsid w:val="0065715A"/>
    <w:rsid w:val="00657688"/>
    <w:rsid w:val="00657811"/>
    <w:rsid w:val="0065799B"/>
    <w:rsid w:val="00657D45"/>
    <w:rsid w:val="006606E7"/>
    <w:rsid w:val="006607C1"/>
    <w:rsid w:val="00660902"/>
    <w:rsid w:val="00660A00"/>
    <w:rsid w:val="006610F1"/>
    <w:rsid w:val="006611B5"/>
    <w:rsid w:val="0066140D"/>
    <w:rsid w:val="00661557"/>
    <w:rsid w:val="00661C6B"/>
    <w:rsid w:val="0066227B"/>
    <w:rsid w:val="00662680"/>
    <w:rsid w:val="00662D3E"/>
    <w:rsid w:val="006637A5"/>
    <w:rsid w:val="00664985"/>
    <w:rsid w:val="00664C03"/>
    <w:rsid w:val="00664DF7"/>
    <w:rsid w:val="00665015"/>
    <w:rsid w:val="006652C5"/>
    <w:rsid w:val="00665A7F"/>
    <w:rsid w:val="00665B4C"/>
    <w:rsid w:val="00665FE8"/>
    <w:rsid w:val="006662A5"/>
    <w:rsid w:val="006667D1"/>
    <w:rsid w:val="00666F01"/>
    <w:rsid w:val="0066723A"/>
    <w:rsid w:val="0066727E"/>
    <w:rsid w:val="00667BE3"/>
    <w:rsid w:val="00667FCF"/>
    <w:rsid w:val="00667FDB"/>
    <w:rsid w:val="00670815"/>
    <w:rsid w:val="00670BCF"/>
    <w:rsid w:val="00671004"/>
    <w:rsid w:val="00671731"/>
    <w:rsid w:val="00671BCD"/>
    <w:rsid w:val="0067231C"/>
    <w:rsid w:val="00672534"/>
    <w:rsid w:val="00672646"/>
    <w:rsid w:val="00672744"/>
    <w:rsid w:val="00672A8E"/>
    <w:rsid w:val="00673115"/>
    <w:rsid w:val="0067371F"/>
    <w:rsid w:val="00674093"/>
    <w:rsid w:val="00674235"/>
    <w:rsid w:val="00674B29"/>
    <w:rsid w:val="00674E42"/>
    <w:rsid w:val="0067519D"/>
    <w:rsid w:val="00675963"/>
    <w:rsid w:val="006763F0"/>
    <w:rsid w:val="00676563"/>
    <w:rsid w:val="00677019"/>
    <w:rsid w:val="0067781C"/>
    <w:rsid w:val="00677883"/>
    <w:rsid w:val="00677A52"/>
    <w:rsid w:val="00677B75"/>
    <w:rsid w:val="00677E79"/>
    <w:rsid w:val="00677F92"/>
    <w:rsid w:val="00677FD0"/>
    <w:rsid w:val="00680312"/>
    <w:rsid w:val="006813F8"/>
    <w:rsid w:val="00681D5A"/>
    <w:rsid w:val="006820D9"/>
    <w:rsid w:val="00682112"/>
    <w:rsid w:val="00682168"/>
    <w:rsid w:val="006823B6"/>
    <w:rsid w:val="0068257D"/>
    <w:rsid w:val="00682BA6"/>
    <w:rsid w:val="00682BA8"/>
    <w:rsid w:val="00683CB3"/>
    <w:rsid w:val="00683D75"/>
    <w:rsid w:val="006840B6"/>
    <w:rsid w:val="0068461F"/>
    <w:rsid w:val="006853BD"/>
    <w:rsid w:val="00685E59"/>
    <w:rsid w:val="006862A6"/>
    <w:rsid w:val="0068680F"/>
    <w:rsid w:val="00686857"/>
    <w:rsid w:val="00686957"/>
    <w:rsid w:val="00686C2A"/>
    <w:rsid w:val="0068703A"/>
    <w:rsid w:val="006871EB"/>
    <w:rsid w:val="006872BA"/>
    <w:rsid w:val="0068763D"/>
    <w:rsid w:val="006878C2"/>
    <w:rsid w:val="00687EB7"/>
    <w:rsid w:val="0069067C"/>
    <w:rsid w:val="00690795"/>
    <w:rsid w:val="006908BB"/>
    <w:rsid w:val="00690B74"/>
    <w:rsid w:val="00690F9F"/>
    <w:rsid w:val="006910C1"/>
    <w:rsid w:val="0069127E"/>
    <w:rsid w:val="00691317"/>
    <w:rsid w:val="00691648"/>
    <w:rsid w:val="006917D7"/>
    <w:rsid w:val="00691C52"/>
    <w:rsid w:val="00692621"/>
    <w:rsid w:val="00692D29"/>
    <w:rsid w:val="006934E0"/>
    <w:rsid w:val="0069409A"/>
    <w:rsid w:val="0069434C"/>
    <w:rsid w:val="00694A05"/>
    <w:rsid w:val="00694ABB"/>
    <w:rsid w:val="00694F44"/>
    <w:rsid w:val="00694FBF"/>
    <w:rsid w:val="00695930"/>
    <w:rsid w:val="00695C86"/>
    <w:rsid w:val="00695DAA"/>
    <w:rsid w:val="00696157"/>
    <w:rsid w:val="00696519"/>
    <w:rsid w:val="00696586"/>
    <w:rsid w:val="00696B6C"/>
    <w:rsid w:val="00696EF9"/>
    <w:rsid w:val="00696F51"/>
    <w:rsid w:val="006974FB"/>
    <w:rsid w:val="006979A5"/>
    <w:rsid w:val="00697A75"/>
    <w:rsid w:val="00697CA0"/>
    <w:rsid w:val="00697DCF"/>
    <w:rsid w:val="00697E09"/>
    <w:rsid w:val="006A016F"/>
    <w:rsid w:val="006A0798"/>
    <w:rsid w:val="006A0DF7"/>
    <w:rsid w:val="006A0E07"/>
    <w:rsid w:val="006A0F94"/>
    <w:rsid w:val="006A0FE1"/>
    <w:rsid w:val="006A2169"/>
    <w:rsid w:val="006A2215"/>
    <w:rsid w:val="006A2678"/>
    <w:rsid w:val="006A28D0"/>
    <w:rsid w:val="006A36BA"/>
    <w:rsid w:val="006A376F"/>
    <w:rsid w:val="006A38CE"/>
    <w:rsid w:val="006A3DA3"/>
    <w:rsid w:val="006A42D7"/>
    <w:rsid w:val="006A4321"/>
    <w:rsid w:val="006A43D9"/>
    <w:rsid w:val="006A4668"/>
    <w:rsid w:val="006A48BF"/>
    <w:rsid w:val="006A568B"/>
    <w:rsid w:val="006A574D"/>
    <w:rsid w:val="006A5852"/>
    <w:rsid w:val="006A5A5D"/>
    <w:rsid w:val="006A5E60"/>
    <w:rsid w:val="006A604C"/>
    <w:rsid w:val="006A67A5"/>
    <w:rsid w:val="006A6875"/>
    <w:rsid w:val="006A6AB1"/>
    <w:rsid w:val="006A6B99"/>
    <w:rsid w:val="006A70D3"/>
    <w:rsid w:val="006A7632"/>
    <w:rsid w:val="006A7DC4"/>
    <w:rsid w:val="006A7E5F"/>
    <w:rsid w:val="006B06DE"/>
    <w:rsid w:val="006B0B93"/>
    <w:rsid w:val="006B0ED1"/>
    <w:rsid w:val="006B11B8"/>
    <w:rsid w:val="006B1A76"/>
    <w:rsid w:val="006B1C5E"/>
    <w:rsid w:val="006B1C77"/>
    <w:rsid w:val="006B214A"/>
    <w:rsid w:val="006B261B"/>
    <w:rsid w:val="006B2B63"/>
    <w:rsid w:val="006B2C90"/>
    <w:rsid w:val="006B2F86"/>
    <w:rsid w:val="006B35E6"/>
    <w:rsid w:val="006B3892"/>
    <w:rsid w:val="006B39B0"/>
    <w:rsid w:val="006B3C0A"/>
    <w:rsid w:val="006B4452"/>
    <w:rsid w:val="006B465A"/>
    <w:rsid w:val="006B46BE"/>
    <w:rsid w:val="006B523A"/>
    <w:rsid w:val="006B5CF9"/>
    <w:rsid w:val="006B62FB"/>
    <w:rsid w:val="006B668B"/>
    <w:rsid w:val="006B6DD0"/>
    <w:rsid w:val="006B6E28"/>
    <w:rsid w:val="006B72B8"/>
    <w:rsid w:val="006B7AB9"/>
    <w:rsid w:val="006B7F83"/>
    <w:rsid w:val="006B7FA7"/>
    <w:rsid w:val="006C0399"/>
    <w:rsid w:val="006C08DA"/>
    <w:rsid w:val="006C0AFA"/>
    <w:rsid w:val="006C0B01"/>
    <w:rsid w:val="006C0CFE"/>
    <w:rsid w:val="006C0D04"/>
    <w:rsid w:val="006C14AE"/>
    <w:rsid w:val="006C1E01"/>
    <w:rsid w:val="006C2798"/>
    <w:rsid w:val="006C2945"/>
    <w:rsid w:val="006C2A8E"/>
    <w:rsid w:val="006C2D9D"/>
    <w:rsid w:val="006C3255"/>
    <w:rsid w:val="006C3336"/>
    <w:rsid w:val="006C3644"/>
    <w:rsid w:val="006C39CA"/>
    <w:rsid w:val="006C3F26"/>
    <w:rsid w:val="006C3F92"/>
    <w:rsid w:val="006C45B4"/>
    <w:rsid w:val="006C45F5"/>
    <w:rsid w:val="006C5030"/>
    <w:rsid w:val="006C5349"/>
    <w:rsid w:val="006C53D9"/>
    <w:rsid w:val="006C56A9"/>
    <w:rsid w:val="006C5F71"/>
    <w:rsid w:val="006C6631"/>
    <w:rsid w:val="006C7920"/>
    <w:rsid w:val="006D00B7"/>
    <w:rsid w:val="006D00E1"/>
    <w:rsid w:val="006D04AF"/>
    <w:rsid w:val="006D0BC5"/>
    <w:rsid w:val="006D0BDA"/>
    <w:rsid w:val="006D0D17"/>
    <w:rsid w:val="006D1093"/>
    <w:rsid w:val="006D18D1"/>
    <w:rsid w:val="006D20CC"/>
    <w:rsid w:val="006D2615"/>
    <w:rsid w:val="006D28A1"/>
    <w:rsid w:val="006D2FD5"/>
    <w:rsid w:val="006D30BD"/>
    <w:rsid w:val="006D3200"/>
    <w:rsid w:val="006D390A"/>
    <w:rsid w:val="006D3B0E"/>
    <w:rsid w:val="006D3C7D"/>
    <w:rsid w:val="006D44BB"/>
    <w:rsid w:val="006D4659"/>
    <w:rsid w:val="006D4CC4"/>
    <w:rsid w:val="006D501D"/>
    <w:rsid w:val="006D5323"/>
    <w:rsid w:val="006D5443"/>
    <w:rsid w:val="006D54EE"/>
    <w:rsid w:val="006D5AE3"/>
    <w:rsid w:val="006D5D5F"/>
    <w:rsid w:val="006D64A8"/>
    <w:rsid w:val="006D65E9"/>
    <w:rsid w:val="006D67C5"/>
    <w:rsid w:val="006D68FB"/>
    <w:rsid w:val="006D6EBB"/>
    <w:rsid w:val="006D7941"/>
    <w:rsid w:val="006D7954"/>
    <w:rsid w:val="006E038D"/>
    <w:rsid w:val="006E062B"/>
    <w:rsid w:val="006E0682"/>
    <w:rsid w:val="006E0FB6"/>
    <w:rsid w:val="006E11AC"/>
    <w:rsid w:val="006E1F5D"/>
    <w:rsid w:val="006E22E3"/>
    <w:rsid w:val="006E241C"/>
    <w:rsid w:val="006E27A4"/>
    <w:rsid w:val="006E2868"/>
    <w:rsid w:val="006E2A1E"/>
    <w:rsid w:val="006E2A9D"/>
    <w:rsid w:val="006E3375"/>
    <w:rsid w:val="006E3C6B"/>
    <w:rsid w:val="006E4040"/>
    <w:rsid w:val="006E4610"/>
    <w:rsid w:val="006E4E72"/>
    <w:rsid w:val="006E54C6"/>
    <w:rsid w:val="006E5DA5"/>
    <w:rsid w:val="006E60D6"/>
    <w:rsid w:val="006E6C10"/>
    <w:rsid w:val="006E6CE5"/>
    <w:rsid w:val="006E6FCA"/>
    <w:rsid w:val="006E71BF"/>
    <w:rsid w:val="006E79E7"/>
    <w:rsid w:val="006F0697"/>
    <w:rsid w:val="006F0A07"/>
    <w:rsid w:val="006F0A12"/>
    <w:rsid w:val="006F0D19"/>
    <w:rsid w:val="006F114B"/>
    <w:rsid w:val="006F1F35"/>
    <w:rsid w:val="006F2789"/>
    <w:rsid w:val="006F2C79"/>
    <w:rsid w:val="006F2D13"/>
    <w:rsid w:val="006F2D5A"/>
    <w:rsid w:val="006F2DA8"/>
    <w:rsid w:val="006F306C"/>
    <w:rsid w:val="006F3759"/>
    <w:rsid w:val="006F413E"/>
    <w:rsid w:val="006F5245"/>
    <w:rsid w:val="006F57C3"/>
    <w:rsid w:val="006F5EF0"/>
    <w:rsid w:val="006F63A5"/>
    <w:rsid w:val="006F6A65"/>
    <w:rsid w:val="006F6E74"/>
    <w:rsid w:val="006F6F3B"/>
    <w:rsid w:val="006F7A38"/>
    <w:rsid w:val="00700086"/>
    <w:rsid w:val="007003BD"/>
    <w:rsid w:val="00700E64"/>
    <w:rsid w:val="00700EE5"/>
    <w:rsid w:val="0070142B"/>
    <w:rsid w:val="0070276E"/>
    <w:rsid w:val="00702BE2"/>
    <w:rsid w:val="00702C20"/>
    <w:rsid w:val="00702E20"/>
    <w:rsid w:val="00702F8F"/>
    <w:rsid w:val="0070319A"/>
    <w:rsid w:val="007032FC"/>
    <w:rsid w:val="007035C2"/>
    <w:rsid w:val="00704689"/>
    <w:rsid w:val="00704759"/>
    <w:rsid w:val="00704A6F"/>
    <w:rsid w:val="00704ABB"/>
    <w:rsid w:val="00705712"/>
    <w:rsid w:val="00705E33"/>
    <w:rsid w:val="00705EB0"/>
    <w:rsid w:val="00705EEE"/>
    <w:rsid w:val="0070622F"/>
    <w:rsid w:val="007065B6"/>
    <w:rsid w:val="00706CBE"/>
    <w:rsid w:val="00706FAD"/>
    <w:rsid w:val="0070711C"/>
    <w:rsid w:val="007073E4"/>
    <w:rsid w:val="0070786A"/>
    <w:rsid w:val="007079FC"/>
    <w:rsid w:val="00707BF6"/>
    <w:rsid w:val="007102F6"/>
    <w:rsid w:val="007105C1"/>
    <w:rsid w:val="007115AB"/>
    <w:rsid w:val="00711A36"/>
    <w:rsid w:val="00711B04"/>
    <w:rsid w:val="007123AF"/>
    <w:rsid w:val="007123ED"/>
    <w:rsid w:val="007124A8"/>
    <w:rsid w:val="0071256C"/>
    <w:rsid w:val="007125D3"/>
    <w:rsid w:val="00713DFF"/>
    <w:rsid w:val="00714655"/>
    <w:rsid w:val="00714658"/>
    <w:rsid w:val="0071467E"/>
    <w:rsid w:val="00714C26"/>
    <w:rsid w:val="007150BB"/>
    <w:rsid w:val="00715151"/>
    <w:rsid w:val="0071529C"/>
    <w:rsid w:val="00716634"/>
    <w:rsid w:val="007169CE"/>
    <w:rsid w:val="00716B75"/>
    <w:rsid w:val="007170DA"/>
    <w:rsid w:val="007171E9"/>
    <w:rsid w:val="007172AD"/>
    <w:rsid w:val="00717546"/>
    <w:rsid w:val="00717830"/>
    <w:rsid w:val="00717B18"/>
    <w:rsid w:val="00717D4E"/>
    <w:rsid w:val="00720801"/>
    <w:rsid w:val="00720B1D"/>
    <w:rsid w:val="00720CB4"/>
    <w:rsid w:val="007211CC"/>
    <w:rsid w:val="0072173F"/>
    <w:rsid w:val="00721A1F"/>
    <w:rsid w:val="00722958"/>
    <w:rsid w:val="00722B1B"/>
    <w:rsid w:val="00723496"/>
    <w:rsid w:val="007234CC"/>
    <w:rsid w:val="0072416F"/>
    <w:rsid w:val="007242EE"/>
    <w:rsid w:val="00724776"/>
    <w:rsid w:val="00724784"/>
    <w:rsid w:val="007248DA"/>
    <w:rsid w:val="00724BB1"/>
    <w:rsid w:val="00725154"/>
    <w:rsid w:val="00725265"/>
    <w:rsid w:val="0072557A"/>
    <w:rsid w:val="0072578E"/>
    <w:rsid w:val="007257AA"/>
    <w:rsid w:val="0072628A"/>
    <w:rsid w:val="007273E4"/>
    <w:rsid w:val="00727C94"/>
    <w:rsid w:val="00731250"/>
    <w:rsid w:val="00731B0A"/>
    <w:rsid w:val="00731EAE"/>
    <w:rsid w:val="007326AF"/>
    <w:rsid w:val="007329CE"/>
    <w:rsid w:val="00733073"/>
    <w:rsid w:val="00733844"/>
    <w:rsid w:val="007344B1"/>
    <w:rsid w:val="00734E02"/>
    <w:rsid w:val="00734F50"/>
    <w:rsid w:val="00735033"/>
    <w:rsid w:val="007350B5"/>
    <w:rsid w:val="00735172"/>
    <w:rsid w:val="00735328"/>
    <w:rsid w:val="00735507"/>
    <w:rsid w:val="0073586F"/>
    <w:rsid w:val="007358A2"/>
    <w:rsid w:val="007359F5"/>
    <w:rsid w:val="0073631D"/>
    <w:rsid w:val="0073685B"/>
    <w:rsid w:val="00736FAC"/>
    <w:rsid w:val="00737300"/>
    <w:rsid w:val="00737378"/>
    <w:rsid w:val="00737499"/>
    <w:rsid w:val="00737552"/>
    <w:rsid w:val="007379EA"/>
    <w:rsid w:val="0074098F"/>
    <w:rsid w:val="00741283"/>
    <w:rsid w:val="0074167C"/>
    <w:rsid w:val="007417E2"/>
    <w:rsid w:val="00741DAB"/>
    <w:rsid w:val="0074200D"/>
    <w:rsid w:val="0074221A"/>
    <w:rsid w:val="00742D8B"/>
    <w:rsid w:val="00743C81"/>
    <w:rsid w:val="007440A9"/>
    <w:rsid w:val="007449BF"/>
    <w:rsid w:val="00744C3E"/>
    <w:rsid w:val="007458C4"/>
    <w:rsid w:val="00746204"/>
    <w:rsid w:val="007463FE"/>
    <w:rsid w:val="00746BC0"/>
    <w:rsid w:val="00747978"/>
    <w:rsid w:val="007507FA"/>
    <w:rsid w:val="00750972"/>
    <w:rsid w:val="00750BAD"/>
    <w:rsid w:val="00750FAC"/>
    <w:rsid w:val="007510B4"/>
    <w:rsid w:val="00751117"/>
    <w:rsid w:val="00751A59"/>
    <w:rsid w:val="00751FF2"/>
    <w:rsid w:val="00752142"/>
    <w:rsid w:val="007522BA"/>
    <w:rsid w:val="007523F9"/>
    <w:rsid w:val="00752807"/>
    <w:rsid w:val="007529EE"/>
    <w:rsid w:val="00752FA9"/>
    <w:rsid w:val="0075357E"/>
    <w:rsid w:val="00753B29"/>
    <w:rsid w:val="00753B54"/>
    <w:rsid w:val="00753E03"/>
    <w:rsid w:val="007542F8"/>
    <w:rsid w:val="007544DB"/>
    <w:rsid w:val="007548C9"/>
    <w:rsid w:val="00754CEF"/>
    <w:rsid w:val="0075507F"/>
    <w:rsid w:val="00755553"/>
    <w:rsid w:val="00756683"/>
    <w:rsid w:val="0075695E"/>
    <w:rsid w:val="00756DAD"/>
    <w:rsid w:val="00756FB4"/>
    <w:rsid w:val="007573E8"/>
    <w:rsid w:val="007577A5"/>
    <w:rsid w:val="0075793E"/>
    <w:rsid w:val="007579FB"/>
    <w:rsid w:val="007600B2"/>
    <w:rsid w:val="007605F7"/>
    <w:rsid w:val="007606D9"/>
    <w:rsid w:val="00760AD7"/>
    <w:rsid w:val="00760C4E"/>
    <w:rsid w:val="00760E9B"/>
    <w:rsid w:val="00760F9E"/>
    <w:rsid w:val="007614A7"/>
    <w:rsid w:val="007614EB"/>
    <w:rsid w:val="00761512"/>
    <w:rsid w:val="007616E6"/>
    <w:rsid w:val="00761FCA"/>
    <w:rsid w:val="007622E3"/>
    <w:rsid w:val="00762632"/>
    <w:rsid w:val="007627BE"/>
    <w:rsid w:val="00762ADD"/>
    <w:rsid w:val="007633EB"/>
    <w:rsid w:val="0076365A"/>
    <w:rsid w:val="007638E7"/>
    <w:rsid w:val="00763DEC"/>
    <w:rsid w:val="00763DFA"/>
    <w:rsid w:val="00764381"/>
    <w:rsid w:val="00764411"/>
    <w:rsid w:val="007646CA"/>
    <w:rsid w:val="00764796"/>
    <w:rsid w:val="0076492B"/>
    <w:rsid w:val="00764D7E"/>
    <w:rsid w:val="00764F03"/>
    <w:rsid w:val="007650B4"/>
    <w:rsid w:val="007654B0"/>
    <w:rsid w:val="00765502"/>
    <w:rsid w:val="00765B1A"/>
    <w:rsid w:val="00765B59"/>
    <w:rsid w:val="00765DC1"/>
    <w:rsid w:val="00765F6A"/>
    <w:rsid w:val="00766011"/>
    <w:rsid w:val="00766259"/>
    <w:rsid w:val="007667F5"/>
    <w:rsid w:val="00766ED4"/>
    <w:rsid w:val="00767A7D"/>
    <w:rsid w:val="00767CD6"/>
    <w:rsid w:val="00767E0C"/>
    <w:rsid w:val="0077036D"/>
    <w:rsid w:val="007705BE"/>
    <w:rsid w:val="007706E4"/>
    <w:rsid w:val="00770899"/>
    <w:rsid w:val="00770F9B"/>
    <w:rsid w:val="00770FD2"/>
    <w:rsid w:val="0077120B"/>
    <w:rsid w:val="00772943"/>
    <w:rsid w:val="0077340C"/>
    <w:rsid w:val="007742F1"/>
    <w:rsid w:val="00774CC0"/>
    <w:rsid w:val="007750B8"/>
    <w:rsid w:val="007750FF"/>
    <w:rsid w:val="007751AC"/>
    <w:rsid w:val="00775BF9"/>
    <w:rsid w:val="00777335"/>
    <w:rsid w:val="00777476"/>
    <w:rsid w:val="00777659"/>
    <w:rsid w:val="007802B6"/>
    <w:rsid w:val="0078058B"/>
    <w:rsid w:val="007805D8"/>
    <w:rsid w:val="00780DB6"/>
    <w:rsid w:val="00781B25"/>
    <w:rsid w:val="00781B3F"/>
    <w:rsid w:val="00782DD2"/>
    <w:rsid w:val="007839A5"/>
    <w:rsid w:val="007843F2"/>
    <w:rsid w:val="007844FF"/>
    <w:rsid w:val="007846FA"/>
    <w:rsid w:val="007850C6"/>
    <w:rsid w:val="007852F8"/>
    <w:rsid w:val="00785355"/>
    <w:rsid w:val="00785A9F"/>
    <w:rsid w:val="00786390"/>
    <w:rsid w:val="007863F7"/>
    <w:rsid w:val="007864DF"/>
    <w:rsid w:val="00786E8C"/>
    <w:rsid w:val="0078713E"/>
    <w:rsid w:val="00787993"/>
    <w:rsid w:val="00790018"/>
    <w:rsid w:val="0079011E"/>
    <w:rsid w:val="00790BD3"/>
    <w:rsid w:val="00790D84"/>
    <w:rsid w:val="00790E4C"/>
    <w:rsid w:val="0079120B"/>
    <w:rsid w:val="007912FC"/>
    <w:rsid w:val="00791B0F"/>
    <w:rsid w:val="00791D10"/>
    <w:rsid w:val="00791D63"/>
    <w:rsid w:val="007925DF"/>
    <w:rsid w:val="007929AD"/>
    <w:rsid w:val="00792BB8"/>
    <w:rsid w:val="00792FFE"/>
    <w:rsid w:val="007932F5"/>
    <w:rsid w:val="007935CB"/>
    <w:rsid w:val="0079361E"/>
    <w:rsid w:val="00794924"/>
    <w:rsid w:val="00794976"/>
    <w:rsid w:val="00794B1E"/>
    <w:rsid w:val="00794CCC"/>
    <w:rsid w:val="00795885"/>
    <w:rsid w:val="00795AC0"/>
    <w:rsid w:val="00795E2D"/>
    <w:rsid w:val="007966EE"/>
    <w:rsid w:val="00796B40"/>
    <w:rsid w:val="00796CE1"/>
    <w:rsid w:val="00797307"/>
    <w:rsid w:val="00797F33"/>
    <w:rsid w:val="00797FA4"/>
    <w:rsid w:val="007A03FF"/>
    <w:rsid w:val="007A061D"/>
    <w:rsid w:val="007A0710"/>
    <w:rsid w:val="007A0759"/>
    <w:rsid w:val="007A08AA"/>
    <w:rsid w:val="007A09EB"/>
    <w:rsid w:val="007A0A12"/>
    <w:rsid w:val="007A132D"/>
    <w:rsid w:val="007A1345"/>
    <w:rsid w:val="007A1542"/>
    <w:rsid w:val="007A18BD"/>
    <w:rsid w:val="007A1A7D"/>
    <w:rsid w:val="007A21D8"/>
    <w:rsid w:val="007A2758"/>
    <w:rsid w:val="007A27AF"/>
    <w:rsid w:val="007A2A12"/>
    <w:rsid w:val="007A2DDB"/>
    <w:rsid w:val="007A30A7"/>
    <w:rsid w:val="007A3166"/>
    <w:rsid w:val="007A33AB"/>
    <w:rsid w:val="007A37D0"/>
    <w:rsid w:val="007A38D3"/>
    <w:rsid w:val="007A3E22"/>
    <w:rsid w:val="007A3F62"/>
    <w:rsid w:val="007A4539"/>
    <w:rsid w:val="007A45A4"/>
    <w:rsid w:val="007A4E78"/>
    <w:rsid w:val="007A5095"/>
    <w:rsid w:val="007A53F2"/>
    <w:rsid w:val="007A595B"/>
    <w:rsid w:val="007A6C97"/>
    <w:rsid w:val="007A6D92"/>
    <w:rsid w:val="007A705F"/>
    <w:rsid w:val="007A70BA"/>
    <w:rsid w:val="007A79FD"/>
    <w:rsid w:val="007A7CFB"/>
    <w:rsid w:val="007B04EE"/>
    <w:rsid w:val="007B057D"/>
    <w:rsid w:val="007B0C8D"/>
    <w:rsid w:val="007B0D68"/>
    <w:rsid w:val="007B1D0A"/>
    <w:rsid w:val="007B251D"/>
    <w:rsid w:val="007B26C6"/>
    <w:rsid w:val="007B2867"/>
    <w:rsid w:val="007B2B65"/>
    <w:rsid w:val="007B2BAE"/>
    <w:rsid w:val="007B2EBE"/>
    <w:rsid w:val="007B3335"/>
    <w:rsid w:val="007B3533"/>
    <w:rsid w:val="007B355E"/>
    <w:rsid w:val="007B3A21"/>
    <w:rsid w:val="007B3FC8"/>
    <w:rsid w:val="007B46D5"/>
    <w:rsid w:val="007B4712"/>
    <w:rsid w:val="007B491A"/>
    <w:rsid w:val="007B4EFC"/>
    <w:rsid w:val="007B4F58"/>
    <w:rsid w:val="007B528D"/>
    <w:rsid w:val="007B5B71"/>
    <w:rsid w:val="007B5EF0"/>
    <w:rsid w:val="007B5F96"/>
    <w:rsid w:val="007B5FFF"/>
    <w:rsid w:val="007B6307"/>
    <w:rsid w:val="007B63CA"/>
    <w:rsid w:val="007B65C8"/>
    <w:rsid w:val="007B66C4"/>
    <w:rsid w:val="007B6BA5"/>
    <w:rsid w:val="007B6CCC"/>
    <w:rsid w:val="007B6FCC"/>
    <w:rsid w:val="007B77D1"/>
    <w:rsid w:val="007B7EE5"/>
    <w:rsid w:val="007C0742"/>
    <w:rsid w:val="007C07C7"/>
    <w:rsid w:val="007C0F65"/>
    <w:rsid w:val="007C15FC"/>
    <w:rsid w:val="007C1B45"/>
    <w:rsid w:val="007C1CD9"/>
    <w:rsid w:val="007C25EC"/>
    <w:rsid w:val="007C2868"/>
    <w:rsid w:val="007C2FC1"/>
    <w:rsid w:val="007C32EF"/>
    <w:rsid w:val="007C361D"/>
    <w:rsid w:val="007C4073"/>
    <w:rsid w:val="007C48C1"/>
    <w:rsid w:val="007C4B84"/>
    <w:rsid w:val="007C543D"/>
    <w:rsid w:val="007C687F"/>
    <w:rsid w:val="007C698C"/>
    <w:rsid w:val="007C6A74"/>
    <w:rsid w:val="007C6B80"/>
    <w:rsid w:val="007C6F3E"/>
    <w:rsid w:val="007C70E6"/>
    <w:rsid w:val="007C70FF"/>
    <w:rsid w:val="007C71D0"/>
    <w:rsid w:val="007C720C"/>
    <w:rsid w:val="007C722F"/>
    <w:rsid w:val="007C7C25"/>
    <w:rsid w:val="007D004F"/>
    <w:rsid w:val="007D035F"/>
    <w:rsid w:val="007D0476"/>
    <w:rsid w:val="007D062C"/>
    <w:rsid w:val="007D06B2"/>
    <w:rsid w:val="007D0B2A"/>
    <w:rsid w:val="007D0B38"/>
    <w:rsid w:val="007D118D"/>
    <w:rsid w:val="007D2C4D"/>
    <w:rsid w:val="007D30AE"/>
    <w:rsid w:val="007D339D"/>
    <w:rsid w:val="007D35C5"/>
    <w:rsid w:val="007D38AA"/>
    <w:rsid w:val="007D3910"/>
    <w:rsid w:val="007D41D4"/>
    <w:rsid w:val="007D4282"/>
    <w:rsid w:val="007D47FC"/>
    <w:rsid w:val="007D4AC9"/>
    <w:rsid w:val="007D4FC1"/>
    <w:rsid w:val="007D5051"/>
    <w:rsid w:val="007D5431"/>
    <w:rsid w:val="007D5440"/>
    <w:rsid w:val="007D558E"/>
    <w:rsid w:val="007D584E"/>
    <w:rsid w:val="007D58CD"/>
    <w:rsid w:val="007D5957"/>
    <w:rsid w:val="007D5B34"/>
    <w:rsid w:val="007D5C89"/>
    <w:rsid w:val="007D5F01"/>
    <w:rsid w:val="007D69EB"/>
    <w:rsid w:val="007D703E"/>
    <w:rsid w:val="007D7876"/>
    <w:rsid w:val="007D7A29"/>
    <w:rsid w:val="007E0610"/>
    <w:rsid w:val="007E0BE8"/>
    <w:rsid w:val="007E0D8D"/>
    <w:rsid w:val="007E128F"/>
    <w:rsid w:val="007E1B67"/>
    <w:rsid w:val="007E1C8E"/>
    <w:rsid w:val="007E1F2A"/>
    <w:rsid w:val="007E278A"/>
    <w:rsid w:val="007E3E84"/>
    <w:rsid w:val="007E3F37"/>
    <w:rsid w:val="007E44C9"/>
    <w:rsid w:val="007E58BF"/>
    <w:rsid w:val="007E6206"/>
    <w:rsid w:val="007E6448"/>
    <w:rsid w:val="007E78C0"/>
    <w:rsid w:val="007F007F"/>
    <w:rsid w:val="007F0256"/>
    <w:rsid w:val="007F0714"/>
    <w:rsid w:val="007F0DF3"/>
    <w:rsid w:val="007F0EA4"/>
    <w:rsid w:val="007F1017"/>
    <w:rsid w:val="007F1163"/>
    <w:rsid w:val="007F16F4"/>
    <w:rsid w:val="007F180F"/>
    <w:rsid w:val="007F1AA6"/>
    <w:rsid w:val="007F1C0D"/>
    <w:rsid w:val="007F211F"/>
    <w:rsid w:val="007F22DC"/>
    <w:rsid w:val="007F2347"/>
    <w:rsid w:val="007F2DB1"/>
    <w:rsid w:val="007F3309"/>
    <w:rsid w:val="007F37EB"/>
    <w:rsid w:val="007F38B3"/>
    <w:rsid w:val="007F401B"/>
    <w:rsid w:val="007F40C0"/>
    <w:rsid w:val="007F44A6"/>
    <w:rsid w:val="007F4A3F"/>
    <w:rsid w:val="007F4A61"/>
    <w:rsid w:val="007F4B1D"/>
    <w:rsid w:val="007F4C52"/>
    <w:rsid w:val="007F4FA7"/>
    <w:rsid w:val="007F500E"/>
    <w:rsid w:val="007F5255"/>
    <w:rsid w:val="007F54D4"/>
    <w:rsid w:val="007F56CC"/>
    <w:rsid w:val="007F5E0E"/>
    <w:rsid w:val="007F5ED9"/>
    <w:rsid w:val="007F61C2"/>
    <w:rsid w:val="007F629B"/>
    <w:rsid w:val="007F65CB"/>
    <w:rsid w:val="007F6A8F"/>
    <w:rsid w:val="007F714D"/>
    <w:rsid w:val="007F74C8"/>
    <w:rsid w:val="007F7528"/>
    <w:rsid w:val="007F7B3A"/>
    <w:rsid w:val="0080007B"/>
    <w:rsid w:val="00800B0A"/>
    <w:rsid w:val="00800C5B"/>
    <w:rsid w:val="008011F9"/>
    <w:rsid w:val="008023AE"/>
    <w:rsid w:val="00802408"/>
    <w:rsid w:val="00802CF5"/>
    <w:rsid w:val="00802FDB"/>
    <w:rsid w:val="0080311A"/>
    <w:rsid w:val="00803148"/>
    <w:rsid w:val="00804069"/>
    <w:rsid w:val="00804226"/>
    <w:rsid w:val="00804CB2"/>
    <w:rsid w:val="00805142"/>
    <w:rsid w:val="008051DE"/>
    <w:rsid w:val="00805219"/>
    <w:rsid w:val="00805FCE"/>
    <w:rsid w:val="00806699"/>
    <w:rsid w:val="008069B6"/>
    <w:rsid w:val="00806F71"/>
    <w:rsid w:val="00806FB0"/>
    <w:rsid w:val="008073CC"/>
    <w:rsid w:val="00807A71"/>
    <w:rsid w:val="00807A8B"/>
    <w:rsid w:val="00807BCD"/>
    <w:rsid w:val="00810111"/>
    <w:rsid w:val="00810AE5"/>
    <w:rsid w:val="00810B25"/>
    <w:rsid w:val="00810C59"/>
    <w:rsid w:val="00810D4C"/>
    <w:rsid w:val="00810E5A"/>
    <w:rsid w:val="00810EC3"/>
    <w:rsid w:val="008111E1"/>
    <w:rsid w:val="0081126C"/>
    <w:rsid w:val="008112B3"/>
    <w:rsid w:val="00811383"/>
    <w:rsid w:val="00811A33"/>
    <w:rsid w:val="008120A5"/>
    <w:rsid w:val="00812149"/>
    <w:rsid w:val="008124E2"/>
    <w:rsid w:val="00812577"/>
    <w:rsid w:val="008125B7"/>
    <w:rsid w:val="00812CAC"/>
    <w:rsid w:val="00813032"/>
    <w:rsid w:val="00813580"/>
    <w:rsid w:val="0081460B"/>
    <w:rsid w:val="00816361"/>
    <w:rsid w:val="00816516"/>
    <w:rsid w:val="008166EF"/>
    <w:rsid w:val="00816AD7"/>
    <w:rsid w:val="00816FEF"/>
    <w:rsid w:val="0081700B"/>
    <w:rsid w:val="00817491"/>
    <w:rsid w:val="008201CB"/>
    <w:rsid w:val="0082037D"/>
    <w:rsid w:val="00820628"/>
    <w:rsid w:val="00820A8C"/>
    <w:rsid w:val="00820B32"/>
    <w:rsid w:val="00820EA0"/>
    <w:rsid w:val="008215FB"/>
    <w:rsid w:val="008220CC"/>
    <w:rsid w:val="0082225C"/>
    <w:rsid w:val="0082226A"/>
    <w:rsid w:val="008227E3"/>
    <w:rsid w:val="0082287C"/>
    <w:rsid w:val="00822E49"/>
    <w:rsid w:val="0082305F"/>
    <w:rsid w:val="00823174"/>
    <w:rsid w:val="008237C9"/>
    <w:rsid w:val="00824BE5"/>
    <w:rsid w:val="00824E48"/>
    <w:rsid w:val="00825041"/>
    <w:rsid w:val="00825204"/>
    <w:rsid w:val="00825751"/>
    <w:rsid w:val="008261E3"/>
    <w:rsid w:val="0082646D"/>
    <w:rsid w:val="008264EB"/>
    <w:rsid w:val="008268CE"/>
    <w:rsid w:val="008268E9"/>
    <w:rsid w:val="00826E25"/>
    <w:rsid w:val="00827654"/>
    <w:rsid w:val="00827C23"/>
    <w:rsid w:val="00827E78"/>
    <w:rsid w:val="00830499"/>
    <w:rsid w:val="0083049E"/>
    <w:rsid w:val="00830514"/>
    <w:rsid w:val="008305A2"/>
    <w:rsid w:val="00830AEC"/>
    <w:rsid w:val="00831494"/>
    <w:rsid w:val="00831779"/>
    <w:rsid w:val="00831A9E"/>
    <w:rsid w:val="00831B2F"/>
    <w:rsid w:val="00831F48"/>
    <w:rsid w:val="00832121"/>
    <w:rsid w:val="0083226E"/>
    <w:rsid w:val="00832417"/>
    <w:rsid w:val="008326AC"/>
    <w:rsid w:val="00832B53"/>
    <w:rsid w:val="00833921"/>
    <w:rsid w:val="00833B05"/>
    <w:rsid w:val="00834036"/>
    <w:rsid w:val="00834186"/>
    <w:rsid w:val="008342D4"/>
    <w:rsid w:val="00834383"/>
    <w:rsid w:val="00834390"/>
    <w:rsid w:val="00834B80"/>
    <w:rsid w:val="008353FA"/>
    <w:rsid w:val="008355C4"/>
    <w:rsid w:val="008362B4"/>
    <w:rsid w:val="00836517"/>
    <w:rsid w:val="00836D73"/>
    <w:rsid w:val="00837287"/>
    <w:rsid w:val="00837600"/>
    <w:rsid w:val="00837ADC"/>
    <w:rsid w:val="00837F4A"/>
    <w:rsid w:val="00840576"/>
    <w:rsid w:val="0084061C"/>
    <w:rsid w:val="008407D8"/>
    <w:rsid w:val="008407EE"/>
    <w:rsid w:val="00840811"/>
    <w:rsid w:val="00840AC5"/>
    <w:rsid w:val="00840CA2"/>
    <w:rsid w:val="008413DC"/>
    <w:rsid w:val="00841443"/>
    <w:rsid w:val="008418BA"/>
    <w:rsid w:val="00841EDB"/>
    <w:rsid w:val="00841EE7"/>
    <w:rsid w:val="00842759"/>
    <w:rsid w:val="00842993"/>
    <w:rsid w:val="00843347"/>
    <w:rsid w:val="0084374F"/>
    <w:rsid w:val="00843925"/>
    <w:rsid w:val="00843C5C"/>
    <w:rsid w:val="00843ED0"/>
    <w:rsid w:val="00844632"/>
    <w:rsid w:val="00844636"/>
    <w:rsid w:val="008446DF"/>
    <w:rsid w:val="00844A22"/>
    <w:rsid w:val="008451B4"/>
    <w:rsid w:val="00845557"/>
    <w:rsid w:val="008458B5"/>
    <w:rsid w:val="00845A28"/>
    <w:rsid w:val="0084619A"/>
    <w:rsid w:val="00846329"/>
    <w:rsid w:val="00847703"/>
    <w:rsid w:val="00847C4C"/>
    <w:rsid w:val="00847DF5"/>
    <w:rsid w:val="008509CA"/>
    <w:rsid w:val="00850E07"/>
    <w:rsid w:val="0085144C"/>
    <w:rsid w:val="008514CE"/>
    <w:rsid w:val="00852B49"/>
    <w:rsid w:val="00852BA4"/>
    <w:rsid w:val="00852CD8"/>
    <w:rsid w:val="0085309D"/>
    <w:rsid w:val="00853217"/>
    <w:rsid w:val="0085334E"/>
    <w:rsid w:val="00853CE2"/>
    <w:rsid w:val="008540AF"/>
    <w:rsid w:val="00854186"/>
    <w:rsid w:val="00854756"/>
    <w:rsid w:val="00854A52"/>
    <w:rsid w:val="00854AD3"/>
    <w:rsid w:val="00854B64"/>
    <w:rsid w:val="00854C2F"/>
    <w:rsid w:val="00854C6E"/>
    <w:rsid w:val="00854F07"/>
    <w:rsid w:val="008551CE"/>
    <w:rsid w:val="00855468"/>
    <w:rsid w:val="00855C2A"/>
    <w:rsid w:val="00855CA6"/>
    <w:rsid w:val="00855CD1"/>
    <w:rsid w:val="00855D12"/>
    <w:rsid w:val="00855D42"/>
    <w:rsid w:val="00856897"/>
    <w:rsid w:val="008569F2"/>
    <w:rsid w:val="00856A2F"/>
    <w:rsid w:val="00856E49"/>
    <w:rsid w:val="00856E9A"/>
    <w:rsid w:val="00857474"/>
    <w:rsid w:val="008577FD"/>
    <w:rsid w:val="00857CA5"/>
    <w:rsid w:val="008603D1"/>
    <w:rsid w:val="008603F7"/>
    <w:rsid w:val="00860655"/>
    <w:rsid w:val="0086075D"/>
    <w:rsid w:val="008607A1"/>
    <w:rsid w:val="00860A8A"/>
    <w:rsid w:val="00860E6B"/>
    <w:rsid w:val="00860ED7"/>
    <w:rsid w:val="00861219"/>
    <w:rsid w:val="0086197F"/>
    <w:rsid w:val="00861BF6"/>
    <w:rsid w:val="0086246D"/>
    <w:rsid w:val="00862502"/>
    <w:rsid w:val="00862BDD"/>
    <w:rsid w:val="00862CC1"/>
    <w:rsid w:val="00862D8D"/>
    <w:rsid w:val="0086312E"/>
    <w:rsid w:val="0086325A"/>
    <w:rsid w:val="008636D0"/>
    <w:rsid w:val="0086396D"/>
    <w:rsid w:val="008642A7"/>
    <w:rsid w:val="0086431E"/>
    <w:rsid w:val="008646A6"/>
    <w:rsid w:val="008648F2"/>
    <w:rsid w:val="00864FD5"/>
    <w:rsid w:val="00865069"/>
    <w:rsid w:val="008658D9"/>
    <w:rsid w:val="00865F35"/>
    <w:rsid w:val="008660D4"/>
    <w:rsid w:val="0086620B"/>
    <w:rsid w:val="00866DA1"/>
    <w:rsid w:val="00866FD3"/>
    <w:rsid w:val="00867046"/>
    <w:rsid w:val="00867716"/>
    <w:rsid w:val="00870A0A"/>
    <w:rsid w:val="00870E98"/>
    <w:rsid w:val="00870FF5"/>
    <w:rsid w:val="0087132E"/>
    <w:rsid w:val="00871549"/>
    <w:rsid w:val="00871BFC"/>
    <w:rsid w:val="00871EDE"/>
    <w:rsid w:val="00871FA9"/>
    <w:rsid w:val="00872204"/>
    <w:rsid w:val="0087251C"/>
    <w:rsid w:val="00872657"/>
    <w:rsid w:val="008728AB"/>
    <w:rsid w:val="008728E9"/>
    <w:rsid w:val="00872E27"/>
    <w:rsid w:val="00872EA1"/>
    <w:rsid w:val="00873014"/>
    <w:rsid w:val="0087301B"/>
    <w:rsid w:val="008730F8"/>
    <w:rsid w:val="00873258"/>
    <w:rsid w:val="00874E22"/>
    <w:rsid w:val="0087543C"/>
    <w:rsid w:val="00875474"/>
    <w:rsid w:val="00876203"/>
    <w:rsid w:val="008764F7"/>
    <w:rsid w:val="00876554"/>
    <w:rsid w:val="00876C94"/>
    <w:rsid w:val="00876D65"/>
    <w:rsid w:val="008775BE"/>
    <w:rsid w:val="00877D55"/>
    <w:rsid w:val="00877E6D"/>
    <w:rsid w:val="008801A4"/>
    <w:rsid w:val="008809B3"/>
    <w:rsid w:val="00880A32"/>
    <w:rsid w:val="00880D95"/>
    <w:rsid w:val="00880E17"/>
    <w:rsid w:val="00881071"/>
    <w:rsid w:val="0088121D"/>
    <w:rsid w:val="00881B10"/>
    <w:rsid w:val="00881D5C"/>
    <w:rsid w:val="00881FAF"/>
    <w:rsid w:val="0088256E"/>
    <w:rsid w:val="0088286F"/>
    <w:rsid w:val="00882874"/>
    <w:rsid w:val="00882A31"/>
    <w:rsid w:val="00882BC8"/>
    <w:rsid w:val="00882E3C"/>
    <w:rsid w:val="0088308A"/>
    <w:rsid w:val="0088363A"/>
    <w:rsid w:val="00883787"/>
    <w:rsid w:val="00883D05"/>
    <w:rsid w:val="008841AC"/>
    <w:rsid w:val="00884503"/>
    <w:rsid w:val="00885301"/>
    <w:rsid w:val="008855E4"/>
    <w:rsid w:val="00885E12"/>
    <w:rsid w:val="00886445"/>
    <w:rsid w:val="00886CCC"/>
    <w:rsid w:val="00886CD2"/>
    <w:rsid w:val="00886F71"/>
    <w:rsid w:val="008870E3"/>
    <w:rsid w:val="00887FA0"/>
    <w:rsid w:val="00890A95"/>
    <w:rsid w:val="0089100D"/>
    <w:rsid w:val="00891391"/>
    <w:rsid w:val="008914F6"/>
    <w:rsid w:val="00891599"/>
    <w:rsid w:val="00891A64"/>
    <w:rsid w:val="00891E6F"/>
    <w:rsid w:val="00892451"/>
    <w:rsid w:val="00892452"/>
    <w:rsid w:val="00892468"/>
    <w:rsid w:val="008924C7"/>
    <w:rsid w:val="0089275D"/>
    <w:rsid w:val="00892A36"/>
    <w:rsid w:val="00893239"/>
    <w:rsid w:val="00893374"/>
    <w:rsid w:val="00893EFE"/>
    <w:rsid w:val="00894489"/>
    <w:rsid w:val="00894B9C"/>
    <w:rsid w:val="00894CD6"/>
    <w:rsid w:val="00894F64"/>
    <w:rsid w:val="0089504F"/>
    <w:rsid w:val="00895A5C"/>
    <w:rsid w:val="00895F6D"/>
    <w:rsid w:val="0089623D"/>
    <w:rsid w:val="008963A5"/>
    <w:rsid w:val="008967A6"/>
    <w:rsid w:val="00896B49"/>
    <w:rsid w:val="00896D5D"/>
    <w:rsid w:val="00897060"/>
    <w:rsid w:val="00897B8E"/>
    <w:rsid w:val="008A01B7"/>
    <w:rsid w:val="008A0748"/>
    <w:rsid w:val="008A08A2"/>
    <w:rsid w:val="008A09E8"/>
    <w:rsid w:val="008A0BDC"/>
    <w:rsid w:val="008A0C2A"/>
    <w:rsid w:val="008A145C"/>
    <w:rsid w:val="008A1885"/>
    <w:rsid w:val="008A2E5B"/>
    <w:rsid w:val="008A2FA7"/>
    <w:rsid w:val="008A303D"/>
    <w:rsid w:val="008A3158"/>
    <w:rsid w:val="008A31C8"/>
    <w:rsid w:val="008A3363"/>
    <w:rsid w:val="008A3371"/>
    <w:rsid w:val="008A3492"/>
    <w:rsid w:val="008A3527"/>
    <w:rsid w:val="008A3BB2"/>
    <w:rsid w:val="008A3C3E"/>
    <w:rsid w:val="008A49DC"/>
    <w:rsid w:val="008A4B01"/>
    <w:rsid w:val="008A4B34"/>
    <w:rsid w:val="008A4D27"/>
    <w:rsid w:val="008A4EC3"/>
    <w:rsid w:val="008A5017"/>
    <w:rsid w:val="008A525F"/>
    <w:rsid w:val="008A59A6"/>
    <w:rsid w:val="008A5E5D"/>
    <w:rsid w:val="008A625B"/>
    <w:rsid w:val="008A665D"/>
    <w:rsid w:val="008A6A6C"/>
    <w:rsid w:val="008A6C15"/>
    <w:rsid w:val="008A6EC3"/>
    <w:rsid w:val="008A6EE0"/>
    <w:rsid w:val="008A79DE"/>
    <w:rsid w:val="008B0087"/>
    <w:rsid w:val="008B036A"/>
    <w:rsid w:val="008B03CB"/>
    <w:rsid w:val="008B0A57"/>
    <w:rsid w:val="008B0CED"/>
    <w:rsid w:val="008B1331"/>
    <w:rsid w:val="008B1485"/>
    <w:rsid w:val="008B155B"/>
    <w:rsid w:val="008B1757"/>
    <w:rsid w:val="008B1C33"/>
    <w:rsid w:val="008B1C4D"/>
    <w:rsid w:val="008B2543"/>
    <w:rsid w:val="008B2683"/>
    <w:rsid w:val="008B29AB"/>
    <w:rsid w:val="008B2C63"/>
    <w:rsid w:val="008B36B6"/>
    <w:rsid w:val="008B4098"/>
    <w:rsid w:val="008B42BA"/>
    <w:rsid w:val="008B4953"/>
    <w:rsid w:val="008B4B6F"/>
    <w:rsid w:val="008B4E32"/>
    <w:rsid w:val="008B535F"/>
    <w:rsid w:val="008B6037"/>
    <w:rsid w:val="008B6130"/>
    <w:rsid w:val="008B69D3"/>
    <w:rsid w:val="008B7492"/>
    <w:rsid w:val="008B7992"/>
    <w:rsid w:val="008B7BB0"/>
    <w:rsid w:val="008B7D7E"/>
    <w:rsid w:val="008C00DE"/>
    <w:rsid w:val="008C061F"/>
    <w:rsid w:val="008C0F45"/>
    <w:rsid w:val="008C11AE"/>
    <w:rsid w:val="008C13B7"/>
    <w:rsid w:val="008C227C"/>
    <w:rsid w:val="008C2556"/>
    <w:rsid w:val="008C270C"/>
    <w:rsid w:val="008C271E"/>
    <w:rsid w:val="008C27FF"/>
    <w:rsid w:val="008C3713"/>
    <w:rsid w:val="008C3A42"/>
    <w:rsid w:val="008C3C38"/>
    <w:rsid w:val="008C3DA9"/>
    <w:rsid w:val="008C3FB9"/>
    <w:rsid w:val="008C4559"/>
    <w:rsid w:val="008C4693"/>
    <w:rsid w:val="008C4C95"/>
    <w:rsid w:val="008C4E3E"/>
    <w:rsid w:val="008C501D"/>
    <w:rsid w:val="008C51A4"/>
    <w:rsid w:val="008C5610"/>
    <w:rsid w:val="008C56A9"/>
    <w:rsid w:val="008C5739"/>
    <w:rsid w:val="008C5CAD"/>
    <w:rsid w:val="008C65F4"/>
    <w:rsid w:val="008C6698"/>
    <w:rsid w:val="008C6BF0"/>
    <w:rsid w:val="008C6F86"/>
    <w:rsid w:val="008C703B"/>
    <w:rsid w:val="008C7282"/>
    <w:rsid w:val="008C7470"/>
    <w:rsid w:val="008C7CE9"/>
    <w:rsid w:val="008C7ECB"/>
    <w:rsid w:val="008D0044"/>
    <w:rsid w:val="008D031B"/>
    <w:rsid w:val="008D0456"/>
    <w:rsid w:val="008D1105"/>
    <w:rsid w:val="008D133C"/>
    <w:rsid w:val="008D179A"/>
    <w:rsid w:val="008D199B"/>
    <w:rsid w:val="008D19E6"/>
    <w:rsid w:val="008D1BE8"/>
    <w:rsid w:val="008D1F42"/>
    <w:rsid w:val="008D20C2"/>
    <w:rsid w:val="008D22E1"/>
    <w:rsid w:val="008D2528"/>
    <w:rsid w:val="008D2BE4"/>
    <w:rsid w:val="008D32A9"/>
    <w:rsid w:val="008D34DA"/>
    <w:rsid w:val="008D36CC"/>
    <w:rsid w:val="008D3B86"/>
    <w:rsid w:val="008D3C8C"/>
    <w:rsid w:val="008D41F8"/>
    <w:rsid w:val="008D43FD"/>
    <w:rsid w:val="008D4524"/>
    <w:rsid w:val="008D4755"/>
    <w:rsid w:val="008D4C3D"/>
    <w:rsid w:val="008D50F5"/>
    <w:rsid w:val="008D5E71"/>
    <w:rsid w:val="008D61A6"/>
    <w:rsid w:val="008D743C"/>
    <w:rsid w:val="008D7E1F"/>
    <w:rsid w:val="008E034B"/>
    <w:rsid w:val="008E0D3C"/>
    <w:rsid w:val="008E1269"/>
    <w:rsid w:val="008E1818"/>
    <w:rsid w:val="008E1A97"/>
    <w:rsid w:val="008E1B9E"/>
    <w:rsid w:val="008E23B6"/>
    <w:rsid w:val="008E2770"/>
    <w:rsid w:val="008E2C29"/>
    <w:rsid w:val="008E2CF8"/>
    <w:rsid w:val="008E2E3F"/>
    <w:rsid w:val="008E3407"/>
    <w:rsid w:val="008E559E"/>
    <w:rsid w:val="008E55AB"/>
    <w:rsid w:val="008E5731"/>
    <w:rsid w:val="008E5C2E"/>
    <w:rsid w:val="008E5CA9"/>
    <w:rsid w:val="008E6C5E"/>
    <w:rsid w:val="008E6E47"/>
    <w:rsid w:val="008E7068"/>
    <w:rsid w:val="008E7DB7"/>
    <w:rsid w:val="008F04A8"/>
    <w:rsid w:val="008F0735"/>
    <w:rsid w:val="008F0EE5"/>
    <w:rsid w:val="008F120A"/>
    <w:rsid w:val="008F19F0"/>
    <w:rsid w:val="008F1AE6"/>
    <w:rsid w:val="008F214A"/>
    <w:rsid w:val="008F26E7"/>
    <w:rsid w:val="008F27BD"/>
    <w:rsid w:val="008F27E0"/>
    <w:rsid w:val="008F2C24"/>
    <w:rsid w:val="008F2C93"/>
    <w:rsid w:val="008F2CFD"/>
    <w:rsid w:val="008F3748"/>
    <w:rsid w:val="008F3C0F"/>
    <w:rsid w:val="008F48EB"/>
    <w:rsid w:val="008F4F0B"/>
    <w:rsid w:val="008F54DC"/>
    <w:rsid w:val="008F6216"/>
    <w:rsid w:val="008F704C"/>
    <w:rsid w:val="008F7A28"/>
    <w:rsid w:val="008F7D6A"/>
    <w:rsid w:val="008F7F8F"/>
    <w:rsid w:val="0090002F"/>
    <w:rsid w:val="00900AC3"/>
    <w:rsid w:val="00900C42"/>
    <w:rsid w:val="00901044"/>
    <w:rsid w:val="0090195C"/>
    <w:rsid w:val="00901B2C"/>
    <w:rsid w:val="009030C0"/>
    <w:rsid w:val="00903280"/>
    <w:rsid w:val="0090406C"/>
    <w:rsid w:val="00904106"/>
    <w:rsid w:val="009046C4"/>
    <w:rsid w:val="009049D4"/>
    <w:rsid w:val="00904B0A"/>
    <w:rsid w:val="00904BCC"/>
    <w:rsid w:val="0090564F"/>
    <w:rsid w:val="00905BA8"/>
    <w:rsid w:val="00905E61"/>
    <w:rsid w:val="009062A5"/>
    <w:rsid w:val="00907260"/>
    <w:rsid w:val="00907699"/>
    <w:rsid w:val="009102E2"/>
    <w:rsid w:val="00910538"/>
    <w:rsid w:val="00910FA7"/>
    <w:rsid w:val="009110B4"/>
    <w:rsid w:val="00911272"/>
    <w:rsid w:val="00911339"/>
    <w:rsid w:val="009119EC"/>
    <w:rsid w:val="00911BB2"/>
    <w:rsid w:val="009122B6"/>
    <w:rsid w:val="00912837"/>
    <w:rsid w:val="00912A8F"/>
    <w:rsid w:val="00912DEE"/>
    <w:rsid w:val="009135D6"/>
    <w:rsid w:val="00913C93"/>
    <w:rsid w:val="00913D95"/>
    <w:rsid w:val="0091423A"/>
    <w:rsid w:val="00914A97"/>
    <w:rsid w:val="00914BE5"/>
    <w:rsid w:val="00914C77"/>
    <w:rsid w:val="00915355"/>
    <w:rsid w:val="009157C0"/>
    <w:rsid w:val="00915850"/>
    <w:rsid w:val="00915DA3"/>
    <w:rsid w:val="009163E7"/>
    <w:rsid w:val="00916630"/>
    <w:rsid w:val="009167D9"/>
    <w:rsid w:val="00917025"/>
    <w:rsid w:val="009170EF"/>
    <w:rsid w:val="009172ED"/>
    <w:rsid w:val="00917612"/>
    <w:rsid w:val="009177E3"/>
    <w:rsid w:val="00920631"/>
    <w:rsid w:val="00920D9F"/>
    <w:rsid w:val="009211C2"/>
    <w:rsid w:val="009213C4"/>
    <w:rsid w:val="00921454"/>
    <w:rsid w:val="0092165D"/>
    <w:rsid w:val="00921ACB"/>
    <w:rsid w:val="00922468"/>
    <w:rsid w:val="009226AC"/>
    <w:rsid w:val="0092323F"/>
    <w:rsid w:val="0092369B"/>
    <w:rsid w:val="00923ADD"/>
    <w:rsid w:val="009249C7"/>
    <w:rsid w:val="0092500F"/>
    <w:rsid w:val="00925C4B"/>
    <w:rsid w:val="00925C65"/>
    <w:rsid w:val="00925C85"/>
    <w:rsid w:val="009266B3"/>
    <w:rsid w:val="00926742"/>
    <w:rsid w:val="00926853"/>
    <w:rsid w:val="009268CB"/>
    <w:rsid w:val="00926C51"/>
    <w:rsid w:val="009270C7"/>
    <w:rsid w:val="0092745D"/>
    <w:rsid w:val="009279F9"/>
    <w:rsid w:val="00927DFB"/>
    <w:rsid w:val="009308B2"/>
    <w:rsid w:val="009318D4"/>
    <w:rsid w:val="00932083"/>
    <w:rsid w:val="00932163"/>
    <w:rsid w:val="0093279E"/>
    <w:rsid w:val="00932A47"/>
    <w:rsid w:val="00932F7B"/>
    <w:rsid w:val="009334AE"/>
    <w:rsid w:val="00933B33"/>
    <w:rsid w:val="00933CE8"/>
    <w:rsid w:val="00934298"/>
    <w:rsid w:val="0093443C"/>
    <w:rsid w:val="00934988"/>
    <w:rsid w:val="009351C9"/>
    <w:rsid w:val="00935933"/>
    <w:rsid w:val="00936225"/>
    <w:rsid w:val="009363BE"/>
    <w:rsid w:val="00937089"/>
    <w:rsid w:val="009379C3"/>
    <w:rsid w:val="0094091A"/>
    <w:rsid w:val="00940C6A"/>
    <w:rsid w:val="009417D0"/>
    <w:rsid w:val="00941D6B"/>
    <w:rsid w:val="009423BE"/>
    <w:rsid w:val="009429B6"/>
    <w:rsid w:val="00942FB0"/>
    <w:rsid w:val="00943114"/>
    <w:rsid w:val="009431BC"/>
    <w:rsid w:val="00943D2D"/>
    <w:rsid w:val="00943DB6"/>
    <w:rsid w:val="009449AD"/>
    <w:rsid w:val="00944A3B"/>
    <w:rsid w:val="00944AF5"/>
    <w:rsid w:val="00944CF3"/>
    <w:rsid w:val="00944F8A"/>
    <w:rsid w:val="00945130"/>
    <w:rsid w:val="0094551E"/>
    <w:rsid w:val="00946059"/>
    <w:rsid w:val="00946215"/>
    <w:rsid w:val="009465C7"/>
    <w:rsid w:val="00946606"/>
    <w:rsid w:val="00946673"/>
    <w:rsid w:val="00946BCD"/>
    <w:rsid w:val="009476B8"/>
    <w:rsid w:val="00950817"/>
    <w:rsid w:val="00950A75"/>
    <w:rsid w:val="00950C26"/>
    <w:rsid w:val="009510A2"/>
    <w:rsid w:val="00951688"/>
    <w:rsid w:val="00951D89"/>
    <w:rsid w:val="00951E57"/>
    <w:rsid w:val="00951EFD"/>
    <w:rsid w:val="0095233C"/>
    <w:rsid w:val="009524C8"/>
    <w:rsid w:val="00952980"/>
    <w:rsid w:val="00952D67"/>
    <w:rsid w:val="00953257"/>
    <w:rsid w:val="009533CB"/>
    <w:rsid w:val="00953A46"/>
    <w:rsid w:val="00953ACD"/>
    <w:rsid w:val="0095474C"/>
    <w:rsid w:val="00954854"/>
    <w:rsid w:val="00955547"/>
    <w:rsid w:val="009559D2"/>
    <w:rsid w:val="00955B28"/>
    <w:rsid w:val="00955F6C"/>
    <w:rsid w:val="009564D7"/>
    <w:rsid w:val="009567ED"/>
    <w:rsid w:val="00956B42"/>
    <w:rsid w:val="00957757"/>
    <w:rsid w:val="00957C12"/>
    <w:rsid w:val="00957D92"/>
    <w:rsid w:val="00957F2D"/>
    <w:rsid w:val="0096068E"/>
    <w:rsid w:val="00960CD6"/>
    <w:rsid w:val="009610A0"/>
    <w:rsid w:val="009615CD"/>
    <w:rsid w:val="00962748"/>
    <w:rsid w:val="00962C36"/>
    <w:rsid w:val="00962CB9"/>
    <w:rsid w:val="0096387C"/>
    <w:rsid w:val="00963930"/>
    <w:rsid w:val="00964312"/>
    <w:rsid w:val="009647A1"/>
    <w:rsid w:val="009648F6"/>
    <w:rsid w:val="009653DA"/>
    <w:rsid w:val="00965B8A"/>
    <w:rsid w:val="00965E48"/>
    <w:rsid w:val="0096623B"/>
    <w:rsid w:val="00966CE0"/>
    <w:rsid w:val="00966DB5"/>
    <w:rsid w:val="00967479"/>
    <w:rsid w:val="009679C2"/>
    <w:rsid w:val="00967A9B"/>
    <w:rsid w:val="0097071F"/>
    <w:rsid w:val="00970B5B"/>
    <w:rsid w:val="00970EA7"/>
    <w:rsid w:val="009717AC"/>
    <w:rsid w:val="00971AA0"/>
    <w:rsid w:val="00971E65"/>
    <w:rsid w:val="00972028"/>
    <w:rsid w:val="009727EB"/>
    <w:rsid w:val="0097328E"/>
    <w:rsid w:val="00973431"/>
    <w:rsid w:val="009735D5"/>
    <w:rsid w:val="00973FAF"/>
    <w:rsid w:val="0097433D"/>
    <w:rsid w:val="0097445F"/>
    <w:rsid w:val="00974820"/>
    <w:rsid w:val="00974943"/>
    <w:rsid w:val="00974C4C"/>
    <w:rsid w:val="009751C1"/>
    <w:rsid w:val="009754ED"/>
    <w:rsid w:val="00975656"/>
    <w:rsid w:val="00975AEC"/>
    <w:rsid w:val="00975B6E"/>
    <w:rsid w:val="00975D67"/>
    <w:rsid w:val="00975E63"/>
    <w:rsid w:val="0097616B"/>
    <w:rsid w:val="00976995"/>
    <w:rsid w:val="009769E6"/>
    <w:rsid w:val="00976A21"/>
    <w:rsid w:val="00977A1E"/>
    <w:rsid w:val="00977B3F"/>
    <w:rsid w:val="00980383"/>
    <w:rsid w:val="00980521"/>
    <w:rsid w:val="009811F1"/>
    <w:rsid w:val="00981334"/>
    <w:rsid w:val="00981519"/>
    <w:rsid w:val="00981584"/>
    <w:rsid w:val="009817D7"/>
    <w:rsid w:val="00981DA5"/>
    <w:rsid w:val="0098229C"/>
    <w:rsid w:val="009823F2"/>
    <w:rsid w:val="0098241E"/>
    <w:rsid w:val="0098324A"/>
    <w:rsid w:val="0098330E"/>
    <w:rsid w:val="0098334F"/>
    <w:rsid w:val="00983CF8"/>
    <w:rsid w:val="00983E57"/>
    <w:rsid w:val="00983EF8"/>
    <w:rsid w:val="00984045"/>
    <w:rsid w:val="009848DA"/>
    <w:rsid w:val="00984DA4"/>
    <w:rsid w:val="00984EE1"/>
    <w:rsid w:val="00985DE2"/>
    <w:rsid w:val="00986397"/>
    <w:rsid w:val="0098646F"/>
    <w:rsid w:val="0098675D"/>
    <w:rsid w:val="00986B58"/>
    <w:rsid w:val="00986C9C"/>
    <w:rsid w:val="00987BA4"/>
    <w:rsid w:val="00987BB5"/>
    <w:rsid w:val="009902EE"/>
    <w:rsid w:val="009903DA"/>
    <w:rsid w:val="009905FE"/>
    <w:rsid w:val="00990A0E"/>
    <w:rsid w:val="00990AAB"/>
    <w:rsid w:val="00990B65"/>
    <w:rsid w:val="009918A8"/>
    <w:rsid w:val="00991D78"/>
    <w:rsid w:val="00991FBA"/>
    <w:rsid w:val="009922AD"/>
    <w:rsid w:val="009926E0"/>
    <w:rsid w:val="00992A11"/>
    <w:rsid w:val="00992F00"/>
    <w:rsid w:val="00993360"/>
    <w:rsid w:val="00993688"/>
    <w:rsid w:val="00993757"/>
    <w:rsid w:val="00993EEB"/>
    <w:rsid w:val="00994276"/>
    <w:rsid w:val="009944E1"/>
    <w:rsid w:val="0099451E"/>
    <w:rsid w:val="009947B5"/>
    <w:rsid w:val="00994BFD"/>
    <w:rsid w:val="0099580C"/>
    <w:rsid w:val="00995DFC"/>
    <w:rsid w:val="0099656E"/>
    <w:rsid w:val="009968FD"/>
    <w:rsid w:val="00996B1A"/>
    <w:rsid w:val="00996EF6"/>
    <w:rsid w:val="00997013"/>
    <w:rsid w:val="00997287"/>
    <w:rsid w:val="0099744E"/>
    <w:rsid w:val="00997732"/>
    <w:rsid w:val="00997792"/>
    <w:rsid w:val="009979B8"/>
    <w:rsid w:val="00997F53"/>
    <w:rsid w:val="009A05D2"/>
    <w:rsid w:val="009A1877"/>
    <w:rsid w:val="009A18F6"/>
    <w:rsid w:val="009A28FD"/>
    <w:rsid w:val="009A29D7"/>
    <w:rsid w:val="009A2DCC"/>
    <w:rsid w:val="009A3077"/>
    <w:rsid w:val="009A3CC1"/>
    <w:rsid w:val="009A4C12"/>
    <w:rsid w:val="009A4DED"/>
    <w:rsid w:val="009A53F0"/>
    <w:rsid w:val="009A5ABC"/>
    <w:rsid w:val="009A658B"/>
    <w:rsid w:val="009A7230"/>
    <w:rsid w:val="009A752F"/>
    <w:rsid w:val="009A76B5"/>
    <w:rsid w:val="009A7758"/>
    <w:rsid w:val="009A7A61"/>
    <w:rsid w:val="009A7F10"/>
    <w:rsid w:val="009B01F5"/>
    <w:rsid w:val="009B0A7E"/>
    <w:rsid w:val="009B0AA0"/>
    <w:rsid w:val="009B0DC6"/>
    <w:rsid w:val="009B1123"/>
    <w:rsid w:val="009B197B"/>
    <w:rsid w:val="009B19BF"/>
    <w:rsid w:val="009B2048"/>
    <w:rsid w:val="009B2189"/>
    <w:rsid w:val="009B24F7"/>
    <w:rsid w:val="009B268C"/>
    <w:rsid w:val="009B3222"/>
    <w:rsid w:val="009B352B"/>
    <w:rsid w:val="009B3A17"/>
    <w:rsid w:val="009B3C7C"/>
    <w:rsid w:val="009B3D68"/>
    <w:rsid w:val="009B3E26"/>
    <w:rsid w:val="009B4211"/>
    <w:rsid w:val="009B431D"/>
    <w:rsid w:val="009B45D0"/>
    <w:rsid w:val="009B61DA"/>
    <w:rsid w:val="009B7241"/>
    <w:rsid w:val="009B742B"/>
    <w:rsid w:val="009C04C2"/>
    <w:rsid w:val="009C0646"/>
    <w:rsid w:val="009C0921"/>
    <w:rsid w:val="009C0ABE"/>
    <w:rsid w:val="009C1234"/>
    <w:rsid w:val="009C1271"/>
    <w:rsid w:val="009C161B"/>
    <w:rsid w:val="009C1F3A"/>
    <w:rsid w:val="009C1FC0"/>
    <w:rsid w:val="009C2F6D"/>
    <w:rsid w:val="009C3063"/>
    <w:rsid w:val="009C3613"/>
    <w:rsid w:val="009C3706"/>
    <w:rsid w:val="009C3857"/>
    <w:rsid w:val="009C3903"/>
    <w:rsid w:val="009C3A3A"/>
    <w:rsid w:val="009C41FB"/>
    <w:rsid w:val="009C46F7"/>
    <w:rsid w:val="009C4904"/>
    <w:rsid w:val="009C4E68"/>
    <w:rsid w:val="009C4E84"/>
    <w:rsid w:val="009C5B09"/>
    <w:rsid w:val="009C60E8"/>
    <w:rsid w:val="009C6ABC"/>
    <w:rsid w:val="009C6C1C"/>
    <w:rsid w:val="009C6CEA"/>
    <w:rsid w:val="009C6CED"/>
    <w:rsid w:val="009C6E25"/>
    <w:rsid w:val="009C7B85"/>
    <w:rsid w:val="009C7C67"/>
    <w:rsid w:val="009C7CBF"/>
    <w:rsid w:val="009D0254"/>
    <w:rsid w:val="009D030D"/>
    <w:rsid w:val="009D093C"/>
    <w:rsid w:val="009D0D36"/>
    <w:rsid w:val="009D1A64"/>
    <w:rsid w:val="009D1FED"/>
    <w:rsid w:val="009D240C"/>
    <w:rsid w:val="009D26FC"/>
    <w:rsid w:val="009D2CFA"/>
    <w:rsid w:val="009D3038"/>
    <w:rsid w:val="009D3255"/>
    <w:rsid w:val="009D386E"/>
    <w:rsid w:val="009D5AFE"/>
    <w:rsid w:val="009D5B91"/>
    <w:rsid w:val="009D6155"/>
    <w:rsid w:val="009D670A"/>
    <w:rsid w:val="009D6B6B"/>
    <w:rsid w:val="009D792E"/>
    <w:rsid w:val="009D793E"/>
    <w:rsid w:val="009D7FF5"/>
    <w:rsid w:val="009E0036"/>
    <w:rsid w:val="009E056C"/>
    <w:rsid w:val="009E0CD3"/>
    <w:rsid w:val="009E0DFE"/>
    <w:rsid w:val="009E17C5"/>
    <w:rsid w:val="009E17E2"/>
    <w:rsid w:val="009E1AD6"/>
    <w:rsid w:val="009E2510"/>
    <w:rsid w:val="009E2FA9"/>
    <w:rsid w:val="009E31F6"/>
    <w:rsid w:val="009E3599"/>
    <w:rsid w:val="009E3AEC"/>
    <w:rsid w:val="009E4076"/>
    <w:rsid w:val="009E426C"/>
    <w:rsid w:val="009E46E9"/>
    <w:rsid w:val="009E4B47"/>
    <w:rsid w:val="009E4C07"/>
    <w:rsid w:val="009E4DEF"/>
    <w:rsid w:val="009E51E0"/>
    <w:rsid w:val="009E5B22"/>
    <w:rsid w:val="009E61F8"/>
    <w:rsid w:val="009E6336"/>
    <w:rsid w:val="009E64F8"/>
    <w:rsid w:val="009E6885"/>
    <w:rsid w:val="009E6CF8"/>
    <w:rsid w:val="009E777F"/>
    <w:rsid w:val="009E7C53"/>
    <w:rsid w:val="009F0385"/>
    <w:rsid w:val="009F0759"/>
    <w:rsid w:val="009F0C81"/>
    <w:rsid w:val="009F145F"/>
    <w:rsid w:val="009F193E"/>
    <w:rsid w:val="009F1A37"/>
    <w:rsid w:val="009F1ED0"/>
    <w:rsid w:val="009F24E3"/>
    <w:rsid w:val="009F2829"/>
    <w:rsid w:val="009F3B1C"/>
    <w:rsid w:val="009F3D71"/>
    <w:rsid w:val="009F4313"/>
    <w:rsid w:val="009F46FC"/>
    <w:rsid w:val="009F5649"/>
    <w:rsid w:val="009F56FC"/>
    <w:rsid w:val="009F58F9"/>
    <w:rsid w:val="009F5914"/>
    <w:rsid w:val="009F5B66"/>
    <w:rsid w:val="009F5C78"/>
    <w:rsid w:val="009F6120"/>
    <w:rsid w:val="009F6265"/>
    <w:rsid w:val="009F6607"/>
    <w:rsid w:val="009F741C"/>
    <w:rsid w:val="009F7662"/>
    <w:rsid w:val="009F784B"/>
    <w:rsid w:val="009F7A07"/>
    <w:rsid w:val="00A00047"/>
    <w:rsid w:val="00A0079D"/>
    <w:rsid w:val="00A00D76"/>
    <w:rsid w:val="00A01184"/>
    <w:rsid w:val="00A01449"/>
    <w:rsid w:val="00A014C1"/>
    <w:rsid w:val="00A016F4"/>
    <w:rsid w:val="00A01D27"/>
    <w:rsid w:val="00A02517"/>
    <w:rsid w:val="00A025A4"/>
    <w:rsid w:val="00A02757"/>
    <w:rsid w:val="00A028C4"/>
    <w:rsid w:val="00A029AC"/>
    <w:rsid w:val="00A02D09"/>
    <w:rsid w:val="00A03123"/>
    <w:rsid w:val="00A03704"/>
    <w:rsid w:val="00A037C2"/>
    <w:rsid w:val="00A03D43"/>
    <w:rsid w:val="00A04380"/>
    <w:rsid w:val="00A0451A"/>
    <w:rsid w:val="00A04786"/>
    <w:rsid w:val="00A04DDB"/>
    <w:rsid w:val="00A05320"/>
    <w:rsid w:val="00A05472"/>
    <w:rsid w:val="00A05A51"/>
    <w:rsid w:val="00A05B23"/>
    <w:rsid w:val="00A05B7A"/>
    <w:rsid w:val="00A05C32"/>
    <w:rsid w:val="00A05ED0"/>
    <w:rsid w:val="00A061C2"/>
    <w:rsid w:val="00A0653F"/>
    <w:rsid w:val="00A06B47"/>
    <w:rsid w:val="00A06C1B"/>
    <w:rsid w:val="00A073CB"/>
    <w:rsid w:val="00A07E12"/>
    <w:rsid w:val="00A103AE"/>
    <w:rsid w:val="00A1065F"/>
    <w:rsid w:val="00A1071C"/>
    <w:rsid w:val="00A10850"/>
    <w:rsid w:val="00A109D3"/>
    <w:rsid w:val="00A10CDF"/>
    <w:rsid w:val="00A111CA"/>
    <w:rsid w:val="00A11CD0"/>
    <w:rsid w:val="00A1259C"/>
    <w:rsid w:val="00A127BC"/>
    <w:rsid w:val="00A129C6"/>
    <w:rsid w:val="00A13948"/>
    <w:rsid w:val="00A13B11"/>
    <w:rsid w:val="00A13FD0"/>
    <w:rsid w:val="00A14F12"/>
    <w:rsid w:val="00A1555B"/>
    <w:rsid w:val="00A155C5"/>
    <w:rsid w:val="00A1612F"/>
    <w:rsid w:val="00A16134"/>
    <w:rsid w:val="00A16227"/>
    <w:rsid w:val="00A16896"/>
    <w:rsid w:val="00A16AD8"/>
    <w:rsid w:val="00A177B9"/>
    <w:rsid w:val="00A17B22"/>
    <w:rsid w:val="00A17D5A"/>
    <w:rsid w:val="00A2021E"/>
    <w:rsid w:val="00A20675"/>
    <w:rsid w:val="00A207BF"/>
    <w:rsid w:val="00A21C8D"/>
    <w:rsid w:val="00A21C95"/>
    <w:rsid w:val="00A21CF3"/>
    <w:rsid w:val="00A222B6"/>
    <w:rsid w:val="00A2234F"/>
    <w:rsid w:val="00A2275F"/>
    <w:rsid w:val="00A22806"/>
    <w:rsid w:val="00A2285E"/>
    <w:rsid w:val="00A2296E"/>
    <w:rsid w:val="00A230E1"/>
    <w:rsid w:val="00A23601"/>
    <w:rsid w:val="00A24566"/>
    <w:rsid w:val="00A245CA"/>
    <w:rsid w:val="00A24813"/>
    <w:rsid w:val="00A24CFF"/>
    <w:rsid w:val="00A251BD"/>
    <w:rsid w:val="00A26C92"/>
    <w:rsid w:val="00A26CFF"/>
    <w:rsid w:val="00A26E05"/>
    <w:rsid w:val="00A271FE"/>
    <w:rsid w:val="00A27907"/>
    <w:rsid w:val="00A27AD5"/>
    <w:rsid w:val="00A27AEC"/>
    <w:rsid w:val="00A27C1E"/>
    <w:rsid w:val="00A303C2"/>
    <w:rsid w:val="00A31543"/>
    <w:rsid w:val="00A31550"/>
    <w:rsid w:val="00A31733"/>
    <w:rsid w:val="00A3181B"/>
    <w:rsid w:val="00A31F3C"/>
    <w:rsid w:val="00A320CD"/>
    <w:rsid w:val="00A320DB"/>
    <w:rsid w:val="00A3251D"/>
    <w:rsid w:val="00A3266D"/>
    <w:rsid w:val="00A32A95"/>
    <w:rsid w:val="00A33384"/>
    <w:rsid w:val="00A334E9"/>
    <w:rsid w:val="00A33526"/>
    <w:rsid w:val="00A33B60"/>
    <w:rsid w:val="00A34DCE"/>
    <w:rsid w:val="00A3532F"/>
    <w:rsid w:val="00A3572F"/>
    <w:rsid w:val="00A35A80"/>
    <w:rsid w:val="00A35D16"/>
    <w:rsid w:val="00A3638F"/>
    <w:rsid w:val="00A36A4B"/>
    <w:rsid w:val="00A36C3C"/>
    <w:rsid w:val="00A36CFF"/>
    <w:rsid w:val="00A36F0B"/>
    <w:rsid w:val="00A37101"/>
    <w:rsid w:val="00A37211"/>
    <w:rsid w:val="00A37598"/>
    <w:rsid w:val="00A37A75"/>
    <w:rsid w:val="00A37BCD"/>
    <w:rsid w:val="00A37F7F"/>
    <w:rsid w:val="00A40B35"/>
    <w:rsid w:val="00A40BAC"/>
    <w:rsid w:val="00A40C21"/>
    <w:rsid w:val="00A40DAC"/>
    <w:rsid w:val="00A41229"/>
    <w:rsid w:val="00A41689"/>
    <w:rsid w:val="00A420B1"/>
    <w:rsid w:val="00A42309"/>
    <w:rsid w:val="00A423FA"/>
    <w:rsid w:val="00A42592"/>
    <w:rsid w:val="00A42769"/>
    <w:rsid w:val="00A42922"/>
    <w:rsid w:val="00A42DF5"/>
    <w:rsid w:val="00A43323"/>
    <w:rsid w:val="00A43517"/>
    <w:rsid w:val="00A43647"/>
    <w:rsid w:val="00A43C59"/>
    <w:rsid w:val="00A4421F"/>
    <w:rsid w:val="00A44573"/>
    <w:rsid w:val="00A44719"/>
    <w:rsid w:val="00A448B8"/>
    <w:rsid w:val="00A44CF4"/>
    <w:rsid w:val="00A44FA6"/>
    <w:rsid w:val="00A45101"/>
    <w:rsid w:val="00A452D6"/>
    <w:rsid w:val="00A4571D"/>
    <w:rsid w:val="00A45801"/>
    <w:rsid w:val="00A46884"/>
    <w:rsid w:val="00A46D0F"/>
    <w:rsid w:val="00A46EBF"/>
    <w:rsid w:val="00A46EFB"/>
    <w:rsid w:val="00A47087"/>
    <w:rsid w:val="00A47453"/>
    <w:rsid w:val="00A478F1"/>
    <w:rsid w:val="00A47C0F"/>
    <w:rsid w:val="00A47F81"/>
    <w:rsid w:val="00A50ECD"/>
    <w:rsid w:val="00A50F07"/>
    <w:rsid w:val="00A51029"/>
    <w:rsid w:val="00A5119E"/>
    <w:rsid w:val="00A511B8"/>
    <w:rsid w:val="00A5146E"/>
    <w:rsid w:val="00A515D3"/>
    <w:rsid w:val="00A517F9"/>
    <w:rsid w:val="00A51844"/>
    <w:rsid w:val="00A518F3"/>
    <w:rsid w:val="00A51DC1"/>
    <w:rsid w:val="00A52144"/>
    <w:rsid w:val="00A52320"/>
    <w:rsid w:val="00A52729"/>
    <w:rsid w:val="00A52938"/>
    <w:rsid w:val="00A52969"/>
    <w:rsid w:val="00A529F1"/>
    <w:rsid w:val="00A52D5D"/>
    <w:rsid w:val="00A52DB3"/>
    <w:rsid w:val="00A53250"/>
    <w:rsid w:val="00A53675"/>
    <w:rsid w:val="00A544DC"/>
    <w:rsid w:val="00A545C3"/>
    <w:rsid w:val="00A54969"/>
    <w:rsid w:val="00A54D10"/>
    <w:rsid w:val="00A5533D"/>
    <w:rsid w:val="00A559D7"/>
    <w:rsid w:val="00A5640E"/>
    <w:rsid w:val="00A564D7"/>
    <w:rsid w:val="00A5660A"/>
    <w:rsid w:val="00A5670A"/>
    <w:rsid w:val="00A56925"/>
    <w:rsid w:val="00A56B6A"/>
    <w:rsid w:val="00A56BB8"/>
    <w:rsid w:val="00A57069"/>
    <w:rsid w:val="00A57368"/>
    <w:rsid w:val="00A57709"/>
    <w:rsid w:val="00A578DC"/>
    <w:rsid w:val="00A60095"/>
    <w:rsid w:val="00A60C9A"/>
    <w:rsid w:val="00A60CE1"/>
    <w:rsid w:val="00A61219"/>
    <w:rsid w:val="00A619D4"/>
    <w:rsid w:val="00A61B8E"/>
    <w:rsid w:val="00A622AE"/>
    <w:rsid w:val="00A62866"/>
    <w:rsid w:val="00A62B3A"/>
    <w:rsid w:val="00A631DF"/>
    <w:rsid w:val="00A6353E"/>
    <w:rsid w:val="00A64088"/>
    <w:rsid w:val="00A640E2"/>
    <w:rsid w:val="00A64D65"/>
    <w:rsid w:val="00A65D98"/>
    <w:rsid w:val="00A65E17"/>
    <w:rsid w:val="00A66C20"/>
    <w:rsid w:val="00A66C9F"/>
    <w:rsid w:val="00A6725B"/>
    <w:rsid w:val="00A675F2"/>
    <w:rsid w:val="00A6788D"/>
    <w:rsid w:val="00A678F5"/>
    <w:rsid w:val="00A67D20"/>
    <w:rsid w:val="00A70182"/>
    <w:rsid w:val="00A70423"/>
    <w:rsid w:val="00A70605"/>
    <w:rsid w:val="00A70EF4"/>
    <w:rsid w:val="00A7117F"/>
    <w:rsid w:val="00A7167A"/>
    <w:rsid w:val="00A7219A"/>
    <w:rsid w:val="00A722A7"/>
    <w:rsid w:val="00A72AFC"/>
    <w:rsid w:val="00A72FBE"/>
    <w:rsid w:val="00A73042"/>
    <w:rsid w:val="00A73134"/>
    <w:rsid w:val="00A73582"/>
    <w:rsid w:val="00A7365A"/>
    <w:rsid w:val="00A74ADD"/>
    <w:rsid w:val="00A74DDC"/>
    <w:rsid w:val="00A759D5"/>
    <w:rsid w:val="00A76001"/>
    <w:rsid w:val="00A76234"/>
    <w:rsid w:val="00A76617"/>
    <w:rsid w:val="00A76796"/>
    <w:rsid w:val="00A76DEA"/>
    <w:rsid w:val="00A773E6"/>
    <w:rsid w:val="00A7754C"/>
    <w:rsid w:val="00A777B2"/>
    <w:rsid w:val="00A80B9F"/>
    <w:rsid w:val="00A81541"/>
    <w:rsid w:val="00A819A0"/>
    <w:rsid w:val="00A81B52"/>
    <w:rsid w:val="00A81E3F"/>
    <w:rsid w:val="00A82121"/>
    <w:rsid w:val="00A82595"/>
    <w:rsid w:val="00A825D4"/>
    <w:rsid w:val="00A825FF"/>
    <w:rsid w:val="00A828EC"/>
    <w:rsid w:val="00A828F6"/>
    <w:rsid w:val="00A82B73"/>
    <w:rsid w:val="00A82EE5"/>
    <w:rsid w:val="00A8301C"/>
    <w:rsid w:val="00A84179"/>
    <w:rsid w:val="00A842EE"/>
    <w:rsid w:val="00A84B49"/>
    <w:rsid w:val="00A84EE4"/>
    <w:rsid w:val="00A84FE4"/>
    <w:rsid w:val="00A85283"/>
    <w:rsid w:val="00A85313"/>
    <w:rsid w:val="00A85559"/>
    <w:rsid w:val="00A85637"/>
    <w:rsid w:val="00A85A18"/>
    <w:rsid w:val="00A85AF2"/>
    <w:rsid w:val="00A86E8B"/>
    <w:rsid w:val="00A87034"/>
    <w:rsid w:val="00A87164"/>
    <w:rsid w:val="00A871A9"/>
    <w:rsid w:val="00A87FFB"/>
    <w:rsid w:val="00A90062"/>
    <w:rsid w:val="00A90A6F"/>
    <w:rsid w:val="00A90B1E"/>
    <w:rsid w:val="00A91129"/>
    <w:rsid w:val="00A91383"/>
    <w:rsid w:val="00A913DB"/>
    <w:rsid w:val="00A91EA0"/>
    <w:rsid w:val="00A9301E"/>
    <w:rsid w:val="00A93072"/>
    <w:rsid w:val="00A938BD"/>
    <w:rsid w:val="00A93953"/>
    <w:rsid w:val="00A93EDC"/>
    <w:rsid w:val="00A94063"/>
    <w:rsid w:val="00A94685"/>
    <w:rsid w:val="00A9482F"/>
    <w:rsid w:val="00A94C73"/>
    <w:rsid w:val="00A94E1F"/>
    <w:rsid w:val="00A94E7E"/>
    <w:rsid w:val="00A9503E"/>
    <w:rsid w:val="00A95902"/>
    <w:rsid w:val="00A95984"/>
    <w:rsid w:val="00A959D8"/>
    <w:rsid w:val="00A95CAD"/>
    <w:rsid w:val="00A96635"/>
    <w:rsid w:val="00A977F7"/>
    <w:rsid w:val="00A97904"/>
    <w:rsid w:val="00AA0A87"/>
    <w:rsid w:val="00AA0AED"/>
    <w:rsid w:val="00AA0D19"/>
    <w:rsid w:val="00AA113D"/>
    <w:rsid w:val="00AA12EB"/>
    <w:rsid w:val="00AA2421"/>
    <w:rsid w:val="00AA2565"/>
    <w:rsid w:val="00AA27E5"/>
    <w:rsid w:val="00AA2C4F"/>
    <w:rsid w:val="00AA317D"/>
    <w:rsid w:val="00AA3423"/>
    <w:rsid w:val="00AA3876"/>
    <w:rsid w:val="00AA3E2E"/>
    <w:rsid w:val="00AA465B"/>
    <w:rsid w:val="00AA478E"/>
    <w:rsid w:val="00AA4D5F"/>
    <w:rsid w:val="00AA624D"/>
    <w:rsid w:val="00AA6BD5"/>
    <w:rsid w:val="00AA6BD8"/>
    <w:rsid w:val="00AA6C7D"/>
    <w:rsid w:val="00AA704A"/>
    <w:rsid w:val="00AA7FD6"/>
    <w:rsid w:val="00AB042A"/>
    <w:rsid w:val="00AB0C60"/>
    <w:rsid w:val="00AB0D66"/>
    <w:rsid w:val="00AB11AD"/>
    <w:rsid w:val="00AB16AF"/>
    <w:rsid w:val="00AB1990"/>
    <w:rsid w:val="00AB19EF"/>
    <w:rsid w:val="00AB20D5"/>
    <w:rsid w:val="00AB2495"/>
    <w:rsid w:val="00AB2843"/>
    <w:rsid w:val="00AB2D34"/>
    <w:rsid w:val="00AB2F61"/>
    <w:rsid w:val="00AB3430"/>
    <w:rsid w:val="00AB37B9"/>
    <w:rsid w:val="00AB394F"/>
    <w:rsid w:val="00AB3A75"/>
    <w:rsid w:val="00AB3EB8"/>
    <w:rsid w:val="00AB4AD1"/>
    <w:rsid w:val="00AB50AE"/>
    <w:rsid w:val="00AB5488"/>
    <w:rsid w:val="00AB567C"/>
    <w:rsid w:val="00AB5E07"/>
    <w:rsid w:val="00AB63D7"/>
    <w:rsid w:val="00AB6C90"/>
    <w:rsid w:val="00AB7CFA"/>
    <w:rsid w:val="00AB7DE9"/>
    <w:rsid w:val="00AC06D7"/>
    <w:rsid w:val="00AC079A"/>
    <w:rsid w:val="00AC0A78"/>
    <w:rsid w:val="00AC0F4B"/>
    <w:rsid w:val="00AC104D"/>
    <w:rsid w:val="00AC1D1F"/>
    <w:rsid w:val="00AC23D0"/>
    <w:rsid w:val="00AC2907"/>
    <w:rsid w:val="00AC2ED9"/>
    <w:rsid w:val="00AC304A"/>
    <w:rsid w:val="00AC329E"/>
    <w:rsid w:val="00AC3458"/>
    <w:rsid w:val="00AC3A3A"/>
    <w:rsid w:val="00AC3C63"/>
    <w:rsid w:val="00AC4409"/>
    <w:rsid w:val="00AC4D86"/>
    <w:rsid w:val="00AC4E6C"/>
    <w:rsid w:val="00AC5B42"/>
    <w:rsid w:val="00AC5B48"/>
    <w:rsid w:val="00AC5C0B"/>
    <w:rsid w:val="00AC6D50"/>
    <w:rsid w:val="00AC6E97"/>
    <w:rsid w:val="00AC7E58"/>
    <w:rsid w:val="00AD06B1"/>
    <w:rsid w:val="00AD1450"/>
    <w:rsid w:val="00AD15E8"/>
    <w:rsid w:val="00AD164D"/>
    <w:rsid w:val="00AD1E05"/>
    <w:rsid w:val="00AD2128"/>
    <w:rsid w:val="00AD213A"/>
    <w:rsid w:val="00AD2434"/>
    <w:rsid w:val="00AD2729"/>
    <w:rsid w:val="00AD27AF"/>
    <w:rsid w:val="00AD32D6"/>
    <w:rsid w:val="00AD356D"/>
    <w:rsid w:val="00AD3CC8"/>
    <w:rsid w:val="00AD3D47"/>
    <w:rsid w:val="00AD3F7C"/>
    <w:rsid w:val="00AD450A"/>
    <w:rsid w:val="00AD4735"/>
    <w:rsid w:val="00AD4959"/>
    <w:rsid w:val="00AD4D42"/>
    <w:rsid w:val="00AD537E"/>
    <w:rsid w:val="00AD5B97"/>
    <w:rsid w:val="00AD5D90"/>
    <w:rsid w:val="00AD63E9"/>
    <w:rsid w:val="00AD6502"/>
    <w:rsid w:val="00AD67C4"/>
    <w:rsid w:val="00AD724E"/>
    <w:rsid w:val="00AD7692"/>
    <w:rsid w:val="00AD7C6E"/>
    <w:rsid w:val="00AD7E15"/>
    <w:rsid w:val="00AD7E18"/>
    <w:rsid w:val="00AE0183"/>
    <w:rsid w:val="00AE0695"/>
    <w:rsid w:val="00AE19C2"/>
    <w:rsid w:val="00AE19FA"/>
    <w:rsid w:val="00AE217E"/>
    <w:rsid w:val="00AE308D"/>
    <w:rsid w:val="00AE346A"/>
    <w:rsid w:val="00AE356A"/>
    <w:rsid w:val="00AE3E7E"/>
    <w:rsid w:val="00AE43AD"/>
    <w:rsid w:val="00AE4E45"/>
    <w:rsid w:val="00AE52F1"/>
    <w:rsid w:val="00AE5FC8"/>
    <w:rsid w:val="00AE6390"/>
    <w:rsid w:val="00AE6669"/>
    <w:rsid w:val="00AE6B3E"/>
    <w:rsid w:val="00AE6FC6"/>
    <w:rsid w:val="00AE71B4"/>
    <w:rsid w:val="00AE7367"/>
    <w:rsid w:val="00AE7E53"/>
    <w:rsid w:val="00AF00C6"/>
    <w:rsid w:val="00AF0658"/>
    <w:rsid w:val="00AF0699"/>
    <w:rsid w:val="00AF1315"/>
    <w:rsid w:val="00AF186E"/>
    <w:rsid w:val="00AF19BF"/>
    <w:rsid w:val="00AF1DDC"/>
    <w:rsid w:val="00AF1E42"/>
    <w:rsid w:val="00AF232A"/>
    <w:rsid w:val="00AF2598"/>
    <w:rsid w:val="00AF2756"/>
    <w:rsid w:val="00AF2DC3"/>
    <w:rsid w:val="00AF3884"/>
    <w:rsid w:val="00AF48E1"/>
    <w:rsid w:val="00AF5049"/>
    <w:rsid w:val="00AF5104"/>
    <w:rsid w:val="00AF51D8"/>
    <w:rsid w:val="00AF54C1"/>
    <w:rsid w:val="00AF5674"/>
    <w:rsid w:val="00AF5AE9"/>
    <w:rsid w:val="00AF5D67"/>
    <w:rsid w:val="00AF60D1"/>
    <w:rsid w:val="00AF60EF"/>
    <w:rsid w:val="00AF638C"/>
    <w:rsid w:val="00AF6547"/>
    <w:rsid w:val="00AF7016"/>
    <w:rsid w:val="00AF7118"/>
    <w:rsid w:val="00AF7490"/>
    <w:rsid w:val="00AF7749"/>
    <w:rsid w:val="00AF779A"/>
    <w:rsid w:val="00AF7E55"/>
    <w:rsid w:val="00B00779"/>
    <w:rsid w:val="00B0083A"/>
    <w:rsid w:val="00B00DC9"/>
    <w:rsid w:val="00B00EB1"/>
    <w:rsid w:val="00B021EF"/>
    <w:rsid w:val="00B02332"/>
    <w:rsid w:val="00B0275A"/>
    <w:rsid w:val="00B02F13"/>
    <w:rsid w:val="00B033E5"/>
    <w:rsid w:val="00B03437"/>
    <w:rsid w:val="00B03A63"/>
    <w:rsid w:val="00B03C6B"/>
    <w:rsid w:val="00B03EE4"/>
    <w:rsid w:val="00B0409E"/>
    <w:rsid w:val="00B04409"/>
    <w:rsid w:val="00B04F9E"/>
    <w:rsid w:val="00B05685"/>
    <w:rsid w:val="00B06627"/>
    <w:rsid w:val="00B06684"/>
    <w:rsid w:val="00B0680D"/>
    <w:rsid w:val="00B06812"/>
    <w:rsid w:val="00B06A77"/>
    <w:rsid w:val="00B06A94"/>
    <w:rsid w:val="00B06BF2"/>
    <w:rsid w:val="00B0707D"/>
    <w:rsid w:val="00B0722D"/>
    <w:rsid w:val="00B1009B"/>
    <w:rsid w:val="00B1070E"/>
    <w:rsid w:val="00B1077C"/>
    <w:rsid w:val="00B109EA"/>
    <w:rsid w:val="00B11536"/>
    <w:rsid w:val="00B117DA"/>
    <w:rsid w:val="00B117E2"/>
    <w:rsid w:val="00B12771"/>
    <w:rsid w:val="00B12850"/>
    <w:rsid w:val="00B129A4"/>
    <w:rsid w:val="00B13321"/>
    <w:rsid w:val="00B137C2"/>
    <w:rsid w:val="00B13B35"/>
    <w:rsid w:val="00B14574"/>
    <w:rsid w:val="00B14BAC"/>
    <w:rsid w:val="00B14DED"/>
    <w:rsid w:val="00B15D25"/>
    <w:rsid w:val="00B162BB"/>
    <w:rsid w:val="00B175DD"/>
    <w:rsid w:val="00B17757"/>
    <w:rsid w:val="00B17F5A"/>
    <w:rsid w:val="00B2017C"/>
    <w:rsid w:val="00B201A4"/>
    <w:rsid w:val="00B201D1"/>
    <w:rsid w:val="00B202D2"/>
    <w:rsid w:val="00B20363"/>
    <w:rsid w:val="00B20612"/>
    <w:rsid w:val="00B20844"/>
    <w:rsid w:val="00B208D6"/>
    <w:rsid w:val="00B20ACA"/>
    <w:rsid w:val="00B20D77"/>
    <w:rsid w:val="00B20EAE"/>
    <w:rsid w:val="00B2113C"/>
    <w:rsid w:val="00B213A6"/>
    <w:rsid w:val="00B216C4"/>
    <w:rsid w:val="00B217AC"/>
    <w:rsid w:val="00B217C2"/>
    <w:rsid w:val="00B21E53"/>
    <w:rsid w:val="00B21FBA"/>
    <w:rsid w:val="00B2297A"/>
    <w:rsid w:val="00B22B5A"/>
    <w:rsid w:val="00B22C60"/>
    <w:rsid w:val="00B22C9A"/>
    <w:rsid w:val="00B235B0"/>
    <w:rsid w:val="00B23D2F"/>
    <w:rsid w:val="00B24291"/>
    <w:rsid w:val="00B24631"/>
    <w:rsid w:val="00B24BFD"/>
    <w:rsid w:val="00B24DF6"/>
    <w:rsid w:val="00B25C00"/>
    <w:rsid w:val="00B25C78"/>
    <w:rsid w:val="00B2674F"/>
    <w:rsid w:val="00B273BC"/>
    <w:rsid w:val="00B2784D"/>
    <w:rsid w:val="00B27A61"/>
    <w:rsid w:val="00B27D4B"/>
    <w:rsid w:val="00B301E7"/>
    <w:rsid w:val="00B30E98"/>
    <w:rsid w:val="00B31239"/>
    <w:rsid w:val="00B31328"/>
    <w:rsid w:val="00B31DF7"/>
    <w:rsid w:val="00B31E7C"/>
    <w:rsid w:val="00B32072"/>
    <w:rsid w:val="00B32194"/>
    <w:rsid w:val="00B323F5"/>
    <w:rsid w:val="00B32AEE"/>
    <w:rsid w:val="00B33E8B"/>
    <w:rsid w:val="00B3436F"/>
    <w:rsid w:val="00B3451A"/>
    <w:rsid w:val="00B34FE2"/>
    <w:rsid w:val="00B35166"/>
    <w:rsid w:val="00B3530B"/>
    <w:rsid w:val="00B35602"/>
    <w:rsid w:val="00B357D8"/>
    <w:rsid w:val="00B35D01"/>
    <w:rsid w:val="00B35D53"/>
    <w:rsid w:val="00B35F79"/>
    <w:rsid w:val="00B360F4"/>
    <w:rsid w:val="00B3642D"/>
    <w:rsid w:val="00B3645C"/>
    <w:rsid w:val="00B365DB"/>
    <w:rsid w:val="00B3677D"/>
    <w:rsid w:val="00B3682B"/>
    <w:rsid w:val="00B36A00"/>
    <w:rsid w:val="00B3792B"/>
    <w:rsid w:val="00B3798C"/>
    <w:rsid w:val="00B379FE"/>
    <w:rsid w:val="00B37BFC"/>
    <w:rsid w:val="00B40358"/>
    <w:rsid w:val="00B40825"/>
    <w:rsid w:val="00B40AFC"/>
    <w:rsid w:val="00B40B0F"/>
    <w:rsid w:val="00B40CD8"/>
    <w:rsid w:val="00B40F8B"/>
    <w:rsid w:val="00B41614"/>
    <w:rsid w:val="00B41D2A"/>
    <w:rsid w:val="00B41E86"/>
    <w:rsid w:val="00B42851"/>
    <w:rsid w:val="00B42F80"/>
    <w:rsid w:val="00B43007"/>
    <w:rsid w:val="00B435CB"/>
    <w:rsid w:val="00B44222"/>
    <w:rsid w:val="00B442DC"/>
    <w:rsid w:val="00B4439E"/>
    <w:rsid w:val="00B44444"/>
    <w:rsid w:val="00B44AF1"/>
    <w:rsid w:val="00B44B51"/>
    <w:rsid w:val="00B45899"/>
    <w:rsid w:val="00B460AF"/>
    <w:rsid w:val="00B465EC"/>
    <w:rsid w:val="00B467F6"/>
    <w:rsid w:val="00B4698B"/>
    <w:rsid w:val="00B46B0C"/>
    <w:rsid w:val="00B46D38"/>
    <w:rsid w:val="00B4717C"/>
    <w:rsid w:val="00B47693"/>
    <w:rsid w:val="00B477C7"/>
    <w:rsid w:val="00B47A36"/>
    <w:rsid w:val="00B50169"/>
    <w:rsid w:val="00B50545"/>
    <w:rsid w:val="00B505C8"/>
    <w:rsid w:val="00B508ED"/>
    <w:rsid w:val="00B50DB8"/>
    <w:rsid w:val="00B516A6"/>
    <w:rsid w:val="00B51810"/>
    <w:rsid w:val="00B51D61"/>
    <w:rsid w:val="00B52332"/>
    <w:rsid w:val="00B527DC"/>
    <w:rsid w:val="00B52A13"/>
    <w:rsid w:val="00B52B15"/>
    <w:rsid w:val="00B52BFF"/>
    <w:rsid w:val="00B52E18"/>
    <w:rsid w:val="00B53654"/>
    <w:rsid w:val="00B53905"/>
    <w:rsid w:val="00B53A73"/>
    <w:rsid w:val="00B53F0D"/>
    <w:rsid w:val="00B54558"/>
    <w:rsid w:val="00B546DB"/>
    <w:rsid w:val="00B54B5B"/>
    <w:rsid w:val="00B54CE8"/>
    <w:rsid w:val="00B5562E"/>
    <w:rsid w:val="00B557B7"/>
    <w:rsid w:val="00B55862"/>
    <w:rsid w:val="00B5593C"/>
    <w:rsid w:val="00B55949"/>
    <w:rsid w:val="00B55AE0"/>
    <w:rsid w:val="00B55D65"/>
    <w:rsid w:val="00B56305"/>
    <w:rsid w:val="00B567E4"/>
    <w:rsid w:val="00B56BED"/>
    <w:rsid w:val="00B57000"/>
    <w:rsid w:val="00B57F96"/>
    <w:rsid w:val="00B600AA"/>
    <w:rsid w:val="00B6071A"/>
    <w:rsid w:val="00B607EE"/>
    <w:rsid w:val="00B60938"/>
    <w:rsid w:val="00B60939"/>
    <w:rsid w:val="00B60AFD"/>
    <w:rsid w:val="00B60D0B"/>
    <w:rsid w:val="00B6185B"/>
    <w:rsid w:val="00B618AF"/>
    <w:rsid w:val="00B61ABA"/>
    <w:rsid w:val="00B61C77"/>
    <w:rsid w:val="00B62715"/>
    <w:rsid w:val="00B62824"/>
    <w:rsid w:val="00B62D9D"/>
    <w:rsid w:val="00B62FDD"/>
    <w:rsid w:val="00B634B1"/>
    <w:rsid w:val="00B63863"/>
    <w:rsid w:val="00B63865"/>
    <w:rsid w:val="00B63E4C"/>
    <w:rsid w:val="00B63E70"/>
    <w:rsid w:val="00B644F1"/>
    <w:rsid w:val="00B64574"/>
    <w:rsid w:val="00B64ADD"/>
    <w:rsid w:val="00B650CE"/>
    <w:rsid w:val="00B650FF"/>
    <w:rsid w:val="00B651D9"/>
    <w:rsid w:val="00B65611"/>
    <w:rsid w:val="00B65736"/>
    <w:rsid w:val="00B659B6"/>
    <w:rsid w:val="00B664EC"/>
    <w:rsid w:val="00B66F28"/>
    <w:rsid w:val="00B67319"/>
    <w:rsid w:val="00B67A8D"/>
    <w:rsid w:val="00B67BE6"/>
    <w:rsid w:val="00B67F94"/>
    <w:rsid w:val="00B702D4"/>
    <w:rsid w:val="00B70770"/>
    <w:rsid w:val="00B70ADF"/>
    <w:rsid w:val="00B70DE7"/>
    <w:rsid w:val="00B70E8E"/>
    <w:rsid w:val="00B70EB7"/>
    <w:rsid w:val="00B71255"/>
    <w:rsid w:val="00B7130F"/>
    <w:rsid w:val="00B714E9"/>
    <w:rsid w:val="00B71522"/>
    <w:rsid w:val="00B715B1"/>
    <w:rsid w:val="00B71736"/>
    <w:rsid w:val="00B71FBD"/>
    <w:rsid w:val="00B7224C"/>
    <w:rsid w:val="00B7247B"/>
    <w:rsid w:val="00B72879"/>
    <w:rsid w:val="00B728DE"/>
    <w:rsid w:val="00B730FE"/>
    <w:rsid w:val="00B7324B"/>
    <w:rsid w:val="00B73F17"/>
    <w:rsid w:val="00B73FDF"/>
    <w:rsid w:val="00B748A8"/>
    <w:rsid w:val="00B75309"/>
    <w:rsid w:val="00B7547E"/>
    <w:rsid w:val="00B75A3F"/>
    <w:rsid w:val="00B75C33"/>
    <w:rsid w:val="00B76184"/>
    <w:rsid w:val="00B76762"/>
    <w:rsid w:val="00B76C4C"/>
    <w:rsid w:val="00B76C92"/>
    <w:rsid w:val="00B770EF"/>
    <w:rsid w:val="00B775BD"/>
    <w:rsid w:val="00B77A16"/>
    <w:rsid w:val="00B77ABE"/>
    <w:rsid w:val="00B77DB7"/>
    <w:rsid w:val="00B77E3D"/>
    <w:rsid w:val="00B803C7"/>
    <w:rsid w:val="00B80EFD"/>
    <w:rsid w:val="00B815D3"/>
    <w:rsid w:val="00B818A4"/>
    <w:rsid w:val="00B8236C"/>
    <w:rsid w:val="00B82AC2"/>
    <w:rsid w:val="00B82F04"/>
    <w:rsid w:val="00B83640"/>
    <w:rsid w:val="00B83739"/>
    <w:rsid w:val="00B83B02"/>
    <w:rsid w:val="00B83C02"/>
    <w:rsid w:val="00B8400B"/>
    <w:rsid w:val="00B84117"/>
    <w:rsid w:val="00B84B88"/>
    <w:rsid w:val="00B84BC7"/>
    <w:rsid w:val="00B84BD0"/>
    <w:rsid w:val="00B85032"/>
    <w:rsid w:val="00B852E5"/>
    <w:rsid w:val="00B858F0"/>
    <w:rsid w:val="00B85AA2"/>
    <w:rsid w:val="00B85C63"/>
    <w:rsid w:val="00B85EDB"/>
    <w:rsid w:val="00B860AD"/>
    <w:rsid w:val="00B86150"/>
    <w:rsid w:val="00B862AB"/>
    <w:rsid w:val="00B8649C"/>
    <w:rsid w:val="00B868B6"/>
    <w:rsid w:val="00B8695D"/>
    <w:rsid w:val="00B87301"/>
    <w:rsid w:val="00B875B3"/>
    <w:rsid w:val="00B87996"/>
    <w:rsid w:val="00B87F0A"/>
    <w:rsid w:val="00B90089"/>
    <w:rsid w:val="00B909D0"/>
    <w:rsid w:val="00B909F1"/>
    <w:rsid w:val="00B90E51"/>
    <w:rsid w:val="00B91026"/>
    <w:rsid w:val="00B91B52"/>
    <w:rsid w:val="00B91F45"/>
    <w:rsid w:val="00B92926"/>
    <w:rsid w:val="00B92D0A"/>
    <w:rsid w:val="00B92D0B"/>
    <w:rsid w:val="00B92DF8"/>
    <w:rsid w:val="00B92E73"/>
    <w:rsid w:val="00B935D5"/>
    <w:rsid w:val="00B93AD3"/>
    <w:rsid w:val="00B93D73"/>
    <w:rsid w:val="00B941B7"/>
    <w:rsid w:val="00B943B5"/>
    <w:rsid w:val="00B945C5"/>
    <w:rsid w:val="00B9483F"/>
    <w:rsid w:val="00B94945"/>
    <w:rsid w:val="00B94C40"/>
    <w:rsid w:val="00B94DD6"/>
    <w:rsid w:val="00B954DC"/>
    <w:rsid w:val="00B958D5"/>
    <w:rsid w:val="00B95C42"/>
    <w:rsid w:val="00B95DBE"/>
    <w:rsid w:val="00B95FC9"/>
    <w:rsid w:val="00B96DBE"/>
    <w:rsid w:val="00B9728B"/>
    <w:rsid w:val="00B973CA"/>
    <w:rsid w:val="00B97482"/>
    <w:rsid w:val="00B97501"/>
    <w:rsid w:val="00B9762D"/>
    <w:rsid w:val="00B97921"/>
    <w:rsid w:val="00B97BD2"/>
    <w:rsid w:val="00BA039C"/>
    <w:rsid w:val="00BA0568"/>
    <w:rsid w:val="00BA0830"/>
    <w:rsid w:val="00BA1378"/>
    <w:rsid w:val="00BA14A2"/>
    <w:rsid w:val="00BA2409"/>
    <w:rsid w:val="00BA24B5"/>
    <w:rsid w:val="00BA25CD"/>
    <w:rsid w:val="00BA2F49"/>
    <w:rsid w:val="00BA322D"/>
    <w:rsid w:val="00BA35C4"/>
    <w:rsid w:val="00BA4910"/>
    <w:rsid w:val="00BA4A72"/>
    <w:rsid w:val="00BA4A88"/>
    <w:rsid w:val="00BA4EAA"/>
    <w:rsid w:val="00BA50F0"/>
    <w:rsid w:val="00BA54A1"/>
    <w:rsid w:val="00BA5A42"/>
    <w:rsid w:val="00BA5CFA"/>
    <w:rsid w:val="00BA62BA"/>
    <w:rsid w:val="00BA63FA"/>
    <w:rsid w:val="00BA73E3"/>
    <w:rsid w:val="00BA759D"/>
    <w:rsid w:val="00BA7925"/>
    <w:rsid w:val="00BA7BCC"/>
    <w:rsid w:val="00BB0010"/>
    <w:rsid w:val="00BB00B3"/>
    <w:rsid w:val="00BB081A"/>
    <w:rsid w:val="00BB082A"/>
    <w:rsid w:val="00BB0BDD"/>
    <w:rsid w:val="00BB176C"/>
    <w:rsid w:val="00BB1C76"/>
    <w:rsid w:val="00BB28EC"/>
    <w:rsid w:val="00BB2A73"/>
    <w:rsid w:val="00BB2D97"/>
    <w:rsid w:val="00BB2E56"/>
    <w:rsid w:val="00BB3398"/>
    <w:rsid w:val="00BB3A45"/>
    <w:rsid w:val="00BB462A"/>
    <w:rsid w:val="00BB4ACC"/>
    <w:rsid w:val="00BB54FB"/>
    <w:rsid w:val="00BB6E8A"/>
    <w:rsid w:val="00BB703E"/>
    <w:rsid w:val="00BB7311"/>
    <w:rsid w:val="00BB732D"/>
    <w:rsid w:val="00BB738F"/>
    <w:rsid w:val="00BB73D9"/>
    <w:rsid w:val="00BB7405"/>
    <w:rsid w:val="00BB7A49"/>
    <w:rsid w:val="00BC00CE"/>
    <w:rsid w:val="00BC03CB"/>
    <w:rsid w:val="00BC0755"/>
    <w:rsid w:val="00BC09FC"/>
    <w:rsid w:val="00BC0FE4"/>
    <w:rsid w:val="00BC1423"/>
    <w:rsid w:val="00BC162E"/>
    <w:rsid w:val="00BC1D7B"/>
    <w:rsid w:val="00BC23E1"/>
    <w:rsid w:val="00BC3417"/>
    <w:rsid w:val="00BC3631"/>
    <w:rsid w:val="00BC373D"/>
    <w:rsid w:val="00BC3837"/>
    <w:rsid w:val="00BC38A5"/>
    <w:rsid w:val="00BC3BC4"/>
    <w:rsid w:val="00BC3EE4"/>
    <w:rsid w:val="00BC3F6E"/>
    <w:rsid w:val="00BC3F79"/>
    <w:rsid w:val="00BC427C"/>
    <w:rsid w:val="00BC5023"/>
    <w:rsid w:val="00BC5693"/>
    <w:rsid w:val="00BC57CF"/>
    <w:rsid w:val="00BC591F"/>
    <w:rsid w:val="00BC5D01"/>
    <w:rsid w:val="00BC5D63"/>
    <w:rsid w:val="00BC5DEC"/>
    <w:rsid w:val="00BC68E7"/>
    <w:rsid w:val="00BC6C80"/>
    <w:rsid w:val="00BC6E8E"/>
    <w:rsid w:val="00BC765D"/>
    <w:rsid w:val="00BC7D6D"/>
    <w:rsid w:val="00BD001F"/>
    <w:rsid w:val="00BD0BF4"/>
    <w:rsid w:val="00BD0D55"/>
    <w:rsid w:val="00BD119F"/>
    <w:rsid w:val="00BD1321"/>
    <w:rsid w:val="00BD13EE"/>
    <w:rsid w:val="00BD20C7"/>
    <w:rsid w:val="00BD2108"/>
    <w:rsid w:val="00BD228B"/>
    <w:rsid w:val="00BD23A8"/>
    <w:rsid w:val="00BD249D"/>
    <w:rsid w:val="00BD2733"/>
    <w:rsid w:val="00BD2D31"/>
    <w:rsid w:val="00BD2D83"/>
    <w:rsid w:val="00BD2E56"/>
    <w:rsid w:val="00BD33AC"/>
    <w:rsid w:val="00BD33C5"/>
    <w:rsid w:val="00BD33E8"/>
    <w:rsid w:val="00BD3AA9"/>
    <w:rsid w:val="00BD3E85"/>
    <w:rsid w:val="00BD3EA9"/>
    <w:rsid w:val="00BD464A"/>
    <w:rsid w:val="00BD472C"/>
    <w:rsid w:val="00BD5210"/>
    <w:rsid w:val="00BD5509"/>
    <w:rsid w:val="00BD5F6B"/>
    <w:rsid w:val="00BD68A3"/>
    <w:rsid w:val="00BD6938"/>
    <w:rsid w:val="00BD6A8C"/>
    <w:rsid w:val="00BD6CF3"/>
    <w:rsid w:val="00BD6FE2"/>
    <w:rsid w:val="00BD77C7"/>
    <w:rsid w:val="00BD7E59"/>
    <w:rsid w:val="00BD7F72"/>
    <w:rsid w:val="00BE02AD"/>
    <w:rsid w:val="00BE0B14"/>
    <w:rsid w:val="00BE0ECA"/>
    <w:rsid w:val="00BE0F2B"/>
    <w:rsid w:val="00BE1490"/>
    <w:rsid w:val="00BE15FB"/>
    <w:rsid w:val="00BE1E51"/>
    <w:rsid w:val="00BE2158"/>
    <w:rsid w:val="00BE2180"/>
    <w:rsid w:val="00BE21F2"/>
    <w:rsid w:val="00BE2979"/>
    <w:rsid w:val="00BE2E84"/>
    <w:rsid w:val="00BE35C8"/>
    <w:rsid w:val="00BE3D8B"/>
    <w:rsid w:val="00BE3E91"/>
    <w:rsid w:val="00BE4177"/>
    <w:rsid w:val="00BE4275"/>
    <w:rsid w:val="00BE47DA"/>
    <w:rsid w:val="00BE4931"/>
    <w:rsid w:val="00BE4CF6"/>
    <w:rsid w:val="00BE4E12"/>
    <w:rsid w:val="00BE4ED6"/>
    <w:rsid w:val="00BE5020"/>
    <w:rsid w:val="00BE5B7F"/>
    <w:rsid w:val="00BE63A3"/>
    <w:rsid w:val="00BE6924"/>
    <w:rsid w:val="00BE69DB"/>
    <w:rsid w:val="00BE6A50"/>
    <w:rsid w:val="00BE7614"/>
    <w:rsid w:val="00BF043D"/>
    <w:rsid w:val="00BF06AE"/>
    <w:rsid w:val="00BF0F95"/>
    <w:rsid w:val="00BF241A"/>
    <w:rsid w:val="00BF2433"/>
    <w:rsid w:val="00BF24B1"/>
    <w:rsid w:val="00BF2C41"/>
    <w:rsid w:val="00BF2D0D"/>
    <w:rsid w:val="00BF2D36"/>
    <w:rsid w:val="00BF2E3C"/>
    <w:rsid w:val="00BF2E6E"/>
    <w:rsid w:val="00BF33C8"/>
    <w:rsid w:val="00BF4268"/>
    <w:rsid w:val="00BF43CB"/>
    <w:rsid w:val="00BF47A5"/>
    <w:rsid w:val="00BF504A"/>
    <w:rsid w:val="00BF5840"/>
    <w:rsid w:val="00BF5975"/>
    <w:rsid w:val="00BF61C9"/>
    <w:rsid w:val="00BF63C6"/>
    <w:rsid w:val="00BF682D"/>
    <w:rsid w:val="00BF6B7E"/>
    <w:rsid w:val="00BF6C94"/>
    <w:rsid w:val="00BF6FC3"/>
    <w:rsid w:val="00BF75EE"/>
    <w:rsid w:val="00BF7C11"/>
    <w:rsid w:val="00C003AB"/>
    <w:rsid w:val="00C0040D"/>
    <w:rsid w:val="00C00424"/>
    <w:rsid w:val="00C0086B"/>
    <w:rsid w:val="00C00BB0"/>
    <w:rsid w:val="00C00BC4"/>
    <w:rsid w:val="00C0116A"/>
    <w:rsid w:val="00C01519"/>
    <w:rsid w:val="00C0215D"/>
    <w:rsid w:val="00C0221F"/>
    <w:rsid w:val="00C02846"/>
    <w:rsid w:val="00C02CF9"/>
    <w:rsid w:val="00C02F8C"/>
    <w:rsid w:val="00C0309C"/>
    <w:rsid w:val="00C036C4"/>
    <w:rsid w:val="00C03B0F"/>
    <w:rsid w:val="00C03E22"/>
    <w:rsid w:val="00C03E81"/>
    <w:rsid w:val="00C04022"/>
    <w:rsid w:val="00C04598"/>
    <w:rsid w:val="00C04CA7"/>
    <w:rsid w:val="00C05832"/>
    <w:rsid w:val="00C05A4C"/>
    <w:rsid w:val="00C05CA8"/>
    <w:rsid w:val="00C05E88"/>
    <w:rsid w:val="00C05FFF"/>
    <w:rsid w:val="00C062BC"/>
    <w:rsid w:val="00C06C54"/>
    <w:rsid w:val="00C10B5A"/>
    <w:rsid w:val="00C110BD"/>
    <w:rsid w:val="00C1179F"/>
    <w:rsid w:val="00C117A5"/>
    <w:rsid w:val="00C12306"/>
    <w:rsid w:val="00C127B9"/>
    <w:rsid w:val="00C12836"/>
    <w:rsid w:val="00C128FA"/>
    <w:rsid w:val="00C12C14"/>
    <w:rsid w:val="00C13C8D"/>
    <w:rsid w:val="00C140A4"/>
    <w:rsid w:val="00C146DD"/>
    <w:rsid w:val="00C1486B"/>
    <w:rsid w:val="00C14875"/>
    <w:rsid w:val="00C14EB6"/>
    <w:rsid w:val="00C150F0"/>
    <w:rsid w:val="00C154E4"/>
    <w:rsid w:val="00C159E7"/>
    <w:rsid w:val="00C15ACE"/>
    <w:rsid w:val="00C15B6D"/>
    <w:rsid w:val="00C15E5E"/>
    <w:rsid w:val="00C15F04"/>
    <w:rsid w:val="00C16003"/>
    <w:rsid w:val="00C1747E"/>
    <w:rsid w:val="00C1762B"/>
    <w:rsid w:val="00C176FD"/>
    <w:rsid w:val="00C179B3"/>
    <w:rsid w:val="00C17E3F"/>
    <w:rsid w:val="00C200AA"/>
    <w:rsid w:val="00C212BB"/>
    <w:rsid w:val="00C22133"/>
    <w:rsid w:val="00C2258A"/>
    <w:rsid w:val="00C23544"/>
    <w:rsid w:val="00C237DF"/>
    <w:rsid w:val="00C237ED"/>
    <w:rsid w:val="00C2447A"/>
    <w:rsid w:val="00C24632"/>
    <w:rsid w:val="00C24E0F"/>
    <w:rsid w:val="00C25418"/>
    <w:rsid w:val="00C2576B"/>
    <w:rsid w:val="00C2587C"/>
    <w:rsid w:val="00C25B07"/>
    <w:rsid w:val="00C25CD7"/>
    <w:rsid w:val="00C25D9C"/>
    <w:rsid w:val="00C25E58"/>
    <w:rsid w:val="00C26104"/>
    <w:rsid w:val="00C26D04"/>
    <w:rsid w:val="00C273D7"/>
    <w:rsid w:val="00C2778B"/>
    <w:rsid w:val="00C27D68"/>
    <w:rsid w:val="00C27F52"/>
    <w:rsid w:val="00C308C4"/>
    <w:rsid w:val="00C30CE0"/>
    <w:rsid w:val="00C31362"/>
    <w:rsid w:val="00C31649"/>
    <w:rsid w:val="00C31D3F"/>
    <w:rsid w:val="00C333B4"/>
    <w:rsid w:val="00C333C7"/>
    <w:rsid w:val="00C33499"/>
    <w:rsid w:val="00C33543"/>
    <w:rsid w:val="00C33F58"/>
    <w:rsid w:val="00C340A2"/>
    <w:rsid w:val="00C3434C"/>
    <w:rsid w:val="00C343F3"/>
    <w:rsid w:val="00C34690"/>
    <w:rsid w:val="00C352A8"/>
    <w:rsid w:val="00C362B3"/>
    <w:rsid w:val="00C368E2"/>
    <w:rsid w:val="00C36DFC"/>
    <w:rsid w:val="00C373E5"/>
    <w:rsid w:val="00C37CD3"/>
    <w:rsid w:val="00C37DA6"/>
    <w:rsid w:val="00C37E8E"/>
    <w:rsid w:val="00C40385"/>
    <w:rsid w:val="00C414F2"/>
    <w:rsid w:val="00C41768"/>
    <w:rsid w:val="00C417AF"/>
    <w:rsid w:val="00C418D7"/>
    <w:rsid w:val="00C42163"/>
    <w:rsid w:val="00C425FF"/>
    <w:rsid w:val="00C436E0"/>
    <w:rsid w:val="00C43871"/>
    <w:rsid w:val="00C43ED2"/>
    <w:rsid w:val="00C4401B"/>
    <w:rsid w:val="00C44469"/>
    <w:rsid w:val="00C4528D"/>
    <w:rsid w:val="00C45A87"/>
    <w:rsid w:val="00C46152"/>
    <w:rsid w:val="00C46214"/>
    <w:rsid w:val="00C46333"/>
    <w:rsid w:val="00C47313"/>
    <w:rsid w:val="00C47390"/>
    <w:rsid w:val="00C47561"/>
    <w:rsid w:val="00C475AA"/>
    <w:rsid w:val="00C476D0"/>
    <w:rsid w:val="00C47FF9"/>
    <w:rsid w:val="00C501E2"/>
    <w:rsid w:val="00C50403"/>
    <w:rsid w:val="00C5087D"/>
    <w:rsid w:val="00C514D3"/>
    <w:rsid w:val="00C51C36"/>
    <w:rsid w:val="00C527C7"/>
    <w:rsid w:val="00C528D8"/>
    <w:rsid w:val="00C52951"/>
    <w:rsid w:val="00C529A0"/>
    <w:rsid w:val="00C52E30"/>
    <w:rsid w:val="00C52F18"/>
    <w:rsid w:val="00C537E0"/>
    <w:rsid w:val="00C53862"/>
    <w:rsid w:val="00C53C98"/>
    <w:rsid w:val="00C541F4"/>
    <w:rsid w:val="00C548F7"/>
    <w:rsid w:val="00C54CD6"/>
    <w:rsid w:val="00C55282"/>
    <w:rsid w:val="00C556ED"/>
    <w:rsid w:val="00C558B0"/>
    <w:rsid w:val="00C564F8"/>
    <w:rsid w:val="00C5677B"/>
    <w:rsid w:val="00C56911"/>
    <w:rsid w:val="00C56E71"/>
    <w:rsid w:val="00C56FC9"/>
    <w:rsid w:val="00C56FCF"/>
    <w:rsid w:val="00C5754D"/>
    <w:rsid w:val="00C57B6C"/>
    <w:rsid w:val="00C6093A"/>
    <w:rsid w:val="00C61070"/>
    <w:rsid w:val="00C610C4"/>
    <w:rsid w:val="00C616EA"/>
    <w:rsid w:val="00C61A59"/>
    <w:rsid w:val="00C61E6E"/>
    <w:rsid w:val="00C624E7"/>
    <w:rsid w:val="00C628A6"/>
    <w:rsid w:val="00C62E0B"/>
    <w:rsid w:val="00C63425"/>
    <w:rsid w:val="00C63A63"/>
    <w:rsid w:val="00C640D8"/>
    <w:rsid w:val="00C641DD"/>
    <w:rsid w:val="00C642AA"/>
    <w:rsid w:val="00C64344"/>
    <w:rsid w:val="00C64979"/>
    <w:rsid w:val="00C64EEA"/>
    <w:rsid w:val="00C65108"/>
    <w:rsid w:val="00C65576"/>
    <w:rsid w:val="00C65DA5"/>
    <w:rsid w:val="00C66165"/>
    <w:rsid w:val="00C66686"/>
    <w:rsid w:val="00C67077"/>
    <w:rsid w:val="00C671B4"/>
    <w:rsid w:val="00C671FE"/>
    <w:rsid w:val="00C6727F"/>
    <w:rsid w:val="00C67455"/>
    <w:rsid w:val="00C70464"/>
    <w:rsid w:val="00C7060A"/>
    <w:rsid w:val="00C7151A"/>
    <w:rsid w:val="00C7159A"/>
    <w:rsid w:val="00C715FA"/>
    <w:rsid w:val="00C717E3"/>
    <w:rsid w:val="00C71E66"/>
    <w:rsid w:val="00C71F60"/>
    <w:rsid w:val="00C72241"/>
    <w:rsid w:val="00C72CBE"/>
    <w:rsid w:val="00C72FDA"/>
    <w:rsid w:val="00C735E8"/>
    <w:rsid w:val="00C74605"/>
    <w:rsid w:val="00C7488F"/>
    <w:rsid w:val="00C74913"/>
    <w:rsid w:val="00C74CAB"/>
    <w:rsid w:val="00C750C8"/>
    <w:rsid w:val="00C75540"/>
    <w:rsid w:val="00C7560F"/>
    <w:rsid w:val="00C75944"/>
    <w:rsid w:val="00C75DF2"/>
    <w:rsid w:val="00C768CB"/>
    <w:rsid w:val="00C76C94"/>
    <w:rsid w:val="00C775D8"/>
    <w:rsid w:val="00C7769C"/>
    <w:rsid w:val="00C809D4"/>
    <w:rsid w:val="00C80A0E"/>
    <w:rsid w:val="00C80CB1"/>
    <w:rsid w:val="00C81086"/>
    <w:rsid w:val="00C81386"/>
    <w:rsid w:val="00C814EB"/>
    <w:rsid w:val="00C820AD"/>
    <w:rsid w:val="00C8213F"/>
    <w:rsid w:val="00C82418"/>
    <w:rsid w:val="00C82D49"/>
    <w:rsid w:val="00C8303F"/>
    <w:rsid w:val="00C834BE"/>
    <w:rsid w:val="00C83A37"/>
    <w:rsid w:val="00C83DC2"/>
    <w:rsid w:val="00C84071"/>
    <w:rsid w:val="00C84520"/>
    <w:rsid w:val="00C84B7F"/>
    <w:rsid w:val="00C85154"/>
    <w:rsid w:val="00C85A70"/>
    <w:rsid w:val="00C8658F"/>
    <w:rsid w:val="00C867CD"/>
    <w:rsid w:val="00C86A07"/>
    <w:rsid w:val="00C86D79"/>
    <w:rsid w:val="00C87135"/>
    <w:rsid w:val="00C875B3"/>
    <w:rsid w:val="00C87761"/>
    <w:rsid w:val="00C87876"/>
    <w:rsid w:val="00C8797A"/>
    <w:rsid w:val="00C87D97"/>
    <w:rsid w:val="00C87ED2"/>
    <w:rsid w:val="00C900B8"/>
    <w:rsid w:val="00C90197"/>
    <w:rsid w:val="00C90C71"/>
    <w:rsid w:val="00C90CE5"/>
    <w:rsid w:val="00C91769"/>
    <w:rsid w:val="00C91C2D"/>
    <w:rsid w:val="00C91FD1"/>
    <w:rsid w:val="00C9210E"/>
    <w:rsid w:val="00C926B8"/>
    <w:rsid w:val="00C92C2D"/>
    <w:rsid w:val="00C931CF"/>
    <w:rsid w:val="00C9350C"/>
    <w:rsid w:val="00C93596"/>
    <w:rsid w:val="00C93639"/>
    <w:rsid w:val="00C938CF"/>
    <w:rsid w:val="00C93A37"/>
    <w:rsid w:val="00C94053"/>
    <w:rsid w:val="00C94185"/>
    <w:rsid w:val="00C951E0"/>
    <w:rsid w:val="00C95332"/>
    <w:rsid w:val="00C95413"/>
    <w:rsid w:val="00C95A8B"/>
    <w:rsid w:val="00C961E3"/>
    <w:rsid w:val="00C9624D"/>
    <w:rsid w:val="00C969DA"/>
    <w:rsid w:val="00C96EB5"/>
    <w:rsid w:val="00C97291"/>
    <w:rsid w:val="00C975D6"/>
    <w:rsid w:val="00CA01B7"/>
    <w:rsid w:val="00CA0279"/>
    <w:rsid w:val="00CA0496"/>
    <w:rsid w:val="00CA0660"/>
    <w:rsid w:val="00CA0836"/>
    <w:rsid w:val="00CA0B16"/>
    <w:rsid w:val="00CA1498"/>
    <w:rsid w:val="00CA1587"/>
    <w:rsid w:val="00CA19EA"/>
    <w:rsid w:val="00CA1A07"/>
    <w:rsid w:val="00CA23AE"/>
    <w:rsid w:val="00CA24A9"/>
    <w:rsid w:val="00CA2504"/>
    <w:rsid w:val="00CA2C77"/>
    <w:rsid w:val="00CA379B"/>
    <w:rsid w:val="00CA444F"/>
    <w:rsid w:val="00CA45D7"/>
    <w:rsid w:val="00CA48B0"/>
    <w:rsid w:val="00CA4A58"/>
    <w:rsid w:val="00CA4D33"/>
    <w:rsid w:val="00CA5245"/>
    <w:rsid w:val="00CA5820"/>
    <w:rsid w:val="00CA5AC1"/>
    <w:rsid w:val="00CA5BFF"/>
    <w:rsid w:val="00CA5EC7"/>
    <w:rsid w:val="00CA71F4"/>
    <w:rsid w:val="00CA7295"/>
    <w:rsid w:val="00CA7502"/>
    <w:rsid w:val="00CA78D3"/>
    <w:rsid w:val="00CA7B09"/>
    <w:rsid w:val="00CA7DC7"/>
    <w:rsid w:val="00CB060A"/>
    <w:rsid w:val="00CB109C"/>
    <w:rsid w:val="00CB12A5"/>
    <w:rsid w:val="00CB1CAC"/>
    <w:rsid w:val="00CB25ED"/>
    <w:rsid w:val="00CB2AF6"/>
    <w:rsid w:val="00CB2EF7"/>
    <w:rsid w:val="00CB2F2A"/>
    <w:rsid w:val="00CB300A"/>
    <w:rsid w:val="00CB37D1"/>
    <w:rsid w:val="00CB4374"/>
    <w:rsid w:val="00CB48BD"/>
    <w:rsid w:val="00CB4C8F"/>
    <w:rsid w:val="00CB57AB"/>
    <w:rsid w:val="00CB5991"/>
    <w:rsid w:val="00CB5B1A"/>
    <w:rsid w:val="00CB60D7"/>
    <w:rsid w:val="00CB6324"/>
    <w:rsid w:val="00CB64E7"/>
    <w:rsid w:val="00CB68FC"/>
    <w:rsid w:val="00CB6A44"/>
    <w:rsid w:val="00CB6A46"/>
    <w:rsid w:val="00CB6B22"/>
    <w:rsid w:val="00CB6C39"/>
    <w:rsid w:val="00CB6D1E"/>
    <w:rsid w:val="00CB707F"/>
    <w:rsid w:val="00CB74C0"/>
    <w:rsid w:val="00CB7610"/>
    <w:rsid w:val="00CB789E"/>
    <w:rsid w:val="00CB7A8F"/>
    <w:rsid w:val="00CB7ED9"/>
    <w:rsid w:val="00CB7F5F"/>
    <w:rsid w:val="00CC005A"/>
    <w:rsid w:val="00CC0433"/>
    <w:rsid w:val="00CC072D"/>
    <w:rsid w:val="00CC0970"/>
    <w:rsid w:val="00CC0992"/>
    <w:rsid w:val="00CC0A4B"/>
    <w:rsid w:val="00CC1B39"/>
    <w:rsid w:val="00CC1BFA"/>
    <w:rsid w:val="00CC1C1C"/>
    <w:rsid w:val="00CC21D6"/>
    <w:rsid w:val="00CC2517"/>
    <w:rsid w:val="00CC2976"/>
    <w:rsid w:val="00CC2E9F"/>
    <w:rsid w:val="00CC2FB3"/>
    <w:rsid w:val="00CC35EA"/>
    <w:rsid w:val="00CC383F"/>
    <w:rsid w:val="00CC3848"/>
    <w:rsid w:val="00CC44BF"/>
    <w:rsid w:val="00CC53DB"/>
    <w:rsid w:val="00CC578F"/>
    <w:rsid w:val="00CC6424"/>
    <w:rsid w:val="00CC6D5E"/>
    <w:rsid w:val="00CC6E26"/>
    <w:rsid w:val="00CC716F"/>
    <w:rsid w:val="00CC72BD"/>
    <w:rsid w:val="00CC7956"/>
    <w:rsid w:val="00CC7D9C"/>
    <w:rsid w:val="00CC7E88"/>
    <w:rsid w:val="00CD0200"/>
    <w:rsid w:val="00CD0700"/>
    <w:rsid w:val="00CD0D8A"/>
    <w:rsid w:val="00CD0FC2"/>
    <w:rsid w:val="00CD109C"/>
    <w:rsid w:val="00CD1274"/>
    <w:rsid w:val="00CD21B4"/>
    <w:rsid w:val="00CD27A6"/>
    <w:rsid w:val="00CD285B"/>
    <w:rsid w:val="00CD2C59"/>
    <w:rsid w:val="00CD2E2B"/>
    <w:rsid w:val="00CD35C3"/>
    <w:rsid w:val="00CD3F77"/>
    <w:rsid w:val="00CD4915"/>
    <w:rsid w:val="00CD5878"/>
    <w:rsid w:val="00CD65E2"/>
    <w:rsid w:val="00CD66F4"/>
    <w:rsid w:val="00CD6ADC"/>
    <w:rsid w:val="00CD6B97"/>
    <w:rsid w:val="00CD6BA3"/>
    <w:rsid w:val="00CD7042"/>
    <w:rsid w:val="00CD7171"/>
    <w:rsid w:val="00CD7193"/>
    <w:rsid w:val="00CD71AC"/>
    <w:rsid w:val="00CD76D6"/>
    <w:rsid w:val="00CD7CAA"/>
    <w:rsid w:val="00CE0365"/>
    <w:rsid w:val="00CE06B3"/>
    <w:rsid w:val="00CE1440"/>
    <w:rsid w:val="00CE1AAF"/>
    <w:rsid w:val="00CE1C68"/>
    <w:rsid w:val="00CE22F8"/>
    <w:rsid w:val="00CE23F1"/>
    <w:rsid w:val="00CE289C"/>
    <w:rsid w:val="00CE2D24"/>
    <w:rsid w:val="00CE3114"/>
    <w:rsid w:val="00CE35B3"/>
    <w:rsid w:val="00CE35C7"/>
    <w:rsid w:val="00CE38C8"/>
    <w:rsid w:val="00CE3C25"/>
    <w:rsid w:val="00CE406E"/>
    <w:rsid w:val="00CE4261"/>
    <w:rsid w:val="00CE448E"/>
    <w:rsid w:val="00CE4653"/>
    <w:rsid w:val="00CE4971"/>
    <w:rsid w:val="00CE4BAF"/>
    <w:rsid w:val="00CE51F8"/>
    <w:rsid w:val="00CE524F"/>
    <w:rsid w:val="00CE540B"/>
    <w:rsid w:val="00CE58CC"/>
    <w:rsid w:val="00CE59E2"/>
    <w:rsid w:val="00CE5DED"/>
    <w:rsid w:val="00CE6274"/>
    <w:rsid w:val="00CE6451"/>
    <w:rsid w:val="00CE66B7"/>
    <w:rsid w:val="00CE673D"/>
    <w:rsid w:val="00CE6ACD"/>
    <w:rsid w:val="00CE7125"/>
    <w:rsid w:val="00CE714A"/>
    <w:rsid w:val="00CE7385"/>
    <w:rsid w:val="00CE77B6"/>
    <w:rsid w:val="00CE7A28"/>
    <w:rsid w:val="00CE7C24"/>
    <w:rsid w:val="00CE7FE0"/>
    <w:rsid w:val="00CF0217"/>
    <w:rsid w:val="00CF0342"/>
    <w:rsid w:val="00CF0E14"/>
    <w:rsid w:val="00CF143D"/>
    <w:rsid w:val="00CF1952"/>
    <w:rsid w:val="00CF20FC"/>
    <w:rsid w:val="00CF238B"/>
    <w:rsid w:val="00CF29D5"/>
    <w:rsid w:val="00CF2B8D"/>
    <w:rsid w:val="00CF2FA2"/>
    <w:rsid w:val="00CF34B1"/>
    <w:rsid w:val="00CF39FB"/>
    <w:rsid w:val="00CF3A1B"/>
    <w:rsid w:val="00CF3D95"/>
    <w:rsid w:val="00CF3E80"/>
    <w:rsid w:val="00CF40A2"/>
    <w:rsid w:val="00CF4310"/>
    <w:rsid w:val="00CF456B"/>
    <w:rsid w:val="00CF4F08"/>
    <w:rsid w:val="00CF5349"/>
    <w:rsid w:val="00CF5587"/>
    <w:rsid w:val="00CF5A22"/>
    <w:rsid w:val="00CF650C"/>
    <w:rsid w:val="00CF6760"/>
    <w:rsid w:val="00CF6BF8"/>
    <w:rsid w:val="00CF7097"/>
    <w:rsid w:val="00CF720A"/>
    <w:rsid w:val="00CF7AD4"/>
    <w:rsid w:val="00D0057C"/>
    <w:rsid w:val="00D00F62"/>
    <w:rsid w:val="00D010A0"/>
    <w:rsid w:val="00D016F8"/>
    <w:rsid w:val="00D0262E"/>
    <w:rsid w:val="00D02748"/>
    <w:rsid w:val="00D02B69"/>
    <w:rsid w:val="00D02D2C"/>
    <w:rsid w:val="00D0323F"/>
    <w:rsid w:val="00D03679"/>
    <w:rsid w:val="00D03A71"/>
    <w:rsid w:val="00D03BAA"/>
    <w:rsid w:val="00D03E7C"/>
    <w:rsid w:val="00D03F04"/>
    <w:rsid w:val="00D042AD"/>
    <w:rsid w:val="00D045BC"/>
    <w:rsid w:val="00D04952"/>
    <w:rsid w:val="00D050DE"/>
    <w:rsid w:val="00D0517F"/>
    <w:rsid w:val="00D059BC"/>
    <w:rsid w:val="00D05E3D"/>
    <w:rsid w:val="00D05ED9"/>
    <w:rsid w:val="00D05FC1"/>
    <w:rsid w:val="00D06139"/>
    <w:rsid w:val="00D071DF"/>
    <w:rsid w:val="00D07357"/>
    <w:rsid w:val="00D07B4A"/>
    <w:rsid w:val="00D07EED"/>
    <w:rsid w:val="00D10E30"/>
    <w:rsid w:val="00D110BD"/>
    <w:rsid w:val="00D125BD"/>
    <w:rsid w:val="00D12F42"/>
    <w:rsid w:val="00D12FF0"/>
    <w:rsid w:val="00D131F2"/>
    <w:rsid w:val="00D132B8"/>
    <w:rsid w:val="00D1355F"/>
    <w:rsid w:val="00D13675"/>
    <w:rsid w:val="00D14114"/>
    <w:rsid w:val="00D141E1"/>
    <w:rsid w:val="00D1422E"/>
    <w:rsid w:val="00D144C5"/>
    <w:rsid w:val="00D14CB1"/>
    <w:rsid w:val="00D14DAB"/>
    <w:rsid w:val="00D1513D"/>
    <w:rsid w:val="00D1528E"/>
    <w:rsid w:val="00D15314"/>
    <w:rsid w:val="00D15392"/>
    <w:rsid w:val="00D1583C"/>
    <w:rsid w:val="00D15B45"/>
    <w:rsid w:val="00D15B48"/>
    <w:rsid w:val="00D15EDE"/>
    <w:rsid w:val="00D16ACE"/>
    <w:rsid w:val="00D172AA"/>
    <w:rsid w:val="00D17D6C"/>
    <w:rsid w:val="00D17EB9"/>
    <w:rsid w:val="00D200F4"/>
    <w:rsid w:val="00D20DD0"/>
    <w:rsid w:val="00D2155B"/>
    <w:rsid w:val="00D217D7"/>
    <w:rsid w:val="00D21853"/>
    <w:rsid w:val="00D21B90"/>
    <w:rsid w:val="00D22372"/>
    <w:rsid w:val="00D223B5"/>
    <w:rsid w:val="00D229F9"/>
    <w:rsid w:val="00D22B93"/>
    <w:rsid w:val="00D23D11"/>
    <w:rsid w:val="00D23F75"/>
    <w:rsid w:val="00D24449"/>
    <w:rsid w:val="00D244B6"/>
    <w:rsid w:val="00D24B4B"/>
    <w:rsid w:val="00D26092"/>
    <w:rsid w:val="00D26636"/>
    <w:rsid w:val="00D26845"/>
    <w:rsid w:val="00D26DF5"/>
    <w:rsid w:val="00D2720A"/>
    <w:rsid w:val="00D2754D"/>
    <w:rsid w:val="00D27B27"/>
    <w:rsid w:val="00D27BB6"/>
    <w:rsid w:val="00D27C5C"/>
    <w:rsid w:val="00D30415"/>
    <w:rsid w:val="00D3087A"/>
    <w:rsid w:val="00D308AF"/>
    <w:rsid w:val="00D30D5B"/>
    <w:rsid w:val="00D316CB"/>
    <w:rsid w:val="00D31CE1"/>
    <w:rsid w:val="00D3267B"/>
    <w:rsid w:val="00D339B1"/>
    <w:rsid w:val="00D33AD5"/>
    <w:rsid w:val="00D33BE9"/>
    <w:rsid w:val="00D33BEE"/>
    <w:rsid w:val="00D33D55"/>
    <w:rsid w:val="00D33F93"/>
    <w:rsid w:val="00D34143"/>
    <w:rsid w:val="00D34343"/>
    <w:rsid w:val="00D3528F"/>
    <w:rsid w:val="00D357FF"/>
    <w:rsid w:val="00D36003"/>
    <w:rsid w:val="00D360AE"/>
    <w:rsid w:val="00D3698C"/>
    <w:rsid w:val="00D36A85"/>
    <w:rsid w:val="00D36D9B"/>
    <w:rsid w:val="00D3711C"/>
    <w:rsid w:val="00D37572"/>
    <w:rsid w:val="00D377BF"/>
    <w:rsid w:val="00D37A84"/>
    <w:rsid w:val="00D37B8F"/>
    <w:rsid w:val="00D37D4F"/>
    <w:rsid w:val="00D37FCA"/>
    <w:rsid w:val="00D4050D"/>
    <w:rsid w:val="00D41252"/>
    <w:rsid w:val="00D4128A"/>
    <w:rsid w:val="00D41B1B"/>
    <w:rsid w:val="00D420E5"/>
    <w:rsid w:val="00D424C7"/>
    <w:rsid w:val="00D42803"/>
    <w:rsid w:val="00D42DC6"/>
    <w:rsid w:val="00D43003"/>
    <w:rsid w:val="00D43401"/>
    <w:rsid w:val="00D4348F"/>
    <w:rsid w:val="00D43B2A"/>
    <w:rsid w:val="00D43B8B"/>
    <w:rsid w:val="00D43CF1"/>
    <w:rsid w:val="00D43D83"/>
    <w:rsid w:val="00D4448F"/>
    <w:rsid w:val="00D45B82"/>
    <w:rsid w:val="00D45CB3"/>
    <w:rsid w:val="00D45E22"/>
    <w:rsid w:val="00D463BA"/>
    <w:rsid w:val="00D46651"/>
    <w:rsid w:val="00D466E6"/>
    <w:rsid w:val="00D46A0C"/>
    <w:rsid w:val="00D46ECF"/>
    <w:rsid w:val="00D46FF4"/>
    <w:rsid w:val="00D47575"/>
    <w:rsid w:val="00D479F0"/>
    <w:rsid w:val="00D47A20"/>
    <w:rsid w:val="00D47A33"/>
    <w:rsid w:val="00D47E0A"/>
    <w:rsid w:val="00D47EE1"/>
    <w:rsid w:val="00D50E37"/>
    <w:rsid w:val="00D51607"/>
    <w:rsid w:val="00D51680"/>
    <w:rsid w:val="00D51D4D"/>
    <w:rsid w:val="00D51EA2"/>
    <w:rsid w:val="00D5243B"/>
    <w:rsid w:val="00D528EC"/>
    <w:rsid w:val="00D52CD2"/>
    <w:rsid w:val="00D52E81"/>
    <w:rsid w:val="00D530C0"/>
    <w:rsid w:val="00D533EC"/>
    <w:rsid w:val="00D537D2"/>
    <w:rsid w:val="00D53D4B"/>
    <w:rsid w:val="00D54070"/>
    <w:rsid w:val="00D54402"/>
    <w:rsid w:val="00D55042"/>
    <w:rsid w:val="00D55373"/>
    <w:rsid w:val="00D5550C"/>
    <w:rsid w:val="00D55663"/>
    <w:rsid w:val="00D55D5D"/>
    <w:rsid w:val="00D56A95"/>
    <w:rsid w:val="00D56DFE"/>
    <w:rsid w:val="00D56F47"/>
    <w:rsid w:val="00D57395"/>
    <w:rsid w:val="00D578E9"/>
    <w:rsid w:val="00D57A06"/>
    <w:rsid w:val="00D57ABB"/>
    <w:rsid w:val="00D57B89"/>
    <w:rsid w:val="00D57C29"/>
    <w:rsid w:val="00D6076E"/>
    <w:rsid w:val="00D60D06"/>
    <w:rsid w:val="00D612BA"/>
    <w:rsid w:val="00D61F2C"/>
    <w:rsid w:val="00D62030"/>
    <w:rsid w:val="00D6250D"/>
    <w:rsid w:val="00D62532"/>
    <w:rsid w:val="00D625C9"/>
    <w:rsid w:val="00D62F57"/>
    <w:rsid w:val="00D631A1"/>
    <w:rsid w:val="00D63A54"/>
    <w:rsid w:val="00D63AAD"/>
    <w:rsid w:val="00D63E2A"/>
    <w:rsid w:val="00D655AE"/>
    <w:rsid w:val="00D65A6D"/>
    <w:rsid w:val="00D65C2F"/>
    <w:rsid w:val="00D66795"/>
    <w:rsid w:val="00D668F8"/>
    <w:rsid w:val="00D673DE"/>
    <w:rsid w:val="00D6755D"/>
    <w:rsid w:val="00D67A55"/>
    <w:rsid w:val="00D67AF8"/>
    <w:rsid w:val="00D67EB8"/>
    <w:rsid w:val="00D702A3"/>
    <w:rsid w:val="00D70831"/>
    <w:rsid w:val="00D709CF"/>
    <w:rsid w:val="00D70AA6"/>
    <w:rsid w:val="00D70F16"/>
    <w:rsid w:val="00D70F40"/>
    <w:rsid w:val="00D715C2"/>
    <w:rsid w:val="00D71614"/>
    <w:rsid w:val="00D7166B"/>
    <w:rsid w:val="00D71862"/>
    <w:rsid w:val="00D719B4"/>
    <w:rsid w:val="00D71D0F"/>
    <w:rsid w:val="00D72385"/>
    <w:rsid w:val="00D72617"/>
    <w:rsid w:val="00D729C3"/>
    <w:rsid w:val="00D72F57"/>
    <w:rsid w:val="00D731B7"/>
    <w:rsid w:val="00D73625"/>
    <w:rsid w:val="00D7370A"/>
    <w:rsid w:val="00D74198"/>
    <w:rsid w:val="00D742CE"/>
    <w:rsid w:val="00D74313"/>
    <w:rsid w:val="00D74D3F"/>
    <w:rsid w:val="00D74E5E"/>
    <w:rsid w:val="00D75395"/>
    <w:rsid w:val="00D75786"/>
    <w:rsid w:val="00D75F00"/>
    <w:rsid w:val="00D766A0"/>
    <w:rsid w:val="00D768C7"/>
    <w:rsid w:val="00D76A44"/>
    <w:rsid w:val="00D76DE9"/>
    <w:rsid w:val="00D77014"/>
    <w:rsid w:val="00D774E9"/>
    <w:rsid w:val="00D77B2F"/>
    <w:rsid w:val="00D77BAE"/>
    <w:rsid w:val="00D80438"/>
    <w:rsid w:val="00D80EFB"/>
    <w:rsid w:val="00D80FD7"/>
    <w:rsid w:val="00D812A3"/>
    <w:rsid w:val="00D814BE"/>
    <w:rsid w:val="00D815EF"/>
    <w:rsid w:val="00D81949"/>
    <w:rsid w:val="00D81EA5"/>
    <w:rsid w:val="00D81EB1"/>
    <w:rsid w:val="00D81F26"/>
    <w:rsid w:val="00D822E2"/>
    <w:rsid w:val="00D82639"/>
    <w:rsid w:val="00D82879"/>
    <w:rsid w:val="00D83494"/>
    <w:rsid w:val="00D84220"/>
    <w:rsid w:val="00D8428F"/>
    <w:rsid w:val="00D843F2"/>
    <w:rsid w:val="00D8443D"/>
    <w:rsid w:val="00D84513"/>
    <w:rsid w:val="00D84EEC"/>
    <w:rsid w:val="00D85E0B"/>
    <w:rsid w:val="00D86231"/>
    <w:rsid w:val="00D87884"/>
    <w:rsid w:val="00D87886"/>
    <w:rsid w:val="00D87989"/>
    <w:rsid w:val="00D87D5A"/>
    <w:rsid w:val="00D87E8B"/>
    <w:rsid w:val="00D87F59"/>
    <w:rsid w:val="00D87F87"/>
    <w:rsid w:val="00D87F98"/>
    <w:rsid w:val="00D903EC"/>
    <w:rsid w:val="00D9050D"/>
    <w:rsid w:val="00D9079D"/>
    <w:rsid w:val="00D90AA1"/>
    <w:rsid w:val="00D90D97"/>
    <w:rsid w:val="00D912AB"/>
    <w:rsid w:val="00D91923"/>
    <w:rsid w:val="00D91CE2"/>
    <w:rsid w:val="00D9233E"/>
    <w:rsid w:val="00D929FE"/>
    <w:rsid w:val="00D92A85"/>
    <w:rsid w:val="00D92ADA"/>
    <w:rsid w:val="00D92FB1"/>
    <w:rsid w:val="00D9302D"/>
    <w:rsid w:val="00D93310"/>
    <w:rsid w:val="00D93753"/>
    <w:rsid w:val="00D93EA8"/>
    <w:rsid w:val="00D9493A"/>
    <w:rsid w:val="00D94DFC"/>
    <w:rsid w:val="00D95176"/>
    <w:rsid w:val="00D951DD"/>
    <w:rsid w:val="00D953FB"/>
    <w:rsid w:val="00D9542B"/>
    <w:rsid w:val="00D95BAD"/>
    <w:rsid w:val="00D961A9"/>
    <w:rsid w:val="00D9623A"/>
    <w:rsid w:val="00D9657E"/>
    <w:rsid w:val="00D96844"/>
    <w:rsid w:val="00D97030"/>
    <w:rsid w:val="00D97722"/>
    <w:rsid w:val="00D97797"/>
    <w:rsid w:val="00D97A84"/>
    <w:rsid w:val="00D97B5B"/>
    <w:rsid w:val="00DA1124"/>
    <w:rsid w:val="00DA1BB2"/>
    <w:rsid w:val="00DA2644"/>
    <w:rsid w:val="00DA2810"/>
    <w:rsid w:val="00DA295B"/>
    <w:rsid w:val="00DA2A15"/>
    <w:rsid w:val="00DA3167"/>
    <w:rsid w:val="00DA33B1"/>
    <w:rsid w:val="00DA41F6"/>
    <w:rsid w:val="00DA429C"/>
    <w:rsid w:val="00DA4498"/>
    <w:rsid w:val="00DA4DC3"/>
    <w:rsid w:val="00DA677D"/>
    <w:rsid w:val="00DA74AE"/>
    <w:rsid w:val="00DA75CF"/>
    <w:rsid w:val="00DA75E3"/>
    <w:rsid w:val="00DA765A"/>
    <w:rsid w:val="00DA76D3"/>
    <w:rsid w:val="00DA77A5"/>
    <w:rsid w:val="00DA7E69"/>
    <w:rsid w:val="00DB02EE"/>
    <w:rsid w:val="00DB0A5E"/>
    <w:rsid w:val="00DB0C59"/>
    <w:rsid w:val="00DB0E36"/>
    <w:rsid w:val="00DB152A"/>
    <w:rsid w:val="00DB1B60"/>
    <w:rsid w:val="00DB1D1A"/>
    <w:rsid w:val="00DB244C"/>
    <w:rsid w:val="00DB2C09"/>
    <w:rsid w:val="00DB2D61"/>
    <w:rsid w:val="00DB2E15"/>
    <w:rsid w:val="00DB3059"/>
    <w:rsid w:val="00DB3C99"/>
    <w:rsid w:val="00DB3DBF"/>
    <w:rsid w:val="00DB446F"/>
    <w:rsid w:val="00DB484F"/>
    <w:rsid w:val="00DB486C"/>
    <w:rsid w:val="00DB510B"/>
    <w:rsid w:val="00DB659D"/>
    <w:rsid w:val="00DB6CD9"/>
    <w:rsid w:val="00DB6D7B"/>
    <w:rsid w:val="00DB6F1A"/>
    <w:rsid w:val="00DB7856"/>
    <w:rsid w:val="00DC04F6"/>
    <w:rsid w:val="00DC0690"/>
    <w:rsid w:val="00DC089B"/>
    <w:rsid w:val="00DC11FA"/>
    <w:rsid w:val="00DC12F9"/>
    <w:rsid w:val="00DC136D"/>
    <w:rsid w:val="00DC1753"/>
    <w:rsid w:val="00DC1D65"/>
    <w:rsid w:val="00DC2863"/>
    <w:rsid w:val="00DC29CD"/>
    <w:rsid w:val="00DC3C57"/>
    <w:rsid w:val="00DC3F10"/>
    <w:rsid w:val="00DC3F3C"/>
    <w:rsid w:val="00DC5501"/>
    <w:rsid w:val="00DC5DE4"/>
    <w:rsid w:val="00DC5E18"/>
    <w:rsid w:val="00DC5EE5"/>
    <w:rsid w:val="00DC5FF7"/>
    <w:rsid w:val="00DC602F"/>
    <w:rsid w:val="00DC6888"/>
    <w:rsid w:val="00DC7154"/>
    <w:rsid w:val="00DC7565"/>
    <w:rsid w:val="00DC7CE1"/>
    <w:rsid w:val="00DC7E8A"/>
    <w:rsid w:val="00DD08EF"/>
    <w:rsid w:val="00DD0F78"/>
    <w:rsid w:val="00DD244A"/>
    <w:rsid w:val="00DD273C"/>
    <w:rsid w:val="00DD2D28"/>
    <w:rsid w:val="00DD3327"/>
    <w:rsid w:val="00DD3F28"/>
    <w:rsid w:val="00DD3FF3"/>
    <w:rsid w:val="00DD4191"/>
    <w:rsid w:val="00DD4446"/>
    <w:rsid w:val="00DD4537"/>
    <w:rsid w:val="00DD4E15"/>
    <w:rsid w:val="00DD4FC0"/>
    <w:rsid w:val="00DD5028"/>
    <w:rsid w:val="00DD58D3"/>
    <w:rsid w:val="00DD596D"/>
    <w:rsid w:val="00DD5A99"/>
    <w:rsid w:val="00DD5F53"/>
    <w:rsid w:val="00DD65B3"/>
    <w:rsid w:val="00DD66B2"/>
    <w:rsid w:val="00DD7664"/>
    <w:rsid w:val="00DD7872"/>
    <w:rsid w:val="00DD7880"/>
    <w:rsid w:val="00DD7AC7"/>
    <w:rsid w:val="00DE046E"/>
    <w:rsid w:val="00DE0D1D"/>
    <w:rsid w:val="00DE0F37"/>
    <w:rsid w:val="00DE1448"/>
    <w:rsid w:val="00DE1565"/>
    <w:rsid w:val="00DE1605"/>
    <w:rsid w:val="00DE17C5"/>
    <w:rsid w:val="00DE2304"/>
    <w:rsid w:val="00DE2646"/>
    <w:rsid w:val="00DE29B5"/>
    <w:rsid w:val="00DE3138"/>
    <w:rsid w:val="00DE3183"/>
    <w:rsid w:val="00DE318E"/>
    <w:rsid w:val="00DE37C0"/>
    <w:rsid w:val="00DE37F8"/>
    <w:rsid w:val="00DE3AB2"/>
    <w:rsid w:val="00DE3D6E"/>
    <w:rsid w:val="00DE4273"/>
    <w:rsid w:val="00DE4FCB"/>
    <w:rsid w:val="00DE57A5"/>
    <w:rsid w:val="00DE5D07"/>
    <w:rsid w:val="00DE6020"/>
    <w:rsid w:val="00DE615C"/>
    <w:rsid w:val="00DE69FE"/>
    <w:rsid w:val="00DE6D24"/>
    <w:rsid w:val="00DE72A7"/>
    <w:rsid w:val="00DE73A4"/>
    <w:rsid w:val="00DE7832"/>
    <w:rsid w:val="00DE79F6"/>
    <w:rsid w:val="00DE7CDB"/>
    <w:rsid w:val="00DF025D"/>
    <w:rsid w:val="00DF095A"/>
    <w:rsid w:val="00DF09A9"/>
    <w:rsid w:val="00DF12FC"/>
    <w:rsid w:val="00DF18FC"/>
    <w:rsid w:val="00DF19D1"/>
    <w:rsid w:val="00DF1C2B"/>
    <w:rsid w:val="00DF1FEC"/>
    <w:rsid w:val="00DF2362"/>
    <w:rsid w:val="00DF2528"/>
    <w:rsid w:val="00DF284C"/>
    <w:rsid w:val="00DF2856"/>
    <w:rsid w:val="00DF2B23"/>
    <w:rsid w:val="00DF35E5"/>
    <w:rsid w:val="00DF3689"/>
    <w:rsid w:val="00DF3920"/>
    <w:rsid w:val="00DF3AD1"/>
    <w:rsid w:val="00DF4265"/>
    <w:rsid w:val="00DF4A24"/>
    <w:rsid w:val="00DF5615"/>
    <w:rsid w:val="00DF5C0C"/>
    <w:rsid w:val="00DF5C6B"/>
    <w:rsid w:val="00DF5D2B"/>
    <w:rsid w:val="00DF5E51"/>
    <w:rsid w:val="00DF5E7D"/>
    <w:rsid w:val="00DF6341"/>
    <w:rsid w:val="00DF66B4"/>
    <w:rsid w:val="00DF67AA"/>
    <w:rsid w:val="00DF69B6"/>
    <w:rsid w:val="00DF6E67"/>
    <w:rsid w:val="00DF777E"/>
    <w:rsid w:val="00DF7BF8"/>
    <w:rsid w:val="00DF7C8B"/>
    <w:rsid w:val="00DF7D7F"/>
    <w:rsid w:val="00DF7FDA"/>
    <w:rsid w:val="00E000AE"/>
    <w:rsid w:val="00E007F0"/>
    <w:rsid w:val="00E00CA5"/>
    <w:rsid w:val="00E00E8E"/>
    <w:rsid w:val="00E00FB2"/>
    <w:rsid w:val="00E01270"/>
    <w:rsid w:val="00E012B0"/>
    <w:rsid w:val="00E013E4"/>
    <w:rsid w:val="00E01E68"/>
    <w:rsid w:val="00E01F22"/>
    <w:rsid w:val="00E02C21"/>
    <w:rsid w:val="00E02D3C"/>
    <w:rsid w:val="00E0377F"/>
    <w:rsid w:val="00E038BB"/>
    <w:rsid w:val="00E039E9"/>
    <w:rsid w:val="00E04275"/>
    <w:rsid w:val="00E04568"/>
    <w:rsid w:val="00E046EE"/>
    <w:rsid w:val="00E04743"/>
    <w:rsid w:val="00E04D38"/>
    <w:rsid w:val="00E04FEB"/>
    <w:rsid w:val="00E05630"/>
    <w:rsid w:val="00E0576E"/>
    <w:rsid w:val="00E05D46"/>
    <w:rsid w:val="00E06157"/>
    <w:rsid w:val="00E06411"/>
    <w:rsid w:val="00E06B97"/>
    <w:rsid w:val="00E06DBB"/>
    <w:rsid w:val="00E06E66"/>
    <w:rsid w:val="00E06E77"/>
    <w:rsid w:val="00E07D1B"/>
    <w:rsid w:val="00E07D9F"/>
    <w:rsid w:val="00E07EB7"/>
    <w:rsid w:val="00E10149"/>
    <w:rsid w:val="00E10CB0"/>
    <w:rsid w:val="00E10FE0"/>
    <w:rsid w:val="00E111C1"/>
    <w:rsid w:val="00E11340"/>
    <w:rsid w:val="00E1160F"/>
    <w:rsid w:val="00E116D9"/>
    <w:rsid w:val="00E11D3C"/>
    <w:rsid w:val="00E122A1"/>
    <w:rsid w:val="00E124F9"/>
    <w:rsid w:val="00E12565"/>
    <w:rsid w:val="00E12D28"/>
    <w:rsid w:val="00E12D35"/>
    <w:rsid w:val="00E1315D"/>
    <w:rsid w:val="00E13213"/>
    <w:rsid w:val="00E13545"/>
    <w:rsid w:val="00E144CC"/>
    <w:rsid w:val="00E14B32"/>
    <w:rsid w:val="00E15494"/>
    <w:rsid w:val="00E15BE5"/>
    <w:rsid w:val="00E15E4F"/>
    <w:rsid w:val="00E15F8F"/>
    <w:rsid w:val="00E16372"/>
    <w:rsid w:val="00E1642D"/>
    <w:rsid w:val="00E164CF"/>
    <w:rsid w:val="00E16AD8"/>
    <w:rsid w:val="00E16B02"/>
    <w:rsid w:val="00E16C53"/>
    <w:rsid w:val="00E16DD4"/>
    <w:rsid w:val="00E1772B"/>
    <w:rsid w:val="00E17BC7"/>
    <w:rsid w:val="00E17E42"/>
    <w:rsid w:val="00E17FF6"/>
    <w:rsid w:val="00E17FFA"/>
    <w:rsid w:val="00E2072D"/>
    <w:rsid w:val="00E20A53"/>
    <w:rsid w:val="00E20E4D"/>
    <w:rsid w:val="00E20ED6"/>
    <w:rsid w:val="00E21358"/>
    <w:rsid w:val="00E215A2"/>
    <w:rsid w:val="00E21F1C"/>
    <w:rsid w:val="00E22239"/>
    <w:rsid w:val="00E2249B"/>
    <w:rsid w:val="00E22A0D"/>
    <w:rsid w:val="00E22F00"/>
    <w:rsid w:val="00E23B44"/>
    <w:rsid w:val="00E23D6B"/>
    <w:rsid w:val="00E23E30"/>
    <w:rsid w:val="00E242F2"/>
    <w:rsid w:val="00E243BC"/>
    <w:rsid w:val="00E244F6"/>
    <w:rsid w:val="00E24666"/>
    <w:rsid w:val="00E24B60"/>
    <w:rsid w:val="00E253A1"/>
    <w:rsid w:val="00E258DB"/>
    <w:rsid w:val="00E25B55"/>
    <w:rsid w:val="00E25B62"/>
    <w:rsid w:val="00E25C17"/>
    <w:rsid w:val="00E25EE8"/>
    <w:rsid w:val="00E267ED"/>
    <w:rsid w:val="00E26D08"/>
    <w:rsid w:val="00E27573"/>
    <w:rsid w:val="00E2763B"/>
    <w:rsid w:val="00E276DC"/>
    <w:rsid w:val="00E2771E"/>
    <w:rsid w:val="00E27CEC"/>
    <w:rsid w:val="00E27CF3"/>
    <w:rsid w:val="00E27F27"/>
    <w:rsid w:val="00E3036E"/>
    <w:rsid w:val="00E3038D"/>
    <w:rsid w:val="00E303C4"/>
    <w:rsid w:val="00E304C7"/>
    <w:rsid w:val="00E30751"/>
    <w:rsid w:val="00E30E1E"/>
    <w:rsid w:val="00E311EF"/>
    <w:rsid w:val="00E32180"/>
    <w:rsid w:val="00E329F1"/>
    <w:rsid w:val="00E32EDF"/>
    <w:rsid w:val="00E33027"/>
    <w:rsid w:val="00E33154"/>
    <w:rsid w:val="00E337CA"/>
    <w:rsid w:val="00E34140"/>
    <w:rsid w:val="00E34948"/>
    <w:rsid w:val="00E34AF6"/>
    <w:rsid w:val="00E36D84"/>
    <w:rsid w:val="00E37569"/>
    <w:rsid w:val="00E37E1F"/>
    <w:rsid w:val="00E401B2"/>
    <w:rsid w:val="00E408DF"/>
    <w:rsid w:val="00E410CA"/>
    <w:rsid w:val="00E41E30"/>
    <w:rsid w:val="00E42A5D"/>
    <w:rsid w:val="00E42C2F"/>
    <w:rsid w:val="00E42F73"/>
    <w:rsid w:val="00E43370"/>
    <w:rsid w:val="00E43B7C"/>
    <w:rsid w:val="00E43D70"/>
    <w:rsid w:val="00E441C4"/>
    <w:rsid w:val="00E44560"/>
    <w:rsid w:val="00E447FA"/>
    <w:rsid w:val="00E44D1F"/>
    <w:rsid w:val="00E45796"/>
    <w:rsid w:val="00E466F3"/>
    <w:rsid w:val="00E46931"/>
    <w:rsid w:val="00E46DB6"/>
    <w:rsid w:val="00E46E44"/>
    <w:rsid w:val="00E47405"/>
    <w:rsid w:val="00E4796F"/>
    <w:rsid w:val="00E47B2C"/>
    <w:rsid w:val="00E47EBE"/>
    <w:rsid w:val="00E514D3"/>
    <w:rsid w:val="00E51560"/>
    <w:rsid w:val="00E51821"/>
    <w:rsid w:val="00E529D7"/>
    <w:rsid w:val="00E52E2C"/>
    <w:rsid w:val="00E530C4"/>
    <w:rsid w:val="00E533CE"/>
    <w:rsid w:val="00E537EF"/>
    <w:rsid w:val="00E53FC8"/>
    <w:rsid w:val="00E541F0"/>
    <w:rsid w:val="00E54347"/>
    <w:rsid w:val="00E55424"/>
    <w:rsid w:val="00E55718"/>
    <w:rsid w:val="00E55751"/>
    <w:rsid w:val="00E55915"/>
    <w:rsid w:val="00E55BB5"/>
    <w:rsid w:val="00E55F17"/>
    <w:rsid w:val="00E560BA"/>
    <w:rsid w:val="00E56CDC"/>
    <w:rsid w:val="00E56DEF"/>
    <w:rsid w:val="00E5729C"/>
    <w:rsid w:val="00E5761A"/>
    <w:rsid w:val="00E578E1"/>
    <w:rsid w:val="00E57C24"/>
    <w:rsid w:val="00E600CD"/>
    <w:rsid w:val="00E601C0"/>
    <w:rsid w:val="00E6021C"/>
    <w:rsid w:val="00E60826"/>
    <w:rsid w:val="00E60878"/>
    <w:rsid w:val="00E60F3C"/>
    <w:rsid w:val="00E611DF"/>
    <w:rsid w:val="00E611EF"/>
    <w:rsid w:val="00E61778"/>
    <w:rsid w:val="00E61CF4"/>
    <w:rsid w:val="00E61D87"/>
    <w:rsid w:val="00E62B81"/>
    <w:rsid w:val="00E62C0D"/>
    <w:rsid w:val="00E63648"/>
    <w:rsid w:val="00E63CB5"/>
    <w:rsid w:val="00E64123"/>
    <w:rsid w:val="00E64F02"/>
    <w:rsid w:val="00E650C5"/>
    <w:rsid w:val="00E65180"/>
    <w:rsid w:val="00E6558E"/>
    <w:rsid w:val="00E65686"/>
    <w:rsid w:val="00E659C3"/>
    <w:rsid w:val="00E65E79"/>
    <w:rsid w:val="00E66499"/>
    <w:rsid w:val="00E66BA2"/>
    <w:rsid w:val="00E6703E"/>
    <w:rsid w:val="00E6710A"/>
    <w:rsid w:val="00E67416"/>
    <w:rsid w:val="00E67603"/>
    <w:rsid w:val="00E67E67"/>
    <w:rsid w:val="00E700FA"/>
    <w:rsid w:val="00E7055A"/>
    <w:rsid w:val="00E70B8E"/>
    <w:rsid w:val="00E70E72"/>
    <w:rsid w:val="00E7130F"/>
    <w:rsid w:val="00E718B6"/>
    <w:rsid w:val="00E723BA"/>
    <w:rsid w:val="00E72A19"/>
    <w:rsid w:val="00E72C23"/>
    <w:rsid w:val="00E72C69"/>
    <w:rsid w:val="00E7330C"/>
    <w:rsid w:val="00E73581"/>
    <w:rsid w:val="00E73F56"/>
    <w:rsid w:val="00E74073"/>
    <w:rsid w:val="00E740B5"/>
    <w:rsid w:val="00E74B38"/>
    <w:rsid w:val="00E7510D"/>
    <w:rsid w:val="00E76694"/>
    <w:rsid w:val="00E7697B"/>
    <w:rsid w:val="00E76E83"/>
    <w:rsid w:val="00E776A6"/>
    <w:rsid w:val="00E800E3"/>
    <w:rsid w:val="00E804D6"/>
    <w:rsid w:val="00E80892"/>
    <w:rsid w:val="00E809FD"/>
    <w:rsid w:val="00E822CA"/>
    <w:rsid w:val="00E8248E"/>
    <w:rsid w:val="00E833F7"/>
    <w:rsid w:val="00E834F2"/>
    <w:rsid w:val="00E837F0"/>
    <w:rsid w:val="00E83968"/>
    <w:rsid w:val="00E83A99"/>
    <w:rsid w:val="00E83BDF"/>
    <w:rsid w:val="00E840E8"/>
    <w:rsid w:val="00E846EB"/>
    <w:rsid w:val="00E84CE5"/>
    <w:rsid w:val="00E84FC9"/>
    <w:rsid w:val="00E85547"/>
    <w:rsid w:val="00E8599E"/>
    <w:rsid w:val="00E85CD1"/>
    <w:rsid w:val="00E85E43"/>
    <w:rsid w:val="00E8602A"/>
    <w:rsid w:val="00E86565"/>
    <w:rsid w:val="00E86BDA"/>
    <w:rsid w:val="00E86FCC"/>
    <w:rsid w:val="00E8732E"/>
    <w:rsid w:val="00E876DE"/>
    <w:rsid w:val="00E87A1D"/>
    <w:rsid w:val="00E9056A"/>
    <w:rsid w:val="00E9094A"/>
    <w:rsid w:val="00E90B17"/>
    <w:rsid w:val="00E90B51"/>
    <w:rsid w:val="00E90CE8"/>
    <w:rsid w:val="00E90E55"/>
    <w:rsid w:val="00E91925"/>
    <w:rsid w:val="00E91BF5"/>
    <w:rsid w:val="00E91D35"/>
    <w:rsid w:val="00E91F09"/>
    <w:rsid w:val="00E924D7"/>
    <w:rsid w:val="00E926A5"/>
    <w:rsid w:val="00E93F38"/>
    <w:rsid w:val="00E9442D"/>
    <w:rsid w:val="00E94CEB"/>
    <w:rsid w:val="00E9542D"/>
    <w:rsid w:val="00E95835"/>
    <w:rsid w:val="00E95CA0"/>
    <w:rsid w:val="00E95E85"/>
    <w:rsid w:val="00E962CC"/>
    <w:rsid w:val="00E963B7"/>
    <w:rsid w:val="00E964A5"/>
    <w:rsid w:val="00E977D6"/>
    <w:rsid w:val="00E97937"/>
    <w:rsid w:val="00EA0507"/>
    <w:rsid w:val="00EA070A"/>
    <w:rsid w:val="00EA084E"/>
    <w:rsid w:val="00EA0FA4"/>
    <w:rsid w:val="00EA17C3"/>
    <w:rsid w:val="00EA1A67"/>
    <w:rsid w:val="00EA1A80"/>
    <w:rsid w:val="00EA2041"/>
    <w:rsid w:val="00EA2A4D"/>
    <w:rsid w:val="00EA2B0C"/>
    <w:rsid w:val="00EA2CAA"/>
    <w:rsid w:val="00EA2E98"/>
    <w:rsid w:val="00EA3864"/>
    <w:rsid w:val="00EA399B"/>
    <w:rsid w:val="00EA3E39"/>
    <w:rsid w:val="00EA46E2"/>
    <w:rsid w:val="00EA4B91"/>
    <w:rsid w:val="00EA5912"/>
    <w:rsid w:val="00EA5BAA"/>
    <w:rsid w:val="00EA7BBE"/>
    <w:rsid w:val="00EA7F1C"/>
    <w:rsid w:val="00EB0CD3"/>
    <w:rsid w:val="00EB15B6"/>
    <w:rsid w:val="00EB1FB0"/>
    <w:rsid w:val="00EB214B"/>
    <w:rsid w:val="00EB2AD5"/>
    <w:rsid w:val="00EB2B50"/>
    <w:rsid w:val="00EB2D12"/>
    <w:rsid w:val="00EB2D69"/>
    <w:rsid w:val="00EB2EF1"/>
    <w:rsid w:val="00EB3758"/>
    <w:rsid w:val="00EB3D06"/>
    <w:rsid w:val="00EB3EB7"/>
    <w:rsid w:val="00EB4051"/>
    <w:rsid w:val="00EB4626"/>
    <w:rsid w:val="00EB46C7"/>
    <w:rsid w:val="00EB4708"/>
    <w:rsid w:val="00EB4916"/>
    <w:rsid w:val="00EB4B32"/>
    <w:rsid w:val="00EB4C50"/>
    <w:rsid w:val="00EB505B"/>
    <w:rsid w:val="00EB5219"/>
    <w:rsid w:val="00EB5524"/>
    <w:rsid w:val="00EB5CB4"/>
    <w:rsid w:val="00EB5D2A"/>
    <w:rsid w:val="00EB627C"/>
    <w:rsid w:val="00EB65CC"/>
    <w:rsid w:val="00EB6E7D"/>
    <w:rsid w:val="00EB7370"/>
    <w:rsid w:val="00EB7A25"/>
    <w:rsid w:val="00EB7C1B"/>
    <w:rsid w:val="00EB7D16"/>
    <w:rsid w:val="00EC00C9"/>
    <w:rsid w:val="00EC07C2"/>
    <w:rsid w:val="00EC0DD9"/>
    <w:rsid w:val="00EC108B"/>
    <w:rsid w:val="00EC1A74"/>
    <w:rsid w:val="00EC20A5"/>
    <w:rsid w:val="00EC20BA"/>
    <w:rsid w:val="00EC2649"/>
    <w:rsid w:val="00EC2753"/>
    <w:rsid w:val="00EC28BC"/>
    <w:rsid w:val="00EC30F6"/>
    <w:rsid w:val="00EC31ED"/>
    <w:rsid w:val="00EC3270"/>
    <w:rsid w:val="00EC3E5B"/>
    <w:rsid w:val="00EC3FB4"/>
    <w:rsid w:val="00EC468B"/>
    <w:rsid w:val="00EC4940"/>
    <w:rsid w:val="00EC499D"/>
    <w:rsid w:val="00EC5836"/>
    <w:rsid w:val="00EC5C15"/>
    <w:rsid w:val="00EC5D99"/>
    <w:rsid w:val="00EC688C"/>
    <w:rsid w:val="00EC7376"/>
    <w:rsid w:val="00EC7731"/>
    <w:rsid w:val="00EC7E1E"/>
    <w:rsid w:val="00ED0071"/>
    <w:rsid w:val="00ED01BB"/>
    <w:rsid w:val="00ED0261"/>
    <w:rsid w:val="00ED0806"/>
    <w:rsid w:val="00ED12E3"/>
    <w:rsid w:val="00ED1AD7"/>
    <w:rsid w:val="00ED24AC"/>
    <w:rsid w:val="00ED24B6"/>
    <w:rsid w:val="00ED2732"/>
    <w:rsid w:val="00ED28E9"/>
    <w:rsid w:val="00ED292A"/>
    <w:rsid w:val="00ED2999"/>
    <w:rsid w:val="00ED2AB5"/>
    <w:rsid w:val="00ED3B9C"/>
    <w:rsid w:val="00ED407A"/>
    <w:rsid w:val="00ED470A"/>
    <w:rsid w:val="00ED479B"/>
    <w:rsid w:val="00ED4B04"/>
    <w:rsid w:val="00ED4D28"/>
    <w:rsid w:val="00ED5365"/>
    <w:rsid w:val="00ED57D5"/>
    <w:rsid w:val="00ED57EA"/>
    <w:rsid w:val="00ED5861"/>
    <w:rsid w:val="00ED5BD4"/>
    <w:rsid w:val="00ED5F0D"/>
    <w:rsid w:val="00ED5F6B"/>
    <w:rsid w:val="00ED63DB"/>
    <w:rsid w:val="00ED688A"/>
    <w:rsid w:val="00ED6921"/>
    <w:rsid w:val="00ED6BBF"/>
    <w:rsid w:val="00ED6F95"/>
    <w:rsid w:val="00ED728B"/>
    <w:rsid w:val="00EE07D3"/>
    <w:rsid w:val="00EE0922"/>
    <w:rsid w:val="00EE0EDC"/>
    <w:rsid w:val="00EE11F8"/>
    <w:rsid w:val="00EE1346"/>
    <w:rsid w:val="00EE1924"/>
    <w:rsid w:val="00EE1996"/>
    <w:rsid w:val="00EE1999"/>
    <w:rsid w:val="00EE1B71"/>
    <w:rsid w:val="00EE1C01"/>
    <w:rsid w:val="00EE22AF"/>
    <w:rsid w:val="00EE230B"/>
    <w:rsid w:val="00EE24A3"/>
    <w:rsid w:val="00EE271E"/>
    <w:rsid w:val="00EE2932"/>
    <w:rsid w:val="00EE36FE"/>
    <w:rsid w:val="00EE3C11"/>
    <w:rsid w:val="00EE3E9D"/>
    <w:rsid w:val="00EE40EE"/>
    <w:rsid w:val="00EE41C1"/>
    <w:rsid w:val="00EE432D"/>
    <w:rsid w:val="00EE4F66"/>
    <w:rsid w:val="00EE5268"/>
    <w:rsid w:val="00EE60DB"/>
    <w:rsid w:val="00EE6504"/>
    <w:rsid w:val="00EE6DDD"/>
    <w:rsid w:val="00EE76CF"/>
    <w:rsid w:val="00EF0171"/>
    <w:rsid w:val="00EF1AAF"/>
    <w:rsid w:val="00EF1B23"/>
    <w:rsid w:val="00EF1B25"/>
    <w:rsid w:val="00EF1DA0"/>
    <w:rsid w:val="00EF2846"/>
    <w:rsid w:val="00EF3A1E"/>
    <w:rsid w:val="00EF3C2D"/>
    <w:rsid w:val="00EF40E4"/>
    <w:rsid w:val="00EF4747"/>
    <w:rsid w:val="00EF49D1"/>
    <w:rsid w:val="00EF4BF8"/>
    <w:rsid w:val="00EF4C76"/>
    <w:rsid w:val="00EF5870"/>
    <w:rsid w:val="00EF5BEB"/>
    <w:rsid w:val="00EF6564"/>
    <w:rsid w:val="00EF69F4"/>
    <w:rsid w:val="00EF6CA7"/>
    <w:rsid w:val="00EF6DED"/>
    <w:rsid w:val="00F00635"/>
    <w:rsid w:val="00F00B34"/>
    <w:rsid w:val="00F00DFF"/>
    <w:rsid w:val="00F0141D"/>
    <w:rsid w:val="00F0181B"/>
    <w:rsid w:val="00F0193C"/>
    <w:rsid w:val="00F02090"/>
    <w:rsid w:val="00F02245"/>
    <w:rsid w:val="00F02253"/>
    <w:rsid w:val="00F023DE"/>
    <w:rsid w:val="00F02F24"/>
    <w:rsid w:val="00F02FBE"/>
    <w:rsid w:val="00F0378F"/>
    <w:rsid w:val="00F03C2E"/>
    <w:rsid w:val="00F03D85"/>
    <w:rsid w:val="00F04A66"/>
    <w:rsid w:val="00F04B4B"/>
    <w:rsid w:val="00F0516C"/>
    <w:rsid w:val="00F054F5"/>
    <w:rsid w:val="00F0554C"/>
    <w:rsid w:val="00F058DA"/>
    <w:rsid w:val="00F06725"/>
    <w:rsid w:val="00F067A2"/>
    <w:rsid w:val="00F07433"/>
    <w:rsid w:val="00F07854"/>
    <w:rsid w:val="00F07B9E"/>
    <w:rsid w:val="00F07C5F"/>
    <w:rsid w:val="00F10EEA"/>
    <w:rsid w:val="00F1116F"/>
    <w:rsid w:val="00F1159D"/>
    <w:rsid w:val="00F117D5"/>
    <w:rsid w:val="00F11DBA"/>
    <w:rsid w:val="00F11F0D"/>
    <w:rsid w:val="00F11FC0"/>
    <w:rsid w:val="00F1263A"/>
    <w:rsid w:val="00F127A1"/>
    <w:rsid w:val="00F132CA"/>
    <w:rsid w:val="00F13566"/>
    <w:rsid w:val="00F13801"/>
    <w:rsid w:val="00F13845"/>
    <w:rsid w:val="00F1387B"/>
    <w:rsid w:val="00F139C5"/>
    <w:rsid w:val="00F13DAC"/>
    <w:rsid w:val="00F13E07"/>
    <w:rsid w:val="00F1452A"/>
    <w:rsid w:val="00F14602"/>
    <w:rsid w:val="00F146C6"/>
    <w:rsid w:val="00F14DCA"/>
    <w:rsid w:val="00F14EBF"/>
    <w:rsid w:val="00F14FE0"/>
    <w:rsid w:val="00F15322"/>
    <w:rsid w:val="00F15349"/>
    <w:rsid w:val="00F153C2"/>
    <w:rsid w:val="00F157D1"/>
    <w:rsid w:val="00F15B77"/>
    <w:rsid w:val="00F15DC1"/>
    <w:rsid w:val="00F1656D"/>
    <w:rsid w:val="00F17647"/>
    <w:rsid w:val="00F207B2"/>
    <w:rsid w:val="00F20E6E"/>
    <w:rsid w:val="00F210F1"/>
    <w:rsid w:val="00F21236"/>
    <w:rsid w:val="00F212A4"/>
    <w:rsid w:val="00F2141C"/>
    <w:rsid w:val="00F2152E"/>
    <w:rsid w:val="00F224A0"/>
    <w:rsid w:val="00F22594"/>
    <w:rsid w:val="00F22828"/>
    <w:rsid w:val="00F2309B"/>
    <w:rsid w:val="00F233E0"/>
    <w:rsid w:val="00F237E5"/>
    <w:rsid w:val="00F239DF"/>
    <w:rsid w:val="00F23EA5"/>
    <w:rsid w:val="00F2474F"/>
    <w:rsid w:val="00F24837"/>
    <w:rsid w:val="00F2491D"/>
    <w:rsid w:val="00F24942"/>
    <w:rsid w:val="00F24F81"/>
    <w:rsid w:val="00F2575F"/>
    <w:rsid w:val="00F26A5D"/>
    <w:rsid w:val="00F26B58"/>
    <w:rsid w:val="00F27565"/>
    <w:rsid w:val="00F2771C"/>
    <w:rsid w:val="00F300F8"/>
    <w:rsid w:val="00F30981"/>
    <w:rsid w:val="00F310D4"/>
    <w:rsid w:val="00F31969"/>
    <w:rsid w:val="00F319CB"/>
    <w:rsid w:val="00F31B8C"/>
    <w:rsid w:val="00F31D5A"/>
    <w:rsid w:val="00F32099"/>
    <w:rsid w:val="00F3223D"/>
    <w:rsid w:val="00F32A93"/>
    <w:rsid w:val="00F32FDD"/>
    <w:rsid w:val="00F3333A"/>
    <w:rsid w:val="00F33489"/>
    <w:rsid w:val="00F33492"/>
    <w:rsid w:val="00F337F6"/>
    <w:rsid w:val="00F33975"/>
    <w:rsid w:val="00F33CE8"/>
    <w:rsid w:val="00F33DE9"/>
    <w:rsid w:val="00F3459C"/>
    <w:rsid w:val="00F3461E"/>
    <w:rsid w:val="00F34BEA"/>
    <w:rsid w:val="00F34C05"/>
    <w:rsid w:val="00F34E23"/>
    <w:rsid w:val="00F34F12"/>
    <w:rsid w:val="00F352D4"/>
    <w:rsid w:val="00F35343"/>
    <w:rsid w:val="00F353C4"/>
    <w:rsid w:val="00F358FF"/>
    <w:rsid w:val="00F35E6D"/>
    <w:rsid w:val="00F3619A"/>
    <w:rsid w:val="00F36338"/>
    <w:rsid w:val="00F36D59"/>
    <w:rsid w:val="00F36ED3"/>
    <w:rsid w:val="00F37577"/>
    <w:rsid w:val="00F377FE"/>
    <w:rsid w:val="00F40169"/>
    <w:rsid w:val="00F40186"/>
    <w:rsid w:val="00F40641"/>
    <w:rsid w:val="00F40AAA"/>
    <w:rsid w:val="00F40BA7"/>
    <w:rsid w:val="00F40F9D"/>
    <w:rsid w:val="00F41838"/>
    <w:rsid w:val="00F418D1"/>
    <w:rsid w:val="00F4191D"/>
    <w:rsid w:val="00F41A02"/>
    <w:rsid w:val="00F41ACD"/>
    <w:rsid w:val="00F421ED"/>
    <w:rsid w:val="00F42512"/>
    <w:rsid w:val="00F42736"/>
    <w:rsid w:val="00F42E36"/>
    <w:rsid w:val="00F43FCD"/>
    <w:rsid w:val="00F459E5"/>
    <w:rsid w:val="00F46B58"/>
    <w:rsid w:val="00F46CB6"/>
    <w:rsid w:val="00F47187"/>
    <w:rsid w:val="00F4756D"/>
    <w:rsid w:val="00F47DE8"/>
    <w:rsid w:val="00F47F00"/>
    <w:rsid w:val="00F501A0"/>
    <w:rsid w:val="00F5023E"/>
    <w:rsid w:val="00F50329"/>
    <w:rsid w:val="00F50454"/>
    <w:rsid w:val="00F50459"/>
    <w:rsid w:val="00F504D6"/>
    <w:rsid w:val="00F50502"/>
    <w:rsid w:val="00F510BF"/>
    <w:rsid w:val="00F5175F"/>
    <w:rsid w:val="00F51885"/>
    <w:rsid w:val="00F51B13"/>
    <w:rsid w:val="00F51D40"/>
    <w:rsid w:val="00F51DE4"/>
    <w:rsid w:val="00F51EA4"/>
    <w:rsid w:val="00F51F59"/>
    <w:rsid w:val="00F52208"/>
    <w:rsid w:val="00F522B0"/>
    <w:rsid w:val="00F5256A"/>
    <w:rsid w:val="00F52901"/>
    <w:rsid w:val="00F52A6F"/>
    <w:rsid w:val="00F535B3"/>
    <w:rsid w:val="00F53C12"/>
    <w:rsid w:val="00F542C1"/>
    <w:rsid w:val="00F54DBE"/>
    <w:rsid w:val="00F54F1C"/>
    <w:rsid w:val="00F550C7"/>
    <w:rsid w:val="00F550E3"/>
    <w:rsid w:val="00F551A9"/>
    <w:rsid w:val="00F553BE"/>
    <w:rsid w:val="00F553E5"/>
    <w:rsid w:val="00F55DA2"/>
    <w:rsid w:val="00F55E73"/>
    <w:rsid w:val="00F55EDA"/>
    <w:rsid w:val="00F5615C"/>
    <w:rsid w:val="00F56183"/>
    <w:rsid w:val="00F561CC"/>
    <w:rsid w:val="00F5622B"/>
    <w:rsid w:val="00F564CB"/>
    <w:rsid w:val="00F5666B"/>
    <w:rsid w:val="00F56C80"/>
    <w:rsid w:val="00F56EE1"/>
    <w:rsid w:val="00F5754C"/>
    <w:rsid w:val="00F5761C"/>
    <w:rsid w:val="00F57635"/>
    <w:rsid w:val="00F57D38"/>
    <w:rsid w:val="00F60092"/>
    <w:rsid w:val="00F60166"/>
    <w:rsid w:val="00F601E7"/>
    <w:rsid w:val="00F609E3"/>
    <w:rsid w:val="00F61137"/>
    <w:rsid w:val="00F61BA8"/>
    <w:rsid w:val="00F61C18"/>
    <w:rsid w:val="00F62934"/>
    <w:rsid w:val="00F63342"/>
    <w:rsid w:val="00F639F5"/>
    <w:rsid w:val="00F6417C"/>
    <w:rsid w:val="00F643CC"/>
    <w:rsid w:val="00F6462D"/>
    <w:rsid w:val="00F65656"/>
    <w:rsid w:val="00F65F4B"/>
    <w:rsid w:val="00F661E8"/>
    <w:rsid w:val="00F66223"/>
    <w:rsid w:val="00F66899"/>
    <w:rsid w:val="00F66926"/>
    <w:rsid w:val="00F671DA"/>
    <w:rsid w:val="00F675ED"/>
    <w:rsid w:val="00F67A69"/>
    <w:rsid w:val="00F67BBE"/>
    <w:rsid w:val="00F70036"/>
    <w:rsid w:val="00F70784"/>
    <w:rsid w:val="00F709E3"/>
    <w:rsid w:val="00F70BFF"/>
    <w:rsid w:val="00F70C9D"/>
    <w:rsid w:val="00F70DC9"/>
    <w:rsid w:val="00F712DF"/>
    <w:rsid w:val="00F716BA"/>
    <w:rsid w:val="00F72128"/>
    <w:rsid w:val="00F72694"/>
    <w:rsid w:val="00F726AE"/>
    <w:rsid w:val="00F72901"/>
    <w:rsid w:val="00F73B5C"/>
    <w:rsid w:val="00F73E08"/>
    <w:rsid w:val="00F748EA"/>
    <w:rsid w:val="00F74BB4"/>
    <w:rsid w:val="00F74CD9"/>
    <w:rsid w:val="00F74DC1"/>
    <w:rsid w:val="00F74E5F"/>
    <w:rsid w:val="00F76128"/>
    <w:rsid w:val="00F7627C"/>
    <w:rsid w:val="00F76427"/>
    <w:rsid w:val="00F76A58"/>
    <w:rsid w:val="00F76BFE"/>
    <w:rsid w:val="00F76D9A"/>
    <w:rsid w:val="00F76E46"/>
    <w:rsid w:val="00F76EDA"/>
    <w:rsid w:val="00F770C5"/>
    <w:rsid w:val="00F7717E"/>
    <w:rsid w:val="00F771C9"/>
    <w:rsid w:val="00F77B30"/>
    <w:rsid w:val="00F77CB7"/>
    <w:rsid w:val="00F77E4D"/>
    <w:rsid w:val="00F77FCD"/>
    <w:rsid w:val="00F8020B"/>
    <w:rsid w:val="00F80A7B"/>
    <w:rsid w:val="00F80E5D"/>
    <w:rsid w:val="00F81041"/>
    <w:rsid w:val="00F8107E"/>
    <w:rsid w:val="00F8144B"/>
    <w:rsid w:val="00F817E8"/>
    <w:rsid w:val="00F8195E"/>
    <w:rsid w:val="00F819D0"/>
    <w:rsid w:val="00F81B08"/>
    <w:rsid w:val="00F81E78"/>
    <w:rsid w:val="00F81F3E"/>
    <w:rsid w:val="00F82370"/>
    <w:rsid w:val="00F83916"/>
    <w:rsid w:val="00F84344"/>
    <w:rsid w:val="00F84FA0"/>
    <w:rsid w:val="00F851CE"/>
    <w:rsid w:val="00F852C2"/>
    <w:rsid w:val="00F858F1"/>
    <w:rsid w:val="00F85D8E"/>
    <w:rsid w:val="00F8640A"/>
    <w:rsid w:val="00F870D5"/>
    <w:rsid w:val="00F87870"/>
    <w:rsid w:val="00F879B6"/>
    <w:rsid w:val="00F87C60"/>
    <w:rsid w:val="00F87D59"/>
    <w:rsid w:val="00F902D8"/>
    <w:rsid w:val="00F90551"/>
    <w:rsid w:val="00F905E3"/>
    <w:rsid w:val="00F90B10"/>
    <w:rsid w:val="00F90E35"/>
    <w:rsid w:val="00F90EA5"/>
    <w:rsid w:val="00F91219"/>
    <w:rsid w:val="00F917BC"/>
    <w:rsid w:val="00F918D8"/>
    <w:rsid w:val="00F91CBE"/>
    <w:rsid w:val="00F9217D"/>
    <w:rsid w:val="00F921C5"/>
    <w:rsid w:val="00F92444"/>
    <w:rsid w:val="00F926CA"/>
    <w:rsid w:val="00F92D89"/>
    <w:rsid w:val="00F92FB9"/>
    <w:rsid w:val="00F932E1"/>
    <w:rsid w:val="00F9393E"/>
    <w:rsid w:val="00F93F93"/>
    <w:rsid w:val="00F94159"/>
    <w:rsid w:val="00F941F2"/>
    <w:rsid w:val="00F94225"/>
    <w:rsid w:val="00F94447"/>
    <w:rsid w:val="00F9455F"/>
    <w:rsid w:val="00F9461F"/>
    <w:rsid w:val="00F94C0F"/>
    <w:rsid w:val="00F94CCC"/>
    <w:rsid w:val="00F94D96"/>
    <w:rsid w:val="00F95938"/>
    <w:rsid w:val="00F95F7D"/>
    <w:rsid w:val="00F9607D"/>
    <w:rsid w:val="00F9657C"/>
    <w:rsid w:val="00F96FD0"/>
    <w:rsid w:val="00F97A78"/>
    <w:rsid w:val="00F97E3A"/>
    <w:rsid w:val="00F97E50"/>
    <w:rsid w:val="00FA02F3"/>
    <w:rsid w:val="00FA09F5"/>
    <w:rsid w:val="00FA0B20"/>
    <w:rsid w:val="00FA0DBE"/>
    <w:rsid w:val="00FA11E7"/>
    <w:rsid w:val="00FA137D"/>
    <w:rsid w:val="00FA1A47"/>
    <w:rsid w:val="00FA2030"/>
    <w:rsid w:val="00FA2152"/>
    <w:rsid w:val="00FA24E4"/>
    <w:rsid w:val="00FA24E7"/>
    <w:rsid w:val="00FA25B1"/>
    <w:rsid w:val="00FA3333"/>
    <w:rsid w:val="00FA4033"/>
    <w:rsid w:val="00FA438E"/>
    <w:rsid w:val="00FA48F1"/>
    <w:rsid w:val="00FA5B0D"/>
    <w:rsid w:val="00FA5EE6"/>
    <w:rsid w:val="00FA5F33"/>
    <w:rsid w:val="00FA653D"/>
    <w:rsid w:val="00FA685D"/>
    <w:rsid w:val="00FA7956"/>
    <w:rsid w:val="00FB0824"/>
    <w:rsid w:val="00FB09DB"/>
    <w:rsid w:val="00FB0A08"/>
    <w:rsid w:val="00FB0C29"/>
    <w:rsid w:val="00FB0E9A"/>
    <w:rsid w:val="00FB112F"/>
    <w:rsid w:val="00FB11DD"/>
    <w:rsid w:val="00FB1266"/>
    <w:rsid w:val="00FB1456"/>
    <w:rsid w:val="00FB19CE"/>
    <w:rsid w:val="00FB216C"/>
    <w:rsid w:val="00FB2FCB"/>
    <w:rsid w:val="00FB368B"/>
    <w:rsid w:val="00FB381F"/>
    <w:rsid w:val="00FB3B81"/>
    <w:rsid w:val="00FB3E3A"/>
    <w:rsid w:val="00FB3E6F"/>
    <w:rsid w:val="00FB415E"/>
    <w:rsid w:val="00FB44FF"/>
    <w:rsid w:val="00FB458C"/>
    <w:rsid w:val="00FB4C89"/>
    <w:rsid w:val="00FB4C9C"/>
    <w:rsid w:val="00FB5205"/>
    <w:rsid w:val="00FB53DF"/>
    <w:rsid w:val="00FB54FE"/>
    <w:rsid w:val="00FB5632"/>
    <w:rsid w:val="00FB568E"/>
    <w:rsid w:val="00FB56D3"/>
    <w:rsid w:val="00FB5FED"/>
    <w:rsid w:val="00FB638B"/>
    <w:rsid w:val="00FB657D"/>
    <w:rsid w:val="00FB6E9F"/>
    <w:rsid w:val="00FB6FAD"/>
    <w:rsid w:val="00FB7C55"/>
    <w:rsid w:val="00FB7D0A"/>
    <w:rsid w:val="00FC02A7"/>
    <w:rsid w:val="00FC0A88"/>
    <w:rsid w:val="00FC0D51"/>
    <w:rsid w:val="00FC0DC5"/>
    <w:rsid w:val="00FC1074"/>
    <w:rsid w:val="00FC1869"/>
    <w:rsid w:val="00FC1884"/>
    <w:rsid w:val="00FC2149"/>
    <w:rsid w:val="00FC2452"/>
    <w:rsid w:val="00FC25D0"/>
    <w:rsid w:val="00FC2A28"/>
    <w:rsid w:val="00FC371D"/>
    <w:rsid w:val="00FC3917"/>
    <w:rsid w:val="00FC395E"/>
    <w:rsid w:val="00FC3D51"/>
    <w:rsid w:val="00FC418A"/>
    <w:rsid w:val="00FC4E9C"/>
    <w:rsid w:val="00FC5335"/>
    <w:rsid w:val="00FC5CE9"/>
    <w:rsid w:val="00FC5F0B"/>
    <w:rsid w:val="00FC61FA"/>
    <w:rsid w:val="00FC6879"/>
    <w:rsid w:val="00FC6C2A"/>
    <w:rsid w:val="00FC6E99"/>
    <w:rsid w:val="00FC71A2"/>
    <w:rsid w:val="00FC76E7"/>
    <w:rsid w:val="00FD0094"/>
    <w:rsid w:val="00FD0980"/>
    <w:rsid w:val="00FD195D"/>
    <w:rsid w:val="00FD1A7C"/>
    <w:rsid w:val="00FD1F64"/>
    <w:rsid w:val="00FD1FAE"/>
    <w:rsid w:val="00FD209E"/>
    <w:rsid w:val="00FD2100"/>
    <w:rsid w:val="00FD3960"/>
    <w:rsid w:val="00FD39E0"/>
    <w:rsid w:val="00FD39ED"/>
    <w:rsid w:val="00FD3BC6"/>
    <w:rsid w:val="00FD436C"/>
    <w:rsid w:val="00FD43D5"/>
    <w:rsid w:val="00FD446D"/>
    <w:rsid w:val="00FD4BD1"/>
    <w:rsid w:val="00FD4F2C"/>
    <w:rsid w:val="00FD538A"/>
    <w:rsid w:val="00FD54F3"/>
    <w:rsid w:val="00FD5A7D"/>
    <w:rsid w:val="00FD6394"/>
    <w:rsid w:val="00FD64F9"/>
    <w:rsid w:val="00FD6830"/>
    <w:rsid w:val="00FD691B"/>
    <w:rsid w:val="00FD6AE2"/>
    <w:rsid w:val="00FD729A"/>
    <w:rsid w:val="00FD7C13"/>
    <w:rsid w:val="00FE00CA"/>
    <w:rsid w:val="00FE0231"/>
    <w:rsid w:val="00FE0846"/>
    <w:rsid w:val="00FE08B8"/>
    <w:rsid w:val="00FE0E6C"/>
    <w:rsid w:val="00FE17DA"/>
    <w:rsid w:val="00FE17F8"/>
    <w:rsid w:val="00FE1CDC"/>
    <w:rsid w:val="00FE2407"/>
    <w:rsid w:val="00FE2871"/>
    <w:rsid w:val="00FE287C"/>
    <w:rsid w:val="00FE2928"/>
    <w:rsid w:val="00FE2D32"/>
    <w:rsid w:val="00FE300D"/>
    <w:rsid w:val="00FE3A2F"/>
    <w:rsid w:val="00FE4F33"/>
    <w:rsid w:val="00FE64DD"/>
    <w:rsid w:val="00FE6EC3"/>
    <w:rsid w:val="00FE708A"/>
    <w:rsid w:val="00FE70C3"/>
    <w:rsid w:val="00FE7258"/>
    <w:rsid w:val="00FE7570"/>
    <w:rsid w:val="00FE757B"/>
    <w:rsid w:val="00FF0446"/>
    <w:rsid w:val="00FF0DD1"/>
    <w:rsid w:val="00FF1A8B"/>
    <w:rsid w:val="00FF1BEA"/>
    <w:rsid w:val="00FF1F9D"/>
    <w:rsid w:val="00FF1FE7"/>
    <w:rsid w:val="00FF21A9"/>
    <w:rsid w:val="00FF24B6"/>
    <w:rsid w:val="00FF263C"/>
    <w:rsid w:val="00FF26C9"/>
    <w:rsid w:val="00FF281F"/>
    <w:rsid w:val="00FF294D"/>
    <w:rsid w:val="00FF2AD9"/>
    <w:rsid w:val="00FF359F"/>
    <w:rsid w:val="00FF39BF"/>
    <w:rsid w:val="00FF3DCF"/>
    <w:rsid w:val="00FF3FCE"/>
    <w:rsid w:val="00FF40C4"/>
    <w:rsid w:val="00FF415D"/>
    <w:rsid w:val="00FF43AA"/>
    <w:rsid w:val="00FF4466"/>
    <w:rsid w:val="00FF492C"/>
    <w:rsid w:val="00FF4A21"/>
    <w:rsid w:val="00FF4A73"/>
    <w:rsid w:val="00FF4EAE"/>
    <w:rsid w:val="00FF5821"/>
    <w:rsid w:val="00FF5AA3"/>
    <w:rsid w:val="00FF5AD8"/>
    <w:rsid w:val="00FF5FA0"/>
    <w:rsid w:val="00FF6281"/>
    <w:rsid w:val="00FF654F"/>
    <w:rsid w:val="00FF6837"/>
    <w:rsid w:val="00FF6B08"/>
    <w:rsid w:val="00FF6F76"/>
    <w:rsid w:val="00FF7137"/>
    <w:rsid w:val="00FF7F9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115B"/>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 Char,Char,Caption Char1, Char,figure,Caption-FUSA,! Q"/>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 Char Char2,Char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L"/>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MSD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Table HEADER PBAC,-H18"/>
    <w:uiPriority w:val="99"/>
    <w:qFormat/>
    <w:rsid w:val="001E30D4"/>
    <w:rPr>
      <w:rFonts w:ascii="Arial Narrow" w:hAnsi="Arial Narrow"/>
      <w:b/>
      <w:sz w:val="20"/>
      <w:szCs w:val="16"/>
    </w:rPr>
  </w:style>
  <w:style w:type="paragraph" w:customStyle="1" w:styleId="Tabletext">
    <w:name w:val="Table text"/>
    <w:basedOn w:val="Normal"/>
    <w:link w:val="TabletextChar"/>
    <w:uiPriority w:val="4"/>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4"/>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Comment Text Char2,Comment Text Char Char1,Comment Text Char2 Char Char,Comment Text Char Char1 Char Char,Comment Text Char2 Char Char Char Char,Comment Text Char1 Char Char Char Char1 Char,Comment Text Char Char Char"/>
    <w:basedOn w:val="Normal"/>
    <w:link w:val="CommentTextChar"/>
    <w:qFormat/>
    <w:rsid w:val="00FD2100"/>
    <w:rPr>
      <w:rFonts w:ascii="Times New Roman" w:hAnsi="Times New Roman" w:cs="Times New Roman"/>
      <w:sz w:val="20"/>
    </w:rPr>
  </w:style>
  <w:style w:type="character" w:customStyle="1" w:styleId="CommentTextChar">
    <w:name w:val="Comment Text Char"/>
    <w:aliases w:val="- H19 Char,Comment Text Char2 Char,Comment Text Char Char1 Char,Comment Text Char2 Char Char Char,Comment Text Char Char1 Char Char Char,Comment Text Char2 Char Char Char Char Char,Comment Text Char1 Char Char Char Char1 Char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rsid w:val="00EE1996"/>
    <w:pPr>
      <w:numPr>
        <w:numId w:val="5"/>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7"/>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
    <w:name w:val="Table"/>
    <w:basedOn w:val="Normal"/>
    <w:link w:val="TableChar"/>
    <w:qFormat/>
    <w:rsid w:val="00EB6E7D"/>
    <w:pPr>
      <w:jc w:val="left"/>
    </w:pPr>
    <w:rPr>
      <w:rFonts w:eastAsiaTheme="minorHAnsi" w:cstheme="minorHAnsi"/>
      <w:sz w:val="18"/>
      <w:szCs w:val="18"/>
      <w:lang w:eastAsia="en-US"/>
    </w:rPr>
  </w:style>
  <w:style w:type="character" w:customStyle="1" w:styleId="TableChar">
    <w:name w:val="Table Char"/>
    <w:basedOn w:val="DefaultParagraphFont"/>
    <w:link w:val="Table"/>
    <w:rsid w:val="00EB6E7D"/>
    <w:rPr>
      <w:rFonts w:ascii="Calibri" w:eastAsiaTheme="minorHAnsi" w:hAnsi="Calibri" w:cstheme="minorHAnsi"/>
      <w:sz w:val="18"/>
      <w:szCs w:val="18"/>
      <w:lang w:eastAsia="en-US"/>
    </w:rPr>
  </w:style>
  <w:style w:type="paragraph" w:customStyle="1" w:styleId="Tablecaption">
    <w:name w:val="Table caption"/>
    <w:basedOn w:val="Caption"/>
    <w:link w:val="TablecaptionChar"/>
    <w:rsid w:val="001E1BFA"/>
    <w:pPr>
      <w:keepLines w:val="0"/>
      <w:spacing w:after="40" w:line="259" w:lineRule="auto"/>
      <w:ind w:left="851" w:hanging="851"/>
    </w:pPr>
    <w:rPr>
      <w:rFonts w:eastAsiaTheme="minorHAnsi"/>
      <w:iCs/>
      <w:sz w:val="22"/>
      <w:szCs w:val="24"/>
      <w:lang w:eastAsia="en-US"/>
    </w:rPr>
  </w:style>
  <w:style w:type="character" w:customStyle="1" w:styleId="TablecaptionChar">
    <w:name w:val="Table caption Char"/>
    <w:basedOn w:val="DefaultParagraphFont"/>
    <w:link w:val="Tablecaption"/>
    <w:rsid w:val="001E1BFA"/>
    <w:rPr>
      <w:rFonts w:ascii="Arial Narrow" w:eastAsiaTheme="minorHAnsi" w:hAnsi="Arial Narrow" w:cs="Arial"/>
      <w:b/>
      <w:bCs/>
      <w:iCs/>
      <w:sz w:val="22"/>
      <w:szCs w:val="24"/>
      <w:lang w:eastAsia="en-US"/>
    </w:rPr>
  </w:style>
  <w:style w:type="paragraph" w:customStyle="1" w:styleId="Tablenotes">
    <w:name w:val="Table notes"/>
    <w:basedOn w:val="Normal"/>
    <w:link w:val="TablenotesChar"/>
    <w:rsid w:val="001E1BFA"/>
    <w:pPr>
      <w:spacing w:after="240" w:line="259" w:lineRule="auto"/>
      <w:contextualSpacing/>
      <w:jc w:val="left"/>
    </w:pPr>
    <w:rPr>
      <w:rFonts w:ascii="Arial Narrow" w:eastAsiaTheme="minorHAnsi" w:hAnsi="Arial Narrow"/>
      <w:sz w:val="20"/>
      <w:szCs w:val="22"/>
      <w:lang w:eastAsia="en-US"/>
    </w:rPr>
  </w:style>
  <w:style w:type="character" w:customStyle="1" w:styleId="TablenotesChar">
    <w:name w:val="Table notes Char"/>
    <w:basedOn w:val="DefaultParagraphFont"/>
    <w:link w:val="Tablenotes"/>
    <w:rsid w:val="001E1BFA"/>
    <w:rPr>
      <w:rFonts w:ascii="Arial Narrow" w:eastAsiaTheme="minorHAnsi" w:hAnsi="Arial Narrow" w:cs="Arial"/>
      <w:szCs w:val="22"/>
      <w:lang w:eastAsia="en-US"/>
    </w:rPr>
  </w:style>
  <w:style w:type="paragraph" w:customStyle="1" w:styleId="2Sections">
    <w:name w:val="2. Sections"/>
    <w:qFormat/>
    <w:rsid w:val="005055AD"/>
    <w:pPr>
      <w:spacing w:before="240" w:after="120"/>
      <w:ind w:left="720" w:hanging="720"/>
      <w:outlineLvl w:val="0"/>
    </w:pPr>
    <w:rPr>
      <w:rFonts w:asciiTheme="minorHAnsi" w:hAnsiTheme="minorHAnsi" w:cs="Arial"/>
      <w:b/>
      <w:snapToGrid w:val="0"/>
      <w:sz w:val="32"/>
      <w:szCs w:val="32"/>
      <w:lang w:eastAsia="en-US"/>
    </w:rPr>
  </w:style>
  <w:style w:type="paragraph" w:customStyle="1" w:styleId="4Bodytextnumbered">
    <w:name w:val="4. Body text numbered"/>
    <w:basedOn w:val="ListParagraph"/>
    <w:qFormat/>
    <w:rsid w:val="005055AD"/>
    <w:pPr>
      <w:numPr>
        <w:numId w:val="0"/>
      </w:numPr>
      <w:tabs>
        <w:tab w:val="num" w:pos="360"/>
      </w:tabs>
      <w:ind w:left="720"/>
    </w:pPr>
    <w:rPr>
      <w:rFonts w:eastAsiaTheme="minorHAnsi" w:cstheme="minorBidi"/>
      <w:snapToGrid/>
      <w:szCs w:val="22"/>
      <w:lang w:eastAsia="en-US"/>
    </w:rPr>
  </w:style>
  <w:style w:type="paragraph" w:styleId="FootnoteText">
    <w:name w:val="footnote text"/>
    <w:aliases w:val="Footnote Text Char Char,Footnote Text Char2,Footnote Text Char Char1"/>
    <w:basedOn w:val="Normal"/>
    <w:link w:val="FootnoteTextChar"/>
    <w:unhideWhenUsed/>
    <w:rsid w:val="005E34AB"/>
    <w:rPr>
      <w:sz w:val="20"/>
      <w:szCs w:val="20"/>
    </w:rPr>
  </w:style>
  <w:style w:type="character" w:customStyle="1" w:styleId="FootnoteTextChar">
    <w:name w:val="Footnote Text Char"/>
    <w:aliases w:val="Footnote Text Char Char Char,Footnote Text Char2 Char,Footnote Text Char Char1 Char"/>
    <w:basedOn w:val="DefaultParagraphFont"/>
    <w:link w:val="FootnoteText"/>
    <w:rsid w:val="005E34AB"/>
    <w:rPr>
      <w:rFonts w:ascii="Calibri" w:hAnsi="Calibri" w:cs="Arial"/>
    </w:rPr>
  </w:style>
  <w:style w:type="character" w:styleId="FootnoteReference">
    <w:name w:val="footnote reference"/>
    <w:basedOn w:val="DefaultParagraphFont"/>
    <w:unhideWhenUsed/>
    <w:rsid w:val="005E34AB"/>
    <w:rPr>
      <w:vertAlign w:val="superscript"/>
    </w:rPr>
  </w:style>
  <w:style w:type="character" w:styleId="UnresolvedMention">
    <w:name w:val="Unresolved Mention"/>
    <w:basedOn w:val="DefaultParagraphFont"/>
    <w:uiPriority w:val="99"/>
    <w:semiHidden/>
    <w:unhideWhenUsed/>
    <w:rsid w:val="00E000AE"/>
    <w:rPr>
      <w:color w:val="605E5C"/>
      <w:shd w:val="clear" w:color="auto" w:fill="E1DFDD"/>
    </w:rPr>
  </w:style>
  <w:style w:type="character" w:customStyle="1" w:styleId="normaltextrun">
    <w:name w:val="normaltextrun"/>
    <w:basedOn w:val="DefaultParagraphFont"/>
    <w:rsid w:val="006B62FB"/>
  </w:style>
  <w:style w:type="character" w:styleId="PlaceholderText">
    <w:name w:val="Placeholder Text"/>
    <w:basedOn w:val="DefaultParagraphFont"/>
    <w:uiPriority w:val="99"/>
    <w:semiHidden/>
    <w:rsid w:val="00492283"/>
    <w:rPr>
      <w:color w:val="808080"/>
    </w:rPr>
  </w:style>
  <w:style w:type="paragraph" w:styleId="EndnoteText">
    <w:name w:val="endnote text"/>
    <w:basedOn w:val="Normal"/>
    <w:link w:val="EndnoteTextChar"/>
    <w:uiPriority w:val="99"/>
    <w:unhideWhenUsed/>
    <w:rsid w:val="008E2E3F"/>
    <w:rPr>
      <w:sz w:val="20"/>
      <w:szCs w:val="20"/>
    </w:rPr>
  </w:style>
  <w:style w:type="character" w:customStyle="1" w:styleId="EndnoteTextChar">
    <w:name w:val="Endnote Text Char"/>
    <w:basedOn w:val="DefaultParagraphFont"/>
    <w:link w:val="EndnoteText"/>
    <w:uiPriority w:val="99"/>
    <w:rsid w:val="008E2E3F"/>
    <w:rPr>
      <w:rFonts w:ascii="Calibri" w:hAnsi="Calibri" w:cs="Arial"/>
    </w:rPr>
  </w:style>
  <w:style w:type="character" w:styleId="EndnoteReference">
    <w:name w:val="endnote reference"/>
    <w:basedOn w:val="DefaultParagraphFont"/>
    <w:unhideWhenUsed/>
    <w:rsid w:val="008E2E3F"/>
    <w:rPr>
      <w:vertAlign w:val="superscript"/>
    </w:rPr>
  </w:style>
  <w:style w:type="table" w:customStyle="1" w:styleId="TableGrid1">
    <w:name w:val="Table Grid1"/>
    <w:basedOn w:val="TableNormal"/>
    <w:next w:val="TableGrid"/>
    <w:uiPriority w:val="59"/>
    <w:rsid w:val="000619CC"/>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ersonalName">
    <w:name w:val="Personal Name"/>
    <w:basedOn w:val="Title"/>
    <w:qFormat/>
    <w:rsid w:val="000523A1"/>
    <w:pPr>
      <w:spacing w:before="0" w:after="480"/>
      <w:contextualSpacing/>
      <w:jc w:val="left"/>
      <w:outlineLvl w:val="9"/>
    </w:pPr>
    <w:rPr>
      <w:rFonts w:ascii="Calibri" w:eastAsiaTheme="majorEastAsia" w:hAnsi="Calibri" w:cstheme="majorBidi"/>
      <w:b w:val="0"/>
      <w:caps/>
      <w:color w:val="000000"/>
      <w:kern w:val="32"/>
      <w:sz w:val="28"/>
      <w:szCs w:val="28"/>
      <w:lang w:eastAsia="en-US"/>
    </w:rPr>
  </w:style>
  <w:style w:type="character" w:customStyle="1" w:styleId="cf01">
    <w:name w:val="cf01"/>
    <w:basedOn w:val="DefaultParagraphFont"/>
    <w:rsid w:val="00241F0B"/>
    <w:rPr>
      <w:rFonts w:ascii="Segoe UI" w:hAnsi="Segoe UI" w:cs="Segoe UI" w:hint="default"/>
      <w:sz w:val="18"/>
      <w:szCs w:val="18"/>
    </w:rPr>
  </w:style>
  <w:style w:type="paragraph" w:customStyle="1" w:styleId="COMexecsumnumberedpara">
    <w:name w:val="COM exec sum numbered para"/>
    <w:basedOn w:val="ListParagraph"/>
    <w:link w:val="COMexecsumnumberedparaChar"/>
    <w:qFormat/>
    <w:rsid w:val="00CE7FE0"/>
    <w:pPr>
      <w:numPr>
        <w:numId w:val="0"/>
      </w:numPr>
      <w:ind w:left="720" w:hanging="720"/>
    </w:pPr>
  </w:style>
  <w:style w:type="character" w:customStyle="1" w:styleId="COMexecsumnumberedparaChar">
    <w:name w:val="COM exec sum numbered para Char"/>
    <w:basedOn w:val="DefaultParagraphFont"/>
    <w:link w:val="COMexecsumnumberedpara"/>
    <w:rsid w:val="00CE7FE0"/>
    <w:rPr>
      <w:rFonts w:asciiTheme="minorHAnsi" w:hAnsiTheme="minorHAnsi" w:cs="Arial"/>
      <w:snapToGrid w:val="0"/>
      <w:sz w:val="24"/>
      <w:szCs w:val="24"/>
    </w:rPr>
  </w:style>
  <w:style w:type="paragraph" w:customStyle="1" w:styleId="Tabletextbullet">
    <w:name w:val="Tabletext bullet"/>
    <w:basedOn w:val="Tabletext"/>
    <w:link w:val="TabletextbulletChar"/>
    <w:qFormat/>
    <w:rsid w:val="0098334F"/>
    <w:pPr>
      <w:keepNext/>
      <w:keepLines/>
      <w:numPr>
        <w:numId w:val="12"/>
      </w:numPr>
    </w:pPr>
    <w:rPr>
      <w:snapToGrid/>
      <w:szCs w:val="22"/>
      <w:lang w:eastAsia="en-US"/>
    </w:rPr>
  </w:style>
  <w:style w:type="character" w:customStyle="1" w:styleId="TabletextbulletChar">
    <w:name w:val="Tabletext bullet Char"/>
    <w:basedOn w:val="TabletextChar"/>
    <w:link w:val="Tabletextbullet"/>
    <w:rsid w:val="0098334F"/>
    <w:rPr>
      <w:rFonts w:ascii="Arial Narrow" w:hAnsi="Arial Narrow"/>
      <w:szCs w:val="22"/>
      <w:lang w:eastAsia="en-US"/>
    </w:rPr>
  </w:style>
  <w:style w:type="table" w:customStyle="1" w:styleId="Summarybox1">
    <w:name w:val="Summary box1"/>
    <w:basedOn w:val="TableNormal"/>
    <w:next w:val="TableGrid"/>
    <w:uiPriority w:val="59"/>
    <w:rsid w:val="0098334F"/>
    <w:pPr>
      <w:spacing w:after="120" w:line="360" w:lineRule="auto"/>
      <w:ind w:right="57"/>
    </w:pPr>
    <w:rPr>
      <w:rFonts w:ascii="Arial" w:eastAsia="Arial" w:hAnsi="Arial" w:cs="Arial"/>
      <w:lang w:eastAsia="en-US"/>
    </w:rPr>
    <w:tblPr>
      <w:tblBorders>
        <w:bottom w:val="single" w:sz="12" w:space="0" w:color="004540"/>
        <w:insideH w:val="single" w:sz="4" w:space="0" w:color="004540"/>
      </w:tblBorders>
      <w:tblCellMar>
        <w:left w:w="57" w:type="dxa"/>
        <w:right w:w="57" w:type="dxa"/>
      </w:tblCellMar>
    </w:tblPr>
    <w:tblStylePr w:type="firstRow">
      <w:pPr>
        <w:wordWrap/>
        <w:spacing w:line="276" w:lineRule="auto"/>
      </w:pPr>
      <w:rPr>
        <w:b/>
      </w:rPr>
      <w:tblPr/>
      <w:tcPr>
        <w:tcBorders>
          <w:top w:val="single" w:sz="12" w:space="0" w:color="004540"/>
          <w:left w:val="nil"/>
          <w:bottom w:val="single" w:sz="12" w:space="0" w:color="004540"/>
          <w:right w:val="nil"/>
          <w:insideH w:val="nil"/>
          <w:insideV w:val="nil"/>
          <w:tl2br w:val="nil"/>
          <w:tr2bl w:val="nil"/>
        </w:tcBorders>
      </w:tcPr>
    </w:tblStylePr>
    <w:tblStylePr w:type="lastRow">
      <w:tblPr/>
      <w:tcPr>
        <w:tcBorders>
          <w:top w:val="nil"/>
          <w:left w:val="nil"/>
          <w:bottom w:val="single" w:sz="12" w:space="0" w:color="004540"/>
          <w:right w:val="nil"/>
          <w:insideH w:val="nil"/>
          <w:insideV w:val="nil"/>
          <w:tl2br w:val="nil"/>
          <w:tr2bl w:val="nil"/>
        </w:tcBorders>
      </w:tcPr>
    </w:tblStylePr>
    <w:tblStylePr w:type="firstCol">
      <w:rPr>
        <w:b/>
      </w:rPr>
    </w:tblStylePr>
  </w:style>
  <w:style w:type="paragraph" w:customStyle="1" w:styleId="Table-Normal">
    <w:name w:val="Table - Normal"/>
    <w:basedOn w:val="Normal"/>
    <w:qFormat/>
    <w:rsid w:val="0098334F"/>
    <w:pPr>
      <w:jc w:val="left"/>
    </w:pPr>
    <w:rPr>
      <w:rFonts w:asciiTheme="minorHAnsi" w:eastAsiaTheme="minorEastAsia" w:hAnsiTheme="minorHAnsi" w:cstheme="minorBidi"/>
      <w:bCs/>
      <w:color w:val="000000" w:themeColor="text1"/>
      <w:sz w:val="18"/>
      <w:szCs w:val="22"/>
      <w:lang w:val="en-US" w:eastAsia="en-US"/>
    </w:rPr>
  </w:style>
  <w:style w:type="character" w:customStyle="1" w:styleId="Heading1Char">
    <w:name w:val="Heading 1 Char"/>
    <w:basedOn w:val="DefaultParagraphFont"/>
    <w:link w:val="Heading1"/>
    <w:uiPriority w:val="1"/>
    <w:rsid w:val="0098334F"/>
    <w:rPr>
      <w:rFonts w:ascii="Calibri" w:hAnsi="Calibri" w:cs="Arial"/>
      <w:b/>
      <w:caps/>
      <w:sz w:val="32"/>
      <w:szCs w:val="24"/>
    </w:rPr>
  </w:style>
  <w:style w:type="table" w:customStyle="1" w:styleId="ASDTable4">
    <w:name w:val="ASD Table4"/>
    <w:basedOn w:val="TableNormal"/>
    <w:next w:val="TableGrid"/>
    <w:uiPriority w:val="59"/>
    <w:rsid w:val="0098334F"/>
    <w:pPr>
      <w:spacing w:after="120" w:line="360" w:lineRule="auto"/>
      <w:ind w:right="57"/>
    </w:pPr>
    <w:rPr>
      <w:rFonts w:ascii="Arial" w:eastAsiaTheme="minorHAnsi" w:hAnsi="Arial" w:cstheme="minorBidi"/>
      <w:lang w:eastAsia="en-US"/>
    </w:rPr>
    <w:tblPr>
      <w:tblBorders>
        <w:bottom w:val="single" w:sz="12" w:space="0" w:color="4BACC6" w:themeColor="accent5"/>
        <w:insideH w:val="single" w:sz="4" w:space="0" w:color="4BACC6" w:themeColor="accent5"/>
      </w:tblBorders>
      <w:tblCellMar>
        <w:left w:w="57" w:type="dxa"/>
        <w:right w:w="57" w:type="dxa"/>
      </w:tblCellMar>
    </w:tblPr>
    <w:tblStylePr w:type="firstRow">
      <w:pPr>
        <w:wordWrap/>
        <w:spacing w:line="276" w:lineRule="auto"/>
      </w:pPr>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tblPr/>
      <w:tcPr>
        <w:tcBorders>
          <w:top w:val="nil"/>
          <w:left w:val="nil"/>
          <w:bottom w:val="single" w:sz="12" w:space="0" w:color="4BACC6" w:themeColor="accent5"/>
          <w:right w:val="nil"/>
          <w:insideH w:val="nil"/>
          <w:insideV w:val="nil"/>
          <w:tl2br w:val="nil"/>
          <w:tr2bl w:val="nil"/>
        </w:tcBorders>
      </w:tcPr>
    </w:tblStylePr>
    <w:tblStylePr w:type="firstCol">
      <w:rPr>
        <w:b/>
      </w:rPr>
    </w:tblStylePr>
  </w:style>
  <w:style w:type="paragraph" w:customStyle="1" w:styleId="Tablefootnote">
    <w:name w:val="Table footnote"/>
    <w:basedOn w:val="Normal"/>
    <w:link w:val="TablefootnoteChar"/>
    <w:qFormat/>
    <w:rsid w:val="0098334F"/>
    <w:pPr>
      <w:keepNext/>
      <w:keepLines/>
      <w:spacing w:after="360"/>
      <w:contextualSpacing/>
      <w:jc w:val="left"/>
    </w:pPr>
    <w:rPr>
      <w:rFonts w:ascii="Arial Narrow" w:hAnsi="Arial Narrow" w:cs="Times New Roman"/>
      <w:sz w:val="18"/>
      <w:szCs w:val="22"/>
      <w:lang w:eastAsia="en-US"/>
    </w:rPr>
  </w:style>
  <w:style w:type="character" w:customStyle="1" w:styleId="TablefootnoteChar">
    <w:name w:val="Table footnote Char"/>
    <w:basedOn w:val="DefaultParagraphFont"/>
    <w:link w:val="Tablefootnote"/>
    <w:rsid w:val="0098334F"/>
    <w:rPr>
      <w:rFonts w:ascii="Arial Narrow" w:hAnsi="Arial Narrow"/>
      <w:sz w:val="18"/>
      <w:szCs w:val="22"/>
      <w:lang w:eastAsia="en-US"/>
    </w:rPr>
  </w:style>
  <w:style w:type="paragraph" w:customStyle="1" w:styleId="Comfootnote">
    <w:name w:val="Com footnote"/>
    <w:basedOn w:val="FootnoteText"/>
    <w:link w:val="ComfootnoteChar"/>
    <w:qFormat/>
    <w:rsid w:val="0098334F"/>
    <w:pPr>
      <w:jc w:val="left"/>
    </w:pPr>
    <w:rPr>
      <w:rFonts w:ascii="Arial Narrow" w:hAnsi="Arial Narrow"/>
      <w:sz w:val="16"/>
    </w:rPr>
  </w:style>
  <w:style w:type="character" w:customStyle="1" w:styleId="ComfootnoteChar">
    <w:name w:val="Com footnote Char"/>
    <w:basedOn w:val="FootnoteTextChar"/>
    <w:link w:val="Comfootnote"/>
    <w:rsid w:val="0098334F"/>
    <w:rPr>
      <w:rFonts w:ascii="Arial Narrow" w:hAnsi="Arial Narrow" w:cs="Arial"/>
      <w:sz w:val="16"/>
    </w:rPr>
  </w:style>
  <w:style w:type="paragraph" w:customStyle="1" w:styleId="Tabletitle">
    <w:name w:val="Table title"/>
    <w:basedOn w:val="Normal"/>
    <w:link w:val="TabletitleChar"/>
    <w:qFormat/>
    <w:rsid w:val="00062906"/>
    <w:pPr>
      <w:jc w:val="left"/>
    </w:pPr>
    <w:rPr>
      <w:rFonts w:ascii="Arial Narrow" w:eastAsia="Calibri" w:hAnsi="Arial Narrow"/>
      <w:b/>
      <w:sz w:val="20"/>
      <w:szCs w:val="20"/>
    </w:rPr>
  </w:style>
  <w:style w:type="character" w:customStyle="1" w:styleId="TabletitleChar">
    <w:name w:val="Table title Char"/>
    <w:basedOn w:val="DefaultParagraphFont"/>
    <w:link w:val="Tabletitle"/>
    <w:rsid w:val="00062906"/>
    <w:rPr>
      <w:rFonts w:ascii="Arial Narrow" w:eastAsia="Calibri" w:hAnsi="Arial Narrow" w:cs="Arial"/>
      <w:b/>
    </w:rPr>
  </w:style>
  <w:style w:type="paragraph" w:customStyle="1" w:styleId="TableFigureFooter">
    <w:name w:val="Table/Figure Footer"/>
    <w:basedOn w:val="Normal"/>
    <w:link w:val="TableFigureFooterChar"/>
    <w:qFormat/>
    <w:rsid w:val="00714655"/>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714655"/>
    <w:rPr>
      <w:rFonts w:ascii="Arial Narrow" w:hAnsi="Arial Narrow" w:cs="Arial"/>
      <w:snapToGrid w:val="0"/>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18716">
      <w:bodyDiv w:val="1"/>
      <w:marLeft w:val="0"/>
      <w:marRight w:val="0"/>
      <w:marTop w:val="0"/>
      <w:marBottom w:val="0"/>
      <w:divBdr>
        <w:top w:val="none" w:sz="0" w:space="0" w:color="auto"/>
        <w:left w:val="none" w:sz="0" w:space="0" w:color="auto"/>
        <w:bottom w:val="none" w:sz="0" w:space="0" w:color="auto"/>
        <w:right w:val="none" w:sz="0" w:space="0" w:color="auto"/>
      </w:divBdr>
      <w:divsChild>
        <w:div w:id="918175211">
          <w:marLeft w:val="360"/>
          <w:marRight w:val="0"/>
          <w:marTop w:val="200"/>
          <w:marBottom w:val="0"/>
          <w:divBdr>
            <w:top w:val="none" w:sz="0" w:space="0" w:color="auto"/>
            <w:left w:val="none" w:sz="0" w:space="0" w:color="auto"/>
            <w:bottom w:val="none" w:sz="0" w:space="0" w:color="auto"/>
            <w:right w:val="none" w:sz="0" w:space="0" w:color="auto"/>
          </w:divBdr>
        </w:div>
      </w:divsChild>
    </w:div>
    <w:div w:id="17970108">
      <w:bodyDiv w:val="1"/>
      <w:marLeft w:val="0"/>
      <w:marRight w:val="0"/>
      <w:marTop w:val="0"/>
      <w:marBottom w:val="0"/>
      <w:divBdr>
        <w:top w:val="none" w:sz="0" w:space="0" w:color="auto"/>
        <w:left w:val="none" w:sz="0" w:space="0" w:color="auto"/>
        <w:bottom w:val="none" w:sz="0" w:space="0" w:color="auto"/>
        <w:right w:val="none" w:sz="0" w:space="0" w:color="auto"/>
      </w:divBdr>
      <w:divsChild>
        <w:div w:id="774977994">
          <w:marLeft w:val="360"/>
          <w:marRight w:val="0"/>
          <w:marTop w:val="200"/>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16287139">
      <w:bodyDiv w:val="1"/>
      <w:marLeft w:val="0"/>
      <w:marRight w:val="0"/>
      <w:marTop w:val="0"/>
      <w:marBottom w:val="0"/>
      <w:divBdr>
        <w:top w:val="none" w:sz="0" w:space="0" w:color="auto"/>
        <w:left w:val="none" w:sz="0" w:space="0" w:color="auto"/>
        <w:bottom w:val="none" w:sz="0" w:space="0" w:color="auto"/>
        <w:right w:val="none" w:sz="0" w:space="0" w:color="auto"/>
      </w:divBdr>
    </w:div>
    <w:div w:id="218632459">
      <w:bodyDiv w:val="1"/>
      <w:marLeft w:val="0"/>
      <w:marRight w:val="0"/>
      <w:marTop w:val="0"/>
      <w:marBottom w:val="0"/>
      <w:divBdr>
        <w:top w:val="none" w:sz="0" w:space="0" w:color="auto"/>
        <w:left w:val="none" w:sz="0" w:space="0" w:color="auto"/>
        <w:bottom w:val="none" w:sz="0" w:space="0" w:color="auto"/>
        <w:right w:val="none" w:sz="0" w:space="0" w:color="auto"/>
      </w:divBdr>
      <w:divsChild>
        <w:div w:id="116293361">
          <w:marLeft w:val="547"/>
          <w:marRight w:val="0"/>
          <w:marTop w:val="200"/>
          <w:marBottom w:val="120"/>
          <w:divBdr>
            <w:top w:val="none" w:sz="0" w:space="0" w:color="auto"/>
            <w:left w:val="none" w:sz="0" w:space="0" w:color="auto"/>
            <w:bottom w:val="none" w:sz="0" w:space="0" w:color="auto"/>
            <w:right w:val="none" w:sz="0" w:space="0" w:color="auto"/>
          </w:divBdr>
        </w:div>
        <w:div w:id="1536187422">
          <w:marLeft w:val="1267"/>
          <w:marRight w:val="0"/>
          <w:marTop w:val="100"/>
          <w:marBottom w:val="120"/>
          <w:divBdr>
            <w:top w:val="none" w:sz="0" w:space="0" w:color="auto"/>
            <w:left w:val="none" w:sz="0" w:space="0" w:color="auto"/>
            <w:bottom w:val="none" w:sz="0" w:space="0" w:color="auto"/>
            <w:right w:val="none" w:sz="0" w:space="0" w:color="auto"/>
          </w:divBdr>
        </w:div>
      </w:divsChild>
    </w:div>
    <w:div w:id="241455984">
      <w:bodyDiv w:val="1"/>
      <w:marLeft w:val="0"/>
      <w:marRight w:val="0"/>
      <w:marTop w:val="0"/>
      <w:marBottom w:val="0"/>
      <w:divBdr>
        <w:top w:val="none" w:sz="0" w:space="0" w:color="auto"/>
        <w:left w:val="none" w:sz="0" w:space="0" w:color="auto"/>
        <w:bottom w:val="none" w:sz="0" w:space="0" w:color="auto"/>
        <w:right w:val="none" w:sz="0" w:space="0" w:color="auto"/>
      </w:divBdr>
    </w:div>
    <w:div w:id="253170135">
      <w:bodyDiv w:val="1"/>
      <w:marLeft w:val="0"/>
      <w:marRight w:val="0"/>
      <w:marTop w:val="0"/>
      <w:marBottom w:val="0"/>
      <w:divBdr>
        <w:top w:val="none" w:sz="0" w:space="0" w:color="auto"/>
        <w:left w:val="none" w:sz="0" w:space="0" w:color="auto"/>
        <w:bottom w:val="none" w:sz="0" w:space="0" w:color="auto"/>
        <w:right w:val="none" w:sz="0" w:space="0" w:color="auto"/>
      </w:divBdr>
    </w:div>
    <w:div w:id="261110415">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31301264">
      <w:bodyDiv w:val="1"/>
      <w:marLeft w:val="0"/>
      <w:marRight w:val="0"/>
      <w:marTop w:val="0"/>
      <w:marBottom w:val="0"/>
      <w:divBdr>
        <w:top w:val="none" w:sz="0" w:space="0" w:color="auto"/>
        <w:left w:val="none" w:sz="0" w:space="0" w:color="auto"/>
        <w:bottom w:val="none" w:sz="0" w:space="0" w:color="auto"/>
        <w:right w:val="none" w:sz="0" w:space="0" w:color="auto"/>
      </w:divBdr>
    </w:div>
    <w:div w:id="366836544">
      <w:bodyDiv w:val="1"/>
      <w:marLeft w:val="0"/>
      <w:marRight w:val="0"/>
      <w:marTop w:val="0"/>
      <w:marBottom w:val="0"/>
      <w:divBdr>
        <w:top w:val="none" w:sz="0" w:space="0" w:color="auto"/>
        <w:left w:val="none" w:sz="0" w:space="0" w:color="auto"/>
        <w:bottom w:val="none" w:sz="0" w:space="0" w:color="auto"/>
        <w:right w:val="none" w:sz="0" w:space="0" w:color="auto"/>
      </w:divBdr>
      <w:divsChild>
        <w:div w:id="1543249649">
          <w:marLeft w:val="360"/>
          <w:marRight w:val="0"/>
          <w:marTop w:val="200"/>
          <w:marBottom w:val="0"/>
          <w:divBdr>
            <w:top w:val="none" w:sz="0" w:space="0" w:color="auto"/>
            <w:left w:val="none" w:sz="0" w:space="0" w:color="auto"/>
            <w:bottom w:val="none" w:sz="0" w:space="0" w:color="auto"/>
            <w:right w:val="none" w:sz="0" w:space="0" w:color="auto"/>
          </w:divBdr>
        </w:div>
      </w:divsChild>
    </w:div>
    <w:div w:id="368334188">
      <w:bodyDiv w:val="1"/>
      <w:marLeft w:val="0"/>
      <w:marRight w:val="0"/>
      <w:marTop w:val="0"/>
      <w:marBottom w:val="0"/>
      <w:divBdr>
        <w:top w:val="none" w:sz="0" w:space="0" w:color="auto"/>
        <w:left w:val="none" w:sz="0" w:space="0" w:color="auto"/>
        <w:bottom w:val="none" w:sz="0" w:space="0" w:color="auto"/>
        <w:right w:val="none" w:sz="0" w:space="0" w:color="auto"/>
      </w:divBdr>
    </w:div>
    <w:div w:id="516038971">
      <w:bodyDiv w:val="1"/>
      <w:marLeft w:val="0"/>
      <w:marRight w:val="0"/>
      <w:marTop w:val="0"/>
      <w:marBottom w:val="0"/>
      <w:divBdr>
        <w:top w:val="none" w:sz="0" w:space="0" w:color="auto"/>
        <w:left w:val="none" w:sz="0" w:space="0" w:color="auto"/>
        <w:bottom w:val="none" w:sz="0" w:space="0" w:color="auto"/>
        <w:right w:val="none" w:sz="0" w:space="0" w:color="auto"/>
      </w:divBdr>
      <w:divsChild>
        <w:div w:id="300965785">
          <w:marLeft w:val="547"/>
          <w:marRight w:val="0"/>
          <w:marTop w:val="200"/>
          <w:marBottom w:val="120"/>
          <w:divBdr>
            <w:top w:val="none" w:sz="0" w:space="0" w:color="auto"/>
            <w:left w:val="none" w:sz="0" w:space="0" w:color="auto"/>
            <w:bottom w:val="none" w:sz="0" w:space="0" w:color="auto"/>
            <w:right w:val="none" w:sz="0" w:space="0" w:color="auto"/>
          </w:divBdr>
        </w:div>
      </w:divsChild>
    </w:div>
    <w:div w:id="572855885">
      <w:bodyDiv w:val="1"/>
      <w:marLeft w:val="0"/>
      <w:marRight w:val="0"/>
      <w:marTop w:val="0"/>
      <w:marBottom w:val="0"/>
      <w:divBdr>
        <w:top w:val="none" w:sz="0" w:space="0" w:color="auto"/>
        <w:left w:val="none" w:sz="0" w:space="0" w:color="auto"/>
        <w:bottom w:val="none" w:sz="0" w:space="0" w:color="auto"/>
        <w:right w:val="none" w:sz="0" w:space="0" w:color="auto"/>
      </w:divBdr>
    </w:div>
    <w:div w:id="631255498">
      <w:bodyDiv w:val="1"/>
      <w:marLeft w:val="0"/>
      <w:marRight w:val="0"/>
      <w:marTop w:val="0"/>
      <w:marBottom w:val="0"/>
      <w:divBdr>
        <w:top w:val="none" w:sz="0" w:space="0" w:color="auto"/>
        <w:left w:val="none" w:sz="0" w:space="0" w:color="auto"/>
        <w:bottom w:val="none" w:sz="0" w:space="0" w:color="auto"/>
        <w:right w:val="none" w:sz="0" w:space="0" w:color="auto"/>
      </w:divBdr>
      <w:divsChild>
        <w:div w:id="672103090">
          <w:marLeft w:val="547"/>
          <w:marRight w:val="0"/>
          <w:marTop w:val="200"/>
          <w:marBottom w:val="120"/>
          <w:divBdr>
            <w:top w:val="none" w:sz="0" w:space="0" w:color="auto"/>
            <w:left w:val="none" w:sz="0" w:space="0" w:color="auto"/>
            <w:bottom w:val="none" w:sz="0" w:space="0" w:color="auto"/>
            <w:right w:val="none" w:sz="0" w:space="0" w:color="auto"/>
          </w:divBdr>
        </w:div>
      </w:divsChild>
    </w:div>
    <w:div w:id="666053163">
      <w:bodyDiv w:val="1"/>
      <w:marLeft w:val="0"/>
      <w:marRight w:val="0"/>
      <w:marTop w:val="0"/>
      <w:marBottom w:val="0"/>
      <w:divBdr>
        <w:top w:val="none" w:sz="0" w:space="0" w:color="auto"/>
        <w:left w:val="none" w:sz="0" w:space="0" w:color="auto"/>
        <w:bottom w:val="none" w:sz="0" w:space="0" w:color="auto"/>
        <w:right w:val="none" w:sz="0" w:space="0" w:color="auto"/>
      </w:divBdr>
      <w:divsChild>
        <w:div w:id="794757752">
          <w:marLeft w:val="360"/>
          <w:marRight w:val="0"/>
          <w:marTop w:val="200"/>
          <w:marBottom w:val="0"/>
          <w:divBdr>
            <w:top w:val="none" w:sz="0" w:space="0" w:color="auto"/>
            <w:left w:val="none" w:sz="0" w:space="0" w:color="auto"/>
            <w:bottom w:val="none" w:sz="0" w:space="0" w:color="auto"/>
            <w:right w:val="none" w:sz="0" w:space="0" w:color="auto"/>
          </w:divBdr>
        </w:div>
      </w:divsChild>
    </w:div>
    <w:div w:id="679501436">
      <w:bodyDiv w:val="1"/>
      <w:marLeft w:val="0"/>
      <w:marRight w:val="0"/>
      <w:marTop w:val="0"/>
      <w:marBottom w:val="0"/>
      <w:divBdr>
        <w:top w:val="none" w:sz="0" w:space="0" w:color="auto"/>
        <w:left w:val="none" w:sz="0" w:space="0" w:color="auto"/>
        <w:bottom w:val="none" w:sz="0" w:space="0" w:color="auto"/>
        <w:right w:val="none" w:sz="0" w:space="0" w:color="auto"/>
      </w:divBdr>
    </w:div>
    <w:div w:id="784152000">
      <w:bodyDiv w:val="1"/>
      <w:marLeft w:val="0"/>
      <w:marRight w:val="0"/>
      <w:marTop w:val="0"/>
      <w:marBottom w:val="0"/>
      <w:divBdr>
        <w:top w:val="none" w:sz="0" w:space="0" w:color="auto"/>
        <w:left w:val="none" w:sz="0" w:space="0" w:color="auto"/>
        <w:bottom w:val="none" w:sz="0" w:space="0" w:color="auto"/>
        <w:right w:val="none" w:sz="0" w:space="0" w:color="auto"/>
      </w:divBdr>
    </w:div>
    <w:div w:id="815342108">
      <w:bodyDiv w:val="1"/>
      <w:marLeft w:val="0"/>
      <w:marRight w:val="0"/>
      <w:marTop w:val="0"/>
      <w:marBottom w:val="0"/>
      <w:divBdr>
        <w:top w:val="none" w:sz="0" w:space="0" w:color="auto"/>
        <w:left w:val="none" w:sz="0" w:space="0" w:color="auto"/>
        <w:bottom w:val="none" w:sz="0" w:space="0" w:color="auto"/>
        <w:right w:val="none" w:sz="0" w:space="0" w:color="auto"/>
      </w:divBdr>
      <w:divsChild>
        <w:div w:id="830365577">
          <w:marLeft w:val="446"/>
          <w:marRight w:val="0"/>
          <w:marTop w:val="0"/>
          <w:marBottom w:val="120"/>
          <w:divBdr>
            <w:top w:val="none" w:sz="0" w:space="0" w:color="auto"/>
            <w:left w:val="none" w:sz="0" w:space="0" w:color="auto"/>
            <w:bottom w:val="none" w:sz="0" w:space="0" w:color="auto"/>
            <w:right w:val="none" w:sz="0" w:space="0" w:color="auto"/>
          </w:divBdr>
        </w:div>
        <w:div w:id="2100442839">
          <w:marLeft w:val="446"/>
          <w:marRight w:val="0"/>
          <w:marTop w:val="0"/>
          <w:marBottom w:val="120"/>
          <w:divBdr>
            <w:top w:val="none" w:sz="0" w:space="0" w:color="auto"/>
            <w:left w:val="none" w:sz="0" w:space="0" w:color="auto"/>
            <w:bottom w:val="none" w:sz="0" w:space="0" w:color="auto"/>
            <w:right w:val="none" w:sz="0" w:space="0" w:color="auto"/>
          </w:divBdr>
        </w:div>
        <w:div w:id="43453137">
          <w:marLeft w:val="446"/>
          <w:marRight w:val="0"/>
          <w:marTop w:val="0"/>
          <w:marBottom w:val="120"/>
          <w:divBdr>
            <w:top w:val="none" w:sz="0" w:space="0" w:color="auto"/>
            <w:left w:val="none" w:sz="0" w:space="0" w:color="auto"/>
            <w:bottom w:val="none" w:sz="0" w:space="0" w:color="auto"/>
            <w:right w:val="none" w:sz="0" w:space="0" w:color="auto"/>
          </w:divBdr>
        </w:div>
        <w:div w:id="203637656">
          <w:marLeft w:val="446"/>
          <w:marRight w:val="0"/>
          <w:marTop w:val="0"/>
          <w:marBottom w:val="120"/>
          <w:divBdr>
            <w:top w:val="none" w:sz="0" w:space="0" w:color="auto"/>
            <w:left w:val="none" w:sz="0" w:space="0" w:color="auto"/>
            <w:bottom w:val="none" w:sz="0" w:space="0" w:color="auto"/>
            <w:right w:val="none" w:sz="0" w:space="0" w:color="auto"/>
          </w:divBdr>
        </w:div>
        <w:div w:id="234125518">
          <w:marLeft w:val="446"/>
          <w:marRight w:val="0"/>
          <w:marTop w:val="0"/>
          <w:marBottom w:val="120"/>
          <w:divBdr>
            <w:top w:val="none" w:sz="0" w:space="0" w:color="auto"/>
            <w:left w:val="none" w:sz="0" w:space="0" w:color="auto"/>
            <w:bottom w:val="none" w:sz="0" w:space="0" w:color="auto"/>
            <w:right w:val="none" w:sz="0" w:space="0" w:color="auto"/>
          </w:divBdr>
        </w:div>
      </w:divsChild>
    </w:div>
    <w:div w:id="825241192">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39614024">
      <w:bodyDiv w:val="1"/>
      <w:marLeft w:val="0"/>
      <w:marRight w:val="0"/>
      <w:marTop w:val="0"/>
      <w:marBottom w:val="0"/>
      <w:divBdr>
        <w:top w:val="none" w:sz="0" w:space="0" w:color="auto"/>
        <w:left w:val="none" w:sz="0" w:space="0" w:color="auto"/>
        <w:bottom w:val="none" w:sz="0" w:space="0" w:color="auto"/>
        <w:right w:val="none" w:sz="0" w:space="0" w:color="auto"/>
      </w:divBdr>
    </w:div>
    <w:div w:id="893390188">
      <w:bodyDiv w:val="1"/>
      <w:marLeft w:val="0"/>
      <w:marRight w:val="0"/>
      <w:marTop w:val="0"/>
      <w:marBottom w:val="0"/>
      <w:divBdr>
        <w:top w:val="none" w:sz="0" w:space="0" w:color="auto"/>
        <w:left w:val="none" w:sz="0" w:space="0" w:color="auto"/>
        <w:bottom w:val="none" w:sz="0" w:space="0" w:color="auto"/>
        <w:right w:val="none" w:sz="0" w:space="0" w:color="auto"/>
      </w:divBdr>
    </w:div>
    <w:div w:id="1032340385">
      <w:bodyDiv w:val="1"/>
      <w:marLeft w:val="0"/>
      <w:marRight w:val="0"/>
      <w:marTop w:val="0"/>
      <w:marBottom w:val="0"/>
      <w:divBdr>
        <w:top w:val="none" w:sz="0" w:space="0" w:color="auto"/>
        <w:left w:val="none" w:sz="0" w:space="0" w:color="auto"/>
        <w:bottom w:val="none" w:sz="0" w:space="0" w:color="auto"/>
        <w:right w:val="none" w:sz="0" w:space="0" w:color="auto"/>
      </w:divBdr>
      <w:divsChild>
        <w:div w:id="2125075989">
          <w:marLeft w:val="547"/>
          <w:marRight w:val="0"/>
          <w:marTop w:val="200"/>
          <w:marBottom w:val="120"/>
          <w:divBdr>
            <w:top w:val="none" w:sz="0" w:space="0" w:color="auto"/>
            <w:left w:val="none" w:sz="0" w:space="0" w:color="auto"/>
            <w:bottom w:val="none" w:sz="0" w:space="0" w:color="auto"/>
            <w:right w:val="none" w:sz="0" w:space="0" w:color="auto"/>
          </w:divBdr>
        </w:div>
      </w:divsChild>
    </w:div>
    <w:div w:id="1074741717">
      <w:bodyDiv w:val="1"/>
      <w:marLeft w:val="0"/>
      <w:marRight w:val="0"/>
      <w:marTop w:val="0"/>
      <w:marBottom w:val="0"/>
      <w:divBdr>
        <w:top w:val="none" w:sz="0" w:space="0" w:color="auto"/>
        <w:left w:val="none" w:sz="0" w:space="0" w:color="auto"/>
        <w:bottom w:val="none" w:sz="0" w:space="0" w:color="auto"/>
        <w:right w:val="none" w:sz="0" w:space="0" w:color="auto"/>
      </w:divBdr>
    </w:div>
    <w:div w:id="1116101393">
      <w:bodyDiv w:val="1"/>
      <w:marLeft w:val="0"/>
      <w:marRight w:val="0"/>
      <w:marTop w:val="0"/>
      <w:marBottom w:val="0"/>
      <w:divBdr>
        <w:top w:val="none" w:sz="0" w:space="0" w:color="auto"/>
        <w:left w:val="none" w:sz="0" w:space="0" w:color="auto"/>
        <w:bottom w:val="none" w:sz="0" w:space="0" w:color="auto"/>
        <w:right w:val="none" w:sz="0" w:space="0" w:color="auto"/>
      </w:divBdr>
      <w:divsChild>
        <w:div w:id="1061828323">
          <w:marLeft w:val="360"/>
          <w:marRight w:val="0"/>
          <w:marTop w:val="200"/>
          <w:marBottom w:val="0"/>
          <w:divBdr>
            <w:top w:val="none" w:sz="0" w:space="0" w:color="auto"/>
            <w:left w:val="none" w:sz="0" w:space="0" w:color="auto"/>
            <w:bottom w:val="none" w:sz="0" w:space="0" w:color="auto"/>
            <w:right w:val="none" w:sz="0" w:space="0" w:color="auto"/>
          </w:divBdr>
        </w:div>
      </w:divsChild>
    </w:div>
    <w:div w:id="114296889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30535984">
      <w:bodyDiv w:val="1"/>
      <w:marLeft w:val="0"/>
      <w:marRight w:val="0"/>
      <w:marTop w:val="0"/>
      <w:marBottom w:val="0"/>
      <w:divBdr>
        <w:top w:val="none" w:sz="0" w:space="0" w:color="auto"/>
        <w:left w:val="none" w:sz="0" w:space="0" w:color="auto"/>
        <w:bottom w:val="none" w:sz="0" w:space="0" w:color="auto"/>
        <w:right w:val="none" w:sz="0" w:space="0" w:color="auto"/>
      </w:divBdr>
      <w:divsChild>
        <w:div w:id="1249148351">
          <w:marLeft w:val="547"/>
          <w:marRight w:val="0"/>
          <w:marTop w:val="200"/>
          <w:marBottom w:val="120"/>
          <w:divBdr>
            <w:top w:val="none" w:sz="0" w:space="0" w:color="auto"/>
            <w:left w:val="none" w:sz="0" w:space="0" w:color="auto"/>
            <w:bottom w:val="none" w:sz="0" w:space="0" w:color="auto"/>
            <w:right w:val="none" w:sz="0" w:space="0" w:color="auto"/>
          </w:divBdr>
        </w:div>
        <w:div w:id="248471213">
          <w:marLeft w:val="1267"/>
          <w:marRight w:val="0"/>
          <w:marTop w:val="100"/>
          <w:marBottom w:val="120"/>
          <w:divBdr>
            <w:top w:val="none" w:sz="0" w:space="0" w:color="auto"/>
            <w:left w:val="none" w:sz="0" w:space="0" w:color="auto"/>
            <w:bottom w:val="none" w:sz="0" w:space="0" w:color="auto"/>
            <w:right w:val="none" w:sz="0" w:space="0" w:color="auto"/>
          </w:divBdr>
        </w:div>
      </w:divsChild>
    </w:div>
    <w:div w:id="1292785233">
      <w:bodyDiv w:val="1"/>
      <w:marLeft w:val="0"/>
      <w:marRight w:val="0"/>
      <w:marTop w:val="0"/>
      <w:marBottom w:val="0"/>
      <w:divBdr>
        <w:top w:val="none" w:sz="0" w:space="0" w:color="auto"/>
        <w:left w:val="none" w:sz="0" w:space="0" w:color="auto"/>
        <w:bottom w:val="none" w:sz="0" w:space="0" w:color="auto"/>
        <w:right w:val="none" w:sz="0" w:space="0" w:color="auto"/>
      </w:divBdr>
    </w:div>
    <w:div w:id="1333411678">
      <w:bodyDiv w:val="1"/>
      <w:marLeft w:val="0"/>
      <w:marRight w:val="0"/>
      <w:marTop w:val="0"/>
      <w:marBottom w:val="0"/>
      <w:divBdr>
        <w:top w:val="none" w:sz="0" w:space="0" w:color="auto"/>
        <w:left w:val="none" w:sz="0" w:space="0" w:color="auto"/>
        <w:bottom w:val="none" w:sz="0" w:space="0" w:color="auto"/>
        <w:right w:val="none" w:sz="0" w:space="0" w:color="auto"/>
      </w:divBdr>
      <w:divsChild>
        <w:div w:id="123818007">
          <w:marLeft w:val="360"/>
          <w:marRight w:val="0"/>
          <w:marTop w:val="200"/>
          <w:marBottom w:val="0"/>
          <w:divBdr>
            <w:top w:val="none" w:sz="0" w:space="0" w:color="auto"/>
            <w:left w:val="none" w:sz="0" w:space="0" w:color="auto"/>
            <w:bottom w:val="none" w:sz="0" w:space="0" w:color="auto"/>
            <w:right w:val="none" w:sz="0" w:space="0" w:color="auto"/>
          </w:divBdr>
        </w:div>
        <w:div w:id="751466890">
          <w:marLeft w:val="360"/>
          <w:marRight w:val="0"/>
          <w:marTop w:val="200"/>
          <w:marBottom w:val="0"/>
          <w:divBdr>
            <w:top w:val="none" w:sz="0" w:space="0" w:color="auto"/>
            <w:left w:val="none" w:sz="0" w:space="0" w:color="auto"/>
            <w:bottom w:val="none" w:sz="0" w:space="0" w:color="auto"/>
            <w:right w:val="none" w:sz="0" w:space="0" w:color="auto"/>
          </w:divBdr>
        </w:div>
      </w:divsChild>
    </w:div>
    <w:div w:id="1410158819">
      <w:bodyDiv w:val="1"/>
      <w:marLeft w:val="0"/>
      <w:marRight w:val="0"/>
      <w:marTop w:val="0"/>
      <w:marBottom w:val="0"/>
      <w:divBdr>
        <w:top w:val="none" w:sz="0" w:space="0" w:color="auto"/>
        <w:left w:val="none" w:sz="0" w:space="0" w:color="auto"/>
        <w:bottom w:val="none" w:sz="0" w:space="0" w:color="auto"/>
        <w:right w:val="none" w:sz="0" w:space="0" w:color="auto"/>
      </w:divBdr>
    </w:div>
    <w:div w:id="1492022376">
      <w:bodyDiv w:val="1"/>
      <w:marLeft w:val="0"/>
      <w:marRight w:val="0"/>
      <w:marTop w:val="0"/>
      <w:marBottom w:val="0"/>
      <w:divBdr>
        <w:top w:val="none" w:sz="0" w:space="0" w:color="auto"/>
        <w:left w:val="none" w:sz="0" w:space="0" w:color="auto"/>
        <w:bottom w:val="none" w:sz="0" w:space="0" w:color="auto"/>
        <w:right w:val="none" w:sz="0" w:space="0" w:color="auto"/>
      </w:divBdr>
      <w:divsChild>
        <w:div w:id="1111316766">
          <w:marLeft w:val="547"/>
          <w:marRight w:val="0"/>
          <w:marTop w:val="200"/>
          <w:marBottom w:val="0"/>
          <w:divBdr>
            <w:top w:val="none" w:sz="0" w:space="0" w:color="auto"/>
            <w:left w:val="none" w:sz="0" w:space="0" w:color="auto"/>
            <w:bottom w:val="none" w:sz="0" w:space="0" w:color="auto"/>
            <w:right w:val="none" w:sz="0" w:space="0" w:color="auto"/>
          </w:divBdr>
        </w:div>
        <w:div w:id="1630282074">
          <w:marLeft w:val="1267"/>
          <w:marRight w:val="0"/>
          <w:marTop w:val="100"/>
          <w:marBottom w:val="0"/>
          <w:divBdr>
            <w:top w:val="none" w:sz="0" w:space="0" w:color="auto"/>
            <w:left w:val="none" w:sz="0" w:space="0" w:color="auto"/>
            <w:bottom w:val="none" w:sz="0" w:space="0" w:color="auto"/>
            <w:right w:val="none" w:sz="0" w:space="0" w:color="auto"/>
          </w:divBdr>
        </w:div>
        <w:div w:id="305355906">
          <w:marLeft w:val="1267"/>
          <w:marRight w:val="0"/>
          <w:marTop w:val="100"/>
          <w:marBottom w:val="0"/>
          <w:divBdr>
            <w:top w:val="none" w:sz="0" w:space="0" w:color="auto"/>
            <w:left w:val="none" w:sz="0" w:space="0" w:color="auto"/>
            <w:bottom w:val="none" w:sz="0" w:space="0" w:color="auto"/>
            <w:right w:val="none" w:sz="0" w:space="0" w:color="auto"/>
          </w:divBdr>
        </w:div>
        <w:div w:id="1748067037">
          <w:marLeft w:val="547"/>
          <w:marRight w:val="0"/>
          <w:marTop w:val="200"/>
          <w:marBottom w:val="0"/>
          <w:divBdr>
            <w:top w:val="none" w:sz="0" w:space="0" w:color="auto"/>
            <w:left w:val="none" w:sz="0" w:space="0" w:color="auto"/>
            <w:bottom w:val="none" w:sz="0" w:space="0" w:color="auto"/>
            <w:right w:val="none" w:sz="0" w:space="0" w:color="auto"/>
          </w:divBdr>
        </w:div>
        <w:div w:id="816529234">
          <w:marLeft w:val="1267"/>
          <w:marRight w:val="0"/>
          <w:marTop w:val="100"/>
          <w:marBottom w:val="0"/>
          <w:divBdr>
            <w:top w:val="none" w:sz="0" w:space="0" w:color="auto"/>
            <w:left w:val="none" w:sz="0" w:space="0" w:color="auto"/>
            <w:bottom w:val="none" w:sz="0" w:space="0" w:color="auto"/>
            <w:right w:val="none" w:sz="0" w:space="0" w:color="auto"/>
          </w:divBdr>
        </w:div>
        <w:div w:id="1410733412">
          <w:marLeft w:val="547"/>
          <w:marRight w:val="0"/>
          <w:marTop w:val="200"/>
          <w:marBottom w:val="0"/>
          <w:divBdr>
            <w:top w:val="none" w:sz="0" w:space="0" w:color="auto"/>
            <w:left w:val="none" w:sz="0" w:space="0" w:color="auto"/>
            <w:bottom w:val="none" w:sz="0" w:space="0" w:color="auto"/>
            <w:right w:val="none" w:sz="0" w:space="0" w:color="auto"/>
          </w:divBdr>
        </w:div>
        <w:div w:id="757143481">
          <w:marLeft w:val="1267"/>
          <w:marRight w:val="0"/>
          <w:marTop w:val="100"/>
          <w:marBottom w:val="0"/>
          <w:divBdr>
            <w:top w:val="none" w:sz="0" w:space="0" w:color="auto"/>
            <w:left w:val="none" w:sz="0" w:space="0" w:color="auto"/>
            <w:bottom w:val="none" w:sz="0" w:space="0" w:color="auto"/>
            <w:right w:val="none" w:sz="0" w:space="0" w:color="auto"/>
          </w:divBdr>
        </w:div>
        <w:div w:id="1675911118">
          <w:marLeft w:val="1267"/>
          <w:marRight w:val="0"/>
          <w:marTop w:val="100"/>
          <w:marBottom w:val="0"/>
          <w:divBdr>
            <w:top w:val="none" w:sz="0" w:space="0" w:color="auto"/>
            <w:left w:val="none" w:sz="0" w:space="0" w:color="auto"/>
            <w:bottom w:val="none" w:sz="0" w:space="0" w:color="auto"/>
            <w:right w:val="none" w:sz="0" w:space="0" w:color="auto"/>
          </w:divBdr>
        </w:div>
        <w:div w:id="1740445662">
          <w:marLeft w:val="547"/>
          <w:marRight w:val="0"/>
          <w:marTop w:val="200"/>
          <w:marBottom w:val="0"/>
          <w:divBdr>
            <w:top w:val="none" w:sz="0" w:space="0" w:color="auto"/>
            <w:left w:val="none" w:sz="0" w:space="0" w:color="auto"/>
            <w:bottom w:val="none" w:sz="0" w:space="0" w:color="auto"/>
            <w:right w:val="none" w:sz="0" w:space="0" w:color="auto"/>
          </w:divBdr>
        </w:div>
        <w:div w:id="588544878">
          <w:marLeft w:val="547"/>
          <w:marRight w:val="0"/>
          <w:marTop w:val="200"/>
          <w:marBottom w:val="0"/>
          <w:divBdr>
            <w:top w:val="none" w:sz="0" w:space="0" w:color="auto"/>
            <w:left w:val="none" w:sz="0" w:space="0" w:color="auto"/>
            <w:bottom w:val="none" w:sz="0" w:space="0" w:color="auto"/>
            <w:right w:val="none" w:sz="0" w:space="0" w:color="auto"/>
          </w:divBdr>
        </w:div>
      </w:divsChild>
    </w:div>
    <w:div w:id="1613125768">
      <w:bodyDiv w:val="1"/>
      <w:marLeft w:val="0"/>
      <w:marRight w:val="0"/>
      <w:marTop w:val="0"/>
      <w:marBottom w:val="0"/>
      <w:divBdr>
        <w:top w:val="none" w:sz="0" w:space="0" w:color="auto"/>
        <w:left w:val="none" w:sz="0" w:space="0" w:color="auto"/>
        <w:bottom w:val="none" w:sz="0" w:space="0" w:color="auto"/>
        <w:right w:val="none" w:sz="0" w:space="0" w:color="auto"/>
      </w:divBdr>
    </w:div>
    <w:div w:id="1754886757">
      <w:bodyDiv w:val="1"/>
      <w:marLeft w:val="0"/>
      <w:marRight w:val="0"/>
      <w:marTop w:val="0"/>
      <w:marBottom w:val="0"/>
      <w:divBdr>
        <w:top w:val="none" w:sz="0" w:space="0" w:color="auto"/>
        <w:left w:val="none" w:sz="0" w:space="0" w:color="auto"/>
        <w:bottom w:val="none" w:sz="0" w:space="0" w:color="auto"/>
        <w:right w:val="none" w:sz="0" w:space="0" w:color="auto"/>
      </w:divBdr>
    </w:div>
    <w:div w:id="1881437729">
      <w:bodyDiv w:val="1"/>
      <w:marLeft w:val="0"/>
      <w:marRight w:val="0"/>
      <w:marTop w:val="0"/>
      <w:marBottom w:val="0"/>
      <w:divBdr>
        <w:top w:val="none" w:sz="0" w:space="0" w:color="auto"/>
        <w:left w:val="none" w:sz="0" w:space="0" w:color="auto"/>
        <w:bottom w:val="none" w:sz="0" w:space="0" w:color="auto"/>
        <w:right w:val="none" w:sz="0" w:space="0" w:color="auto"/>
      </w:divBdr>
    </w:div>
    <w:div w:id="1897232567">
      <w:bodyDiv w:val="1"/>
      <w:marLeft w:val="0"/>
      <w:marRight w:val="0"/>
      <w:marTop w:val="0"/>
      <w:marBottom w:val="0"/>
      <w:divBdr>
        <w:top w:val="none" w:sz="0" w:space="0" w:color="auto"/>
        <w:left w:val="none" w:sz="0" w:space="0" w:color="auto"/>
        <w:bottom w:val="none" w:sz="0" w:space="0" w:color="auto"/>
        <w:right w:val="none" w:sz="0" w:space="0" w:color="auto"/>
      </w:divBdr>
      <w:divsChild>
        <w:div w:id="595745868">
          <w:marLeft w:val="360"/>
          <w:marRight w:val="0"/>
          <w:marTop w:val="200"/>
          <w:marBottom w:val="0"/>
          <w:divBdr>
            <w:top w:val="none" w:sz="0" w:space="0" w:color="auto"/>
            <w:left w:val="none" w:sz="0" w:space="0" w:color="auto"/>
            <w:bottom w:val="none" w:sz="0" w:space="0" w:color="auto"/>
            <w:right w:val="none" w:sz="0" w:space="0" w:color="auto"/>
          </w:divBdr>
        </w:div>
      </w:divsChild>
    </w:div>
    <w:div w:id="1913733195">
      <w:bodyDiv w:val="1"/>
      <w:marLeft w:val="0"/>
      <w:marRight w:val="0"/>
      <w:marTop w:val="0"/>
      <w:marBottom w:val="0"/>
      <w:divBdr>
        <w:top w:val="none" w:sz="0" w:space="0" w:color="auto"/>
        <w:left w:val="none" w:sz="0" w:space="0" w:color="auto"/>
        <w:bottom w:val="none" w:sz="0" w:space="0" w:color="auto"/>
        <w:right w:val="none" w:sz="0" w:space="0" w:color="auto"/>
      </w:divBdr>
      <w:divsChild>
        <w:div w:id="1592011572">
          <w:marLeft w:val="360"/>
          <w:marRight w:val="0"/>
          <w:marTop w:val="20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91205185">
      <w:bodyDiv w:val="1"/>
      <w:marLeft w:val="0"/>
      <w:marRight w:val="0"/>
      <w:marTop w:val="0"/>
      <w:marBottom w:val="0"/>
      <w:divBdr>
        <w:top w:val="none" w:sz="0" w:space="0" w:color="auto"/>
        <w:left w:val="none" w:sz="0" w:space="0" w:color="auto"/>
        <w:bottom w:val="none" w:sz="0" w:space="0" w:color="auto"/>
        <w:right w:val="none" w:sz="0" w:space="0" w:color="auto"/>
      </w:divBdr>
    </w:div>
    <w:div w:id="21431824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health.gov.au/health-topics/rural-health-workforce/classifications/mmm"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health.gov.au/health-topics/rural-health-workforce/classifications/mmm"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www.researchsquare.com/article/rs-2115769/v1"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s://www.researchsquare.com/article/rs-2115769/v1" TargetMode="External"/><Relationship Id="rId14" Type="http://schemas.openxmlformats.org/officeDocument/2006/relationships/image" Target="media/image4.png"/><Relationship Id="rId22" Type="http://schemas.openxmlformats.org/officeDocument/2006/relationships/hyperlink" Target="https://www.health.gov.au/health-topics/rural-health-workforce/classifications/mmm" TargetMode="External"/><Relationship Id="rId27" Type="http://schemas.openxmlformats.org/officeDocument/2006/relationships/header" Target="head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aph.gov.au/longandrepeatedcovid" TargetMode="External"/><Relationship Id="rId2" Type="http://schemas.openxmlformats.org/officeDocument/2006/relationships/hyperlink" Target="https://www.pbs.gov.au/industry/listing/elements/pbac-meetings/pbac-outcomes/2023-07/pbac-web-outcomes-07-2023-v2.pdf" TargetMode="External"/><Relationship Id="rId1" Type="http://schemas.openxmlformats.org/officeDocument/2006/relationships/hyperlink" Target="https://www.pbs.gov.au/info/industry/pricing/catch-up_statutory_price_reductions" TargetMode="External"/><Relationship Id="rId5" Type="http://schemas.openxmlformats.org/officeDocument/2006/relationships/hyperlink" Target="https://doi.org/10.1016/j.annepidem.2021.02.012" TargetMode="External"/><Relationship Id="rId4" Type="http://schemas.openxmlformats.org/officeDocument/2006/relationships/hyperlink" Target="https://www.health.gov.au/news/atagi-update-on-the-covid-19-vaccination-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7BD96-DAE9-4A9B-85ED-2FE69832EA68}">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72</Pages>
  <Words>28183</Words>
  <Characters>165028</Characters>
  <Application>Microsoft Office Word</Application>
  <DocSecurity>0</DocSecurity>
  <Lines>1375</Lines>
  <Paragraphs>385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192826</CharactersWithSpaces>
  <SharedDoc>false</SharedDoc>
  <HLinks>
    <vt:vector size="216" baseType="variant">
      <vt:variant>
        <vt:i4>4784137</vt:i4>
      </vt:variant>
      <vt:variant>
        <vt:i4>321</vt:i4>
      </vt:variant>
      <vt:variant>
        <vt:i4>0</vt:i4>
      </vt:variant>
      <vt:variant>
        <vt:i4>5</vt:i4>
      </vt:variant>
      <vt:variant>
        <vt:lpwstr>https://www.researchsquare.com/article/rs-2115769/v1</vt:lpwstr>
      </vt:variant>
      <vt:variant>
        <vt:lpwstr/>
      </vt:variant>
      <vt:variant>
        <vt:i4>4784137</vt:i4>
      </vt:variant>
      <vt:variant>
        <vt:i4>309</vt:i4>
      </vt:variant>
      <vt:variant>
        <vt:i4>0</vt:i4>
      </vt:variant>
      <vt:variant>
        <vt:i4>5</vt:i4>
      </vt:variant>
      <vt:variant>
        <vt:lpwstr>https://www.researchsquare.com/article/rs-2115769/v1</vt:lpwstr>
      </vt:variant>
      <vt:variant>
        <vt:lpwstr/>
      </vt:variant>
      <vt:variant>
        <vt:i4>7340153</vt:i4>
      </vt:variant>
      <vt:variant>
        <vt:i4>300</vt:i4>
      </vt:variant>
      <vt:variant>
        <vt:i4>0</vt:i4>
      </vt:variant>
      <vt:variant>
        <vt:i4>5</vt:i4>
      </vt:variant>
      <vt:variant>
        <vt:lpwstr>http://dx.doi.org/10.2139/ssrn.4495142</vt:lpwstr>
      </vt:variant>
      <vt:variant>
        <vt:lpwstr/>
      </vt:variant>
      <vt:variant>
        <vt:i4>7274530</vt:i4>
      </vt:variant>
      <vt:variant>
        <vt:i4>267</vt:i4>
      </vt:variant>
      <vt:variant>
        <vt:i4>0</vt:i4>
      </vt:variant>
      <vt:variant>
        <vt:i4>5</vt:i4>
      </vt:variant>
      <vt:variant>
        <vt:lpwstr>https://www.health.gov.au/health-topics/rural-health-workforce/classifications/mmm</vt:lpwstr>
      </vt:variant>
      <vt:variant>
        <vt:lpwstr/>
      </vt:variant>
      <vt:variant>
        <vt:i4>1572916</vt:i4>
      </vt:variant>
      <vt:variant>
        <vt:i4>164</vt:i4>
      </vt:variant>
      <vt:variant>
        <vt:i4>0</vt:i4>
      </vt:variant>
      <vt:variant>
        <vt:i4>5</vt:i4>
      </vt:variant>
      <vt:variant>
        <vt:lpwstr/>
      </vt:variant>
      <vt:variant>
        <vt:lpwstr>_Toc144894873</vt:lpwstr>
      </vt:variant>
      <vt:variant>
        <vt:i4>1572916</vt:i4>
      </vt:variant>
      <vt:variant>
        <vt:i4>158</vt:i4>
      </vt:variant>
      <vt:variant>
        <vt:i4>0</vt:i4>
      </vt:variant>
      <vt:variant>
        <vt:i4>5</vt:i4>
      </vt:variant>
      <vt:variant>
        <vt:lpwstr/>
      </vt:variant>
      <vt:variant>
        <vt:lpwstr>_Toc144894872</vt:lpwstr>
      </vt:variant>
      <vt:variant>
        <vt:i4>1572916</vt:i4>
      </vt:variant>
      <vt:variant>
        <vt:i4>152</vt:i4>
      </vt:variant>
      <vt:variant>
        <vt:i4>0</vt:i4>
      </vt:variant>
      <vt:variant>
        <vt:i4>5</vt:i4>
      </vt:variant>
      <vt:variant>
        <vt:lpwstr/>
      </vt:variant>
      <vt:variant>
        <vt:lpwstr>_Toc144894871</vt:lpwstr>
      </vt:variant>
      <vt:variant>
        <vt:i4>1572916</vt:i4>
      </vt:variant>
      <vt:variant>
        <vt:i4>146</vt:i4>
      </vt:variant>
      <vt:variant>
        <vt:i4>0</vt:i4>
      </vt:variant>
      <vt:variant>
        <vt:i4>5</vt:i4>
      </vt:variant>
      <vt:variant>
        <vt:lpwstr/>
      </vt:variant>
      <vt:variant>
        <vt:lpwstr>_Toc144894870</vt:lpwstr>
      </vt:variant>
      <vt:variant>
        <vt:i4>1638452</vt:i4>
      </vt:variant>
      <vt:variant>
        <vt:i4>140</vt:i4>
      </vt:variant>
      <vt:variant>
        <vt:i4>0</vt:i4>
      </vt:variant>
      <vt:variant>
        <vt:i4>5</vt:i4>
      </vt:variant>
      <vt:variant>
        <vt:lpwstr/>
      </vt:variant>
      <vt:variant>
        <vt:lpwstr>_Toc144894869</vt:lpwstr>
      </vt:variant>
      <vt:variant>
        <vt:i4>1638452</vt:i4>
      </vt:variant>
      <vt:variant>
        <vt:i4>134</vt:i4>
      </vt:variant>
      <vt:variant>
        <vt:i4>0</vt:i4>
      </vt:variant>
      <vt:variant>
        <vt:i4>5</vt:i4>
      </vt:variant>
      <vt:variant>
        <vt:lpwstr/>
      </vt:variant>
      <vt:variant>
        <vt:lpwstr>_Toc144894868</vt:lpwstr>
      </vt:variant>
      <vt:variant>
        <vt:i4>1638452</vt:i4>
      </vt:variant>
      <vt:variant>
        <vt:i4>128</vt:i4>
      </vt:variant>
      <vt:variant>
        <vt:i4>0</vt:i4>
      </vt:variant>
      <vt:variant>
        <vt:i4>5</vt:i4>
      </vt:variant>
      <vt:variant>
        <vt:lpwstr/>
      </vt:variant>
      <vt:variant>
        <vt:lpwstr>_Toc144894867</vt:lpwstr>
      </vt:variant>
      <vt:variant>
        <vt:i4>1638452</vt:i4>
      </vt:variant>
      <vt:variant>
        <vt:i4>122</vt:i4>
      </vt:variant>
      <vt:variant>
        <vt:i4>0</vt:i4>
      </vt:variant>
      <vt:variant>
        <vt:i4>5</vt:i4>
      </vt:variant>
      <vt:variant>
        <vt:lpwstr/>
      </vt:variant>
      <vt:variant>
        <vt:lpwstr>_Toc144894866</vt:lpwstr>
      </vt:variant>
      <vt:variant>
        <vt:i4>1638452</vt:i4>
      </vt:variant>
      <vt:variant>
        <vt:i4>116</vt:i4>
      </vt:variant>
      <vt:variant>
        <vt:i4>0</vt:i4>
      </vt:variant>
      <vt:variant>
        <vt:i4>5</vt:i4>
      </vt:variant>
      <vt:variant>
        <vt:lpwstr/>
      </vt:variant>
      <vt:variant>
        <vt:lpwstr>_Toc144894865</vt:lpwstr>
      </vt:variant>
      <vt:variant>
        <vt:i4>1638452</vt:i4>
      </vt:variant>
      <vt:variant>
        <vt:i4>110</vt:i4>
      </vt:variant>
      <vt:variant>
        <vt:i4>0</vt:i4>
      </vt:variant>
      <vt:variant>
        <vt:i4>5</vt:i4>
      </vt:variant>
      <vt:variant>
        <vt:lpwstr/>
      </vt:variant>
      <vt:variant>
        <vt:lpwstr>_Toc144894864</vt:lpwstr>
      </vt:variant>
      <vt:variant>
        <vt:i4>1638452</vt:i4>
      </vt:variant>
      <vt:variant>
        <vt:i4>104</vt:i4>
      </vt:variant>
      <vt:variant>
        <vt:i4>0</vt:i4>
      </vt:variant>
      <vt:variant>
        <vt:i4>5</vt:i4>
      </vt:variant>
      <vt:variant>
        <vt:lpwstr/>
      </vt:variant>
      <vt:variant>
        <vt:lpwstr>_Toc144894863</vt:lpwstr>
      </vt:variant>
      <vt:variant>
        <vt:i4>1638452</vt:i4>
      </vt:variant>
      <vt:variant>
        <vt:i4>98</vt:i4>
      </vt:variant>
      <vt:variant>
        <vt:i4>0</vt:i4>
      </vt:variant>
      <vt:variant>
        <vt:i4>5</vt:i4>
      </vt:variant>
      <vt:variant>
        <vt:lpwstr/>
      </vt:variant>
      <vt:variant>
        <vt:lpwstr>_Toc144894862</vt:lpwstr>
      </vt:variant>
      <vt:variant>
        <vt:i4>1638452</vt:i4>
      </vt:variant>
      <vt:variant>
        <vt:i4>92</vt:i4>
      </vt:variant>
      <vt:variant>
        <vt:i4>0</vt:i4>
      </vt:variant>
      <vt:variant>
        <vt:i4>5</vt:i4>
      </vt:variant>
      <vt:variant>
        <vt:lpwstr/>
      </vt:variant>
      <vt:variant>
        <vt:lpwstr>_Toc144894861</vt:lpwstr>
      </vt:variant>
      <vt:variant>
        <vt:i4>1638452</vt:i4>
      </vt:variant>
      <vt:variant>
        <vt:i4>86</vt:i4>
      </vt:variant>
      <vt:variant>
        <vt:i4>0</vt:i4>
      </vt:variant>
      <vt:variant>
        <vt:i4>5</vt:i4>
      </vt:variant>
      <vt:variant>
        <vt:lpwstr/>
      </vt:variant>
      <vt:variant>
        <vt:lpwstr>_Toc144894860</vt:lpwstr>
      </vt:variant>
      <vt:variant>
        <vt:i4>1703988</vt:i4>
      </vt:variant>
      <vt:variant>
        <vt:i4>80</vt:i4>
      </vt:variant>
      <vt:variant>
        <vt:i4>0</vt:i4>
      </vt:variant>
      <vt:variant>
        <vt:i4>5</vt:i4>
      </vt:variant>
      <vt:variant>
        <vt:lpwstr/>
      </vt:variant>
      <vt:variant>
        <vt:lpwstr>_Toc144894859</vt:lpwstr>
      </vt:variant>
      <vt:variant>
        <vt:i4>1703988</vt:i4>
      </vt:variant>
      <vt:variant>
        <vt:i4>74</vt:i4>
      </vt:variant>
      <vt:variant>
        <vt:i4>0</vt:i4>
      </vt:variant>
      <vt:variant>
        <vt:i4>5</vt:i4>
      </vt:variant>
      <vt:variant>
        <vt:lpwstr/>
      </vt:variant>
      <vt:variant>
        <vt:lpwstr>_Toc144894858</vt:lpwstr>
      </vt:variant>
      <vt:variant>
        <vt:i4>1703988</vt:i4>
      </vt:variant>
      <vt:variant>
        <vt:i4>68</vt:i4>
      </vt:variant>
      <vt:variant>
        <vt:i4>0</vt:i4>
      </vt:variant>
      <vt:variant>
        <vt:i4>5</vt:i4>
      </vt:variant>
      <vt:variant>
        <vt:lpwstr/>
      </vt:variant>
      <vt:variant>
        <vt:lpwstr>_Toc144894857</vt:lpwstr>
      </vt:variant>
      <vt:variant>
        <vt:i4>1703988</vt:i4>
      </vt:variant>
      <vt:variant>
        <vt:i4>62</vt:i4>
      </vt:variant>
      <vt:variant>
        <vt:i4>0</vt:i4>
      </vt:variant>
      <vt:variant>
        <vt:i4>5</vt:i4>
      </vt:variant>
      <vt:variant>
        <vt:lpwstr/>
      </vt:variant>
      <vt:variant>
        <vt:lpwstr>_Toc144894856</vt:lpwstr>
      </vt:variant>
      <vt:variant>
        <vt:i4>1703988</vt:i4>
      </vt:variant>
      <vt:variant>
        <vt:i4>56</vt:i4>
      </vt:variant>
      <vt:variant>
        <vt:i4>0</vt:i4>
      </vt:variant>
      <vt:variant>
        <vt:i4>5</vt:i4>
      </vt:variant>
      <vt:variant>
        <vt:lpwstr/>
      </vt:variant>
      <vt:variant>
        <vt:lpwstr>_Toc144894855</vt:lpwstr>
      </vt:variant>
      <vt:variant>
        <vt:i4>1703988</vt:i4>
      </vt:variant>
      <vt:variant>
        <vt:i4>50</vt:i4>
      </vt:variant>
      <vt:variant>
        <vt:i4>0</vt:i4>
      </vt:variant>
      <vt:variant>
        <vt:i4>5</vt:i4>
      </vt:variant>
      <vt:variant>
        <vt:lpwstr/>
      </vt:variant>
      <vt:variant>
        <vt:lpwstr>_Toc144894854</vt:lpwstr>
      </vt:variant>
      <vt:variant>
        <vt:i4>1703988</vt:i4>
      </vt:variant>
      <vt:variant>
        <vt:i4>44</vt:i4>
      </vt:variant>
      <vt:variant>
        <vt:i4>0</vt:i4>
      </vt:variant>
      <vt:variant>
        <vt:i4>5</vt:i4>
      </vt:variant>
      <vt:variant>
        <vt:lpwstr/>
      </vt:variant>
      <vt:variant>
        <vt:lpwstr>_Toc144894853</vt:lpwstr>
      </vt:variant>
      <vt:variant>
        <vt:i4>1703988</vt:i4>
      </vt:variant>
      <vt:variant>
        <vt:i4>38</vt:i4>
      </vt:variant>
      <vt:variant>
        <vt:i4>0</vt:i4>
      </vt:variant>
      <vt:variant>
        <vt:i4>5</vt:i4>
      </vt:variant>
      <vt:variant>
        <vt:lpwstr/>
      </vt:variant>
      <vt:variant>
        <vt:lpwstr>_Toc144894852</vt:lpwstr>
      </vt:variant>
      <vt:variant>
        <vt:i4>1703988</vt:i4>
      </vt:variant>
      <vt:variant>
        <vt:i4>32</vt:i4>
      </vt:variant>
      <vt:variant>
        <vt:i4>0</vt:i4>
      </vt:variant>
      <vt:variant>
        <vt:i4>5</vt:i4>
      </vt:variant>
      <vt:variant>
        <vt:lpwstr/>
      </vt:variant>
      <vt:variant>
        <vt:lpwstr>_Toc144894851</vt:lpwstr>
      </vt:variant>
      <vt:variant>
        <vt:i4>1703988</vt:i4>
      </vt:variant>
      <vt:variant>
        <vt:i4>26</vt:i4>
      </vt:variant>
      <vt:variant>
        <vt:i4>0</vt:i4>
      </vt:variant>
      <vt:variant>
        <vt:i4>5</vt:i4>
      </vt:variant>
      <vt:variant>
        <vt:lpwstr/>
      </vt:variant>
      <vt:variant>
        <vt:lpwstr>_Toc144894850</vt:lpwstr>
      </vt:variant>
      <vt:variant>
        <vt:i4>1769524</vt:i4>
      </vt:variant>
      <vt:variant>
        <vt:i4>20</vt:i4>
      </vt:variant>
      <vt:variant>
        <vt:i4>0</vt:i4>
      </vt:variant>
      <vt:variant>
        <vt:i4>5</vt:i4>
      </vt:variant>
      <vt:variant>
        <vt:lpwstr/>
      </vt:variant>
      <vt:variant>
        <vt:lpwstr>_Toc144894849</vt:lpwstr>
      </vt:variant>
      <vt:variant>
        <vt:i4>1769524</vt:i4>
      </vt:variant>
      <vt:variant>
        <vt:i4>14</vt:i4>
      </vt:variant>
      <vt:variant>
        <vt:i4>0</vt:i4>
      </vt:variant>
      <vt:variant>
        <vt:i4>5</vt:i4>
      </vt:variant>
      <vt:variant>
        <vt:lpwstr/>
      </vt:variant>
      <vt:variant>
        <vt:lpwstr>_Toc144894848</vt:lpwstr>
      </vt:variant>
      <vt:variant>
        <vt:i4>1769524</vt:i4>
      </vt:variant>
      <vt:variant>
        <vt:i4>8</vt:i4>
      </vt:variant>
      <vt:variant>
        <vt:i4>0</vt:i4>
      </vt:variant>
      <vt:variant>
        <vt:i4>5</vt:i4>
      </vt:variant>
      <vt:variant>
        <vt:lpwstr/>
      </vt:variant>
      <vt:variant>
        <vt:lpwstr>_Toc144894847</vt:lpwstr>
      </vt:variant>
      <vt:variant>
        <vt:i4>1769524</vt:i4>
      </vt:variant>
      <vt:variant>
        <vt:i4>2</vt:i4>
      </vt:variant>
      <vt:variant>
        <vt:i4>0</vt:i4>
      </vt:variant>
      <vt:variant>
        <vt:i4>5</vt:i4>
      </vt:variant>
      <vt:variant>
        <vt:lpwstr/>
      </vt:variant>
      <vt:variant>
        <vt:lpwstr>_Toc144894846</vt:lpwstr>
      </vt:variant>
      <vt:variant>
        <vt:i4>3866732</vt:i4>
      </vt:variant>
      <vt:variant>
        <vt:i4>9</vt:i4>
      </vt:variant>
      <vt:variant>
        <vt:i4>0</vt:i4>
      </vt:variant>
      <vt:variant>
        <vt:i4>5</vt:i4>
      </vt:variant>
      <vt:variant>
        <vt:lpwstr>https://doi.org/10.1016/j.annepidem.2021.02.012</vt:lpwstr>
      </vt:variant>
      <vt:variant>
        <vt:lpwstr/>
      </vt:variant>
      <vt:variant>
        <vt:i4>6488168</vt:i4>
      </vt:variant>
      <vt:variant>
        <vt:i4>6</vt:i4>
      </vt:variant>
      <vt:variant>
        <vt:i4>0</vt:i4>
      </vt:variant>
      <vt:variant>
        <vt:i4>5</vt:i4>
      </vt:variant>
      <vt:variant>
        <vt:lpwstr>https://apnews.com/article/pfizer-covid-comirnaty-paxlovid-207a5ac4652159fe429871c35f19b5fc</vt:lpwstr>
      </vt:variant>
      <vt:variant>
        <vt:lpwstr/>
      </vt:variant>
      <vt:variant>
        <vt:i4>2097190</vt:i4>
      </vt:variant>
      <vt:variant>
        <vt:i4>3</vt:i4>
      </vt:variant>
      <vt:variant>
        <vt:i4>0</vt:i4>
      </vt:variant>
      <vt:variant>
        <vt:i4>5</vt:i4>
      </vt:variant>
      <vt:variant>
        <vt:lpwstr>https://www.newsweek.com/pfizer-obscene-covid-pandemic-profits-record-revenues-1778513</vt:lpwstr>
      </vt:variant>
      <vt:variant>
        <vt:lpwstr/>
      </vt:variant>
      <vt:variant>
        <vt:i4>2424885</vt:i4>
      </vt:variant>
      <vt:variant>
        <vt:i4>0</vt:i4>
      </vt:variant>
      <vt:variant>
        <vt:i4>0</vt:i4>
      </vt:variant>
      <vt:variant>
        <vt:i4>5</vt:i4>
      </vt:variant>
      <vt:variant>
        <vt:lpwstr>https://doi.org/10.1016%2Fj.jbusres.2022.01.037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2024-02-28T04:07:00Z</dcterms:created>
  <dcterms:modified xsi:type="dcterms:W3CDTF">2024-03-01T00:58:00Z</dcterms:modified>
</cp:coreProperties>
</file>