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80C7C" w14:textId="06E51872" w:rsidR="00F572A3" w:rsidRPr="0049396B" w:rsidRDefault="00284EE3" w:rsidP="00631974">
      <w:pPr>
        <w:pStyle w:val="1-MainHeading"/>
        <w:ind w:left="851" w:hanging="851"/>
      </w:pPr>
      <w:bookmarkStart w:id="0" w:name="_Toc145493766"/>
      <w:bookmarkStart w:id="1" w:name="_Toc22897645"/>
      <w:bookmarkStart w:id="2" w:name="_Toc144397459"/>
      <w:bookmarkStart w:id="3" w:name="_Toc22897646"/>
      <w:bookmarkStart w:id="4" w:name="_Toc107927632"/>
      <w:r w:rsidRPr="0049396B">
        <w:t>5.05</w:t>
      </w:r>
      <w:r w:rsidR="00631974">
        <w:tab/>
      </w:r>
      <w:r w:rsidR="00F572A3" w:rsidRPr="0049396B">
        <w:t>EDARAVONE,</w:t>
      </w:r>
      <w:r w:rsidR="00F572A3" w:rsidRPr="0049396B">
        <w:br/>
      </w:r>
      <w:r w:rsidR="007E4A08" w:rsidRPr="0049396B">
        <w:t>S</w:t>
      </w:r>
      <w:r w:rsidR="00F572A3" w:rsidRPr="0049396B">
        <w:t>olution concentrate for injection</w:t>
      </w:r>
      <w:r w:rsidR="00401F9E" w:rsidRPr="0049396B">
        <w:t xml:space="preserve"> </w:t>
      </w:r>
      <w:r w:rsidR="00F572A3" w:rsidRPr="0049396B">
        <w:t>30 mg in 20 mL,</w:t>
      </w:r>
      <w:r w:rsidR="00F572A3" w:rsidRPr="0049396B">
        <w:br/>
        <w:t>Radicava</w:t>
      </w:r>
      <w:r w:rsidR="00F572A3" w:rsidRPr="0049396B">
        <w:rPr>
          <w:vertAlign w:val="superscript"/>
        </w:rPr>
        <w:t>®</w:t>
      </w:r>
      <w:r w:rsidR="00F572A3" w:rsidRPr="0049396B">
        <w:t>,</w:t>
      </w:r>
      <w:r w:rsidR="00F572A3" w:rsidRPr="0049396B">
        <w:br/>
        <w:t>Teva Pharma Australia Pty Ltd.</w:t>
      </w:r>
      <w:bookmarkEnd w:id="0"/>
      <w:r w:rsidR="009B4DB9">
        <w:fldChar w:fldCharType="begin"/>
      </w:r>
      <w:r w:rsidR="009B4DB9">
        <w:instrText xml:space="preserve">  </w:instrText>
      </w:r>
      <w:r w:rsidR="009B4DB9">
        <w:fldChar w:fldCharType="end"/>
      </w:r>
    </w:p>
    <w:p w14:paraId="26994BAF" w14:textId="77777777" w:rsidR="00F572A3" w:rsidRPr="0049396B" w:rsidRDefault="00F572A3" w:rsidP="00F572A3">
      <w:pPr>
        <w:pStyle w:val="2-SectionHeading"/>
        <w:numPr>
          <w:ilvl w:val="0"/>
          <w:numId w:val="1"/>
        </w:numPr>
      </w:pPr>
      <w:bookmarkStart w:id="5" w:name="_Toc145493768"/>
      <w:r w:rsidRPr="0049396B">
        <w:t>Purpose of submission</w:t>
      </w:r>
      <w:bookmarkEnd w:id="5"/>
    </w:p>
    <w:p w14:paraId="61F93D52" w14:textId="613F736E" w:rsidR="00F572A3" w:rsidRPr="0049396B" w:rsidRDefault="00F572A3" w:rsidP="00F572A3">
      <w:pPr>
        <w:pStyle w:val="3-BodyText"/>
      </w:pPr>
      <w:r w:rsidRPr="0049396B">
        <w:t xml:space="preserve">The Category 1 submission requested Section 100 Highly Specialised Drugs Authority Required (telephone/electronic) listing of edaravone solution for intravenous (IV) infusion as adjunct treatment to current standard of care (SOC) with or without </w:t>
      </w:r>
      <w:proofErr w:type="spellStart"/>
      <w:r w:rsidRPr="0049396B">
        <w:t>riluzole</w:t>
      </w:r>
      <w:proofErr w:type="spellEnd"/>
      <w:r w:rsidRPr="0049396B">
        <w:t xml:space="preserve"> in patients with amyotrophic lateral sclerosis (ALS). </w:t>
      </w:r>
    </w:p>
    <w:p w14:paraId="31B25296" w14:textId="7A1C403A" w:rsidR="00F572A3" w:rsidRPr="0049396B" w:rsidRDefault="00F572A3" w:rsidP="00F572A3">
      <w:pPr>
        <w:pStyle w:val="3-BodyText"/>
      </w:pPr>
      <w:r w:rsidRPr="0049396B">
        <w:t xml:space="preserve">The basis of the requested listing was </w:t>
      </w:r>
      <w:r w:rsidR="00D80F6A" w:rsidRPr="0049396B">
        <w:t xml:space="preserve">a </w:t>
      </w:r>
      <w:r w:rsidRPr="0049396B">
        <w:t>cost-utility analys</w:t>
      </w:r>
      <w:r w:rsidR="00D80F6A" w:rsidRPr="0049396B">
        <w:t>i</w:t>
      </w:r>
      <w:r w:rsidRPr="0049396B">
        <w:t xml:space="preserve">s versus placebo (i.e. SOC with or without </w:t>
      </w:r>
      <w:proofErr w:type="spellStart"/>
      <w:r w:rsidRPr="0049396B">
        <w:t>riluzole</w:t>
      </w:r>
      <w:proofErr w:type="spellEnd"/>
      <w:r w:rsidRPr="0049396B">
        <w:t xml:space="preserve">), with consideration given to the ‘Rule of Rescue’. </w:t>
      </w:r>
      <w:r w:rsidRPr="0049396B">
        <w:fldChar w:fldCharType="begin" w:fldLock="1"/>
      </w:r>
      <w:r w:rsidRPr="0049396B">
        <w:instrText xml:space="preserve"> REF _Ref143590607 \h </w:instrText>
      </w:r>
      <w:r w:rsidRPr="0049396B">
        <w:fldChar w:fldCharType="separate"/>
      </w:r>
      <w:r w:rsidR="00041148" w:rsidRPr="0049396B">
        <w:t>Table 1</w:t>
      </w:r>
      <w:r w:rsidRPr="0049396B">
        <w:fldChar w:fldCharType="end"/>
      </w:r>
      <w:r w:rsidRPr="0049396B">
        <w:t xml:space="preserve"> summarises the components of the overall clinical claim addressed by the submission. </w:t>
      </w:r>
      <w:r w:rsidR="0051699C" w:rsidRPr="0049396B">
        <w:t>Under the rule of rescue criteria, ALS is a severe condition expected to lead to premature death (criteria 2) and affects a small number of patients (criteria 3), but it was unclear whether there are strictly no alternative pharmacological/non-pharmacological treatments for patients with ALS (criteria 1) or whether edaravone provides ‘a worthwhile clinical improvement sufficient to qualify as a rescue’ (criteria 4).</w:t>
      </w:r>
    </w:p>
    <w:p w14:paraId="211713EB" w14:textId="3F429BAB" w:rsidR="00F572A3" w:rsidRPr="0049396B" w:rsidRDefault="00F572A3" w:rsidP="0068547D">
      <w:pPr>
        <w:pStyle w:val="TableFigureHeading"/>
      </w:pPr>
      <w:bookmarkStart w:id="6" w:name="_Ref143590607"/>
      <w:r w:rsidRPr="0049396B">
        <w:t xml:space="preserve">Table </w:t>
      </w:r>
      <w:r w:rsidR="001C0AB9">
        <w:fldChar w:fldCharType="begin" w:fldLock="1"/>
      </w:r>
      <w:r w:rsidR="001C0AB9">
        <w:instrText xml:space="preserve"> SEQ Table \* ARABIC </w:instrText>
      </w:r>
      <w:r w:rsidR="001C0AB9">
        <w:fldChar w:fldCharType="separate"/>
      </w:r>
      <w:r w:rsidR="00B41026" w:rsidRPr="0049396B">
        <w:t>1</w:t>
      </w:r>
      <w:r w:rsidR="001C0AB9">
        <w:fldChar w:fldCharType="end"/>
      </w:r>
      <w:bookmarkEnd w:id="6"/>
      <w:r w:rsidRPr="0049396B">
        <w:t xml:space="preserve">: </w:t>
      </w:r>
      <w:r w:rsidRPr="0049396B">
        <w:rPr>
          <w:rStyle w:val="CommentReference"/>
          <w:b/>
          <w:szCs w:val="24"/>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1"/>
        <w:gridCol w:w="7885"/>
      </w:tblGrid>
      <w:tr w:rsidR="00F572A3" w:rsidRPr="0049396B" w14:paraId="3CF2AF14" w14:textId="77777777" w:rsidTr="00EB254E">
        <w:tc>
          <w:tcPr>
            <w:tcW w:w="1271" w:type="dxa"/>
            <w:vAlign w:val="center"/>
          </w:tcPr>
          <w:p w14:paraId="0D63E688" w14:textId="77777777" w:rsidR="00F572A3" w:rsidRPr="0049396B" w:rsidRDefault="00F572A3" w:rsidP="00EB254E">
            <w:pPr>
              <w:pStyle w:val="In-tableHeading"/>
              <w:rPr>
                <w:lang w:val="en-AU"/>
              </w:rPr>
            </w:pPr>
            <w:r w:rsidRPr="0049396B">
              <w:rPr>
                <w:lang w:val="en-AU"/>
              </w:rPr>
              <w:t>Component</w:t>
            </w:r>
          </w:p>
        </w:tc>
        <w:tc>
          <w:tcPr>
            <w:tcW w:w="7885" w:type="dxa"/>
            <w:vAlign w:val="center"/>
          </w:tcPr>
          <w:p w14:paraId="4C8F9FCF" w14:textId="77777777" w:rsidR="00F572A3" w:rsidRPr="0049396B" w:rsidRDefault="00F572A3" w:rsidP="00EB254E">
            <w:pPr>
              <w:pStyle w:val="In-tableHeading"/>
              <w:rPr>
                <w:lang w:val="en-AU"/>
              </w:rPr>
            </w:pPr>
            <w:r w:rsidRPr="0049396B">
              <w:rPr>
                <w:lang w:val="en-AU"/>
              </w:rPr>
              <w:t>Description</w:t>
            </w:r>
          </w:p>
        </w:tc>
      </w:tr>
      <w:tr w:rsidR="00F572A3" w:rsidRPr="0049396B" w14:paraId="599EB913" w14:textId="77777777" w:rsidTr="00EB254E">
        <w:tc>
          <w:tcPr>
            <w:tcW w:w="1271" w:type="dxa"/>
            <w:vAlign w:val="center"/>
          </w:tcPr>
          <w:p w14:paraId="453354CD" w14:textId="77777777" w:rsidR="00F572A3" w:rsidRPr="0049396B" w:rsidRDefault="00F572A3" w:rsidP="00EB254E">
            <w:pPr>
              <w:pStyle w:val="TableText0"/>
            </w:pPr>
            <w:r w:rsidRPr="0049396B">
              <w:t>Population</w:t>
            </w:r>
          </w:p>
        </w:tc>
        <w:tc>
          <w:tcPr>
            <w:tcW w:w="7885" w:type="dxa"/>
            <w:vAlign w:val="center"/>
          </w:tcPr>
          <w:p w14:paraId="5D4921B3" w14:textId="77777777" w:rsidR="00F572A3" w:rsidRPr="0049396B" w:rsidRDefault="00F572A3" w:rsidP="00EB254E">
            <w:pPr>
              <w:pStyle w:val="TableText0"/>
            </w:pPr>
            <w:r w:rsidRPr="0049396B">
              <w:t>Patients with amyotrophic lateral sclerosis (ALS).</w:t>
            </w:r>
          </w:p>
        </w:tc>
      </w:tr>
      <w:tr w:rsidR="00F572A3" w:rsidRPr="0049396B" w14:paraId="1279961A" w14:textId="77777777" w:rsidTr="00EB254E">
        <w:tc>
          <w:tcPr>
            <w:tcW w:w="1271" w:type="dxa"/>
            <w:vAlign w:val="center"/>
          </w:tcPr>
          <w:p w14:paraId="392F0111" w14:textId="77777777" w:rsidR="00F572A3" w:rsidRPr="0049396B" w:rsidRDefault="00F572A3" w:rsidP="00EB254E">
            <w:pPr>
              <w:pStyle w:val="TableText0"/>
            </w:pPr>
            <w:r w:rsidRPr="0049396B">
              <w:t>Intervention</w:t>
            </w:r>
          </w:p>
        </w:tc>
        <w:tc>
          <w:tcPr>
            <w:tcW w:w="7885" w:type="dxa"/>
            <w:vAlign w:val="center"/>
          </w:tcPr>
          <w:p w14:paraId="5B48C9FB" w14:textId="35AC0CF6" w:rsidR="00F572A3" w:rsidRPr="0049396B" w:rsidRDefault="00F572A3" w:rsidP="00EB254E">
            <w:pPr>
              <w:pStyle w:val="TableText0"/>
            </w:pPr>
            <w:r w:rsidRPr="0049396B">
              <w:t>Edaravone (Radicava®) as 30 mg/20 mL concentrated solution for injection to be diluted before use as an intravenous (IV) infusion.</w:t>
            </w:r>
          </w:p>
        </w:tc>
      </w:tr>
      <w:tr w:rsidR="00F572A3" w:rsidRPr="0049396B" w14:paraId="18205E48" w14:textId="77777777" w:rsidTr="00EB254E">
        <w:tc>
          <w:tcPr>
            <w:tcW w:w="1271" w:type="dxa"/>
            <w:vAlign w:val="center"/>
          </w:tcPr>
          <w:p w14:paraId="5D8016D8" w14:textId="77777777" w:rsidR="00F572A3" w:rsidRPr="0049396B" w:rsidRDefault="00F572A3" w:rsidP="00EB254E">
            <w:pPr>
              <w:pStyle w:val="TableText0"/>
            </w:pPr>
            <w:r w:rsidRPr="0049396B">
              <w:t>Comparator</w:t>
            </w:r>
          </w:p>
        </w:tc>
        <w:tc>
          <w:tcPr>
            <w:tcW w:w="7885" w:type="dxa"/>
            <w:vAlign w:val="center"/>
          </w:tcPr>
          <w:p w14:paraId="15F94D8A" w14:textId="77777777" w:rsidR="00F572A3" w:rsidRPr="0049396B" w:rsidRDefault="00F572A3" w:rsidP="00EB254E">
            <w:pPr>
              <w:pStyle w:val="TableText0"/>
            </w:pPr>
            <w:r w:rsidRPr="0049396B">
              <w:t xml:space="preserve">Current standard of care with or without </w:t>
            </w:r>
            <w:proofErr w:type="spellStart"/>
            <w:r w:rsidRPr="0049396B">
              <w:t>riluzole</w:t>
            </w:r>
            <w:proofErr w:type="spellEnd"/>
          </w:p>
        </w:tc>
      </w:tr>
      <w:tr w:rsidR="00F572A3" w:rsidRPr="0049396B" w14:paraId="35C83A95" w14:textId="77777777" w:rsidTr="00EB254E">
        <w:tc>
          <w:tcPr>
            <w:tcW w:w="1271" w:type="dxa"/>
            <w:vAlign w:val="center"/>
          </w:tcPr>
          <w:p w14:paraId="2CCDBE02" w14:textId="77777777" w:rsidR="00F572A3" w:rsidRPr="0049396B" w:rsidRDefault="00F572A3" w:rsidP="00EB254E">
            <w:pPr>
              <w:pStyle w:val="TableText0"/>
            </w:pPr>
            <w:r w:rsidRPr="0049396B">
              <w:t>Outcomes</w:t>
            </w:r>
          </w:p>
        </w:tc>
        <w:tc>
          <w:tcPr>
            <w:tcW w:w="7885" w:type="dxa"/>
            <w:vAlign w:val="center"/>
          </w:tcPr>
          <w:p w14:paraId="6BFF2200" w14:textId="77777777" w:rsidR="00F572A3" w:rsidRPr="0049396B" w:rsidRDefault="00F572A3" w:rsidP="00EB254E">
            <w:pPr>
              <w:pStyle w:val="TableText0"/>
            </w:pPr>
            <w:r w:rsidRPr="0049396B">
              <w:t>ALS functional rating scale (ALSFRS-R) after 6 cycles (6 months).</w:t>
            </w:r>
          </w:p>
        </w:tc>
      </w:tr>
      <w:tr w:rsidR="00F572A3" w:rsidRPr="0049396B" w14:paraId="30E5D2F1" w14:textId="77777777" w:rsidTr="00EB254E">
        <w:tc>
          <w:tcPr>
            <w:tcW w:w="1271" w:type="dxa"/>
            <w:vAlign w:val="center"/>
          </w:tcPr>
          <w:p w14:paraId="5D7C4536" w14:textId="77777777" w:rsidR="00F572A3" w:rsidRPr="0049396B" w:rsidRDefault="00F572A3" w:rsidP="00EB254E">
            <w:pPr>
              <w:pStyle w:val="TableText0"/>
            </w:pPr>
            <w:r w:rsidRPr="0049396B">
              <w:t>Clinical claim</w:t>
            </w:r>
          </w:p>
        </w:tc>
        <w:tc>
          <w:tcPr>
            <w:tcW w:w="7885" w:type="dxa"/>
            <w:vAlign w:val="center"/>
          </w:tcPr>
          <w:p w14:paraId="037815B8" w14:textId="40A6CFCB" w:rsidR="00F572A3" w:rsidRPr="0049396B" w:rsidRDefault="00F572A3" w:rsidP="00EB254E">
            <w:pPr>
              <w:pStyle w:val="TableText0"/>
            </w:pPr>
            <w:r w:rsidRPr="0049396B">
              <w:t xml:space="preserve">Edaravone plus current standard of care </w:t>
            </w:r>
            <w:r w:rsidR="00BB692F" w:rsidRPr="0049396B">
              <w:t xml:space="preserve">with or without </w:t>
            </w:r>
            <w:proofErr w:type="spellStart"/>
            <w:r w:rsidR="00BB692F" w:rsidRPr="0049396B">
              <w:t>riluzole</w:t>
            </w:r>
            <w:proofErr w:type="spellEnd"/>
            <w:r w:rsidR="00BB692F" w:rsidRPr="0049396B">
              <w:t xml:space="preserve"> </w:t>
            </w:r>
            <w:r w:rsidRPr="0049396B">
              <w:t xml:space="preserve">is superior in terms of effectiveness and has similar (non-inferior) safety compared to standard of care with or without </w:t>
            </w:r>
            <w:proofErr w:type="spellStart"/>
            <w:r w:rsidRPr="0049396B">
              <w:t>riluzole</w:t>
            </w:r>
            <w:proofErr w:type="spellEnd"/>
            <w:r w:rsidRPr="0049396B">
              <w:t>.</w:t>
            </w:r>
          </w:p>
        </w:tc>
      </w:tr>
    </w:tbl>
    <w:p w14:paraId="7BDA29A2" w14:textId="77777777" w:rsidR="00F572A3" w:rsidRPr="0049396B" w:rsidRDefault="00F572A3" w:rsidP="00F572A3">
      <w:pPr>
        <w:pStyle w:val="FooterTableFigure"/>
      </w:pPr>
      <w:r w:rsidRPr="0049396B">
        <w:t>Source: Table 1-1, p3 of the submission.</w:t>
      </w:r>
    </w:p>
    <w:p w14:paraId="7B7C33FE" w14:textId="77777777" w:rsidR="00F572A3" w:rsidRPr="0049396B" w:rsidRDefault="00F572A3" w:rsidP="00F572A3">
      <w:pPr>
        <w:pStyle w:val="FooterTableFigure"/>
      </w:pPr>
      <w:r w:rsidRPr="0049396B">
        <w:t>ALS=amyotrophic lateral sclerosis; ALSFRS-R=ALS Functional Rating Scale – Revised;</w:t>
      </w:r>
    </w:p>
    <w:p w14:paraId="66E3991F" w14:textId="77777777" w:rsidR="00F572A3" w:rsidRPr="0049396B" w:rsidRDefault="00F572A3" w:rsidP="00F572A3">
      <w:pPr>
        <w:pStyle w:val="2-SectionHeading"/>
        <w:numPr>
          <w:ilvl w:val="0"/>
          <w:numId w:val="1"/>
        </w:numPr>
      </w:pPr>
      <w:bookmarkStart w:id="7" w:name="_Toc145493769"/>
      <w:r w:rsidRPr="0049396B">
        <w:t>Background</w:t>
      </w:r>
      <w:bookmarkEnd w:id="7"/>
    </w:p>
    <w:p w14:paraId="44763239" w14:textId="77777777" w:rsidR="00F572A3" w:rsidRPr="0049396B" w:rsidRDefault="00F572A3" w:rsidP="00F572A3">
      <w:pPr>
        <w:pStyle w:val="4-SubsectionHeading"/>
      </w:pPr>
      <w:bookmarkStart w:id="8" w:name="_Toc22897638"/>
      <w:bookmarkStart w:id="9" w:name="_Toc145493770"/>
      <w:r w:rsidRPr="0049396B">
        <w:t>Registration status</w:t>
      </w:r>
      <w:bookmarkEnd w:id="8"/>
      <w:bookmarkEnd w:id="9"/>
    </w:p>
    <w:p w14:paraId="05718722" w14:textId="77777777" w:rsidR="00F572A3" w:rsidRPr="0049396B" w:rsidRDefault="00F572A3" w:rsidP="00F572A3">
      <w:pPr>
        <w:pStyle w:val="3-BodyText"/>
      </w:pPr>
      <w:r w:rsidRPr="0049396B">
        <w:t>Edaravone was granted orphan designation by the TGA on 17 August 2021, and registered by the TGA on 15 February 2023 for the following indication:</w:t>
      </w:r>
    </w:p>
    <w:p w14:paraId="6F59CF55" w14:textId="2EA41FD6" w:rsidR="00F572A3" w:rsidRPr="0049396B" w:rsidRDefault="000F21E3" w:rsidP="00F572A3">
      <w:pPr>
        <w:pStyle w:val="3-BodyText"/>
        <w:numPr>
          <w:ilvl w:val="0"/>
          <w:numId w:val="0"/>
        </w:numPr>
        <w:ind w:left="720"/>
      </w:pPr>
      <w:r>
        <w:t>‘</w:t>
      </w:r>
      <w:r w:rsidR="00F572A3" w:rsidRPr="0049396B">
        <w:t>RADICAVA is indicated in adults with a diagnosis of amyotrophic lateral sclerosis who are independent in activities of daily living with normal respiratory function and where treatment is initiated within two years of disease onset. Efficacy has not been demonstrated in patients outside of this defined population</w:t>
      </w:r>
      <w:r w:rsidR="008F162E" w:rsidRPr="0049396B">
        <w:t>.</w:t>
      </w:r>
      <w:r>
        <w:t>’</w:t>
      </w:r>
    </w:p>
    <w:p w14:paraId="6373E19E" w14:textId="77777777" w:rsidR="00F572A3" w:rsidRPr="0049396B" w:rsidRDefault="00F572A3" w:rsidP="00F572A3">
      <w:pPr>
        <w:pStyle w:val="4-SubsectionHeading"/>
      </w:pPr>
      <w:bookmarkStart w:id="10" w:name="_Toc22897639"/>
      <w:bookmarkStart w:id="11" w:name="_Toc145493771"/>
      <w:r w:rsidRPr="0049396B">
        <w:lastRenderedPageBreak/>
        <w:t>Previous PBAC consideration</w:t>
      </w:r>
      <w:bookmarkEnd w:id="10"/>
      <w:bookmarkEnd w:id="11"/>
    </w:p>
    <w:p w14:paraId="6FA36068" w14:textId="39C0A84A" w:rsidR="00F572A3" w:rsidRPr="0049396B" w:rsidRDefault="00F572A3" w:rsidP="00F572A3">
      <w:pPr>
        <w:pStyle w:val="3-BodyText"/>
      </w:pPr>
      <w:r w:rsidRPr="0049396B">
        <w:t>The</w:t>
      </w:r>
      <w:r w:rsidR="00F25574">
        <w:t xml:space="preserve"> Pharmaceutical Benefits Advisory Committee (</w:t>
      </w:r>
      <w:r w:rsidRPr="0049396B">
        <w:t>PBAC</w:t>
      </w:r>
      <w:r w:rsidR="00F25574">
        <w:t>)</w:t>
      </w:r>
      <w:r w:rsidRPr="0049396B">
        <w:t xml:space="preserve"> has not previously considered edaravone for the treatment of ALS. Currently the only PBS-listed treatment for ALS is </w:t>
      </w:r>
      <w:proofErr w:type="spellStart"/>
      <w:r w:rsidRPr="0049396B">
        <w:t>riluzole</w:t>
      </w:r>
      <w:proofErr w:type="spellEnd"/>
      <w:r w:rsidRPr="0049396B">
        <w:t xml:space="preserve">, which has been available to Australian patients since July 2003. </w:t>
      </w:r>
    </w:p>
    <w:p w14:paraId="69B67934" w14:textId="56FB60B4" w:rsidR="00F572A3" w:rsidRPr="0049396B" w:rsidRDefault="00F572A3" w:rsidP="00F572A3">
      <w:pPr>
        <w:pStyle w:val="3-BodyText"/>
        <w:rPr>
          <w:iCs/>
        </w:rPr>
      </w:pPr>
      <w:r w:rsidRPr="0049396B">
        <w:rPr>
          <w:iCs/>
        </w:rPr>
        <w:t>In 2019 the Canadian Agency for Drugs and Technologies in Health (CADTH) recommended edaravone IV</w:t>
      </w:r>
      <w:r w:rsidRPr="0049396B">
        <w:rPr>
          <w:rStyle w:val="FootnoteReference"/>
          <w:iCs/>
        </w:rPr>
        <w:footnoteReference w:id="2"/>
      </w:r>
      <w:r w:rsidRPr="0049396B">
        <w:rPr>
          <w:iCs/>
        </w:rPr>
        <w:t xml:space="preserve"> for treatment of ALS (on conditions that included a price reduction) in a narrow ALS subpopulation enrolled in Study 19, which was the only trial to show a benefit in the primary efficacy outcome (ALSFRS-R score) for edaravone. In 2023, CADTH also recommended edaravone oral suspension</w:t>
      </w:r>
      <w:r w:rsidRPr="0049396B">
        <w:rPr>
          <w:rStyle w:val="FootnoteReference"/>
          <w:iCs/>
        </w:rPr>
        <w:footnoteReference w:id="3"/>
      </w:r>
      <w:r w:rsidRPr="0049396B">
        <w:rPr>
          <w:iCs/>
        </w:rPr>
        <w:t xml:space="preserve"> formulation for the treatment of ALS.</w:t>
      </w:r>
      <w:r w:rsidR="001437F1" w:rsidRPr="0049396B">
        <w:rPr>
          <w:iCs/>
        </w:rPr>
        <w:t xml:space="preserve"> </w:t>
      </w:r>
    </w:p>
    <w:p w14:paraId="280A64D0" w14:textId="69662596" w:rsidR="003029B7" w:rsidRPr="000F21E3" w:rsidRDefault="003029B7" w:rsidP="000F21E3">
      <w:pPr>
        <w:ind w:firstLine="709"/>
        <w:rPr>
          <w:rFonts w:asciiTheme="minorHAnsi" w:hAnsiTheme="minorHAnsi"/>
          <w:i/>
        </w:rPr>
      </w:pPr>
      <w:bookmarkStart w:id="12" w:name="_Hlk76375324"/>
      <w:r w:rsidRPr="0049396B">
        <w:rPr>
          <w:rFonts w:asciiTheme="minorHAnsi" w:hAnsiTheme="minorHAnsi"/>
          <w:i/>
        </w:rPr>
        <w:t>For more detail on PBAC’s view, see section 7 PBAC outcome.</w:t>
      </w:r>
      <w:bookmarkEnd w:id="12"/>
    </w:p>
    <w:p w14:paraId="513BA1D0" w14:textId="35F035ED" w:rsidR="00B676F6" w:rsidRPr="0049396B" w:rsidRDefault="00F572A3" w:rsidP="0013773C">
      <w:pPr>
        <w:pStyle w:val="2-SectionHeading"/>
        <w:numPr>
          <w:ilvl w:val="0"/>
          <w:numId w:val="1"/>
        </w:numPr>
      </w:pPr>
      <w:bookmarkStart w:id="13" w:name="_Toc107902078"/>
      <w:bookmarkStart w:id="14" w:name="_Toc145493772"/>
      <w:bookmarkEnd w:id="13"/>
      <w:r w:rsidRPr="0049396B">
        <w:t>Requested listing</w:t>
      </w:r>
      <w:bookmarkEnd w:id="14"/>
    </w:p>
    <w:p w14:paraId="5B51A262" w14:textId="5D1A966A" w:rsidR="00AB3894" w:rsidRPr="0049396B" w:rsidRDefault="00AB3894" w:rsidP="00AB3894">
      <w:pPr>
        <w:pStyle w:val="3-BodyText"/>
      </w:pPr>
      <w:r w:rsidRPr="0049396B">
        <w:t>The submission’s proposed restrictions are shown below. PBAC’s suggested additions are in italics and deletions are in strikethrough.</w:t>
      </w:r>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7"/>
        <w:gridCol w:w="1779"/>
        <w:gridCol w:w="811"/>
        <w:gridCol w:w="810"/>
        <w:gridCol w:w="811"/>
        <w:gridCol w:w="1752"/>
      </w:tblGrid>
      <w:tr w:rsidR="00F572A3" w:rsidRPr="0049396B" w14:paraId="796F6F68" w14:textId="77777777" w:rsidTr="00312747">
        <w:trPr>
          <w:cantSplit/>
          <w:trHeight w:val="20"/>
        </w:trPr>
        <w:tc>
          <w:tcPr>
            <w:tcW w:w="2967" w:type="dxa"/>
            <w:vAlign w:val="center"/>
          </w:tcPr>
          <w:p w14:paraId="040FC4C7" w14:textId="77777777" w:rsidR="00F572A3" w:rsidRPr="0049396B" w:rsidRDefault="00F572A3" w:rsidP="00EB254E">
            <w:pPr>
              <w:keepNext/>
              <w:keepLines/>
              <w:rPr>
                <w:rFonts w:ascii="Arial Narrow" w:hAnsi="Arial Narrow"/>
                <w:b/>
                <w:bCs/>
                <w:sz w:val="20"/>
                <w:szCs w:val="20"/>
              </w:rPr>
            </w:pPr>
            <w:r w:rsidRPr="0049396B">
              <w:rPr>
                <w:rFonts w:ascii="Arial Narrow" w:hAnsi="Arial Narrow"/>
                <w:b/>
                <w:bCs/>
                <w:sz w:val="20"/>
                <w:szCs w:val="20"/>
              </w:rPr>
              <w:t>MEDICINAL PRODUCT</w:t>
            </w:r>
          </w:p>
          <w:p w14:paraId="6BFCB605" w14:textId="77777777" w:rsidR="00F572A3" w:rsidRPr="0049396B" w:rsidRDefault="00F572A3" w:rsidP="00EB254E">
            <w:pPr>
              <w:keepNext/>
              <w:keepLines/>
              <w:rPr>
                <w:rFonts w:ascii="Arial Narrow" w:hAnsi="Arial Narrow"/>
                <w:b/>
                <w:sz w:val="20"/>
                <w:szCs w:val="20"/>
              </w:rPr>
            </w:pPr>
            <w:r w:rsidRPr="0049396B">
              <w:rPr>
                <w:rFonts w:ascii="Arial Narrow" w:hAnsi="Arial Narrow"/>
                <w:b/>
                <w:bCs/>
                <w:sz w:val="20"/>
                <w:szCs w:val="20"/>
              </w:rPr>
              <w:t>medicinal product pack</w:t>
            </w:r>
          </w:p>
        </w:tc>
        <w:tc>
          <w:tcPr>
            <w:tcW w:w="1779" w:type="dxa"/>
            <w:vAlign w:val="center"/>
          </w:tcPr>
          <w:p w14:paraId="58DFD2B4" w14:textId="77777777" w:rsidR="00F572A3" w:rsidRPr="0049396B" w:rsidRDefault="00F572A3" w:rsidP="00EB254E">
            <w:pPr>
              <w:pStyle w:val="TableText0"/>
              <w:keepLines/>
              <w:rPr>
                <w:b/>
                <w:bCs w:val="0"/>
                <w:szCs w:val="20"/>
              </w:rPr>
            </w:pPr>
            <w:r w:rsidRPr="0049396B">
              <w:rPr>
                <w:b/>
                <w:bCs w:val="0"/>
                <w:snapToGrid w:val="0"/>
              </w:rPr>
              <w:t xml:space="preserve">Dispensed Price for Max. Qty </w:t>
            </w:r>
          </w:p>
        </w:tc>
        <w:tc>
          <w:tcPr>
            <w:tcW w:w="811" w:type="dxa"/>
            <w:vAlign w:val="center"/>
          </w:tcPr>
          <w:p w14:paraId="1DA32B05" w14:textId="77777777" w:rsidR="00F572A3" w:rsidRPr="0049396B" w:rsidRDefault="00F572A3" w:rsidP="00EB254E">
            <w:pPr>
              <w:keepNext/>
              <w:keepLines/>
              <w:jc w:val="center"/>
              <w:rPr>
                <w:rFonts w:ascii="Arial Narrow" w:hAnsi="Arial Narrow"/>
                <w:b/>
                <w:sz w:val="20"/>
                <w:szCs w:val="20"/>
              </w:rPr>
            </w:pPr>
            <w:r w:rsidRPr="0049396B">
              <w:rPr>
                <w:rFonts w:ascii="Arial Narrow" w:hAnsi="Arial Narrow"/>
                <w:b/>
                <w:sz w:val="20"/>
                <w:szCs w:val="20"/>
              </w:rPr>
              <w:t>Max. qty packs</w:t>
            </w:r>
          </w:p>
        </w:tc>
        <w:tc>
          <w:tcPr>
            <w:tcW w:w="810" w:type="dxa"/>
            <w:vAlign w:val="center"/>
          </w:tcPr>
          <w:p w14:paraId="17B61A50" w14:textId="77777777" w:rsidR="00F572A3" w:rsidRPr="0049396B" w:rsidRDefault="00F572A3" w:rsidP="00EB254E">
            <w:pPr>
              <w:keepNext/>
              <w:keepLines/>
              <w:jc w:val="center"/>
              <w:rPr>
                <w:rFonts w:ascii="Arial Narrow" w:hAnsi="Arial Narrow"/>
                <w:b/>
                <w:sz w:val="20"/>
                <w:szCs w:val="20"/>
              </w:rPr>
            </w:pPr>
            <w:r w:rsidRPr="0049396B">
              <w:rPr>
                <w:rFonts w:ascii="Arial Narrow" w:hAnsi="Arial Narrow"/>
                <w:b/>
                <w:sz w:val="20"/>
                <w:szCs w:val="20"/>
              </w:rPr>
              <w:t>Max. qty units</w:t>
            </w:r>
          </w:p>
        </w:tc>
        <w:tc>
          <w:tcPr>
            <w:tcW w:w="811" w:type="dxa"/>
            <w:vAlign w:val="center"/>
          </w:tcPr>
          <w:p w14:paraId="401C2B15" w14:textId="77777777" w:rsidR="00F572A3" w:rsidRPr="0049396B" w:rsidRDefault="00F572A3" w:rsidP="00EB254E">
            <w:pPr>
              <w:keepNext/>
              <w:keepLines/>
              <w:jc w:val="center"/>
              <w:rPr>
                <w:rFonts w:ascii="Arial Narrow" w:hAnsi="Arial Narrow"/>
                <w:b/>
                <w:sz w:val="20"/>
                <w:szCs w:val="20"/>
              </w:rPr>
            </w:pPr>
            <w:r w:rsidRPr="0049396B">
              <w:rPr>
                <w:rFonts w:ascii="Arial Narrow" w:hAnsi="Arial Narrow"/>
                <w:b/>
                <w:sz w:val="20"/>
                <w:szCs w:val="20"/>
              </w:rPr>
              <w:t>№.of</w:t>
            </w:r>
          </w:p>
          <w:p w14:paraId="13AD8B11" w14:textId="77777777" w:rsidR="00F572A3" w:rsidRPr="0049396B" w:rsidRDefault="00F572A3" w:rsidP="00EB254E">
            <w:pPr>
              <w:keepNext/>
              <w:keepLines/>
              <w:jc w:val="center"/>
              <w:rPr>
                <w:rFonts w:ascii="Arial Narrow" w:hAnsi="Arial Narrow"/>
                <w:b/>
                <w:sz w:val="20"/>
                <w:szCs w:val="20"/>
              </w:rPr>
            </w:pPr>
            <w:r w:rsidRPr="0049396B">
              <w:rPr>
                <w:rFonts w:ascii="Arial Narrow" w:hAnsi="Arial Narrow"/>
                <w:b/>
                <w:sz w:val="20"/>
                <w:szCs w:val="20"/>
              </w:rPr>
              <w:t>Rpts</w:t>
            </w:r>
          </w:p>
        </w:tc>
        <w:tc>
          <w:tcPr>
            <w:tcW w:w="1752" w:type="dxa"/>
            <w:vAlign w:val="center"/>
          </w:tcPr>
          <w:p w14:paraId="03BCB4C4" w14:textId="77777777" w:rsidR="00F572A3" w:rsidRPr="0049396B" w:rsidRDefault="00F572A3" w:rsidP="00EB254E">
            <w:pPr>
              <w:keepNext/>
              <w:keepLines/>
              <w:rPr>
                <w:rFonts w:ascii="Arial Narrow" w:hAnsi="Arial Narrow"/>
                <w:b/>
                <w:sz w:val="20"/>
                <w:szCs w:val="20"/>
              </w:rPr>
            </w:pPr>
            <w:r w:rsidRPr="0049396B">
              <w:rPr>
                <w:rFonts w:ascii="Arial Narrow" w:hAnsi="Arial Narrow"/>
                <w:b/>
                <w:sz w:val="20"/>
                <w:szCs w:val="20"/>
              </w:rPr>
              <w:t>Available brands</w:t>
            </w:r>
          </w:p>
        </w:tc>
      </w:tr>
      <w:tr w:rsidR="00F572A3" w:rsidRPr="0049396B" w14:paraId="221B122C" w14:textId="77777777" w:rsidTr="00312747">
        <w:trPr>
          <w:cantSplit/>
          <w:trHeight w:val="20"/>
        </w:trPr>
        <w:tc>
          <w:tcPr>
            <w:tcW w:w="8930" w:type="dxa"/>
            <w:gridSpan w:val="6"/>
            <w:vAlign w:val="center"/>
          </w:tcPr>
          <w:p w14:paraId="4311EF6D" w14:textId="77777777" w:rsidR="00F572A3" w:rsidRPr="0049396B" w:rsidRDefault="00F572A3" w:rsidP="00EB254E">
            <w:pPr>
              <w:pStyle w:val="TableText0"/>
              <w:keepLines/>
              <w:rPr>
                <w:rFonts w:cs="Arial"/>
                <w:szCs w:val="20"/>
              </w:rPr>
            </w:pPr>
            <w:r w:rsidRPr="0049396B">
              <w:rPr>
                <w:smallCaps/>
              </w:rPr>
              <w:t>Edaravone</w:t>
            </w:r>
          </w:p>
        </w:tc>
      </w:tr>
      <w:tr w:rsidR="00F572A3" w:rsidRPr="0049396B" w14:paraId="27E480F1" w14:textId="77777777" w:rsidTr="00312747">
        <w:trPr>
          <w:cantSplit/>
          <w:trHeight w:val="20"/>
        </w:trPr>
        <w:tc>
          <w:tcPr>
            <w:tcW w:w="2967" w:type="dxa"/>
            <w:vAlign w:val="center"/>
          </w:tcPr>
          <w:p w14:paraId="0394F934" w14:textId="77777777" w:rsidR="00F572A3" w:rsidRPr="0049396B" w:rsidRDefault="00F572A3" w:rsidP="00EB254E">
            <w:pPr>
              <w:keepNext/>
              <w:keepLines/>
              <w:rPr>
                <w:rFonts w:ascii="Arial Narrow" w:hAnsi="Arial Narrow"/>
                <w:b/>
                <w:sz w:val="20"/>
                <w:szCs w:val="20"/>
              </w:rPr>
            </w:pPr>
            <w:r w:rsidRPr="0049396B">
              <w:rPr>
                <w:rFonts w:ascii="Arial Narrow" w:hAnsi="Arial Narrow"/>
                <w:b/>
                <w:sz w:val="20"/>
                <w:szCs w:val="20"/>
              </w:rPr>
              <w:t>Initial treatment</w:t>
            </w:r>
          </w:p>
          <w:p w14:paraId="052903DB" w14:textId="77777777" w:rsidR="00F572A3" w:rsidRPr="0049396B" w:rsidRDefault="00F572A3" w:rsidP="00EB254E">
            <w:pPr>
              <w:keepNext/>
              <w:keepLines/>
              <w:rPr>
                <w:rFonts w:ascii="Arial Narrow" w:hAnsi="Arial Narrow"/>
                <w:sz w:val="20"/>
                <w:szCs w:val="20"/>
              </w:rPr>
            </w:pPr>
            <w:r w:rsidRPr="0049396B">
              <w:rPr>
                <w:rFonts w:ascii="Arial Narrow" w:hAnsi="Arial Narrow"/>
                <w:sz w:val="20"/>
                <w:szCs w:val="20"/>
              </w:rPr>
              <w:t>30 mg/20 mL concentrated solution for injection, 10 ampoules</w:t>
            </w:r>
          </w:p>
        </w:tc>
        <w:tc>
          <w:tcPr>
            <w:tcW w:w="1779" w:type="dxa"/>
            <w:vAlign w:val="center"/>
          </w:tcPr>
          <w:p w14:paraId="1185925F" w14:textId="431862E0" w:rsidR="00F572A3" w:rsidRPr="0049396B" w:rsidRDefault="009B4DB9" w:rsidP="00EB254E">
            <w:pPr>
              <w:pStyle w:val="TableText0"/>
              <w:keepLines/>
              <w:jc w:val="center"/>
            </w:pPr>
            <w:r>
              <w:t>$</w:t>
            </w:r>
            <w:r w:rsidR="0015085A" w:rsidRPr="009B4DB9">
              <w:rPr>
                <w:rFonts w:hint="eastAsia"/>
                <w:color w:val="000000"/>
                <w:w w:val="15"/>
                <w:shd w:val="solid" w:color="000000" w:fill="000000"/>
                <w:fitText w:val="50" w:id="-1032132096"/>
                <w14:textFill>
                  <w14:solidFill>
                    <w14:srgbClr w14:val="000000">
                      <w14:alpha w14:val="100000"/>
                    </w14:srgbClr>
                  </w14:solidFill>
                </w14:textFill>
              </w:rPr>
              <w:t xml:space="preserve">　</w:t>
            </w:r>
            <w:r w:rsidR="0015085A" w:rsidRPr="009B4DB9">
              <w:rPr>
                <w:color w:val="000000"/>
                <w:w w:val="15"/>
                <w:shd w:val="solid" w:color="000000" w:fill="000000"/>
                <w:fitText w:val="50" w:id="-1032132096"/>
                <w14:textFill>
                  <w14:solidFill>
                    <w14:srgbClr w14:val="000000">
                      <w14:alpha w14:val="100000"/>
                    </w14:srgbClr>
                  </w14:solidFill>
                </w14:textFill>
              </w:rPr>
              <w:t>|</w:t>
            </w:r>
            <w:r w:rsidR="0015085A" w:rsidRPr="009B4DB9">
              <w:rPr>
                <w:rFonts w:hint="eastAsia"/>
                <w:color w:val="000000"/>
                <w:spacing w:val="-15"/>
                <w:w w:val="15"/>
                <w:shd w:val="solid" w:color="000000" w:fill="000000"/>
                <w:fitText w:val="50" w:id="-1032132096"/>
                <w14:textFill>
                  <w14:solidFill>
                    <w14:srgbClr w14:val="000000">
                      <w14:alpha w14:val="100000"/>
                    </w14:srgbClr>
                  </w14:solidFill>
                </w14:textFill>
              </w:rPr>
              <w:t xml:space="preserve">　</w:t>
            </w:r>
            <w:r w:rsidR="00F572A3" w:rsidRPr="0049396B">
              <w:t xml:space="preserve"> (public)</w:t>
            </w:r>
          </w:p>
          <w:p w14:paraId="4C4D07A0" w14:textId="430CD1F1" w:rsidR="00F572A3" w:rsidRPr="0049396B" w:rsidRDefault="009B4DB9" w:rsidP="00EB254E">
            <w:pPr>
              <w:pStyle w:val="TableText0"/>
              <w:keepLines/>
              <w:jc w:val="center"/>
              <w:rPr>
                <w:szCs w:val="20"/>
              </w:rPr>
            </w:pPr>
            <w:r>
              <w:t>$</w:t>
            </w:r>
            <w:r w:rsidR="0015085A" w:rsidRPr="009B4DB9">
              <w:rPr>
                <w:rFonts w:hint="eastAsia"/>
                <w:color w:val="000000"/>
                <w:w w:val="27"/>
                <w:shd w:val="solid" w:color="000000" w:fill="000000"/>
                <w:fitText w:val="120" w:id="-1032132095"/>
                <w14:textFill>
                  <w14:solidFill>
                    <w14:srgbClr w14:val="000000">
                      <w14:alpha w14:val="100000"/>
                    </w14:srgbClr>
                  </w14:solidFill>
                </w14:textFill>
              </w:rPr>
              <w:t xml:space="preserve">　</w:t>
            </w:r>
            <w:r w:rsidR="0015085A" w:rsidRPr="009B4DB9">
              <w:rPr>
                <w:color w:val="000000"/>
                <w:w w:val="27"/>
                <w:shd w:val="solid" w:color="000000" w:fill="000000"/>
                <w:fitText w:val="120" w:id="-1032132095"/>
                <w14:textFill>
                  <w14:solidFill>
                    <w14:srgbClr w14:val="000000">
                      <w14:alpha w14:val="100000"/>
                    </w14:srgbClr>
                  </w14:solidFill>
                </w14:textFill>
              </w:rPr>
              <w:t>|</w:t>
            </w:r>
            <w:r w:rsidR="0015085A" w:rsidRPr="009B4DB9">
              <w:rPr>
                <w:rFonts w:hint="eastAsia"/>
                <w:color w:val="000000"/>
                <w:w w:val="27"/>
                <w:shd w:val="solid" w:color="000000" w:fill="000000"/>
                <w:fitText w:val="120" w:id="-1032132095"/>
                <w14:textFill>
                  <w14:solidFill>
                    <w14:srgbClr w14:val="000000">
                      <w14:alpha w14:val="100000"/>
                    </w14:srgbClr>
                  </w14:solidFill>
                </w14:textFill>
              </w:rPr>
              <w:t xml:space="preserve">　</w:t>
            </w:r>
            <w:r w:rsidR="00F572A3" w:rsidRPr="0049396B">
              <w:t xml:space="preserve"> (private)#</w:t>
            </w:r>
          </w:p>
        </w:tc>
        <w:tc>
          <w:tcPr>
            <w:tcW w:w="811" w:type="dxa"/>
            <w:vAlign w:val="center"/>
          </w:tcPr>
          <w:p w14:paraId="422A590B" w14:textId="77777777" w:rsidR="00F572A3" w:rsidRPr="0049396B" w:rsidRDefault="00F572A3" w:rsidP="00EB254E">
            <w:pPr>
              <w:keepNext/>
              <w:keepLines/>
              <w:jc w:val="center"/>
              <w:rPr>
                <w:rFonts w:ascii="Arial Narrow" w:hAnsi="Arial Narrow"/>
                <w:sz w:val="20"/>
                <w:szCs w:val="20"/>
              </w:rPr>
            </w:pPr>
            <w:r w:rsidRPr="0049396B">
              <w:rPr>
                <w:rFonts w:ascii="Arial Narrow" w:hAnsi="Arial Narrow"/>
                <w:sz w:val="20"/>
              </w:rPr>
              <w:t>3^</w:t>
            </w:r>
          </w:p>
        </w:tc>
        <w:tc>
          <w:tcPr>
            <w:tcW w:w="810" w:type="dxa"/>
            <w:vAlign w:val="center"/>
          </w:tcPr>
          <w:p w14:paraId="6DA6E59E" w14:textId="25DEB141" w:rsidR="00F572A3" w:rsidRPr="0049396B" w:rsidRDefault="00F572A3" w:rsidP="00EB254E">
            <w:pPr>
              <w:keepNext/>
              <w:keepLines/>
              <w:jc w:val="center"/>
              <w:rPr>
                <w:rFonts w:ascii="Arial Narrow" w:hAnsi="Arial Narrow"/>
                <w:strike/>
                <w:sz w:val="20"/>
                <w:szCs w:val="20"/>
              </w:rPr>
            </w:pPr>
            <w:r w:rsidRPr="0049396B">
              <w:rPr>
                <w:rFonts w:ascii="Arial Narrow" w:hAnsi="Arial Narrow"/>
                <w:strike/>
                <w:sz w:val="20"/>
                <w:szCs w:val="20"/>
              </w:rPr>
              <w:t>28</w:t>
            </w:r>
            <w:r w:rsidR="00312747" w:rsidRPr="0049396B">
              <w:rPr>
                <w:rFonts w:ascii="Arial Narrow" w:hAnsi="Arial Narrow"/>
                <w:i/>
                <w:iCs/>
                <w:sz w:val="20"/>
                <w:szCs w:val="20"/>
              </w:rPr>
              <w:t>30</w:t>
            </w:r>
          </w:p>
        </w:tc>
        <w:tc>
          <w:tcPr>
            <w:tcW w:w="811" w:type="dxa"/>
            <w:vAlign w:val="center"/>
          </w:tcPr>
          <w:p w14:paraId="36C3CA72" w14:textId="77777777" w:rsidR="00F572A3" w:rsidRPr="0049396B" w:rsidRDefault="00F572A3" w:rsidP="00EB254E">
            <w:pPr>
              <w:keepNext/>
              <w:keepLines/>
              <w:jc w:val="center"/>
              <w:rPr>
                <w:rFonts w:ascii="Arial Narrow" w:hAnsi="Arial Narrow"/>
                <w:sz w:val="20"/>
                <w:szCs w:val="20"/>
              </w:rPr>
            </w:pPr>
            <w:r w:rsidRPr="0049396B">
              <w:rPr>
                <w:rFonts w:ascii="Arial Narrow" w:hAnsi="Arial Narrow"/>
                <w:sz w:val="20"/>
                <w:szCs w:val="20"/>
              </w:rPr>
              <w:t>0</w:t>
            </w:r>
          </w:p>
        </w:tc>
        <w:tc>
          <w:tcPr>
            <w:tcW w:w="1752" w:type="dxa"/>
            <w:tcBorders>
              <w:bottom w:val="single" w:sz="4" w:space="0" w:color="auto"/>
            </w:tcBorders>
            <w:vAlign w:val="center"/>
          </w:tcPr>
          <w:p w14:paraId="103A4E8F" w14:textId="77777777" w:rsidR="00F572A3" w:rsidRPr="0049396B" w:rsidRDefault="00F572A3" w:rsidP="00EB254E">
            <w:pPr>
              <w:keepNext/>
              <w:keepLines/>
              <w:jc w:val="left"/>
              <w:rPr>
                <w:rFonts w:ascii="Arial Narrow" w:hAnsi="Arial Narrow"/>
                <w:sz w:val="20"/>
                <w:szCs w:val="20"/>
              </w:rPr>
            </w:pPr>
            <w:r w:rsidRPr="0049396B">
              <w:rPr>
                <w:rFonts w:ascii="Arial Narrow" w:hAnsi="Arial Narrow"/>
                <w:sz w:val="20"/>
                <w:szCs w:val="20"/>
              </w:rPr>
              <w:t>Radicava, TEVA Pharma</w:t>
            </w:r>
          </w:p>
        </w:tc>
      </w:tr>
      <w:tr w:rsidR="00E9175B" w:rsidRPr="0049396B" w14:paraId="5587CEF2" w14:textId="77777777" w:rsidTr="00312747">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tcBorders>
              <w:top w:val="single" w:sz="4" w:space="0" w:color="auto"/>
              <w:left w:val="single" w:sz="4" w:space="0" w:color="auto"/>
              <w:right w:val="single" w:sz="4" w:space="0" w:color="auto"/>
            </w:tcBorders>
            <w:vAlign w:val="center"/>
          </w:tcPr>
          <w:p w14:paraId="57A7A593" w14:textId="77777777" w:rsidR="00E9175B" w:rsidRPr="0049396B" w:rsidRDefault="00E9175B" w:rsidP="00826D99">
            <w:pPr>
              <w:keepLines/>
              <w:rPr>
                <w:rFonts w:ascii="Arial Narrow" w:hAnsi="Arial Narrow"/>
                <w:b/>
                <w:sz w:val="20"/>
                <w:szCs w:val="20"/>
              </w:rPr>
            </w:pPr>
            <w:r w:rsidRPr="0049396B">
              <w:rPr>
                <w:rFonts w:ascii="Arial Narrow" w:hAnsi="Arial Narrow"/>
                <w:b/>
                <w:sz w:val="20"/>
                <w:szCs w:val="20"/>
              </w:rPr>
              <w:t>Restriction Summary [new 1] / ToC: [new 2]</w:t>
            </w:r>
          </w:p>
        </w:tc>
      </w:tr>
      <w:tr w:rsidR="00312747" w:rsidRPr="0049396B" w14:paraId="3E10FDE4" w14:textId="77777777" w:rsidTr="00312747">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tcBorders>
              <w:top w:val="single" w:sz="4" w:space="0" w:color="auto"/>
              <w:left w:val="single" w:sz="4" w:space="0" w:color="auto"/>
              <w:bottom w:val="single" w:sz="4" w:space="0" w:color="auto"/>
              <w:right w:val="single" w:sz="4" w:space="0" w:color="auto"/>
            </w:tcBorders>
            <w:vAlign w:val="center"/>
          </w:tcPr>
          <w:p w14:paraId="61D8325D" w14:textId="77777777" w:rsidR="00312747" w:rsidRPr="0049396B" w:rsidRDefault="00312747" w:rsidP="00826D99">
            <w:pPr>
              <w:keepLines/>
              <w:rPr>
                <w:rFonts w:ascii="Arial Narrow" w:hAnsi="Arial Narrow"/>
                <w:sz w:val="20"/>
                <w:szCs w:val="20"/>
              </w:rPr>
            </w:pPr>
            <w:r w:rsidRPr="0049396B">
              <w:rPr>
                <w:rFonts w:ascii="Arial Narrow" w:hAnsi="Arial Narrow"/>
                <w:b/>
                <w:sz w:val="20"/>
                <w:szCs w:val="20"/>
              </w:rPr>
              <w:t xml:space="preserve">Category / Program: </w:t>
            </w:r>
            <w:r w:rsidRPr="0049396B">
              <w:rPr>
                <w:rFonts w:ascii="Arial Narrow" w:hAnsi="Arial Narrow"/>
                <w:sz w:val="20"/>
                <w:szCs w:val="20"/>
              </w:rPr>
              <w:t>Section 100 – Highly Specialised Drugs Program (Public Hospital, Private Hospital and Community Access)</w:t>
            </w:r>
          </w:p>
        </w:tc>
      </w:tr>
      <w:tr w:rsidR="00312747" w:rsidRPr="0049396B" w14:paraId="5B8DE981" w14:textId="77777777" w:rsidTr="00312747">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tcBorders>
              <w:top w:val="single" w:sz="4" w:space="0" w:color="auto"/>
              <w:left w:val="single" w:sz="4" w:space="0" w:color="auto"/>
              <w:bottom w:val="single" w:sz="4" w:space="0" w:color="auto"/>
              <w:right w:val="single" w:sz="4" w:space="0" w:color="auto"/>
            </w:tcBorders>
            <w:vAlign w:val="center"/>
          </w:tcPr>
          <w:p w14:paraId="7D0FA084" w14:textId="77777777" w:rsidR="00312747" w:rsidRPr="0049396B" w:rsidRDefault="00312747" w:rsidP="00826D99">
            <w:pPr>
              <w:keepLines/>
              <w:rPr>
                <w:rFonts w:ascii="Arial Narrow" w:hAnsi="Arial Narrow"/>
                <w:b/>
                <w:sz w:val="20"/>
                <w:szCs w:val="20"/>
              </w:rPr>
            </w:pPr>
            <w:r w:rsidRPr="0049396B">
              <w:rPr>
                <w:rFonts w:ascii="Arial Narrow" w:hAnsi="Arial Narrow"/>
                <w:b/>
                <w:sz w:val="20"/>
                <w:szCs w:val="20"/>
              </w:rPr>
              <w:t xml:space="preserve">Prescriber type: </w:t>
            </w:r>
            <w:r w:rsidRPr="0049396B">
              <w:rPr>
                <w:rFonts w:ascii="Arial Narrow" w:hAnsi="Arial Narrow"/>
                <w:sz w:val="20"/>
                <w:szCs w:val="20"/>
              </w:rPr>
              <w:fldChar w:fldCharType="begin" w:fldLock="1">
                <w:ffData>
                  <w:name w:val=""/>
                  <w:enabled/>
                  <w:calcOnExit w:val="0"/>
                  <w:checkBox>
                    <w:sizeAuto/>
                    <w:default w:val="1"/>
                  </w:checkBox>
                </w:ffData>
              </w:fldChar>
            </w:r>
            <w:r w:rsidRPr="0049396B">
              <w:rPr>
                <w:rFonts w:ascii="Arial Narrow" w:hAnsi="Arial Narrow"/>
                <w:sz w:val="20"/>
                <w:szCs w:val="20"/>
              </w:rPr>
              <w:instrText xml:space="preserve"> FORMCHECKBOX </w:instrText>
            </w:r>
            <w:r w:rsidR="001C0AB9">
              <w:rPr>
                <w:rFonts w:ascii="Arial Narrow" w:hAnsi="Arial Narrow"/>
                <w:sz w:val="20"/>
                <w:szCs w:val="20"/>
              </w:rPr>
            </w:r>
            <w:r w:rsidR="001C0AB9">
              <w:rPr>
                <w:rFonts w:ascii="Arial Narrow" w:hAnsi="Arial Narrow"/>
                <w:sz w:val="20"/>
                <w:szCs w:val="20"/>
              </w:rPr>
              <w:fldChar w:fldCharType="separate"/>
            </w:r>
            <w:r w:rsidRPr="0049396B">
              <w:rPr>
                <w:rFonts w:ascii="Arial Narrow" w:hAnsi="Arial Narrow"/>
                <w:sz w:val="20"/>
                <w:szCs w:val="20"/>
              </w:rPr>
              <w:fldChar w:fldCharType="end"/>
            </w:r>
            <w:r w:rsidRPr="0049396B">
              <w:rPr>
                <w:rFonts w:ascii="Arial Narrow" w:hAnsi="Arial Narrow"/>
                <w:sz w:val="20"/>
                <w:szCs w:val="20"/>
              </w:rPr>
              <w:t>Medical Practitioners</w:t>
            </w:r>
          </w:p>
        </w:tc>
      </w:tr>
      <w:tr w:rsidR="00312747" w:rsidRPr="0049396B" w14:paraId="5FEE11EC" w14:textId="77777777" w:rsidTr="00312747">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tcBorders>
              <w:top w:val="single" w:sz="4" w:space="0" w:color="auto"/>
              <w:left w:val="single" w:sz="4" w:space="0" w:color="auto"/>
              <w:bottom w:val="single" w:sz="4" w:space="0" w:color="auto"/>
              <w:right w:val="single" w:sz="4" w:space="0" w:color="auto"/>
            </w:tcBorders>
            <w:vAlign w:val="center"/>
          </w:tcPr>
          <w:p w14:paraId="3B73AE2F" w14:textId="77777777" w:rsidR="00312747" w:rsidRPr="0049396B" w:rsidRDefault="00312747" w:rsidP="00826D99">
            <w:pPr>
              <w:keepLines/>
              <w:rPr>
                <w:rFonts w:ascii="Arial Narrow" w:eastAsia="Calibri" w:hAnsi="Arial Narrow"/>
                <w:color w:val="FF0000"/>
                <w:sz w:val="20"/>
                <w:szCs w:val="20"/>
              </w:rPr>
            </w:pPr>
            <w:r w:rsidRPr="0049396B">
              <w:rPr>
                <w:rFonts w:ascii="Arial Narrow" w:hAnsi="Arial Narrow"/>
                <w:b/>
                <w:sz w:val="20"/>
                <w:szCs w:val="20"/>
              </w:rPr>
              <w:t xml:space="preserve">Restriction type: </w:t>
            </w:r>
            <w:r w:rsidRPr="0049396B">
              <w:rPr>
                <w:rFonts w:ascii="Arial Narrow" w:eastAsia="Calibri" w:hAnsi="Arial Narrow"/>
                <w:sz w:val="20"/>
                <w:szCs w:val="20"/>
              </w:rPr>
              <w:fldChar w:fldCharType="begin" w:fldLock="1">
                <w:ffData>
                  <w:name w:val="Check3"/>
                  <w:enabled/>
                  <w:calcOnExit w:val="0"/>
                  <w:checkBox>
                    <w:sizeAuto/>
                    <w:default w:val="1"/>
                  </w:checkBox>
                </w:ffData>
              </w:fldChar>
            </w:r>
            <w:r w:rsidRPr="0049396B">
              <w:rPr>
                <w:rFonts w:ascii="Arial Narrow" w:eastAsia="Calibri" w:hAnsi="Arial Narrow"/>
                <w:sz w:val="20"/>
                <w:szCs w:val="20"/>
              </w:rPr>
              <w:instrText xml:space="preserve"> FORMCHECKBOX </w:instrText>
            </w:r>
            <w:r w:rsidR="001C0AB9">
              <w:rPr>
                <w:rFonts w:ascii="Arial Narrow" w:eastAsia="Calibri" w:hAnsi="Arial Narrow"/>
                <w:sz w:val="20"/>
                <w:szCs w:val="20"/>
              </w:rPr>
            </w:r>
            <w:r w:rsidR="001C0AB9">
              <w:rPr>
                <w:rFonts w:ascii="Arial Narrow" w:eastAsia="Calibri" w:hAnsi="Arial Narrow"/>
                <w:sz w:val="20"/>
                <w:szCs w:val="20"/>
              </w:rPr>
              <w:fldChar w:fldCharType="separate"/>
            </w:r>
            <w:r w:rsidRPr="0049396B">
              <w:rPr>
                <w:rFonts w:ascii="Arial Narrow" w:eastAsia="Calibri" w:hAnsi="Arial Narrow"/>
                <w:sz w:val="20"/>
                <w:szCs w:val="20"/>
              </w:rPr>
              <w:fldChar w:fldCharType="end"/>
            </w:r>
            <w:r w:rsidRPr="0049396B">
              <w:rPr>
                <w:rFonts w:ascii="Arial Narrow" w:eastAsia="Calibri" w:hAnsi="Arial Narrow"/>
                <w:sz w:val="20"/>
                <w:szCs w:val="20"/>
              </w:rPr>
              <w:t xml:space="preserve">Authority Required (telephone/online PBS Authorities system) </w:t>
            </w:r>
          </w:p>
        </w:tc>
      </w:tr>
      <w:tr w:rsidR="00312747" w:rsidRPr="0049396B" w14:paraId="65677975" w14:textId="77777777" w:rsidTr="00312747">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vAlign w:val="center"/>
          </w:tcPr>
          <w:p w14:paraId="55F2F9D6" w14:textId="77777777" w:rsidR="00312747" w:rsidRPr="0049396B" w:rsidRDefault="00312747" w:rsidP="00826D99">
            <w:pPr>
              <w:rPr>
                <w:rFonts w:ascii="Arial Narrow" w:hAnsi="Arial Narrow"/>
                <w:i/>
                <w:iCs/>
                <w:color w:val="333333"/>
                <w:sz w:val="20"/>
                <w:szCs w:val="20"/>
              </w:rPr>
            </w:pPr>
            <w:r w:rsidRPr="0049396B">
              <w:rPr>
                <w:rFonts w:ascii="Arial Narrow" w:hAnsi="Arial Narrow"/>
                <w:b/>
                <w:bCs/>
                <w:i/>
                <w:iCs/>
                <w:sz w:val="20"/>
                <w:szCs w:val="20"/>
              </w:rPr>
              <w:t xml:space="preserve">Administrative Advice: </w:t>
            </w:r>
            <w:r w:rsidRPr="0049396B">
              <w:rPr>
                <w:rFonts w:ascii="Arial Narrow" w:hAnsi="Arial Narrow"/>
                <w:bCs/>
                <w:i/>
                <w:iCs/>
                <w:sz w:val="20"/>
                <w:szCs w:val="20"/>
              </w:rPr>
              <w:t>No increase in the maximum quantity or number of units may be authorised.</w:t>
            </w:r>
          </w:p>
        </w:tc>
      </w:tr>
      <w:tr w:rsidR="00312747" w:rsidRPr="0049396B" w14:paraId="6F4D69D9" w14:textId="77777777" w:rsidTr="00312747">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vAlign w:val="center"/>
          </w:tcPr>
          <w:p w14:paraId="726D89D3" w14:textId="77777777" w:rsidR="00312747" w:rsidRPr="0049396B" w:rsidRDefault="00312747" w:rsidP="00826D99">
            <w:pPr>
              <w:rPr>
                <w:rFonts w:ascii="Arial Narrow" w:hAnsi="Arial Narrow"/>
                <w:b/>
                <w:bCs/>
                <w:i/>
                <w:iCs/>
                <w:color w:val="333333"/>
                <w:sz w:val="20"/>
                <w:szCs w:val="20"/>
              </w:rPr>
            </w:pPr>
            <w:r w:rsidRPr="0049396B">
              <w:rPr>
                <w:rFonts w:ascii="Arial Narrow" w:hAnsi="Arial Narrow"/>
                <w:b/>
                <w:bCs/>
                <w:i/>
                <w:iCs/>
                <w:sz w:val="20"/>
                <w:szCs w:val="20"/>
              </w:rPr>
              <w:t xml:space="preserve">Administrative Advice: </w:t>
            </w:r>
            <w:r w:rsidRPr="0049396B">
              <w:rPr>
                <w:rFonts w:ascii="Arial Narrow" w:hAnsi="Arial Narrow"/>
                <w:bCs/>
                <w:i/>
                <w:iCs/>
                <w:sz w:val="20"/>
                <w:szCs w:val="20"/>
              </w:rPr>
              <w:t>No increase in the maximum number of repeats may be authorised.</w:t>
            </w:r>
          </w:p>
        </w:tc>
      </w:tr>
      <w:tr w:rsidR="00312747" w:rsidRPr="0049396B" w14:paraId="1665F91B" w14:textId="77777777" w:rsidTr="00312747">
        <w:tblPrEx>
          <w:tblCellMar>
            <w:top w:w="15" w:type="dxa"/>
            <w:left w:w="108" w:type="dxa"/>
            <w:bottom w:w="15" w:type="dxa"/>
            <w:right w:w="108" w:type="dxa"/>
          </w:tblCellMar>
          <w:tblLook w:val="04A0" w:firstRow="1" w:lastRow="0" w:firstColumn="1" w:lastColumn="0" w:noHBand="0" w:noVBand="1"/>
        </w:tblPrEx>
        <w:trPr>
          <w:trHeight w:val="290"/>
        </w:trPr>
        <w:tc>
          <w:tcPr>
            <w:tcW w:w="8930" w:type="dxa"/>
            <w:gridSpan w:val="6"/>
            <w:vAlign w:val="center"/>
          </w:tcPr>
          <w:p w14:paraId="0056A0DD" w14:textId="77777777" w:rsidR="00312747" w:rsidRPr="0049396B" w:rsidRDefault="00312747" w:rsidP="00826D99">
            <w:pPr>
              <w:rPr>
                <w:rFonts w:ascii="Arial Narrow" w:hAnsi="Arial Narrow"/>
                <w:b/>
                <w:bCs/>
                <w:i/>
                <w:iCs/>
                <w:color w:val="333333"/>
                <w:sz w:val="20"/>
                <w:szCs w:val="20"/>
              </w:rPr>
            </w:pPr>
            <w:r w:rsidRPr="0049396B">
              <w:rPr>
                <w:rFonts w:ascii="Arial Narrow" w:hAnsi="Arial Narrow"/>
                <w:b/>
                <w:bCs/>
                <w:i/>
                <w:iCs/>
                <w:sz w:val="20"/>
                <w:szCs w:val="20"/>
              </w:rPr>
              <w:t xml:space="preserve">Administrative Advice: </w:t>
            </w:r>
            <w:r w:rsidRPr="0049396B">
              <w:rPr>
                <w:rFonts w:ascii="Arial Narrow" w:hAnsi="Arial Narrow"/>
                <w:bCs/>
                <w:i/>
                <w:iCs/>
                <w:sz w:val="20"/>
                <w:szCs w:val="20"/>
              </w:rPr>
              <w:t>Special Pricing Arrangements apply.</w:t>
            </w:r>
          </w:p>
        </w:tc>
      </w:tr>
      <w:tr w:rsidR="00312747" w:rsidRPr="0049396B" w14:paraId="2443088F" w14:textId="77777777" w:rsidTr="00312747">
        <w:tblPrEx>
          <w:tblCellMar>
            <w:top w:w="15" w:type="dxa"/>
            <w:left w:w="108" w:type="dxa"/>
            <w:bottom w:w="15" w:type="dxa"/>
            <w:right w:w="108" w:type="dxa"/>
          </w:tblCellMar>
          <w:tblLook w:val="04A0" w:firstRow="1" w:lastRow="0" w:firstColumn="1" w:lastColumn="0" w:noHBand="0" w:noVBand="1"/>
        </w:tblPrEx>
        <w:trPr>
          <w:trHeight w:val="290"/>
        </w:trPr>
        <w:tc>
          <w:tcPr>
            <w:tcW w:w="8930" w:type="dxa"/>
            <w:gridSpan w:val="6"/>
            <w:vAlign w:val="center"/>
          </w:tcPr>
          <w:p w14:paraId="18222F81" w14:textId="77777777" w:rsidR="00312747" w:rsidRPr="0049396B" w:rsidRDefault="00312747" w:rsidP="00826D99">
            <w:pPr>
              <w:rPr>
                <w:rFonts w:ascii="Arial Narrow" w:hAnsi="Arial Narrow" w:cs="Arial Narrow"/>
                <w:i/>
                <w:sz w:val="20"/>
                <w:szCs w:val="20"/>
              </w:rPr>
            </w:pPr>
            <w:r w:rsidRPr="0049396B">
              <w:rPr>
                <w:rFonts w:ascii="Arial Narrow" w:hAnsi="Arial Narrow"/>
                <w:b/>
                <w:bCs/>
                <w:i/>
                <w:iCs/>
                <w:sz w:val="20"/>
                <w:szCs w:val="20"/>
              </w:rPr>
              <w:t>Administrative Advice</w:t>
            </w:r>
            <w:r w:rsidRPr="0049396B">
              <w:rPr>
                <w:rFonts w:ascii="Arial Narrow" w:hAnsi="Arial Narrow" w:cs="Arial Narrow"/>
                <w:i/>
                <w:sz w:val="20"/>
                <w:szCs w:val="20"/>
              </w:rPr>
              <w:t xml:space="preserve"> </w:t>
            </w:r>
          </w:p>
          <w:p w14:paraId="72851E8F" w14:textId="77777777" w:rsidR="00312747" w:rsidRPr="0049396B" w:rsidRDefault="00312747" w:rsidP="00826D99">
            <w:pPr>
              <w:rPr>
                <w:rFonts w:ascii="Arial Narrow" w:hAnsi="Arial Narrow" w:cs="Arial Narrow"/>
                <w:i/>
                <w:sz w:val="20"/>
                <w:szCs w:val="20"/>
              </w:rPr>
            </w:pPr>
            <w:r w:rsidRPr="0049396B">
              <w:rPr>
                <w:rFonts w:ascii="Arial Narrow" w:hAnsi="Arial Narrow" w:cs="Arial Narrow"/>
                <w:b/>
                <w:bCs/>
                <w:i/>
                <w:sz w:val="20"/>
                <w:szCs w:val="20"/>
              </w:rPr>
              <w:t>Continuing Therapy Only</w:t>
            </w:r>
            <w:r w:rsidRPr="0049396B">
              <w:rPr>
                <w:rFonts w:ascii="Arial Narrow" w:hAnsi="Arial Narrow" w:cs="Arial Narrow"/>
                <w:i/>
                <w:sz w:val="20"/>
                <w:szCs w:val="20"/>
              </w:rPr>
              <w:t>:</w:t>
            </w:r>
          </w:p>
          <w:p w14:paraId="77F244B7" w14:textId="77777777" w:rsidR="00312747" w:rsidRPr="0049396B" w:rsidRDefault="00312747" w:rsidP="00826D99">
            <w:pPr>
              <w:rPr>
                <w:rFonts w:ascii="Arial Narrow" w:hAnsi="Arial Narrow"/>
                <w:b/>
                <w:bCs/>
                <w:i/>
                <w:iCs/>
                <w:sz w:val="20"/>
                <w:szCs w:val="20"/>
              </w:rPr>
            </w:pPr>
            <w:r w:rsidRPr="0049396B">
              <w:rPr>
                <w:rFonts w:ascii="Arial Narrow" w:hAnsi="Arial Narrow" w:cs="Arial Narrow"/>
                <w:i/>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312747" w:rsidRPr="0049396B" w14:paraId="3FA5D208" w14:textId="77777777" w:rsidTr="00312747">
        <w:tblPrEx>
          <w:tblCellMar>
            <w:top w:w="15" w:type="dxa"/>
            <w:left w:w="108" w:type="dxa"/>
            <w:bottom w:w="15" w:type="dxa"/>
            <w:right w:w="108" w:type="dxa"/>
          </w:tblCellMar>
          <w:tblLook w:val="04A0" w:firstRow="1" w:lastRow="0" w:firstColumn="1" w:lastColumn="0" w:noHBand="0" w:noVBand="1"/>
        </w:tblPrEx>
        <w:trPr>
          <w:trHeight w:val="290"/>
        </w:trPr>
        <w:tc>
          <w:tcPr>
            <w:tcW w:w="8930" w:type="dxa"/>
            <w:gridSpan w:val="6"/>
            <w:vAlign w:val="center"/>
          </w:tcPr>
          <w:p w14:paraId="698C1F9E" w14:textId="77777777" w:rsidR="00312747" w:rsidRPr="0049396B" w:rsidRDefault="00312747" w:rsidP="00826D99">
            <w:pPr>
              <w:rPr>
                <w:rFonts w:ascii="Arial Narrow" w:hAnsi="Arial Narrow"/>
                <w:b/>
                <w:bCs/>
                <w:i/>
                <w:iCs/>
                <w:sz w:val="20"/>
                <w:szCs w:val="20"/>
              </w:rPr>
            </w:pPr>
            <w:r w:rsidRPr="0049396B">
              <w:rPr>
                <w:rFonts w:ascii="Arial Narrow" w:hAnsi="Arial Narrow"/>
                <w:b/>
                <w:bCs/>
                <w:i/>
                <w:iCs/>
                <w:color w:val="333333"/>
                <w:sz w:val="20"/>
                <w:szCs w:val="20"/>
              </w:rPr>
              <w:t xml:space="preserve">Administrative Advice: </w:t>
            </w:r>
            <w:r w:rsidRPr="0049396B">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312747" w:rsidRPr="0049396B" w14:paraId="7DB16BE0"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166D6466" w14:textId="114B39A4" w:rsidR="00312747" w:rsidRPr="0049396B" w:rsidRDefault="00312747" w:rsidP="00826D99">
            <w:pPr>
              <w:keepLines/>
              <w:rPr>
                <w:rFonts w:ascii="Arial Narrow" w:hAnsi="Arial Narrow"/>
                <w:color w:val="333333"/>
                <w:sz w:val="20"/>
                <w:szCs w:val="20"/>
              </w:rPr>
            </w:pPr>
            <w:r w:rsidRPr="0049396B">
              <w:rPr>
                <w:rFonts w:ascii="Arial Narrow" w:hAnsi="Arial Narrow"/>
                <w:b/>
                <w:bCs/>
                <w:color w:val="333333"/>
                <w:sz w:val="20"/>
                <w:szCs w:val="20"/>
              </w:rPr>
              <w:t>Indication:</w:t>
            </w:r>
            <w:r w:rsidRPr="0049396B">
              <w:rPr>
                <w:rFonts w:ascii="Arial Narrow" w:hAnsi="Arial Narrow"/>
                <w:color w:val="333333"/>
                <w:sz w:val="20"/>
                <w:szCs w:val="20"/>
              </w:rPr>
              <w:t xml:space="preserve"> </w:t>
            </w:r>
            <w:r w:rsidRPr="0049396B">
              <w:rPr>
                <w:rFonts w:ascii="Arial Narrow" w:hAnsi="Arial Narrow" w:cs="Arial Narrow"/>
                <w:iCs/>
                <w:sz w:val="20"/>
                <w:szCs w:val="20"/>
              </w:rPr>
              <w:t>Amyotrophic lateral sclerosis</w:t>
            </w:r>
            <w:r w:rsidR="003B1A24" w:rsidRPr="0049396B">
              <w:rPr>
                <w:rFonts w:ascii="Arial Narrow" w:hAnsi="Arial Narrow" w:cs="Arial Narrow"/>
                <w:iCs/>
                <w:sz w:val="20"/>
                <w:szCs w:val="20"/>
              </w:rPr>
              <w:t xml:space="preserve"> (ALS)</w:t>
            </w:r>
          </w:p>
        </w:tc>
      </w:tr>
      <w:tr w:rsidR="00312747" w:rsidRPr="0049396B" w14:paraId="45774823"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665E29D2" w14:textId="77777777" w:rsidR="00312747" w:rsidRPr="0049396B" w:rsidRDefault="00312747" w:rsidP="00826D99">
            <w:pPr>
              <w:rPr>
                <w:rFonts w:ascii="Arial Narrow" w:hAnsi="Arial Narrow"/>
                <w:sz w:val="20"/>
                <w:szCs w:val="20"/>
              </w:rPr>
            </w:pPr>
            <w:r w:rsidRPr="0049396B">
              <w:rPr>
                <w:rFonts w:ascii="Arial Narrow" w:hAnsi="Arial Narrow"/>
                <w:b/>
                <w:bCs/>
                <w:color w:val="333333"/>
                <w:sz w:val="20"/>
                <w:szCs w:val="20"/>
              </w:rPr>
              <w:lastRenderedPageBreak/>
              <w:t>Treatment Phase:</w:t>
            </w:r>
            <w:r w:rsidRPr="0049396B">
              <w:rPr>
                <w:rFonts w:ascii="Arial Narrow" w:hAnsi="Arial Narrow"/>
                <w:color w:val="FF0000"/>
                <w:sz w:val="20"/>
                <w:szCs w:val="20"/>
              </w:rPr>
              <w:t xml:space="preserve"> </w:t>
            </w:r>
            <w:r w:rsidRPr="0049396B">
              <w:rPr>
                <w:rFonts w:ascii="Arial Narrow" w:hAnsi="Arial Narrow"/>
                <w:sz w:val="20"/>
                <w:szCs w:val="20"/>
              </w:rPr>
              <w:t xml:space="preserve">Initial </w:t>
            </w:r>
            <w:r w:rsidRPr="0049396B">
              <w:rPr>
                <w:rFonts w:ascii="Arial Narrow" w:hAnsi="Arial Narrow"/>
                <w:i/>
                <w:iCs/>
                <w:sz w:val="20"/>
                <w:szCs w:val="20"/>
              </w:rPr>
              <w:t>treatment</w:t>
            </w:r>
          </w:p>
        </w:tc>
      </w:tr>
      <w:tr w:rsidR="00312747" w:rsidRPr="0049396B" w14:paraId="3B15907A"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3D713546" w14:textId="77777777" w:rsidR="00312747" w:rsidRPr="0049396B" w:rsidRDefault="00312747" w:rsidP="00826D99">
            <w:pPr>
              <w:rPr>
                <w:rFonts w:ascii="Arial Narrow" w:hAnsi="Arial Narrow"/>
                <w:sz w:val="20"/>
                <w:szCs w:val="20"/>
              </w:rPr>
            </w:pPr>
            <w:r w:rsidRPr="0049396B">
              <w:rPr>
                <w:rFonts w:ascii="Arial Narrow" w:hAnsi="Arial Narrow"/>
                <w:b/>
                <w:bCs/>
                <w:color w:val="333333"/>
                <w:sz w:val="20"/>
                <w:szCs w:val="20"/>
              </w:rPr>
              <w:t>Clinical criteria:</w:t>
            </w:r>
          </w:p>
        </w:tc>
      </w:tr>
      <w:tr w:rsidR="00312747" w:rsidRPr="0049396B" w14:paraId="7F01E3A7"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426D87DC" w14:textId="77777777" w:rsidR="00312747" w:rsidRPr="0049396B" w:rsidRDefault="00312747" w:rsidP="00826D99">
            <w:pPr>
              <w:rPr>
                <w:rFonts w:ascii="Arial Narrow" w:hAnsi="Arial Narrow"/>
                <w:color w:val="333333"/>
                <w:sz w:val="20"/>
                <w:szCs w:val="20"/>
              </w:rPr>
            </w:pPr>
            <w:r w:rsidRPr="0049396B">
              <w:rPr>
                <w:rFonts w:ascii="Arial Narrow" w:hAnsi="Arial Narrow" w:cs="Arial Narrow"/>
                <w:iCs/>
                <w:sz w:val="20"/>
                <w:szCs w:val="20"/>
              </w:rPr>
              <w:t>The condition must be</w:t>
            </w:r>
            <w:r w:rsidRPr="0049396B">
              <w:rPr>
                <w:rFonts w:ascii="Arial Narrow" w:hAnsi="Arial Narrow" w:cs="Arial Narrow"/>
                <w:i/>
                <w:sz w:val="20"/>
                <w:szCs w:val="20"/>
              </w:rPr>
              <w:t>/have been</w:t>
            </w:r>
            <w:r w:rsidRPr="0049396B">
              <w:rPr>
                <w:rFonts w:ascii="Arial Narrow" w:hAnsi="Arial Narrow" w:cs="Arial Narrow"/>
                <w:iCs/>
                <w:sz w:val="20"/>
                <w:szCs w:val="20"/>
              </w:rPr>
              <w:t xml:space="preserve"> diagnosed by a neurologist</w:t>
            </w:r>
          </w:p>
        </w:tc>
      </w:tr>
      <w:tr w:rsidR="00312747" w:rsidRPr="0049396B" w14:paraId="0DDA75CF"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1411E713" w14:textId="77777777" w:rsidR="00312747" w:rsidRPr="0049396B" w:rsidRDefault="00312747" w:rsidP="00826D99">
            <w:pPr>
              <w:rPr>
                <w:rFonts w:ascii="Arial Narrow" w:hAnsi="Arial Narrow"/>
                <w:color w:val="333333"/>
                <w:sz w:val="20"/>
                <w:szCs w:val="20"/>
              </w:rPr>
            </w:pPr>
            <w:r w:rsidRPr="0049396B">
              <w:rPr>
                <w:rFonts w:ascii="Arial Narrow" w:hAnsi="Arial Narrow"/>
                <w:b/>
                <w:bCs/>
                <w:color w:val="333333"/>
                <w:sz w:val="20"/>
                <w:szCs w:val="20"/>
              </w:rPr>
              <w:t>AND</w:t>
            </w:r>
          </w:p>
        </w:tc>
      </w:tr>
      <w:tr w:rsidR="000F2160" w:rsidRPr="0049396B" w14:paraId="70BB42A5"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6FD8F1A5" w14:textId="4B9740C7" w:rsidR="000F2160" w:rsidRPr="0049396B" w:rsidRDefault="000F2160" w:rsidP="00826D99">
            <w:pPr>
              <w:rPr>
                <w:rFonts w:ascii="Arial Narrow" w:hAnsi="Arial Narrow"/>
                <w:b/>
                <w:bCs/>
                <w:color w:val="333333"/>
                <w:sz w:val="20"/>
                <w:szCs w:val="20"/>
              </w:rPr>
            </w:pPr>
            <w:r w:rsidRPr="0049396B">
              <w:rPr>
                <w:rFonts w:ascii="Arial Narrow" w:hAnsi="Arial Narrow"/>
                <w:b/>
                <w:bCs/>
                <w:color w:val="333333"/>
                <w:sz w:val="20"/>
                <w:szCs w:val="20"/>
              </w:rPr>
              <w:t>Clinical criteria:</w:t>
            </w:r>
          </w:p>
        </w:tc>
      </w:tr>
      <w:tr w:rsidR="00312747" w:rsidRPr="0049396B" w14:paraId="317A4802"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6A7F5204" w14:textId="7526087D" w:rsidR="00312747" w:rsidRPr="0049396B" w:rsidRDefault="00312747" w:rsidP="00826D99">
            <w:pPr>
              <w:rPr>
                <w:rFonts w:ascii="Arial Narrow" w:hAnsi="Arial Narrow" w:cs="Arial Narrow"/>
                <w:iCs/>
                <w:sz w:val="20"/>
                <w:szCs w:val="20"/>
              </w:rPr>
            </w:pPr>
            <w:r w:rsidRPr="0049396B">
              <w:rPr>
                <w:rFonts w:ascii="Arial Narrow" w:hAnsi="Arial Narrow" w:cs="Arial Narrow"/>
                <w:iCs/>
                <w:sz w:val="20"/>
                <w:szCs w:val="20"/>
              </w:rPr>
              <w:t xml:space="preserve">Patient must not have had </w:t>
            </w:r>
            <w:r w:rsidRPr="0049396B">
              <w:rPr>
                <w:rFonts w:ascii="Arial Narrow" w:hAnsi="Arial Narrow" w:cs="Arial Narrow"/>
                <w:iCs/>
                <w:strike/>
                <w:sz w:val="20"/>
                <w:szCs w:val="20"/>
              </w:rPr>
              <w:t>the disease</w:t>
            </w:r>
            <w:r w:rsidRPr="0049396B">
              <w:rPr>
                <w:rFonts w:ascii="Arial Narrow" w:hAnsi="Arial Narrow" w:cs="Arial Narrow"/>
                <w:iCs/>
                <w:sz w:val="20"/>
                <w:szCs w:val="20"/>
              </w:rPr>
              <w:t xml:space="preserve"> </w:t>
            </w:r>
            <w:r w:rsidR="009C5532" w:rsidRPr="0049396B">
              <w:rPr>
                <w:rFonts w:ascii="Arial Narrow" w:hAnsi="Arial Narrow" w:cs="Arial Narrow"/>
                <w:i/>
                <w:sz w:val="20"/>
                <w:szCs w:val="20"/>
              </w:rPr>
              <w:t>symptoms</w:t>
            </w:r>
            <w:r w:rsidRPr="0049396B">
              <w:rPr>
                <w:rFonts w:ascii="Arial Narrow" w:hAnsi="Arial Narrow" w:cs="Arial Narrow"/>
                <w:iCs/>
                <w:sz w:val="20"/>
                <w:szCs w:val="20"/>
              </w:rPr>
              <w:t xml:space="preserve"> for more than 2 years </w:t>
            </w:r>
            <w:r w:rsidRPr="0049396B">
              <w:rPr>
                <w:rFonts w:ascii="Arial Narrow" w:hAnsi="Arial Narrow" w:cs="Arial Narrow"/>
                <w:i/>
                <w:sz w:val="20"/>
                <w:szCs w:val="20"/>
              </w:rPr>
              <w:t>prior to commencing therapy with this drug</w:t>
            </w:r>
          </w:p>
        </w:tc>
      </w:tr>
      <w:tr w:rsidR="00312747" w:rsidRPr="0049396B" w14:paraId="2DE4D310"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39593220" w14:textId="77777777" w:rsidR="00312747" w:rsidRPr="0049396B" w:rsidRDefault="00312747" w:rsidP="00826D99">
            <w:pPr>
              <w:rPr>
                <w:rFonts w:ascii="Arial Narrow" w:hAnsi="Arial Narrow"/>
                <w:color w:val="333333"/>
                <w:sz w:val="20"/>
                <w:szCs w:val="20"/>
              </w:rPr>
            </w:pPr>
            <w:r w:rsidRPr="0049396B">
              <w:rPr>
                <w:rFonts w:ascii="Arial Narrow" w:hAnsi="Arial Narrow"/>
                <w:b/>
                <w:bCs/>
                <w:color w:val="333333"/>
                <w:sz w:val="20"/>
                <w:szCs w:val="20"/>
              </w:rPr>
              <w:t>AND</w:t>
            </w:r>
          </w:p>
        </w:tc>
      </w:tr>
      <w:tr w:rsidR="000F2160" w:rsidRPr="0049396B" w14:paraId="09F60B66"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7A221E6C" w14:textId="7D9682D6" w:rsidR="000F2160" w:rsidRPr="0049396B" w:rsidRDefault="000F2160" w:rsidP="00826D99">
            <w:pPr>
              <w:rPr>
                <w:rFonts w:ascii="Arial Narrow" w:hAnsi="Arial Narrow"/>
                <w:b/>
                <w:bCs/>
                <w:color w:val="333333"/>
                <w:sz w:val="20"/>
                <w:szCs w:val="20"/>
              </w:rPr>
            </w:pPr>
            <w:r w:rsidRPr="0049396B">
              <w:rPr>
                <w:rFonts w:ascii="Arial Narrow" w:hAnsi="Arial Narrow"/>
                <w:b/>
                <w:bCs/>
                <w:color w:val="333333"/>
                <w:sz w:val="20"/>
                <w:szCs w:val="20"/>
              </w:rPr>
              <w:t>Clinical criteria:</w:t>
            </w:r>
          </w:p>
        </w:tc>
      </w:tr>
      <w:tr w:rsidR="00312747" w:rsidRPr="0049396B" w14:paraId="40730248"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2F99F5AF" w14:textId="77777777" w:rsidR="00312747" w:rsidRPr="0049396B" w:rsidRDefault="00312747" w:rsidP="00826D99">
            <w:pPr>
              <w:rPr>
                <w:rFonts w:ascii="Arial Narrow" w:hAnsi="Arial Narrow"/>
                <w:color w:val="333333"/>
                <w:sz w:val="20"/>
                <w:szCs w:val="20"/>
              </w:rPr>
            </w:pPr>
            <w:r w:rsidRPr="0049396B">
              <w:rPr>
                <w:rFonts w:ascii="Arial Narrow" w:hAnsi="Arial Narrow" w:cs="Arial Narrow"/>
                <w:iCs/>
                <w:sz w:val="20"/>
                <w:szCs w:val="20"/>
              </w:rPr>
              <w:t xml:space="preserve">Patient must have at least 80 percent of predicted forced vital capacity (FVC) or slow vital capacity (SVC) within the 2 months </w:t>
            </w:r>
            <w:r w:rsidRPr="0049396B">
              <w:rPr>
                <w:rFonts w:ascii="Arial Narrow" w:hAnsi="Arial Narrow" w:cs="Arial Narrow"/>
                <w:iCs/>
                <w:strike/>
                <w:sz w:val="20"/>
                <w:szCs w:val="20"/>
              </w:rPr>
              <w:t>before</w:t>
            </w:r>
            <w:r w:rsidRPr="0049396B">
              <w:rPr>
                <w:rFonts w:ascii="Arial Narrow" w:hAnsi="Arial Narrow" w:cs="Arial Narrow"/>
                <w:iCs/>
                <w:sz w:val="20"/>
                <w:szCs w:val="20"/>
              </w:rPr>
              <w:t xml:space="preserve"> </w:t>
            </w:r>
            <w:r w:rsidRPr="0049396B">
              <w:rPr>
                <w:rFonts w:ascii="Arial Narrow" w:hAnsi="Arial Narrow" w:cs="Arial Narrow"/>
                <w:i/>
                <w:sz w:val="20"/>
                <w:szCs w:val="20"/>
              </w:rPr>
              <w:t>prior to</w:t>
            </w:r>
            <w:r w:rsidRPr="0049396B">
              <w:rPr>
                <w:rFonts w:ascii="Arial Narrow" w:hAnsi="Arial Narrow" w:cs="Arial Narrow"/>
                <w:iCs/>
                <w:sz w:val="20"/>
                <w:szCs w:val="20"/>
              </w:rPr>
              <w:t xml:space="preserve"> commencing therapy with this drug</w:t>
            </w:r>
          </w:p>
        </w:tc>
      </w:tr>
      <w:tr w:rsidR="00312747" w:rsidRPr="0049396B" w14:paraId="2D99A09A"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74C7BC8F" w14:textId="77777777" w:rsidR="00312747" w:rsidRPr="0049396B" w:rsidRDefault="00312747" w:rsidP="00826D99">
            <w:pPr>
              <w:rPr>
                <w:rFonts w:ascii="Arial Narrow" w:hAnsi="Arial Narrow"/>
                <w:color w:val="333333"/>
                <w:sz w:val="20"/>
                <w:szCs w:val="20"/>
              </w:rPr>
            </w:pPr>
            <w:r w:rsidRPr="0049396B">
              <w:rPr>
                <w:rFonts w:ascii="Arial Narrow" w:hAnsi="Arial Narrow"/>
                <w:b/>
                <w:bCs/>
                <w:color w:val="333333"/>
                <w:sz w:val="20"/>
                <w:szCs w:val="20"/>
              </w:rPr>
              <w:t>AND</w:t>
            </w:r>
          </w:p>
        </w:tc>
      </w:tr>
      <w:tr w:rsidR="000F2160" w:rsidRPr="0049396B" w14:paraId="6B212A9B"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624423E0" w14:textId="2525F1E6" w:rsidR="000F2160" w:rsidRPr="0049396B" w:rsidRDefault="000F2160" w:rsidP="00826D99">
            <w:pPr>
              <w:rPr>
                <w:rFonts w:ascii="Arial Narrow" w:hAnsi="Arial Narrow"/>
                <w:b/>
                <w:bCs/>
                <w:color w:val="333333"/>
                <w:sz w:val="20"/>
                <w:szCs w:val="20"/>
              </w:rPr>
            </w:pPr>
            <w:r w:rsidRPr="0049396B">
              <w:rPr>
                <w:rFonts w:ascii="Arial Narrow" w:hAnsi="Arial Narrow"/>
                <w:b/>
                <w:bCs/>
                <w:color w:val="333333"/>
                <w:sz w:val="20"/>
                <w:szCs w:val="20"/>
              </w:rPr>
              <w:t>Clinical criteria:</w:t>
            </w:r>
          </w:p>
        </w:tc>
      </w:tr>
      <w:tr w:rsidR="00312747" w:rsidRPr="0049396B" w14:paraId="761A179A"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607B5288" w14:textId="77777777" w:rsidR="00312747" w:rsidRPr="0049396B" w:rsidRDefault="00312747" w:rsidP="00826D99">
            <w:pPr>
              <w:rPr>
                <w:rFonts w:ascii="Arial Narrow" w:hAnsi="Arial Narrow" w:cs="Arial Narrow"/>
                <w:iCs/>
                <w:strike/>
                <w:sz w:val="20"/>
                <w:szCs w:val="20"/>
              </w:rPr>
            </w:pPr>
            <w:r w:rsidRPr="0049396B">
              <w:rPr>
                <w:rFonts w:ascii="Arial Narrow" w:hAnsi="Arial Narrow" w:cs="Arial Narrow"/>
                <w:iCs/>
                <w:strike/>
                <w:sz w:val="20"/>
                <w:szCs w:val="20"/>
              </w:rPr>
              <w:t>Patient must be ambulatory; or</w:t>
            </w:r>
          </w:p>
        </w:tc>
      </w:tr>
      <w:tr w:rsidR="00312747" w:rsidRPr="0049396B" w14:paraId="67C12F61"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748685A0" w14:textId="77777777" w:rsidR="00312747" w:rsidRPr="0049396B" w:rsidRDefault="00312747" w:rsidP="00826D99">
            <w:pPr>
              <w:rPr>
                <w:rFonts w:ascii="Arial Narrow" w:hAnsi="Arial Narrow" w:cs="Arial Narrow"/>
                <w:iCs/>
                <w:strike/>
                <w:sz w:val="20"/>
                <w:szCs w:val="20"/>
              </w:rPr>
            </w:pPr>
            <w:r w:rsidRPr="0049396B">
              <w:rPr>
                <w:rFonts w:ascii="Arial Narrow" w:hAnsi="Arial Narrow" w:cs="Arial Narrow"/>
                <w:iCs/>
                <w:strike/>
                <w:sz w:val="20"/>
                <w:szCs w:val="20"/>
              </w:rPr>
              <w:t>Patient must not be ambulatory, and must be able to either use upper limbs or to swallow</w:t>
            </w:r>
          </w:p>
        </w:tc>
      </w:tr>
      <w:tr w:rsidR="00312747" w:rsidRPr="0049396B" w14:paraId="5427A7BC"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1BB043D9" w14:textId="4EF3979F" w:rsidR="00312747" w:rsidRPr="0049396B" w:rsidRDefault="00312747" w:rsidP="00826D99">
            <w:pPr>
              <w:rPr>
                <w:rFonts w:ascii="Arial Narrow" w:hAnsi="Arial Narrow" w:cs="Arial Narrow"/>
                <w:i/>
                <w:sz w:val="20"/>
                <w:szCs w:val="20"/>
              </w:rPr>
            </w:pPr>
            <w:r w:rsidRPr="0049396B">
              <w:rPr>
                <w:rFonts w:ascii="Arial Narrow" w:hAnsi="Arial Narrow" w:cs="Arial Narrow"/>
                <w:i/>
                <w:sz w:val="20"/>
                <w:szCs w:val="20"/>
              </w:rPr>
              <w:t xml:space="preserve">Patient </w:t>
            </w:r>
            <w:r w:rsidR="00890A14" w:rsidRPr="0049396B">
              <w:rPr>
                <w:rFonts w:ascii="Arial Narrow" w:hAnsi="Arial Narrow" w:cs="Arial Narrow"/>
                <w:i/>
                <w:sz w:val="20"/>
                <w:szCs w:val="20"/>
              </w:rPr>
              <w:t xml:space="preserve">must </w:t>
            </w:r>
            <w:r w:rsidR="00995D2F" w:rsidRPr="0049396B">
              <w:rPr>
                <w:rFonts w:ascii="Arial Narrow" w:hAnsi="Arial Narrow" w:cs="Arial Narrow"/>
                <w:i/>
                <w:sz w:val="20"/>
                <w:szCs w:val="20"/>
              </w:rPr>
              <w:t xml:space="preserve">not require assistance </w:t>
            </w:r>
            <w:r w:rsidR="000442CE">
              <w:rPr>
                <w:rFonts w:ascii="Arial Narrow" w:hAnsi="Arial Narrow" w:cs="Arial Narrow"/>
                <w:i/>
                <w:sz w:val="20"/>
                <w:szCs w:val="20"/>
              </w:rPr>
              <w:t>for</w:t>
            </w:r>
            <w:r w:rsidR="00995D2F" w:rsidRPr="0049396B">
              <w:rPr>
                <w:rFonts w:ascii="Arial Narrow" w:hAnsi="Arial Narrow" w:cs="Arial Narrow"/>
                <w:i/>
                <w:sz w:val="20"/>
                <w:szCs w:val="20"/>
              </w:rPr>
              <w:t xml:space="preserve"> eating or ambulation</w:t>
            </w:r>
          </w:p>
        </w:tc>
      </w:tr>
      <w:tr w:rsidR="00312747" w:rsidRPr="0049396B" w14:paraId="0E0EDC5A"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1ED9368F" w14:textId="7DEC0F12" w:rsidR="00312747" w:rsidRPr="0049396B" w:rsidRDefault="00312747" w:rsidP="00826D99">
            <w:pPr>
              <w:rPr>
                <w:rFonts w:ascii="Arial Narrow" w:hAnsi="Arial Narrow" w:cs="Arial Narrow"/>
                <w:i/>
                <w:sz w:val="20"/>
                <w:szCs w:val="20"/>
              </w:rPr>
            </w:pPr>
            <w:r w:rsidRPr="0049396B">
              <w:rPr>
                <w:rFonts w:ascii="Arial Narrow" w:hAnsi="Arial Narrow" w:cs="Arial Narrow"/>
                <w:i/>
                <w:sz w:val="20"/>
                <w:szCs w:val="20"/>
              </w:rPr>
              <w:t>AND</w:t>
            </w:r>
          </w:p>
        </w:tc>
      </w:tr>
      <w:tr w:rsidR="000F2160" w:rsidRPr="0049396B" w14:paraId="3809225B"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1152FEE4" w14:textId="642B58C6" w:rsidR="000F2160" w:rsidRPr="0049396B" w:rsidRDefault="000F2160" w:rsidP="00826D99">
            <w:pPr>
              <w:rPr>
                <w:rFonts w:ascii="Arial Narrow" w:hAnsi="Arial Narrow" w:cs="Arial Narrow"/>
                <w:i/>
                <w:sz w:val="20"/>
                <w:szCs w:val="20"/>
              </w:rPr>
            </w:pPr>
            <w:r w:rsidRPr="0049396B">
              <w:rPr>
                <w:rFonts w:ascii="Arial Narrow" w:hAnsi="Arial Narrow"/>
                <w:b/>
                <w:bCs/>
                <w:color w:val="333333"/>
                <w:sz w:val="20"/>
                <w:szCs w:val="20"/>
              </w:rPr>
              <w:t>Clinical criteria:</w:t>
            </w:r>
          </w:p>
        </w:tc>
      </w:tr>
      <w:tr w:rsidR="00312747" w:rsidRPr="0049396B" w14:paraId="0520086B"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5F8ED220" w14:textId="2BDE3E08" w:rsidR="00312747" w:rsidRPr="0049396B" w:rsidRDefault="00312747" w:rsidP="00826D99">
            <w:pPr>
              <w:rPr>
                <w:rFonts w:ascii="Arial Narrow" w:hAnsi="Arial Narrow" w:cs="Arial Narrow"/>
                <w:i/>
                <w:sz w:val="20"/>
                <w:szCs w:val="20"/>
              </w:rPr>
            </w:pPr>
            <w:r w:rsidRPr="0049396B">
              <w:rPr>
                <w:rFonts w:ascii="Arial Narrow" w:hAnsi="Arial Narrow" w:cs="Arial Narrow"/>
                <w:i/>
                <w:sz w:val="20"/>
                <w:szCs w:val="20"/>
              </w:rPr>
              <w:t xml:space="preserve">Patient must have at least two points on each </w:t>
            </w:r>
            <w:r w:rsidR="006C10FF" w:rsidRPr="0049396B">
              <w:rPr>
                <w:rFonts w:ascii="Arial Narrow" w:hAnsi="Arial Narrow" w:cs="Arial Narrow"/>
                <w:i/>
                <w:sz w:val="20"/>
                <w:szCs w:val="20"/>
              </w:rPr>
              <w:t xml:space="preserve">individual </w:t>
            </w:r>
            <w:r w:rsidRPr="0049396B">
              <w:rPr>
                <w:rFonts w:ascii="Arial Narrow" w:hAnsi="Arial Narrow" w:cs="Arial Narrow"/>
                <w:i/>
                <w:sz w:val="20"/>
                <w:szCs w:val="20"/>
              </w:rPr>
              <w:t xml:space="preserve">item of the </w:t>
            </w:r>
            <w:r w:rsidR="005C23F2" w:rsidRPr="0049396B">
              <w:rPr>
                <w:rFonts w:ascii="Arial Narrow" w:hAnsi="Arial Narrow" w:cs="Arial Narrow"/>
                <w:i/>
                <w:sz w:val="20"/>
                <w:szCs w:val="20"/>
              </w:rPr>
              <w:t>ALS Functional Rating Scale – Revised (</w:t>
            </w:r>
            <w:r w:rsidRPr="0049396B">
              <w:rPr>
                <w:rFonts w:ascii="Arial Narrow" w:hAnsi="Arial Narrow" w:cs="Arial Narrow"/>
                <w:i/>
                <w:sz w:val="20"/>
                <w:szCs w:val="20"/>
              </w:rPr>
              <w:t>ALSFRS-R</w:t>
            </w:r>
            <w:r w:rsidR="005C23F2" w:rsidRPr="0049396B">
              <w:rPr>
                <w:rFonts w:ascii="Arial Narrow" w:hAnsi="Arial Narrow" w:cs="Arial Narrow"/>
                <w:i/>
                <w:sz w:val="20"/>
                <w:szCs w:val="20"/>
              </w:rPr>
              <w:t>)</w:t>
            </w:r>
            <w:r w:rsidR="006C10FF" w:rsidRPr="0049396B">
              <w:rPr>
                <w:rFonts w:ascii="Arial Narrow" w:hAnsi="Arial Narrow" w:cs="Arial Narrow"/>
                <w:i/>
                <w:sz w:val="20"/>
                <w:szCs w:val="20"/>
              </w:rPr>
              <w:t xml:space="preserve"> score</w:t>
            </w:r>
            <w:r w:rsidR="003B1A24" w:rsidRPr="0049396B">
              <w:rPr>
                <w:rFonts w:ascii="Arial Narrow" w:hAnsi="Arial Narrow" w:cs="Arial Narrow"/>
                <w:i/>
                <w:sz w:val="20"/>
                <w:szCs w:val="20"/>
              </w:rPr>
              <w:t xml:space="preserve"> prior to commencing therapy with this drug</w:t>
            </w:r>
          </w:p>
        </w:tc>
      </w:tr>
      <w:tr w:rsidR="00312747" w:rsidRPr="0049396B" w14:paraId="74654C8A"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2C4F2C5A" w14:textId="77777777" w:rsidR="00312747" w:rsidRPr="0049396B" w:rsidRDefault="00312747" w:rsidP="00826D99">
            <w:pPr>
              <w:rPr>
                <w:rFonts w:ascii="Arial Narrow" w:hAnsi="Arial Narrow"/>
                <w:color w:val="333333"/>
                <w:sz w:val="20"/>
                <w:szCs w:val="20"/>
              </w:rPr>
            </w:pPr>
            <w:r w:rsidRPr="0049396B">
              <w:rPr>
                <w:rFonts w:ascii="Arial Narrow" w:hAnsi="Arial Narrow"/>
                <w:b/>
                <w:bCs/>
                <w:color w:val="333333"/>
                <w:sz w:val="20"/>
                <w:szCs w:val="20"/>
              </w:rPr>
              <w:t>AND</w:t>
            </w:r>
          </w:p>
        </w:tc>
      </w:tr>
      <w:tr w:rsidR="000F2160" w:rsidRPr="0049396B" w14:paraId="67C05F86"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4EA69574" w14:textId="5044A445" w:rsidR="000F2160" w:rsidRPr="0049396B" w:rsidRDefault="000F2160" w:rsidP="00826D99">
            <w:pPr>
              <w:rPr>
                <w:rFonts w:ascii="Arial Narrow" w:hAnsi="Arial Narrow"/>
                <w:b/>
                <w:bCs/>
                <w:color w:val="333333"/>
                <w:sz w:val="20"/>
                <w:szCs w:val="20"/>
              </w:rPr>
            </w:pPr>
            <w:r w:rsidRPr="0049396B">
              <w:rPr>
                <w:rFonts w:ascii="Arial Narrow" w:hAnsi="Arial Narrow"/>
                <w:b/>
                <w:bCs/>
                <w:color w:val="333333"/>
                <w:sz w:val="20"/>
                <w:szCs w:val="20"/>
              </w:rPr>
              <w:t>Clinical criteria:</w:t>
            </w:r>
          </w:p>
        </w:tc>
      </w:tr>
      <w:tr w:rsidR="00312747" w:rsidRPr="0049396B" w14:paraId="04065A36"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3ECE1B9E" w14:textId="77777777" w:rsidR="00312747" w:rsidRPr="0049396B" w:rsidRDefault="00312747" w:rsidP="00826D99">
            <w:pPr>
              <w:rPr>
                <w:rFonts w:ascii="Arial Narrow" w:hAnsi="Arial Narrow"/>
                <w:color w:val="333333"/>
                <w:sz w:val="20"/>
                <w:szCs w:val="20"/>
              </w:rPr>
            </w:pPr>
            <w:r w:rsidRPr="0049396B">
              <w:rPr>
                <w:rFonts w:ascii="Arial Narrow" w:hAnsi="Arial Narrow" w:cs="Arial Narrow"/>
                <w:iCs/>
                <w:sz w:val="20"/>
                <w:szCs w:val="20"/>
              </w:rPr>
              <w:t>Patient must not have undergone a tracheostomy</w:t>
            </w:r>
          </w:p>
        </w:tc>
      </w:tr>
      <w:tr w:rsidR="00312747" w:rsidRPr="0049396B" w14:paraId="7CC02D8A"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099037FA" w14:textId="77777777" w:rsidR="00312747" w:rsidRPr="0049396B" w:rsidRDefault="00312747" w:rsidP="00826D99">
            <w:pPr>
              <w:rPr>
                <w:rFonts w:ascii="Arial Narrow" w:hAnsi="Arial Narrow"/>
                <w:color w:val="333333"/>
                <w:sz w:val="20"/>
                <w:szCs w:val="20"/>
              </w:rPr>
            </w:pPr>
            <w:r w:rsidRPr="0049396B">
              <w:rPr>
                <w:rFonts w:ascii="Arial Narrow" w:hAnsi="Arial Narrow"/>
                <w:b/>
                <w:bCs/>
                <w:color w:val="333333"/>
                <w:sz w:val="20"/>
                <w:szCs w:val="20"/>
              </w:rPr>
              <w:t>AND</w:t>
            </w:r>
          </w:p>
        </w:tc>
      </w:tr>
      <w:tr w:rsidR="000F2160" w:rsidRPr="0049396B" w14:paraId="39DF5A36"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tcPr>
          <w:p w14:paraId="670EB269" w14:textId="65B4060D" w:rsidR="000F2160" w:rsidRPr="0049396B" w:rsidRDefault="000F2160" w:rsidP="00826D99">
            <w:pPr>
              <w:rPr>
                <w:rFonts w:ascii="Arial Narrow" w:hAnsi="Arial Narrow"/>
                <w:b/>
                <w:bCs/>
                <w:color w:val="333333"/>
                <w:sz w:val="20"/>
                <w:szCs w:val="20"/>
              </w:rPr>
            </w:pPr>
            <w:r w:rsidRPr="0049396B">
              <w:rPr>
                <w:rFonts w:ascii="Arial Narrow" w:hAnsi="Arial Narrow"/>
                <w:b/>
                <w:bCs/>
                <w:color w:val="333333"/>
                <w:sz w:val="20"/>
                <w:szCs w:val="20"/>
              </w:rPr>
              <w:t>Clinical criteria:</w:t>
            </w:r>
          </w:p>
        </w:tc>
      </w:tr>
      <w:tr w:rsidR="00312747" w:rsidRPr="0049396B" w14:paraId="5D514874"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4A9F5373" w14:textId="77777777" w:rsidR="00312747" w:rsidRPr="0049396B" w:rsidRDefault="00312747" w:rsidP="00826D99">
            <w:pPr>
              <w:rPr>
                <w:rFonts w:ascii="Arial Narrow" w:hAnsi="Arial Narrow" w:cs="Arial Narrow"/>
                <w:iCs/>
                <w:sz w:val="20"/>
                <w:szCs w:val="20"/>
              </w:rPr>
            </w:pPr>
            <w:r w:rsidRPr="0049396B">
              <w:rPr>
                <w:rFonts w:ascii="Arial Narrow" w:hAnsi="Arial Narrow" w:cs="Arial Narrow"/>
                <w:iCs/>
                <w:sz w:val="20"/>
                <w:szCs w:val="20"/>
              </w:rPr>
              <w:t>Patient must not have experienced respiratory failure</w:t>
            </w:r>
          </w:p>
        </w:tc>
      </w:tr>
      <w:tr w:rsidR="00312747" w:rsidRPr="0049396B" w14:paraId="07725ABA"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73B525A7" w14:textId="77777777" w:rsidR="00312747" w:rsidRPr="0049396B" w:rsidRDefault="00312747" w:rsidP="00826D99">
            <w:pPr>
              <w:rPr>
                <w:rFonts w:ascii="Arial Narrow" w:hAnsi="Arial Narrow"/>
                <w:b/>
                <w:bCs/>
                <w:color w:val="333333"/>
                <w:sz w:val="20"/>
                <w:szCs w:val="20"/>
              </w:rPr>
            </w:pPr>
            <w:r w:rsidRPr="0049396B">
              <w:rPr>
                <w:rFonts w:ascii="Arial Narrow" w:hAnsi="Arial Narrow"/>
                <w:b/>
                <w:bCs/>
                <w:color w:val="333333"/>
                <w:sz w:val="20"/>
                <w:szCs w:val="20"/>
              </w:rPr>
              <w:t>Population criteria:</w:t>
            </w:r>
          </w:p>
        </w:tc>
      </w:tr>
      <w:tr w:rsidR="00312747" w:rsidRPr="0049396B" w14:paraId="0373BFDD"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Pr>
          <w:p w14:paraId="6A9C263C" w14:textId="77777777" w:rsidR="00312747" w:rsidRPr="0049396B" w:rsidRDefault="00312747" w:rsidP="00826D99">
            <w:pPr>
              <w:rPr>
                <w:rFonts w:ascii="Arial Narrow" w:hAnsi="Arial Narrow"/>
                <w:b/>
                <w:bCs/>
                <w:i/>
                <w:iCs/>
                <w:color w:val="333333"/>
                <w:sz w:val="20"/>
                <w:szCs w:val="20"/>
              </w:rPr>
            </w:pPr>
            <w:r w:rsidRPr="0049396B">
              <w:rPr>
                <w:rFonts w:ascii="Arial Narrow" w:hAnsi="Arial Narrow"/>
                <w:i/>
                <w:iCs/>
                <w:sz w:val="20"/>
                <w:szCs w:val="20"/>
              </w:rPr>
              <w:t>Patient must be at least 18 years of age.</w:t>
            </w:r>
          </w:p>
        </w:tc>
      </w:tr>
      <w:tr w:rsidR="00312747" w:rsidRPr="0049396B" w14:paraId="6C8576C0"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74CCB695" w14:textId="77777777" w:rsidR="00312747" w:rsidRPr="0049396B" w:rsidRDefault="00312747" w:rsidP="00826D99">
            <w:pPr>
              <w:rPr>
                <w:rFonts w:ascii="Arial Narrow" w:hAnsi="Arial Narrow" w:cs="Arial Narrow"/>
                <w:iCs/>
                <w:strike/>
                <w:sz w:val="20"/>
                <w:szCs w:val="20"/>
              </w:rPr>
            </w:pPr>
            <w:r w:rsidRPr="0049396B">
              <w:rPr>
                <w:rFonts w:ascii="Arial Narrow" w:hAnsi="Arial Narrow" w:cs="Arial Narrow"/>
                <w:iCs/>
                <w:strike/>
                <w:sz w:val="20"/>
                <w:szCs w:val="20"/>
              </w:rPr>
              <w:t>Adult patients.</w:t>
            </w:r>
          </w:p>
        </w:tc>
      </w:tr>
      <w:tr w:rsidR="00312747" w:rsidRPr="0049396B" w14:paraId="5FC863DB" w14:textId="77777777" w:rsidTr="00312747">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0D500EE1" w14:textId="77777777" w:rsidR="00312747" w:rsidRPr="0049396B" w:rsidRDefault="00312747" w:rsidP="00826D99">
            <w:pPr>
              <w:rPr>
                <w:rFonts w:ascii="Arial Narrow" w:hAnsi="Arial Narrow"/>
                <w:b/>
                <w:bCs/>
                <w:color w:val="333333"/>
                <w:sz w:val="20"/>
                <w:szCs w:val="20"/>
              </w:rPr>
            </w:pPr>
            <w:r w:rsidRPr="0049396B">
              <w:rPr>
                <w:rFonts w:ascii="Arial Narrow" w:hAnsi="Arial Narrow"/>
                <w:b/>
                <w:bCs/>
                <w:strike/>
                <w:color w:val="333333"/>
                <w:sz w:val="20"/>
                <w:szCs w:val="20"/>
              </w:rPr>
              <w:t>Administrative Advice</w:t>
            </w:r>
            <w:r w:rsidRPr="0049396B">
              <w:rPr>
                <w:rFonts w:ascii="Arial Narrow" w:hAnsi="Arial Narrow"/>
                <w:b/>
                <w:bCs/>
                <w:i/>
                <w:iCs/>
                <w:strike/>
                <w:color w:val="333333"/>
                <w:sz w:val="20"/>
                <w:szCs w:val="20"/>
              </w:rPr>
              <w:t>:</w:t>
            </w:r>
            <w:r w:rsidRPr="0049396B">
              <w:rPr>
                <w:rFonts w:ascii="Arial Narrow" w:hAnsi="Arial Narrow"/>
                <w:b/>
                <w:bCs/>
                <w:i/>
                <w:iCs/>
                <w:color w:val="333333"/>
                <w:sz w:val="20"/>
                <w:szCs w:val="20"/>
              </w:rPr>
              <w:t xml:space="preserve"> Prescribing Instructions</w:t>
            </w:r>
            <w:r w:rsidRPr="0049396B">
              <w:rPr>
                <w:rFonts w:ascii="Arial Narrow" w:hAnsi="Arial Narrow"/>
                <w:b/>
                <w:bCs/>
                <w:color w:val="333333"/>
                <w:sz w:val="20"/>
                <w:szCs w:val="20"/>
              </w:rPr>
              <w:t xml:space="preserve">: </w:t>
            </w:r>
          </w:p>
          <w:p w14:paraId="5357864F" w14:textId="77777777" w:rsidR="00312747" w:rsidRPr="0049396B" w:rsidRDefault="00312747" w:rsidP="00826D99">
            <w:pPr>
              <w:rPr>
                <w:rFonts w:ascii="Arial Narrow" w:hAnsi="Arial Narrow"/>
                <w:sz w:val="20"/>
                <w:szCs w:val="20"/>
              </w:rPr>
            </w:pPr>
            <w:r w:rsidRPr="0049396B">
              <w:rPr>
                <w:rFonts w:ascii="Arial Narrow" w:hAnsi="Arial Narrow" w:cs="Arial Narrow"/>
                <w:iCs/>
                <w:sz w:val="20"/>
                <w:szCs w:val="20"/>
              </w:rPr>
              <w:t xml:space="preserve">The date of diagnosis, </w:t>
            </w:r>
            <w:r w:rsidRPr="0049396B">
              <w:rPr>
                <w:rFonts w:ascii="Arial Narrow" w:hAnsi="Arial Narrow" w:cs="Arial Narrow"/>
                <w:iCs/>
                <w:strike/>
                <w:sz w:val="20"/>
                <w:szCs w:val="20"/>
              </w:rPr>
              <w:t>and</w:t>
            </w:r>
            <w:r w:rsidRPr="0049396B">
              <w:rPr>
                <w:rFonts w:ascii="Arial Narrow" w:hAnsi="Arial Narrow" w:cs="Arial Narrow"/>
                <w:iCs/>
                <w:sz w:val="20"/>
                <w:szCs w:val="20"/>
              </w:rPr>
              <w:t xml:space="preserve"> the date and results of spirometry (in terms of percent of predicted forced vital capacity </w:t>
            </w:r>
            <w:r w:rsidRPr="0049396B">
              <w:rPr>
                <w:rFonts w:ascii="Arial Narrow" w:hAnsi="Arial Narrow" w:cs="Arial Narrow"/>
                <w:i/>
                <w:sz w:val="20"/>
                <w:szCs w:val="20"/>
              </w:rPr>
              <w:t>or slow vital capacity</w:t>
            </w:r>
            <w:r w:rsidRPr="0049396B">
              <w:rPr>
                <w:rFonts w:ascii="Arial Narrow" w:hAnsi="Arial Narrow" w:cs="Arial Narrow"/>
                <w:iCs/>
                <w:sz w:val="20"/>
                <w:szCs w:val="20"/>
              </w:rPr>
              <w:t>) must be supplied with the initial authority application.</w:t>
            </w:r>
          </w:p>
        </w:tc>
      </w:tr>
    </w:tbl>
    <w:p w14:paraId="64C5898E" w14:textId="7017E217" w:rsidR="000F2160" w:rsidRPr="0049396B" w:rsidRDefault="000F2160" w:rsidP="00B90BCC">
      <w:pPr>
        <w:pStyle w:val="TableFooter"/>
        <w:keepNext/>
        <w:keepLines/>
      </w:pPr>
      <w:bookmarkStart w:id="15" w:name="_Hlk104809082"/>
    </w:p>
    <w:tbl>
      <w:tblPr>
        <w:tblW w:w="495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4"/>
        <w:gridCol w:w="1843"/>
        <w:gridCol w:w="992"/>
        <w:gridCol w:w="1134"/>
        <w:gridCol w:w="709"/>
        <w:gridCol w:w="1418"/>
      </w:tblGrid>
      <w:tr w:rsidR="000F2160" w:rsidRPr="0049396B" w14:paraId="66E2A8C5" w14:textId="14A58C4C" w:rsidTr="00F10BC6">
        <w:trPr>
          <w:cantSplit/>
          <w:trHeight w:val="20"/>
        </w:trPr>
        <w:tc>
          <w:tcPr>
            <w:tcW w:w="2834" w:type="dxa"/>
            <w:vAlign w:val="center"/>
          </w:tcPr>
          <w:p w14:paraId="59935EBB" w14:textId="77777777" w:rsidR="000F2160" w:rsidRPr="0049396B" w:rsidRDefault="000F2160" w:rsidP="00884A22">
            <w:pPr>
              <w:keepNext/>
              <w:keepLines/>
              <w:rPr>
                <w:rFonts w:ascii="Arial Narrow" w:hAnsi="Arial Narrow"/>
                <w:b/>
                <w:sz w:val="20"/>
                <w:szCs w:val="20"/>
              </w:rPr>
            </w:pPr>
            <w:r w:rsidRPr="0049396B">
              <w:rPr>
                <w:rFonts w:ascii="Arial Narrow" w:hAnsi="Arial Narrow"/>
                <w:b/>
                <w:sz w:val="20"/>
                <w:szCs w:val="20"/>
              </w:rPr>
              <w:t>Continuing treatment</w:t>
            </w:r>
          </w:p>
          <w:p w14:paraId="05A61D27" w14:textId="77777777" w:rsidR="000F2160" w:rsidRPr="0049396B" w:rsidRDefault="000F2160" w:rsidP="00884A22">
            <w:pPr>
              <w:keepNext/>
              <w:keepLines/>
              <w:rPr>
                <w:rFonts w:ascii="Arial Narrow" w:hAnsi="Arial Narrow"/>
                <w:sz w:val="20"/>
                <w:szCs w:val="20"/>
              </w:rPr>
            </w:pPr>
            <w:r w:rsidRPr="0049396B">
              <w:rPr>
                <w:rFonts w:ascii="Arial Narrow" w:hAnsi="Arial Narrow"/>
                <w:sz w:val="20"/>
                <w:szCs w:val="20"/>
              </w:rPr>
              <w:t>30 mg/20 mL concentrated solution for injection, 10 ampoules</w:t>
            </w:r>
          </w:p>
        </w:tc>
        <w:tc>
          <w:tcPr>
            <w:tcW w:w="1843" w:type="dxa"/>
            <w:vAlign w:val="center"/>
          </w:tcPr>
          <w:p w14:paraId="50B92640" w14:textId="4C02DE18" w:rsidR="000F2160" w:rsidRPr="0049396B" w:rsidRDefault="009B4DB9" w:rsidP="00884A22">
            <w:pPr>
              <w:pStyle w:val="TableText0"/>
              <w:keepLines/>
              <w:jc w:val="center"/>
            </w:pPr>
            <w:r>
              <w:t>$</w:t>
            </w:r>
            <w:r w:rsidR="0015085A" w:rsidRPr="005E015C">
              <w:rPr>
                <w:rFonts w:hint="eastAsia"/>
                <w:color w:val="000000"/>
                <w:w w:val="15"/>
                <w:shd w:val="solid" w:color="000000" w:fill="000000"/>
                <w:fitText w:val="20" w:id="-1032132094"/>
                <w14:textFill>
                  <w14:solidFill>
                    <w14:srgbClr w14:val="000000">
                      <w14:alpha w14:val="100000"/>
                    </w14:srgbClr>
                  </w14:solidFill>
                </w14:textFill>
              </w:rPr>
              <w:t xml:space="preserve">　</w:t>
            </w:r>
            <w:r w:rsidR="0015085A" w:rsidRPr="005E015C">
              <w:rPr>
                <w:color w:val="000000"/>
                <w:w w:val="15"/>
                <w:shd w:val="solid" w:color="000000" w:fill="000000"/>
                <w:fitText w:val="20" w:id="-1032132094"/>
                <w14:textFill>
                  <w14:solidFill>
                    <w14:srgbClr w14:val="000000">
                      <w14:alpha w14:val="100000"/>
                    </w14:srgbClr>
                  </w14:solidFill>
                </w14:textFill>
              </w:rPr>
              <w:t>|</w:t>
            </w:r>
            <w:r w:rsidR="0015085A" w:rsidRPr="005E015C">
              <w:rPr>
                <w:rFonts w:hint="eastAsia"/>
                <w:color w:val="000000"/>
                <w:spacing w:val="-45"/>
                <w:w w:val="15"/>
                <w:shd w:val="solid" w:color="000000" w:fill="000000"/>
                <w:fitText w:val="20" w:id="-1032132094"/>
                <w14:textFill>
                  <w14:solidFill>
                    <w14:srgbClr w14:val="000000">
                      <w14:alpha w14:val="100000"/>
                    </w14:srgbClr>
                  </w14:solidFill>
                </w14:textFill>
              </w:rPr>
              <w:t xml:space="preserve">　</w:t>
            </w:r>
            <w:r w:rsidR="000F2160" w:rsidRPr="0049396B">
              <w:t xml:space="preserve"> (public)</w:t>
            </w:r>
          </w:p>
          <w:p w14:paraId="69FD5138" w14:textId="5AA42C01" w:rsidR="000F2160" w:rsidRPr="0049396B" w:rsidRDefault="009B4DB9" w:rsidP="00884A22">
            <w:pPr>
              <w:pStyle w:val="TableText0"/>
              <w:keepLines/>
              <w:jc w:val="center"/>
              <w:rPr>
                <w:szCs w:val="20"/>
              </w:rPr>
            </w:pPr>
            <w:r>
              <w:t>$</w:t>
            </w:r>
            <w:r w:rsidR="0015085A" w:rsidRPr="009B4DB9">
              <w:rPr>
                <w:rFonts w:hint="eastAsia"/>
                <w:color w:val="000000"/>
                <w:w w:val="20"/>
                <w:shd w:val="solid" w:color="000000" w:fill="000000"/>
                <w:fitText w:val="90" w:id="-1032132093"/>
                <w14:textFill>
                  <w14:solidFill>
                    <w14:srgbClr w14:val="000000">
                      <w14:alpha w14:val="100000"/>
                    </w14:srgbClr>
                  </w14:solidFill>
                </w14:textFill>
              </w:rPr>
              <w:t xml:space="preserve">　</w:t>
            </w:r>
            <w:r w:rsidR="0015085A" w:rsidRPr="009B4DB9">
              <w:rPr>
                <w:color w:val="000000"/>
                <w:w w:val="20"/>
                <w:shd w:val="solid" w:color="000000" w:fill="000000"/>
                <w:fitText w:val="90" w:id="-1032132093"/>
                <w14:textFill>
                  <w14:solidFill>
                    <w14:srgbClr w14:val="000000">
                      <w14:alpha w14:val="100000"/>
                    </w14:srgbClr>
                  </w14:solidFill>
                </w14:textFill>
              </w:rPr>
              <w:t>|</w:t>
            </w:r>
            <w:r w:rsidR="0015085A" w:rsidRPr="009B4DB9">
              <w:rPr>
                <w:rFonts w:hint="eastAsia"/>
                <w:color w:val="000000"/>
                <w:w w:val="20"/>
                <w:shd w:val="solid" w:color="000000" w:fill="000000"/>
                <w:fitText w:val="90" w:id="-1032132093"/>
                <w14:textFill>
                  <w14:solidFill>
                    <w14:srgbClr w14:val="000000">
                      <w14:alpha w14:val="100000"/>
                    </w14:srgbClr>
                  </w14:solidFill>
                </w14:textFill>
              </w:rPr>
              <w:t xml:space="preserve">　</w:t>
            </w:r>
            <w:r w:rsidR="000F2160" w:rsidRPr="0049396B">
              <w:t xml:space="preserve"> (private)#</w:t>
            </w:r>
          </w:p>
        </w:tc>
        <w:tc>
          <w:tcPr>
            <w:tcW w:w="992" w:type="dxa"/>
            <w:vAlign w:val="center"/>
          </w:tcPr>
          <w:p w14:paraId="3621C7BB" w14:textId="77777777" w:rsidR="000F2160" w:rsidRPr="0049396B" w:rsidRDefault="000F2160" w:rsidP="00884A22">
            <w:pPr>
              <w:keepNext/>
              <w:keepLines/>
              <w:jc w:val="center"/>
              <w:rPr>
                <w:rFonts w:ascii="Arial Narrow" w:hAnsi="Arial Narrow"/>
                <w:sz w:val="20"/>
                <w:szCs w:val="20"/>
              </w:rPr>
            </w:pPr>
            <w:r w:rsidRPr="0049396B">
              <w:rPr>
                <w:rFonts w:ascii="Arial Narrow" w:hAnsi="Arial Narrow"/>
                <w:sz w:val="20"/>
              </w:rPr>
              <w:t>2</w:t>
            </w:r>
          </w:p>
        </w:tc>
        <w:tc>
          <w:tcPr>
            <w:tcW w:w="1134" w:type="dxa"/>
            <w:vAlign w:val="center"/>
          </w:tcPr>
          <w:p w14:paraId="48F82A79" w14:textId="77777777" w:rsidR="000F2160" w:rsidRPr="0049396B" w:rsidRDefault="000F2160" w:rsidP="00884A22">
            <w:pPr>
              <w:keepNext/>
              <w:keepLines/>
              <w:jc w:val="center"/>
              <w:rPr>
                <w:rFonts w:ascii="Arial Narrow" w:hAnsi="Arial Narrow"/>
                <w:sz w:val="20"/>
                <w:szCs w:val="20"/>
              </w:rPr>
            </w:pPr>
            <w:r w:rsidRPr="0049396B">
              <w:rPr>
                <w:rFonts w:ascii="Arial Narrow" w:hAnsi="Arial Narrow"/>
                <w:sz w:val="20"/>
              </w:rPr>
              <w:t>20</w:t>
            </w:r>
          </w:p>
        </w:tc>
        <w:tc>
          <w:tcPr>
            <w:tcW w:w="709" w:type="dxa"/>
            <w:vAlign w:val="center"/>
          </w:tcPr>
          <w:p w14:paraId="7382401E" w14:textId="77777777" w:rsidR="000F2160" w:rsidRPr="0049396B" w:rsidRDefault="000F2160" w:rsidP="00884A22">
            <w:pPr>
              <w:keepNext/>
              <w:keepLines/>
              <w:jc w:val="center"/>
              <w:rPr>
                <w:rFonts w:ascii="Arial Narrow" w:hAnsi="Arial Narrow"/>
                <w:sz w:val="20"/>
                <w:szCs w:val="20"/>
              </w:rPr>
            </w:pPr>
            <w:r w:rsidRPr="0049396B">
              <w:rPr>
                <w:rFonts w:ascii="Arial Narrow" w:hAnsi="Arial Narrow"/>
                <w:sz w:val="20"/>
              </w:rPr>
              <w:t>2</w:t>
            </w:r>
          </w:p>
        </w:tc>
        <w:tc>
          <w:tcPr>
            <w:tcW w:w="1418" w:type="dxa"/>
          </w:tcPr>
          <w:p w14:paraId="2E0407EB" w14:textId="41F9B23A" w:rsidR="000F2160" w:rsidRPr="0049396B" w:rsidRDefault="000F2160" w:rsidP="00884A22">
            <w:pPr>
              <w:keepNext/>
              <w:keepLines/>
              <w:jc w:val="center"/>
              <w:rPr>
                <w:rFonts w:ascii="Arial Narrow" w:hAnsi="Arial Narrow"/>
                <w:sz w:val="20"/>
              </w:rPr>
            </w:pPr>
            <w:r w:rsidRPr="0049396B">
              <w:rPr>
                <w:rFonts w:ascii="Arial Narrow" w:hAnsi="Arial Narrow"/>
                <w:sz w:val="20"/>
                <w:szCs w:val="20"/>
              </w:rPr>
              <w:t>Radicava, TEVA Pharma</w:t>
            </w:r>
          </w:p>
        </w:tc>
      </w:tr>
      <w:tr w:rsidR="00F10BC6" w:rsidRPr="0049396B" w14:paraId="2E1C99E4" w14:textId="77777777" w:rsidTr="00884A22">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tcBorders>
              <w:top w:val="single" w:sz="4" w:space="0" w:color="auto"/>
              <w:left w:val="single" w:sz="4" w:space="0" w:color="auto"/>
              <w:right w:val="single" w:sz="4" w:space="0" w:color="auto"/>
            </w:tcBorders>
            <w:vAlign w:val="center"/>
          </w:tcPr>
          <w:p w14:paraId="4F87F707" w14:textId="74146E07" w:rsidR="00F10BC6" w:rsidRPr="0049396B" w:rsidRDefault="00F10BC6" w:rsidP="00884A22">
            <w:pPr>
              <w:keepLines/>
              <w:rPr>
                <w:rFonts w:ascii="Arial Narrow" w:hAnsi="Arial Narrow"/>
                <w:b/>
                <w:sz w:val="20"/>
                <w:szCs w:val="20"/>
              </w:rPr>
            </w:pPr>
            <w:r w:rsidRPr="0049396B">
              <w:rPr>
                <w:rFonts w:ascii="Arial Narrow" w:hAnsi="Arial Narrow"/>
                <w:b/>
                <w:sz w:val="20"/>
                <w:szCs w:val="20"/>
              </w:rPr>
              <w:t>Restriction Summary [new 3] / ToC: [new 4]</w:t>
            </w:r>
          </w:p>
        </w:tc>
      </w:tr>
      <w:tr w:rsidR="00F10BC6" w:rsidRPr="0049396B" w14:paraId="6C113FC0" w14:textId="77777777" w:rsidTr="00884A22">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tcBorders>
              <w:top w:val="single" w:sz="4" w:space="0" w:color="auto"/>
              <w:left w:val="single" w:sz="4" w:space="0" w:color="auto"/>
              <w:bottom w:val="single" w:sz="4" w:space="0" w:color="auto"/>
              <w:right w:val="single" w:sz="4" w:space="0" w:color="auto"/>
            </w:tcBorders>
            <w:vAlign w:val="center"/>
          </w:tcPr>
          <w:p w14:paraId="1A488B35" w14:textId="77777777" w:rsidR="00F10BC6" w:rsidRPr="0049396B" w:rsidRDefault="00F10BC6" w:rsidP="00884A22">
            <w:pPr>
              <w:keepLines/>
              <w:rPr>
                <w:rFonts w:ascii="Arial Narrow" w:hAnsi="Arial Narrow"/>
                <w:sz w:val="20"/>
                <w:szCs w:val="20"/>
              </w:rPr>
            </w:pPr>
            <w:r w:rsidRPr="0049396B">
              <w:rPr>
                <w:rFonts w:ascii="Arial Narrow" w:hAnsi="Arial Narrow"/>
                <w:b/>
                <w:sz w:val="20"/>
                <w:szCs w:val="20"/>
              </w:rPr>
              <w:t xml:space="preserve">Category / Program: </w:t>
            </w:r>
            <w:r w:rsidRPr="0049396B">
              <w:rPr>
                <w:rFonts w:ascii="Arial Narrow" w:hAnsi="Arial Narrow"/>
                <w:sz w:val="20"/>
                <w:szCs w:val="20"/>
              </w:rPr>
              <w:t>Section 100 – Highly Specialised Drugs Program (Public Hospital, Private Hospital and Community Access)</w:t>
            </w:r>
          </w:p>
        </w:tc>
      </w:tr>
      <w:tr w:rsidR="00F10BC6" w:rsidRPr="0049396B" w14:paraId="410E5CCE" w14:textId="77777777" w:rsidTr="00884A22">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tcBorders>
              <w:top w:val="single" w:sz="4" w:space="0" w:color="auto"/>
              <w:left w:val="single" w:sz="4" w:space="0" w:color="auto"/>
              <w:bottom w:val="single" w:sz="4" w:space="0" w:color="auto"/>
              <w:right w:val="single" w:sz="4" w:space="0" w:color="auto"/>
            </w:tcBorders>
            <w:vAlign w:val="center"/>
          </w:tcPr>
          <w:p w14:paraId="6CC79E3C" w14:textId="77777777" w:rsidR="00F10BC6" w:rsidRPr="0049396B" w:rsidRDefault="00F10BC6" w:rsidP="00884A22">
            <w:pPr>
              <w:keepLines/>
              <w:rPr>
                <w:rFonts w:ascii="Arial Narrow" w:hAnsi="Arial Narrow"/>
                <w:b/>
                <w:sz w:val="20"/>
                <w:szCs w:val="20"/>
              </w:rPr>
            </w:pPr>
            <w:r w:rsidRPr="0049396B">
              <w:rPr>
                <w:rFonts w:ascii="Arial Narrow" w:hAnsi="Arial Narrow"/>
                <w:b/>
                <w:sz w:val="20"/>
                <w:szCs w:val="20"/>
              </w:rPr>
              <w:t xml:space="preserve">Prescriber type: </w:t>
            </w:r>
            <w:r w:rsidRPr="0049396B">
              <w:rPr>
                <w:rFonts w:ascii="Arial Narrow" w:hAnsi="Arial Narrow"/>
                <w:sz w:val="20"/>
                <w:szCs w:val="20"/>
              </w:rPr>
              <w:fldChar w:fldCharType="begin" w:fldLock="1">
                <w:ffData>
                  <w:name w:val=""/>
                  <w:enabled/>
                  <w:calcOnExit w:val="0"/>
                  <w:checkBox>
                    <w:sizeAuto/>
                    <w:default w:val="1"/>
                  </w:checkBox>
                </w:ffData>
              </w:fldChar>
            </w:r>
            <w:r w:rsidRPr="0049396B">
              <w:rPr>
                <w:rFonts w:ascii="Arial Narrow" w:hAnsi="Arial Narrow"/>
                <w:sz w:val="20"/>
                <w:szCs w:val="20"/>
              </w:rPr>
              <w:instrText xml:space="preserve"> FORMCHECKBOX </w:instrText>
            </w:r>
            <w:r w:rsidR="001C0AB9">
              <w:rPr>
                <w:rFonts w:ascii="Arial Narrow" w:hAnsi="Arial Narrow"/>
                <w:sz w:val="20"/>
                <w:szCs w:val="20"/>
              </w:rPr>
            </w:r>
            <w:r w:rsidR="001C0AB9">
              <w:rPr>
                <w:rFonts w:ascii="Arial Narrow" w:hAnsi="Arial Narrow"/>
                <w:sz w:val="20"/>
                <w:szCs w:val="20"/>
              </w:rPr>
              <w:fldChar w:fldCharType="separate"/>
            </w:r>
            <w:r w:rsidRPr="0049396B">
              <w:rPr>
                <w:rFonts w:ascii="Arial Narrow" w:hAnsi="Arial Narrow"/>
                <w:sz w:val="20"/>
                <w:szCs w:val="20"/>
              </w:rPr>
              <w:fldChar w:fldCharType="end"/>
            </w:r>
            <w:r w:rsidRPr="0049396B">
              <w:rPr>
                <w:rFonts w:ascii="Arial Narrow" w:hAnsi="Arial Narrow"/>
                <w:sz w:val="20"/>
                <w:szCs w:val="20"/>
              </w:rPr>
              <w:t>Medical Practitioners</w:t>
            </w:r>
          </w:p>
        </w:tc>
      </w:tr>
      <w:tr w:rsidR="00F10BC6" w:rsidRPr="0049396B" w14:paraId="4B903B3E" w14:textId="77777777" w:rsidTr="00884A22">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tcBorders>
              <w:top w:val="single" w:sz="4" w:space="0" w:color="auto"/>
              <w:left w:val="single" w:sz="4" w:space="0" w:color="auto"/>
              <w:bottom w:val="single" w:sz="4" w:space="0" w:color="auto"/>
              <w:right w:val="single" w:sz="4" w:space="0" w:color="auto"/>
            </w:tcBorders>
            <w:vAlign w:val="center"/>
          </w:tcPr>
          <w:p w14:paraId="5F0B3229" w14:textId="77777777" w:rsidR="00F10BC6" w:rsidRPr="0049396B" w:rsidRDefault="00F10BC6" w:rsidP="00884A22">
            <w:pPr>
              <w:keepLines/>
              <w:rPr>
                <w:rFonts w:ascii="Arial Narrow" w:eastAsia="Calibri" w:hAnsi="Arial Narrow"/>
                <w:color w:val="FF0000"/>
                <w:sz w:val="20"/>
                <w:szCs w:val="20"/>
              </w:rPr>
            </w:pPr>
            <w:r w:rsidRPr="0049396B">
              <w:rPr>
                <w:rFonts w:ascii="Arial Narrow" w:hAnsi="Arial Narrow"/>
                <w:b/>
                <w:sz w:val="20"/>
                <w:szCs w:val="20"/>
              </w:rPr>
              <w:t xml:space="preserve">Restriction type: </w:t>
            </w:r>
            <w:r w:rsidRPr="0049396B">
              <w:rPr>
                <w:rFonts w:ascii="Arial Narrow" w:eastAsia="Calibri" w:hAnsi="Arial Narrow"/>
                <w:sz w:val="20"/>
                <w:szCs w:val="20"/>
              </w:rPr>
              <w:fldChar w:fldCharType="begin" w:fldLock="1">
                <w:ffData>
                  <w:name w:val="Check3"/>
                  <w:enabled/>
                  <w:calcOnExit w:val="0"/>
                  <w:checkBox>
                    <w:sizeAuto/>
                    <w:default w:val="1"/>
                  </w:checkBox>
                </w:ffData>
              </w:fldChar>
            </w:r>
            <w:r w:rsidRPr="0049396B">
              <w:rPr>
                <w:rFonts w:ascii="Arial Narrow" w:eastAsia="Calibri" w:hAnsi="Arial Narrow"/>
                <w:sz w:val="20"/>
                <w:szCs w:val="20"/>
              </w:rPr>
              <w:instrText xml:space="preserve"> FORMCHECKBOX </w:instrText>
            </w:r>
            <w:r w:rsidR="001C0AB9">
              <w:rPr>
                <w:rFonts w:ascii="Arial Narrow" w:eastAsia="Calibri" w:hAnsi="Arial Narrow"/>
                <w:sz w:val="20"/>
                <w:szCs w:val="20"/>
              </w:rPr>
            </w:r>
            <w:r w:rsidR="001C0AB9">
              <w:rPr>
                <w:rFonts w:ascii="Arial Narrow" w:eastAsia="Calibri" w:hAnsi="Arial Narrow"/>
                <w:sz w:val="20"/>
                <w:szCs w:val="20"/>
              </w:rPr>
              <w:fldChar w:fldCharType="separate"/>
            </w:r>
            <w:r w:rsidRPr="0049396B">
              <w:rPr>
                <w:rFonts w:ascii="Arial Narrow" w:eastAsia="Calibri" w:hAnsi="Arial Narrow"/>
                <w:sz w:val="20"/>
                <w:szCs w:val="20"/>
              </w:rPr>
              <w:fldChar w:fldCharType="end"/>
            </w:r>
            <w:r w:rsidRPr="0049396B">
              <w:rPr>
                <w:rFonts w:ascii="Arial Narrow" w:eastAsia="Calibri" w:hAnsi="Arial Narrow"/>
                <w:sz w:val="20"/>
                <w:szCs w:val="20"/>
              </w:rPr>
              <w:t xml:space="preserve">Authority Required (telephone/online PBS Authorities system) </w:t>
            </w:r>
          </w:p>
        </w:tc>
      </w:tr>
      <w:tr w:rsidR="00F10BC6" w:rsidRPr="0049396B" w14:paraId="0E4B7F7B" w14:textId="77777777" w:rsidTr="00884A22">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vAlign w:val="center"/>
          </w:tcPr>
          <w:p w14:paraId="773D8606" w14:textId="77777777" w:rsidR="00F10BC6" w:rsidRPr="0049396B" w:rsidRDefault="00F10BC6" w:rsidP="00884A22">
            <w:pPr>
              <w:rPr>
                <w:rFonts w:ascii="Arial Narrow" w:hAnsi="Arial Narrow"/>
                <w:i/>
                <w:iCs/>
                <w:color w:val="333333"/>
                <w:sz w:val="20"/>
                <w:szCs w:val="20"/>
              </w:rPr>
            </w:pPr>
            <w:r w:rsidRPr="0049396B">
              <w:rPr>
                <w:rFonts w:ascii="Arial Narrow" w:hAnsi="Arial Narrow"/>
                <w:b/>
                <w:bCs/>
                <w:i/>
                <w:iCs/>
                <w:sz w:val="20"/>
                <w:szCs w:val="20"/>
              </w:rPr>
              <w:t xml:space="preserve">Administrative Advice: </w:t>
            </w:r>
            <w:r w:rsidRPr="0049396B">
              <w:rPr>
                <w:rFonts w:ascii="Arial Narrow" w:hAnsi="Arial Narrow"/>
                <w:bCs/>
                <w:i/>
                <w:iCs/>
                <w:sz w:val="20"/>
                <w:szCs w:val="20"/>
              </w:rPr>
              <w:t>No increase in the maximum quantity or number of units may be authorised.</w:t>
            </w:r>
          </w:p>
        </w:tc>
      </w:tr>
      <w:tr w:rsidR="00F10BC6" w:rsidRPr="0049396B" w14:paraId="4C190053" w14:textId="77777777" w:rsidTr="00884A22">
        <w:tblPrEx>
          <w:tblCellMar>
            <w:top w:w="15" w:type="dxa"/>
            <w:left w:w="108" w:type="dxa"/>
            <w:bottom w:w="15" w:type="dxa"/>
            <w:right w:w="108" w:type="dxa"/>
          </w:tblCellMar>
          <w:tblLook w:val="04A0" w:firstRow="1" w:lastRow="0" w:firstColumn="1" w:lastColumn="0" w:noHBand="0" w:noVBand="1"/>
        </w:tblPrEx>
        <w:trPr>
          <w:trHeight w:val="20"/>
        </w:trPr>
        <w:tc>
          <w:tcPr>
            <w:tcW w:w="8930" w:type="dxa"/>
            <w:gridSpan w:val="6"/>
            <w:vAlign w:val="center"/>
          </w:tcPr>
          <w:p w14:paraId="0166495C" w14:textId="77777777" w:rsidR="00F10BC6" w:rsidRPr="0049396B" w:rsidRDefault="00F10BC6" w:rsidP="00884A22">
            <w:pPr>
              <w:rPr>
                <w:rFonts w:ascii="Arial Narrow" w:hAnsi="Arial Narrow"/>
                <w:b/>
                <w:bCs/>
                <w:i/>
                <w:iCs/>
                <w:color w:val="333333"/>
                <w:sz w:val="20"/>
                <w:szCs w:val="20"/>
              </w:rPr>
            </w:pPr>
            <w:r w:rsidRPr="0049396B">
              <w:rPr>
                <w:rFonts w:ascii="Arial Narrow" w:hAnsi="Arial Narrow"/>
                <w:b/>
                <w:bCs/>
                <w:i/>
                <w:iCs/>
                <w:sz w:val="20"/>
                <w:szCs w:val="20"/>
              </w:rPr>
              <w:t xml:space="preserve">Administrative Advice: </w:t>
            </w:r>
            <w:r w:rsidRPr="0049396B">
              <w:rPr>
                <w:rFonts w:ascii="Arial Narrow" w:hAnsi="Arial Narrow"/>
                <w:bCs/>
                <w:i/>
                <w:iCs/>
                <w:sz w:val="20"/>
                <w:szCs w:val="20"/>
              </w:rPr>
              <w:t>No increase in the maximum number of repeats may be authorised.</w:t>
            </w:r>
          </w:p>
        </w:tc>
      </w:tr>
      <w:tr w:rsidR="00F10BC6" w:rsidRPr="0049396B" w14:paraId="68B13438" w14:textId="77777777" w:rsidTr="00884A22">
        <w:tblPrEx>
          <w:tblCellMar>
            <w:top w:w="15" w:type="dxa"/>
            <w:left w:w="108" w:type="dxa"/>
            <w:bottom w:w="15" w:type="dxa"/>
            <w:right w:w="108" w:type="dxa"/>
          </w:tblCellMar>
          <w:tblLook w:val="04A0" w:firstRow="1" w:lastRow="0" w:firstColumn="1" w:lastColumn="0" w:noHBand="0" w:noVBand="1"/>
        </w:tblPrEx>
        <w:trPr>
          <w:trHeight w:val="290"/>
        </w:trPr>
        <w:tc>
          <w:tcPr>
            <w:tcW w:w="8930" w:type="dxa"/>
            <w:gridSpan w:val="6"/>
            <w:vAlign w:val="center"/>
          </w:tcPr>
          <w:p w14:paraId="762E48F1" w14:textId="77777777" w:rsidR="00F10BC6" w:rsidRPr="0049396B" w:rsidRDefault="00F10BC6" w:rsidP="00884A22">
            <w:pPr>
              <w:rPr>
                <w:rFonts w:ascii="Arial Narrow" w:hAnsi="Arial Narrow"/>
                <w:b/>
                <w:bCs/>
                <w:i/>
                <w:iCs/>
                <w:color w:val="333333"/>
                <w:sz w:val="20"/>
                <w:szCs w:val="20"/>
              </w:rPr>
            </w:pPr>
            <w:r w:rsidRPr="0049396B">
              <w:rPr>
                <w:rFonts w:ascii="Arial Narrow" w:hAnsi="Arial Narrow"/>
                <w:b/>
                <w:bCs/>
                <w:i/>
                <w:iCs/>
                <w:sz w:val="20"/>
                <w:szCs w:val="20"/>
              </w:rPr>
              <w:t xml:space="preserve">Administrative Advice: </w:t>
            </w:r>
            <w:r w:rsidRPr="0049396B">
              <w:rPr>
                <w:rFonts w:ascii="Arial Narrow" w:hAnsi="Arial Narrow"/>
                <w:bCs/>
                <w:i/>
                <w:iCs/>
                <w:sz w:val="20"/>
                <w:szCs w:val="20"/>
              </w:rPr>
              <w:t>Special Pricing Arrangements apply.</w:t>
            </w:r>
          </w:p>
        </w:tc>
      </w:tr>
      <w:tr w:rsidR="00F10BC6" w:rsidRPr="0049396B" w14:paraId="11065C33" w14:textId="77777777" w:rsidTr="00884A22">
        <w:tblPrEx>
          <w:tblCellMar>
            <w:top w:w="15" w:type="dxa"/>
            <w:left w:w="108" w:type="dxa"/>
            <w:bottom w:w="15" w:type="dxa"/>
            <w:right w:w="108" w:type="dxa"/>
          </w:tblCellMar>
          <w:tblLook w:val="04A0" w:firstRow="1" w:lastRow="0" w:firstColumn="1" w:lastColumn="0" w:noHBand="0" w:noVBand="1"/>
        </w:tblPrEx>
        <w:trPr>
          <w:trHeight w:val="290"/>
        </w:trPr>
        <w:tc>
          <w:tcPr>
            <w:tcW w:w="8930" w:type="dxa"/>
            <w:gridSpan w:val="6"/>
            <w:vAlign w:val="center"/>
          </w:tcPr>
          <w:p w14:paraId="712D2D1F" w14:textId="77777777" w:rsidR="00F10BC6" w:rsidRPr="0049396B" w:rsidRDefault="00F10BC6" w:rsidP="00884A22">
            <w:pPr>
              <w:rPr>
                <w:rFonts w:ascii="Arial Narrow" w:hAnsi="Arial Narrow" w:cs="Arial Narrow"/>
                <w:i/>
                <w:sz w:val="20"/>
                <w:szCs w:val="20"/>
              </w:rPr>
            </w:pPr>
            <w:r w:rsidRPr="0049396B">
              <w:rPr>
                <w:rFonts w:ascii="Arial Narrow" w:hAnsi="Arial Narrow"/>
                <w:b/>
                <w:bCs/>
                <w:i/>
                <w:iCs/>
                <w:sz w:val="20"/>
                <w:szCs w:val="20"/>
              </w:rPr>
              <w:t>Administrative Advice</w:t>
            </w:r>
            <w:r w:rsidRPr="0049396B">
              <w:rPr>
                <w:rFonts w:ascii="Arial Narrow" w:hAnsi="Arial Narrow" w:cs="Arial Narrow"/>
                <w:i/>
                <w:sz w:val="20"/>
                <w:szCs w:val="20"/>
              </w:rPr>
              <w:t xml:space="preserve"> </w:t>
            </w:r>
          </w:p>
          <w:p w14:paraId="6D28E3DD" w14:textId="77777777" w:rsidR="00F10BC6" w:rsidRPr="0049396B" w:rsidRDefault="00F10BC6" w:rsidP="00884A22">
            <w:pPr>
              <w:rPr>
                <w:rFonts w:ascii="Arial Narrow" w:hAnsi="Arial Narrow" w:cs="Arial Narrow"/>
                <w:i/>
                <w:sz w:val="20"/>
                <w:szCs w:val="20"/>
              </w:rPr>
            </w:pPr>
            <w:r w:rsidRPr="0049396B">
              <w:rPr>
                <w:rFonts w:ascii="Arial Narrow" w:hAnsi="Arial Narrow" w:cs="Arial Narrow"/>
                <w:b/>
                <w:bCs/>
                <w:i/>
                <w:sz w:val="20"/>
                <w:szCs w:val="20"/>
              </w:rPr>
              <w:t>Continuing Therapy Only</w:t>
            </w:r>
            <w:r w:rsidRPr="0049396B">
              <w:rPr>
                <w:rFonts w:ascii="Arial Narrow" w:hAnsi="Arial Narrow" w:cs="Arial Narrow"/>
                <w:i/>
                <w:sz w:val="20"/>
                <w:szCs w:val="20"/>
              </w:rPr>
              <w:t>:</w:t>
            </w:r>
          </w:p>
          <w:p w14:paraId="54BA7AD0" w14:textId="77777777" w:rsidR="00F10BC6" w:rsidRPr="0049396B" w:rsidRDefault="00F10BC6" w:rsidP="00884A22">
            <w:pPr>
              <w:rPr>
                <w:rFonts w:ascii="Arial Narrow" w:hAnsi="Arial Narrow"/>
                <w:b/>
                <w:bCs/>
                <w:i/>
                <w:iCs/>
                <w:sz w:val="20"/>
                <w:szCs w:val="20"/>
              </w:rPr>
            </w:pPr>
            <w:r w:rsidRPr="0049396B">
              <w:rPr>
                <w:rFonts w:ascii="Arial Narrow" w:hAnsi="Arial Narrow" w:cs="Arial Narrow"/>
                <w:i/>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F10BC6" w:rsidRPr="0049396B" w14:paraId="2CC9B0C0" w14:textId="77777777" w:rsidTr="00884A22">
        <w:tblPrEx>
          <w:tblCellMar>
            <w:top w:w="15" w:type="dxa"/>
            <w:left w:w="108" w:type="dxa"/>
            <w:bottom w:w="15" w:type="dxa"/>
            <w:right w:w="108" w:type="dxa"/>
          </w:tblCellMar>
          <w:tblLook w:val="04A0" w:firstRow="1" w:lastRow="0" w:firstColumn="1" w:lastColumn="0" w:noHBand="0" w:noVBand="1"/>
        </w:tblPrEx>
        <w:trPr>
          <w:trHeight w:val="290"/>
        </w:trPr>
        <w:tc>
          <w:tcPr>
            <w:tcW w:w="8930" w:type="dxa"/>
            <w:gridSpan w:val="6"/>
            <w:vAlign w:val="center"/>
          </w:tcPr>
          <w:p w14:paraId="3C0BD3D0" w14:textId="77777777" w:rsidR="00F10BC6" w:rsidRPr="0049396B" w:rsidRDefault="00F10BC6" w:rsidP="00884A22">
            <w:pPr>
              <w:rPr>
                <w:rFonts w:ascii="Arial Narrow" w:hAnsi="Arial Narrow"/>
                <w:b/>
                <w:bCs/>
                <w:i/>
                <w:iCs/>
                <w:sz w:val="20"/>
                <w:szCs w:val="20"/>
              </w:rPr>
            </w:pPr>
            <w:r w:rsidRPr="0049396B">
              <w:rPr>
                <w:rFonts w:ascii="Arial Narrow" w:hAnsi="Arial Narrow"/>
                <w:b/>
                <w:bCs/>
                <w:i/>
                <w:iCs/>
                <w:color w:val="333333"/>
                <w:sz w:val="20"/>
                <w:szCs w:val="20"/>
              </w:rPr>
              <w:lastRenderedPageBreak/>
              <w:t xml:space="preserve">Administrative Advice: </w:t>
            </w:r>
            <w:r w:rsidRPr="0049396B">
              <w:rPr>
                <w:rFonts w:ascii="Arial Narrow" w:hAnsi="Arial Narrow"/>
                <w:bCs/>
                <w:i/>
                <w:iCs/>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F10BC6" w:rsidRPr="0049396B" w14:paraId="0441F268" w14:textId="77777777" w:rsidTr="00884A22">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vAlign w:val="center"/>
            <w:hideMark/>
          </w:tcPr>
          <w:p w14:paraId="508E7597" w14:textId="77777777" w:rsidR="00F10BC6" w:rsidRPr="0049396B" w:rsidRDefault="00F10BC6" w:rsidP="00884A22">
            <w:pPr>
              <w:keepLines/>
              <w:rPr>
                <w:rFonts w:ascii="Arial Narrow" w:hAnsi="Arial Narrow"/>
                <w:color w:val="333333"/>
                <w:sz w:val="20"/>
                <w:szCs w:val="20"/>
              </w:rPr>
            </w:pPr>
            <w:r w:rsidRPr="0049396B">
              <w:rPr>
                <w:rFonts w:ascii="Arial Narrow" w:hAnsi="Arial Narrow"/>
                <w:b/>
                <w:bCs/>
                <w:color w:val="333333"/>
                <w:sz w:val="20"/>
                <w:szCs w:val="20"/>
              </w:rPr>
              <w:t>Indication:</w:t>
            </w:r>
            <w:r w:rsidRPr="0049396B">
              <w:rPr>
                <w:rFonts w:ascii="Arial Narrow" w:hAnsi="Arial Narrow"/>
                <w:color w:val="333333"/>
                <w:sz w:val="20"/>
                <w:szCs w:val="20"/>
              </w:rPr>
              <w:t xml:space="preserve"> </w:t>
            </w:r>
            <w:r w:rsidRPr="0049396B">
              <w:rPr>
                <w:rFonts w:ascii="Arial Narrow" w:hAnsi="Arial Narrow" w:cs="Arial Narrow"/>
                <w:iCs/>
                <w:sz w:val="20"/>
                <w:szCs w:val="20"/>
              </w:rPr>
              <w:t>Amyotrophic lateral sclerosis (ALS)</w:t>
            </w:r>
          </w:p>
        </w:tc>
      </w:tr>
      <w:tr w:rsidR="00F10BC6" w:rsidRPr="0049396B" w14:paraId="02CE69BD"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3A1CED75" w14:textId="77777777" w:rsidR="00F10BC6" w:rsidRPr="0049396B" w:rsidRDefault="00F10BC6" w:rsidP="00F10BC6">
            <w:pPr>
              <w:keepLines/>
              <w:rPr>
                <w:rFonts w:ascii="Arial Narrow" w:hAnsi="Arial Narrow"/>
                <w:b/>
                <w:bCs/>
                <w:color w:val="333333"/>
                <w:sz w:val="20"/>
                <w:szCs w:val="20"/>
              </w:rPr>
            </w:pPr>
            <w:r w:rsidRPr="0049396B">
              <w:rPr>
                <w:rFonts w:ascii="Arial Narrow" w:hAnsi="Arial Narrow"/>
                <w:b/>
                <w:bCs/>
                <w:color w:val="333333"/>
                <w:sz w:val="20"/>
                <w:szCs w:val="20"/>
              </w:rPr>
              <w:t>Treatment Phase: Continuing treatment</w:t>
            </w:r>
          </w:p>
        </w:tc>
      </w:tr>
      <w:tr w:rsidR="00F10BC6" w:rsidRPr="0049396B" w14:paraId="7F0828A9"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43BB2F08" w14:textId="77777777" w:rsidR="00F10BC6" w:rsidRPr="0049396B" w:rsidRDefault="00F10BC6" w:rsidP="00F10BC6">
            <w:pPr>
              <w:keepLines/>
              <w:rPr>
                <w:rFonts w:ascii="Arial Narrow" w:hAnsi="Arial Narrow"/>
                <w:b/>
                <w:bCs/>
                <w:color w:val="333333"/>
                <w:sz w:val="20"/>
                <w:szCs w:val="20"/>
              </w:rPr>
            </w:pPr>
            <w:r w:rsidRPr="0049396B">
              <w:rPr>
                <w:rFonts w:ascii="Arial Narrow" w:hAnsi="Arial Narrow"/>
                <w:b/>
                <w:bCs/>
                <w:color w:val="333333"/>
                <w:sz w:val="20"/>
                <w:szCs w:val="20"/>
              </w:rPr>
              <w:t>Clinical criteria:</w:t>
            </w:r>
          </w:p>
        </w:tc>
      </w:tr>
      <w:tr w:rsidR="00F10BC6" w:rsidRPr="0049396B" w14:paraId="43542E20"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770CDBAB" w14:textId="77777777" w:rsidR="00F10BC6" w:rsidRPr="0049396B" w:rsidRDefault="00F10BC6" w:rsidP="00F10BC6">
            <w:pPr>
              <w:keepLines/>
              <w:rPr>
                <w:rFonts w:ascii="Arial Narrow" w:hAnsi="Arial Narrow"/>
                <w:color w:val="333333"/>
                <w:sz w:val="20"/>
                <w:szCs w:val="20"/>
              </w:rPr>
            </w:pPr>
            <w:r w:rsidRPr="0049396B">
              <w:rPr>
                <w:rFonts w:ascii="Arial Narrow" w:hAnsi="Arial Narrow"/>
                <w:color w:val="333333"/>
                <w:sz w:val="20"/>
                <w:szCs w:val="20"/>
              </w:rPr>
              <w:t>Patient must have previously received PBS-subsidised treatment with this drug for this condition</w:t>
            </w:r>
          </w:p>
        </w:tc>
      </w:tr>
      <w:tr w:rsidR="00F10BC6" w:rsidRPr="0049396B" w14:paraId="63673DA9"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0F7A56F9" w14:textId="77777777" w:rsidR="00F10BC6" w:rsidRPr="0049396B" w:rsidRDefault="00F10BC6" w:rsidP="00F10BC6">
            <w:pPr>
              <w:keepLines/>
              <w:rPr>
                <w:rFonts w:ascii="Arial Narrow" w:hAnsi="Arial Narrow"/>
                <w:b/>
                <w:bCs/>
                <w:color w:val="333333"/>
                <w:sz w:val="20"/>
                <w:szCs w:val="20"/>
              </w:rPr>
            </w:pPr>
            <w:r w:rsidRPr="0049396B">
              <w:rPr>
                <w:rFonts w:ascii="Arial Narrow" w:hAnsi="Arial Narrow"/>
                <w:b/>
                <w:bCs/>
                <w:color w:val="333333"/>
                <w:sz w:val="20"/>
                <w:szCs w:val="20"/>
              </w:rPr>
              <w:t>AND</w:t>
            </w:r>
          </w:p>
        </w:tc>
      </w:tr>
      <w:tr w:rsidR="00F10BC6" w:rsidRPr="000442CE" w14:paraId="15BAE113"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tcPr>
          <w:p w14:paraId="51BB33B1" w14:textId="6A441802" w:rsidR="00F10BC6" w:rsidRPr="000442CE" w:rsidRDefault="00F10BC6" w:rsidP="00F10BC6">
            <w:pPr>
              <w:keepLines/>
              <w:rPr>
                <w:rFonts w:ascii="Arial Narrow" w:hAnsi="Arial Narrow"/>
                <w:b/>
                <w:bCs/>
                <w:strike/>
                <w:color w:val="333333"/>
                <w:sz w:val="20"/>
                <w:szCs w:val="20"/>
              </w:rPr>
            </w:pPr>
            <w:r w:rsidRPr="000442CE">
              <w:rPr>
                <w:rFonts w:ascii="Arial Narrow" w:hAnsi="Arial Narrow"/>
                <w:b/>
                <w:bCs/>
                <w:strike/>
                <w:color w:val="333333"/>
                <w:sz w:val="20"/>
                <w:szCs w:val="20"/>
              </w:rPr>
              <w:t>Clinical criteria:</w:t>
            </w:r>
          </w:p>
        </w:tc>
      </w:tr>
      <w:tr w:rsidR="00F10BC6" w:rsidRPr="000442CE" w14:paraId="6C3830C2"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0AB566DF" w14:textId="77777777" w:rsidR="00F10BC6" w:rsidRPr="000442CE" w:rsidRDefault="00F10BC6" w:rsidP="00F10BC6">
            <w:pPr>
              <w:keepLines/>
              <w:rPr>
                <w:rFonts w:ascii="Arial Narrow" w:hAnsi="Arial Narrow"/>
                <w:strike/>
                <w:color w:val="333333"/>
                <w:sz w:val="20"/>
                <w:szCs w:val="20"/>
              </w:rPr>
            </w:pPr>
            <w:r w:rsidRPr="000442CE">
              <w:rPr>
                <w:rFonts w:ascii="Arial Narrow" w:hAnsi="Arial Narrow"/>
                <w:strike/>
                <w:color w:val="333333"/>
                <w:sz w:val="20"/>
                <w:szCs w:val="20"/>
              </w:rPr>
              <w:t>Patient must be ambulatory; or</w:t>
            </w:r>
          </w:p>
        </w:tc>
      </w:tr>
      <w:tr w:rsidR="00F10BC6" w:rsidRPr="000442CE" w14:paraId="76B857DC"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42B361B6" w14:textId="77777777" w:rsidR="00F10BC6" w:rsidRPr="000442CE" w:rsidRDefault="00F10BC6" w:rsidP="00F10BC6">
            <w:pPr>
              <w:keepLines/>
              <w:rPr>
                <w:rFonts w:ascii="Arial Narrow" w:hAnsi="Arial Narrow"/>
                <w:strike/>
                <w:color w:val="333333"/>
                <w:sz w:val="20"/>
                <w:szCs w:val="20"/>
              </w:rPr>
            </w:pPr>
            <w:r w:rsidRPr="000442CE">
              <w:rPr>
                <w:rFonts w:ascii="Arial Narrow" w:hAnsi="Arial Narrow"/>
                <w:strike/>
                <w:color w:val="333333"/>
                <w:sz w:val="20"/>
                <w:szCs w:val="20"/>
              </w:rPr>
              <w:t>Patient must not be ambulatory, and must be able to either use upper limbs or to swallow</w:t>
            </w:r>
          </w:p>
        </w:tc>
      </w:tr>
      <w:tr w:rsidR="00F10BC6" w:rsidRPr="000442CE" w14:paraId="024D49D3"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190F7D79" w14:textId="77777777" w:rsidR="00F10BC6" w:rsidRPr="000442CE" w:rsidRDefault="00F10BC6" w:rsidP="00F10BC6">
            <w:pPr>
              <w:keepLines/>
              <w:rPr>
                <w:rFonts w:ascii="Arial Narrow" w:hAnsi="Arial Narrow"/>
                <w:b/>
                <w:bCs/>
                <w:strike/>
                <w:color w:val="333333"/>
                <w:sz w:val="20"/>
                <w:szCs w:val="20"/>
              </w:rPr>
            </w:pPr>
            <w:r w:rsidRPr="000442CE">
              <w:rPr>
                <w:rFonts w:ascii="Arial Narrow" w:hAnsi="Arial Narrow"/>
                <w:b/>
                <w:bCs/>
                <w:strike/>
                <w:color w:val="333333"/>
                <w:sz w:val="20"/>
                <w:szCs w:val="20"/>
              </w:rPr>
              <w:t>AND</w:t>
            </w:r>
          </w:p>
        </w:tc>
      </w:tr>
      <w:tr w:rsidR="00F10BC6" w:rsidRPr="0049396B" w14:paraId="6A49EFD9"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tcPr>
          <w:p w14:paraId="37B65E3C" w14:textId="7670807B" w:rsidR="00F10BC6" w:rsidRPr="0049396B" w:rsidRDefault="00F10BC6" w:rsidP="00F10BC6">
            <w:pPr>
              <w:keepLines/>
              <w:rPr>
                <w:rFonts w:ascii="Arial Narrow" w:hAnsi="Arial Narrow"/>
                <w:b/>
                <w:bCs/>
                <w:color w:val="333333"/>
                <w:sz w:val="20"/>
                <w:szCs w:val="20"/>
              </w:rPr>
            </w:pPr>
            <w:r w:rsidRPr="0049396B">
              <w:rPr>
                <w:rFonts w:ascii="Arial Narrow" w:hAnsi="Arial Narrow"/>
                <w:b/>
                <w:bCs/>
                <w:color w:val="333333"/>
                <w:sz w:val="20"/>
                <w:szCs w:val="20"/>
              </w:rPr>
              <w:t>Clinical criteria:</w:t>
            </w:r>
          </w:p>
        </w:tc>
      </w:tr>
      <w:tr w:rsidR="00F10BC6" w:rsidRPr="0049396B" w14:paraId="65326468"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6A15E656" w14:textId="77777777" w:rsidR="00F10BC6" w:rsidRPr="0049396B" w:rsidRDefault="00F10BC6" w:rsidP="00F10BC6">
            <w:pPr>
              <w:keepLines/>
              <w:rPr>
                <w:rFonts w:ascii="Arial Narrow" w:hAnsi="Arial Narrow"/>
                <w:color w:val="333333"/>
                <w:sz w:val="20"/>
                <w:szCs w:val="20"/>
              </w:rPr>
            </w:pPr>
            <w:r w:rsidRPr="0049396B">
              <w:rPr>
                <w:rFonts w:ascii="Arial Narrow" w:hAnsi="Arial Narrow"/>
                <w:color w:val="333333"/>
                <w:sz w:val="20"/>
                <w:szCs w:val="20"/>
              </w:rPr>
              <w:t>Patient must not have undergone a tracheostomy</w:t>
            </w:r>
          </w:p>
        </w:tc>
      </w:tr>
      <w:tr w:rsidR="00F10BC6" w:rsidRPr="0049396B" w14:paraId="75D548B3"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5942E197" w14:textId="77777777" w:rsidR="00F10BC6" w:rsidRPr="0049396B" w:rsidRDefault="00F10BC6" w:rsidP="00F10BC6">
            <w:pPr>
              <w:keepLines/>
              <w:rPr>
                <w:rFonts w:ascii="Arial Narrow" w:hAnsi="Arial Narrow"/>
                <w:b/>
                <w:bCs/>
                <w:color w:val="333333"/>
                <w:sz w:val="20"/>
                <w:szCs w:val="20"/>
              </w:rPr>
            </w:pPr>
            <w:r w:rsidRPr="0049396B">
              <w:rPr>
                <w:rFonts w:ascii="Arial Narrow" w:hAnsi="Arial Narrow"/>
                <w:b/>
                <w:bCs/>
                <w:color w:val="333333"/>
                <w:sz w:val="20"/>
                <w:szCs w:val="20"/>
              </w:rPr>
              <w:t>AND</w:t>
            </w:r>
          </w:p>
        </w:tc>
      </w:tr>
      <w:tr w:rsidR="00F10BC6" w:rsidRPr="0049396B" w14:paraId="5C075CB1"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tcPr>
          <w:p w14:paraId="795C110F" w14:textId="1A24D0E1" w:rsidR="00F10BC6" w:rsidRPr="0049396B" w:rsidRDefault="00F10BC6" w:rsidP="00F10BC6">
            <w:pPr>
              <w:keepLines/>
              <w:rPr>
                <w:rFonts w:ascii="Arial Narrow" w:hAnsi="Arial Narrow"/>
                <w:b/>
                <w:bCs/>
                <w:color w:val="333333"/>
                <w:sz w:val="20"/>
                <w:szCs w:val="20"/>
              </w:rPr>
            </w:pPr>
            <w:r w:rsidRPr="0049396B">
              <w:rPr>
                <w:rFonts w:ascii="Arial Narrow" w:hAnsi="Arial Narrow"/>
                <w:b/>
                <w:bCs/>
                <w:color w:val="333333"/>
                <w:sz w:val="20"/>
                <w:szCs w:val="20"/>
              </w:rPr>
              <w:t>Clinical criteria:</w:t>
            </w:r>
          </w:p>
        </w:tc>
      </w:tr>
      <w:tr w:rsidR="00F10BC6" w:rsidRPr="0049396B" w14:paraId="149996E4" w14:textId="77777777" w:rsidTr="00F10BC6">
        <w:tblPrEx>
          <w:tblCellMar>
            <w:top w:w="15" w:type="dxa"/>
            <w:left w:w="108" w:type="dxa"/>
            <w:bottom w:w="15" w:type="dxa"/>
            <w:right w:w="108" w:type="dxa"/>
          </w:tblCellMar>
          <w:tblLook w:val="04A0" w:firstRow="1" w:lastRow="0" w:firstColumn="1" w:lastColumn="0" w:noHBand="0" w:noVBand="1"/>
        </w:tblPrEx>
        <w:trPr>
          <w:cantSplit/>
          <w:trHeight w:val="20"/>
        </w:trPr>
        <w:tc>
          <w:tcPr>
            <w:tcW w:w="8930" w:type="dxa"/>
            <w:gridSpan w:val="6"/>
            <w:tcBorders>
              <w:top w:val="single" w:sz="4" w:space="0" w:color="auto"/>
              <w:left w:val="single" w:sz="4" w:space="0" w:color="auto"/>
              <w:bottom w:val="single" w:sz="4" w:space="0" w:color="auto"/>
              <w:right w:val="single" w:sz="4" w:space="0" w:color="auto"/>
            </w:tcBorders>
            <w:vAlign w:val="center"/>
            <w:hideMark/>
          </w:tcPr>
          <w:p w14:paraId="1252FBFB" w14:textId="77777777" w:rsidR="00F10BC6" w:rsidRPr="0049396B" w:rsidRDefault="00F10BC6" w:rsidP="00F10BC6">
            <w:pPr>
              <w:keepLines/>
              <w:rPr>
                <w:rFonts w:ascii="Arial Narrow" w:hAnsi="Arial Narrow"/>
                <w:color w:val="333333"/>
                <w:sz w:val="20"/>
                <w:szCs w:val="20"/>
              </w:rPr>
            </w:pPr>
            <w:r w:rsidRPr="0049396B">
              <w:rPr>
                <w:rFonts w:ascii="Arial Narrow" w:hAnsi="Arial Narrow"/>
                <w:color w:val="333333"/>
                <w:sz w:val="20"/>
                <w:szCs w:val="20"/>
              </w:rPr>
              <w:t>Patient must not have experienced respiratory failure</w:t>
            </w:r>
          </w:p>
        </w:tc>
      </w:tr>
    </w:tbl>
    <w:p w14:paraId="090AC775" w14:textId="41E381F4" w:rsidR="00B90BCC" w:rsidRPr="0049396B" w:rsidRDefault="00B90BCC" w:rsidP="00B90BCC">
      <w:pPr>
        <w:pStyle w:val="TableFooter"/>
        <w:keepNext/>
        <w:keepLines/>
      </w:pPr>
      <w:r w:rsidRPr="0049396B">
        <w:t>Source: Table 1-5, p25 of the submission and Submission Summary (HPP005945).</w:t>
      </w:r>
    </w:p>
    <w:p w14:paraId="7D929A02" w14:textId="56ADC21C" w:rsidR="00B90BCC" w:rsidRPr="0049396B" w:rsidRDefault="00B90BCC" w:rsidP="00B90BCC">
      <w:pPr>
        <w:pStyle w:val="TableHeader"/>
        <w:rPr>
          <w:rFonts w:ascii="Arial Narrow" w:hAnsi="Arial Narrow"/>
          <w:b w:val="0"/>
          <w:iCs/>
          <w:sz w:val="18"/>
          <w:szCs w:val="18"/>
        </w:rPr>
      </w:pPr>
      <w:r w:rsidRPr="0049396B">
        <w:rPr>
          <w:rFonts w:ascii="Arial Narrow" w:hAnsi="Arial Narrow"/>
          <w:b w:val="0"/>
          <w:iCs/>
          <w:sz w:val="18"/>
          <w:szCs w:val="18"/>
        </w:rPr>
        <w:t>^</w:t>
      </w:r>
      <w:r w:rsidRPr="0049396B">
        <w:rPr>
          <w:rFonts w:ascii="Arial Narrow" w:hAnsi="Arial Narrow"/>
          <w:b w:val="0"/>
          <w:iCs/>
          <w:sz w:val="18"/>
          <w:szCs w:val="18"/>
        </w:rPr>
        <w:tab/>
        <w:t>Dispensed price for initial treatment was calculated based on 2.8 max.</w:t>
      </w:r>
      <w:r w:rsidR="0049396B">
        <w:rPr>
          <w:rFonts w:ascii="Arial Narrow" w:hAnsi="Arial Narrow"/>
          <w:b w:val="0"/>
          <w:iCs/>
          <w:sz w:val="18"/>
          <w:szCs w:val="18"/>
        </w:rPr>
        <w:t xml:space="preserve"> </w:t>
      </w:r>
      <w:r w:rsidRPr="0049396B">
        <w:rPr>
          <w:rFonts w:ascii="Arial Narrow" w:hAnsi="Arial Narrow"/>
          <w:b w:val="0"/>
          <w:iCs/>
          <w:sz w:val="18"/>
          <w:szCs w:val="18"/>
        </w:rPr>
        <w:t>qty packs.</w:t>
      </w:r>
    </w:p>
    <w:p w14:paraId="34D34667" w14:textId="1BAED423" w:rsidR="00F572A3" w:rsidRPr="000F21E3" w:rsidRDefault="00B90BCC" w:rsidP="000F21E3">
      <w:pPr>
        <w:pStyle w:val="TableHeader"/>
        <w:spacing w:after="120"/>
        <w:rPr>
          <w:rFonts w:ascii="Arial Narrow" w:hAnsi="Arial Narrow"/>
          <w:b w:val="0"/>
          <w:iCs/>
          <w:sz w:val="18"/>
          <w:szCs w:val="18"/>
        </w:rPr>
      </w:pPr>
      <w:r w:rsidRPr="0049396B">
        <w:rPr>
          <w:rFonts w:ascii="Arial Narrow" w:hAnsi="Arial Narrow"/>
          <w:b w:val="0"/>
          <w:iCs/>
          <w:sz w:val="18"/>
          <w:szCs w:val="18"/>
        </w:rPr>
        <w:t>#</w:t>
      </w:r>
      <w:r w:rsidRPr="0049396B">
        <w:rPr>
          <w:rFonts w:ascii="Arial Narrow" w:hAnsi="Arial Narrow"/>
          <w:b w:val="0"/>
          <w:iCs/>
          <w:sz w:val="18"/>
          <w:szCs w:val="18"/>
        </w:rPr>
        <w:tab/>
        <w:t xml:space="preserve">Using the July 2023 </w:t>
      </w:r>
      <w:r w:rsidR="00EC1855" w:rsidRPr="0049396B">
        <w:rPr>
          <w:rFonts w:ascii="Arial Narrow" w:hAnsi="Arial Narrow"/>
          <w:b w:val="0"/>
          <w:iCs/>
          <w:sz w:val="18"/>
          <w:szCs w:val="18"/>
        </w:rPr>
        <w:t>mark ups and dispensing fee,</w:t>
      </w:r>
      <w:r w:rsidRPr="0049396B">
        <w:rPr>
          <w:rFonts w:ascii="Arial Narrow" w:hAnsi="Arial Narrow"/>
          <w:b w:val="0"/>
          <w:iCs/>
          <w:sz w:val="18"/>
          <w:szCs w:val="18"/>
        </w:rPr>
        <w:t xml:space="preserve"> the private DPMQ for initial treatment is </w:t>
      </w:r>
      <w:r w:rsidR="009B4DB9">
        <w:rPr>
          <w:rFonts w:ascii="Arial Narrow" w:hAnsi="Arial Narrow"/>
          <w:b w:val="0"/>
          <w:iCs/>
          <w:sz w:val="18"/>
          <w:szCs w:val="18"/>
        </w:rPr>
        <w:t>$</w:t>
      </w:r>
      <w:r w:rsidR="0015085A" w:rsidRPr="00D94CF5">
        <w:rPr>
          <w:rFonts w:ascii="Arial Narrow" w:hAnsi="Arial Narrow"/>
          <w:b w:val="0"/>
          <w:iCs/>
          <w:color w:val="000000"/>
          <w:spacing w:val="37"/>
          <w:sz w:val="18"/>
          <w:szCs w:val="18"/>
          <w:shd w:val="solid" w:color="000000" w:fill="000000"/>
          <w:fitText w:val="270" w:id="-1032132092"/>
          <w14:textFill>
            <w14:solidFill>
              <w14:srgbClr w14:val="000000">
                <w14:alpha w14:val="100000"/>
              </w14:srgbClr>
            </w14:solidFill>
          </w14:textFill>
        </w:rPr>
        <w:t xml:space="preserve">|  </w:t>
      </w:r>
      <w:r w:rsidR="0015085A" w:rsidRPr="00D94CF5">
        <w:rPr>
          <w:rFonts w:ascii="Arial Narrow" w:hAnsi="Arial Narrow"/>
          <w:b w:val="0"/>
          <w:iCs/>
          <w:color w:val="000000"/>
          <w:spacing w:val="1"/>
          <w:sz w:val="18"/>
          <w:szCs w:val="18"/>
          <w:shd w:val="solid" w:color="000000" w:fill="000000"/>
          <w:fitText w:val="270" w:id="-1032132092"/>
          <w14:textFill>
            <w14:solidFill>
              <w14:srgbClr w14:val="000000">
                <w14:alpha w14:val="100000"/>
              </w14:srgbClr>
            </w14:solidFill>
          </w14:textFill>
        </w:rPr>
        <w:t>|</w:t>
      </w:r>
      <w:r w:rsidRPr="0049396B">
        <w:rPr>
          <w:rFonts w:ascii="Arial Narrow" w:hAnsi="Arial Narrow"/>
          <w:b w:val="0"/>
          <w:iCs/>
          <w:sz w:val="18"/>
          <w:szCs w:val="18"/>
        </w:rPr>
        <w:t xml:space="preserve"> and continuing treatment </w:t>
      </w:r>
      <w:r w:rsidR="009B4DB9">
        <w:rPr>
          <w:rFonts w:ascii="Arial Narrow" w:hAnsi="Arial Narrow"/>
          <w:b w:val="0"/>
          <w:iCs/>
          <w:sz w:val="18"/>
          <w:szCs w:val="18"/>
        </w:rPr>
        <w:t>$</w:t>
      </w:r>
      <w:r w:rsidR="0015085A" w:rsidRPr="00D94CF5">
        <w:rPr>
          <w:rFonts w:ascii="Arial Narrow" w:hAnsi="Arial Narrow"/>
          <w:b w:val="0"/>
          <w:iCs/>
          <w:color w:val="000000"/>
          <w:spacing w:val="37"/>
          <w:sz w:val="18"/>
          <w:szCs w:val="18"/>
          <w:shd w:val="solid" w:color="000000" w:fill="000000"/>
          <w:fitText w:val="270" w:id="-1032132091"/>
          <w14:textFill>
            <w14:solidFill>
              <w14:srgbClr w14:val="000000">
                <w14:alpha w14:val="100000"/>
              </w14:srgbClr>
            </w14:solidFill>
          </w14:textFill>
        </w:rPr>
        <w:t xml:space="preserve">|  </w:t>
      </w:r>
      <w:r w:rsidR="0015085A" w:rsidRPr="00D94CF5">
        <w:rPr>
          <w:rFonts w:ascii="Arial Narrow" w:hAnsi="Arial Narrow"/>
          <w:b w:val="0"/>
          <w:iCs/>
          <w:color w:val="000000"/>
          <w:spacing w:val="1"/>
          <w:sz w:val="18"/>
          <w:szCs w:val="18"/>
          <w:shd w:val="solid" w:color="000000" w:fill="000000"/>
          <w:fitText w:val="270" w:id="-1032132091"/>
          <w14:textFill>
            <w14:solidFill>
              <w14:srgbClr w14:val="000000">
                <w14:alpha w14:val="100000"/>
              </w14:srgbClr>
            </w14:solidFill>
          </w14:textFill>
        </w:rPr>
        <w:t>|</w:t>
      </w:r>
      <w:r w:rsidRPr="0049396B">
        <w:rPr>
          <w:rFonts w:ascii="Arial Narrow" w:hAnsi="Arial Narrow"/>
          <w:b w:val="0"/>
          <w:iCs/>
          <w:sz w:val="18"/>
          <w:szCs w:val="18"/>
        </w:rPr>
        <w:t>.</w:t>
      </w:r>
    </w:p>
    <w:bookmarkEnd w:id="15"/>
    <w:p w14:paraId="51A71FFB" w14:textId="68F7DAFD" w:rsidR="00F572A3" w:rsidRPr="0049396B" w:rsidRDefault="00F572A3" w:rsidP="00CE32A1">
      <w:pPr>
        <w:pStyle w:val="ListParagraph"/>
        <w:numPr>
          <w:ilvl w:val="1"/>
          <w:numId w:val="1"/>
        </w:numPr>
        <w:rPr>
          <w:i/>
          <w:iCs/>
        </w:rPr>
      </w:pPr>
      <w:r w:rsidRPr="0049396B">
        <w:rPr>
          <w:iCs/>
        </w:rPr>
        <w:t xml:space="preserve">Each dispensed pack containing 10 ampoules of 30 mg concentrated solution would provide for 5 infusions. </w:t>
      </w:r>
      <w:r w:rsidRPr="0049396B">
        <w:t xml:space="preserve">The recommended dose of edaravone is 60 mg administered as IV infusion over a 60-minute period, according to an on/off regimen over 28-day cycles. The initial treatment cycle consists of edaravone daily for 14 days followed by a 14-day drug-free period, and subsequent treatment cycles consist of </w:t>
      </w:r>
      <w:r w:rsidR="005717C8" w:rsidRPr="0049396B">
        <w:t>‘daily dosing for 10 days out of 14-day periods, followed by 14-day drug-free periods’</w:t>
      </w:r>
      <w:r w:rsidRPr="0049396B">
        <w:t>.</w:t>
      </w:r>
      <w:r w:rsidRPr="0049396B">
        <w:rPr>
          <w:i/>
          <w:iCs/>
        </w:rPr>
        <w:t xml:space="preserve"> </w:t>
      </w:r>
      <w:r w:rsidRPr="0049396B">
        <w:rPr>
          <w:iCs/>
        </w:rPr>
        <w:t>The requested maximum quantity for initial treatment - three packs consisting of two full packs and one broken pack to make 28 ampoules (i.e. 2.8 packs x 10 ampoules) - would provide 14 days of initial treatment. The requested maximum quantity for continuing treatment – two full packs to make 20 ampoules plus two repeats - allows for 3 cycles (30 treatment days) of continuing treatment.</w:t>
      </w:r>
      <w:r w:rsidRPr="0049396B">
        <w:rPr>
          <w:i/>
          <w:iCs/>
        </w:rPr>
        <w:t xml:space="preserve"> </w:t>
      </w:r>
      <w:bookmarkStart w:id="16" w:name="_Hlk144288491"/>
      <w:r w:rsidRPr="0049396B">
        <w:t>In the key trial evidence presented in the submission (Study 19), the median treatment days for edaravone in cycle 1 was 14 days and in subsequent cycles (cycle 2-6) was 11-12 days.</w:t>
      </w:r>
      <w:bookmarkEnd w:id="16"/>
      <w:r w:rsidR="0013773C" w:rsidRPr="0049396B">
        <w:t xml:space="preserve"> </w:t>
      </w:r>
    </w:p>
    <w:p w14:paraId="64041166" w14:textId="6AA99FB5" w:rsidR="00C66DEB" w:rsidRPr="0049396B" w:rsidRDefault="00F572A3" w:rsidP="00CE32A1">
      <w:pPr>
        <w:pStyle w:val="3-BodyText"/>
        <w:rPr>
          <w:i/>
        </w:rPr>
      </w:pPr>
      <w:r w:rsidRPr="0049396B">
        <w:t xml:space="preserve">The submission’s requested DPMQs were calculated based on the approved ex-manufacturer price (AEMP) for edaravone per ampoule, </w:t>
      </w:r>
      <w:r w:rsidR="00BB692F" w:rsidRPr="0049396B">
        <w:t xml:space="preserve">which will overestimate the DPMQ compared to calculating based on </w:t>
      </w:r>
      <w:r w:rsidRPr="0049396B">
        <w:t>AEMP per pack (</w:t>
      </w:r>
      <w:r w:rsidRPr="0049396B">
        <w:fldChar w:fldCharType="begin" w:fldLock="1"/>
      </w:r>
      <w:r w:rsidRPr="0049396B">
        <w:instrText xml:space="preserve"> REF _Ref144475785 \h </w:instrText>
      </w:r>
      <w:r w:rsidR="00B676F6" w:rsidRPr="0049396B">
        <w:instrText xml:space="preserve"> \* MERGEFORMAT </w:instrText>
      </w:r>
      <w:r w:rsidRPr="0049396B">
        <w:fldChar w:fldCharType="separate"/>
      </w:r>
      <w:r w:rsidR="00041148" w:rsidRPr="0049396B">
        <w:t>Table 2</w:t>
      </w:r>
      <w:r w:rsidRPr="0049396B">
        <w:fldChar w:fldCharType="end"/>
      </w:r>
      <w:r w:rsidRPr="0049396B">
        <w:t xml:space="preserve">). </w:t>
      </w:r>
      <w:r w:rsidR="0013773C" w:rsidRPr="0049396B">
        <w:rPr>
          <w:iCs/>
        </w:rPr>
        <w:t xml:space="preserve">The </w:t>
      </w:r>
      <w:r w:rsidR="00797349">
        <w:rPr>
          <w:iCs/>
        </w:rPr>
        <w:t>p</w:t>
      </w:r>
      <w:r w:rsidR="0013773C" w:rsidRPr="0049396B">
        <w:rPr>
          <w:iCs/>
        </w:rPr>
        <w:t>re-PBAC response noted that the sponsor is working towards registering a new pack size to avoid potential wastage.</w:t>
      </w:r>
    </w:p>
    <w:p w14:paraId="1AE7B5AE" w14:textId="4BE2A648" w:rsidR="00F572A3" w:rsidRPr="0049396B" w:rsidRDefault="00F572A3" w:rsidP="009B4DB9">
      <w:pPr>
        <w:pStyle w:val="Caption"/>
        <w:rPr>
          <w:szCs w:val="20"/>
        </w:rPr>
      </w:pPr>
      <w:bookmarkStart w:id="17" w:name="_Ref144475785"/>
      <w:r w:rsidRPr="0049396B">
        <w:t xml:space="preserve">Table </w:t>
      </w:r>
      <w:r w:rsidR="001C0AB9">
        <w:fldChar w:fldCharType="begin" w:fldLock="1"/>
      </w:r>
      <w:r w:rsidR="001C0AB9">
        <w:instrText xml:space="preserve"> SEQ Table \* ARABIC </w:instrText>
      </w:r>
      <w:r w:rsidR="001C0AB9">
        <w:fldChar w:fldCharType="separate"/>
      </w:r>
      <w:r w:rsidR="00B41026" w:rsidRPr="0049396B">
        <w:t>2</w:t>
      </w:r>
      <w:r w:rsidR="001C0AB9">
        <w:fldChar w:fldCharType="end"/>
      </w:r>
      <w:bookmarkEnd w:id="17"/>
      <w:r w:rsidRPr="0049396B">
        <w:t xml:space="preserve">: </w:t>
      </w:r>
      <w:r w:rsidRPr="0049396B">
        <w:rPr>
          <w:szCs w:val="20"/>
        </w:rPr>
        <w:t>DPMQs using the AEMP for edaravone per ampoule (</w:t>
      </w:r>
      <w:r w:rsidR="009B4DB9">
        <w:rPr>
          <w:szCs w:val="20"/>
        </w:rPr>
        <w:t>$</w:t>
      </w:r>
      <w:r w:rsidR="0015085A" w:rsidRPr="00D94CF5">
        <w:rPr>
          <w:color w:val="000000"/>
          <w:spacing w:val="10"/>
          <w:szCs w:val="20"/>
          <w:shd w:val="solid" w:color="000000" w:fill="000000"/>
          <w:fitText w:val="330" w:id="-1032132090"/>
          <w14:textFill>
            <w14:solidFill>
              <w14:srgbClr w14:val="000000">
                <w14:alpha w14:val="100000"/>
              </w14:srgbClr>
            </w14:solidFill>
          </w14:textFill>
        </w:rPr>
        <w:t>||  |</w:t>
      </w:r>
      <w:r w:rsidR="0015085A" w:rsidRPr="00D94CF5">
        <w:rPr>
          <w:color w:val="000000"/>
          <w:spacing w:val="5"/>
          <w:szCs w:val="20"/>
          <w:shd w:val="solid" w:color="000000" w:fill="000000"/>
          <w:fitText w:val="330" w:id="-1032132090"/>
          <w14:textFill>
            <w14:solidFill>
              <w14:srgbClr w14:val="000000">
                <w14:alpha w14:val="100000"/>
              </w14:srgbClr>
            </w14:solidFill>
          </w14:textFill>
        </w:rPr>
        <w:t>|</w:t>
      </w:r>
      <w:r w:rsidRPr="0049396B">
        <w:rPr>
          <w:szCs w:val="20"/>
        </w:rPr>
        <w:t>) and per pack of 10 ampoules (</w:t>
      </w:r>
      <w:r w:rsidR="009B4DB9">
        <w:rPr>
          <w:szCs w:val="20"/>
        </w:rPr>
        <w:t>$</w:t>
      </w:r>
      <w:r w:rsidR="0015085A" w:rsidRPr="00D94CF5">
        <w:rPr>
          <w:color w:val="000000"/>
          <w:spacing w:val="10"/>
          <w:szCs w:val="20"/>
          <w:shd w:val="solid" w:color="000000" w:fill="000000"/>
          <w:fitText w:val="330" w:id="-1032132089"/>
          <w14:textFill>
            <w14:solidFill>
              <w14:srgbClr w14:val="000000">
                <w14:alpha w14:val="100000"/>
              </w14:srgbClr>
            </w14:solidFill>
          </w14:textFill>
        </w:rPr>
        <w:t>||  |</w:t>
      </w:r>
      <w:r w:rsidR="0015085A" w:rsidRPr="00D94CF5">
        <w:rPr>
          <w:color w:val="000000"/>
          <w:spacing w:val="5"/>
          <w:szCs w:val="20"/>
          <w:shd w:val="solid" w:color="000000" w:fill="000000"/>
          <w:fitText w:val="330" w:id="-1032132089"/>
          <w14:textFill>
            <w14:solidFill>
              <w14:srgbClr w14:val="000000">
                <w14:alpha w14:val="100000"/>
              </w14:srgbClr>
            </w14:solidFill>
          </w14:textFill>
        </w:rPr>
        <w:t>|</w:t>
      </w:r>
      <w:r w:rsidRPr="0049396B">
        <w:rPr>
          <w:szCs w:val="20"/>
        </w:rPr>
        <w:t>).</w:t>
      </w:r>
    </w:p>
    <w:tbl>
      <w:tblPr>
        <w:tblStyle w:val="TableGrid"/>
        <w:tblW w:w="5000" w:type="pct"/>
        <w:tblCellMar>
          <w:left w:w="28" w:type="dxa"/>
          <w:right w:w="28" w:type="dxa"/>
        </w:tblCellMar>
        <w:tblLook w:val="04A0" w:firstRow="1" w:lastRow="0" w:firstColumn="1" w:lastColumn="0" w:noHBand="0" w:noVBand="1"/>
      </w:tblPr>
      <w:tblGrid>
        <w:gridCol w:w="1838"/>
        <w:gridCol w:w="3686"/>
        <w:gridCol w:w="3493"/>
      </w:tblGrid>
      <w:tr w:rsidR="00F572A3" w:rsidRPr="0049396B" w14:paraId="02635A0B" w14:textId="77777777" w:rsidTr="00EB254E">
        <w:tc>
          <w:tcPr>
            <w:tcW w:w="1019" w:type="pct"/>
            <w:tcBorders>
              <w:bottom w:val="nil"/>
            </w:tcBorders>
            <w:vAlign w:val="center"/>
          </w:tcPr>
          <w:p w14:paraId="46319087" w14:textId="77777777" w:rsidR="00F572A3" w:rsidRPr="0049396B" w:rsidRDefault="00F572A3" w:rsidP="009B4DB9">
            <w:pPr>
              <w:keepNext/>
              <w:keepLines/>
              <w:jc w:val="left"/>
              <w:rPr>
                <w:rFonts w:ascii="Arial Narrow" w:hAnsi="Arial Narrow"/>
                <w:sz w:val="20"/>
                <w:szCs w:val="20"/>
              </w:rPr>
            </w:pPr>
          </w:p>
        </w:tc>
        <w:tc>
          <w:tcPr>
            <w:tcW w:w="2044" w:type="pct"/>
            <w:vAlign w:val="center"/>
          </w:tcPr>
          <w:p w14:paraId="76826D59" w14:textId="77777777" w:rsidR="00F572A3" w:rsidRPr="0049396B" w:rsidRDefault="00F572A3" w:rsidP="009B4DB9">
            <w:pPr>
              <w:keepNext/>
              <w:keepLines/>
              <w:jc w:val="center"/>
              <w:rPr>
                <w:rFonts w:ascii="Arial Narrow" w:hAnsi="Arial Narrow"/>
                <w:b/>
                <w:sz w:val="20"/>
                <w:szCs w:val="20"/>
              </w:rPr>
            </w:pPr>
            <w:r w:rsidRPr="0049396B">
              <w:rPr>
                <w:rFonts w:ascii="Arial Narrow" w:hAnsi="Arial Narrow"/>
                <w:b/>
                <w:sz w:val="20"/>
                <w:szCs w:val="20"/>
              </w:rPr>
              <w:t>DPMQ by ampoules</w:t>
            </w:r>
          </w:p>
        </w:tc>
        <w:tc>
          <w:tcPr>
            <w:tcW w:w="1937" w:type="pct"/>
            <w:vAlign w:val="center"/>
          </w:tcPr>
          <w:p w14:paraId="04A9D52A" w14:textId="77777777" w:rsidR="00F572A3" w:rsidRPr="0049396B" w:rsidRDefault="00F572A3" w:rsidP="009B4DB9">
            <w:pPr>
              <w:keepNext/>
              <w:keepLines/>
              <w:jc w:val="center"/>
              <w:rPr>
                <w:rFonts w:ascii="Arial Narrow" w:hAnsi="Arial Narrow"/>
                <w:b/>
                <w:sz w:val="20"/>
                <w:szCs w:val="20"/>
              </w:rPr>
            </w:pPr>
            <w:r w:rsidRPr="0049396B">
              <w:rPr>
                <w:rFonts w:ascii="Arial Narrow" w:hAnsi="Arial Narrow"/>
                <w:b/>
                <w:sz w:val="20"/>
                <w:szCs w:val="20"/>
              </w:rPr>
              <w:t>DPMQ by packs</w:t>
            </w:r>
          </w:p>
        </w:tc>
      </w:tr>
      <w:tr w:rsidR="00F572A3" w:rsidRPr="0049396B" w14:paraId="102CA383" w14:textId="77777777" w:rsidTr="00EB254E">
        <w:tc>
          <w:tcPr>
            <w:tcW w:w="1019" w:type="pct"/>
            <w:tcBorders>
              <w:top w:val="nil"/>
            </w:tcBorders>
            <w:vAlign w:val="center"/>
          </w:tcPr>
          <w:p w14:paraId="38820ACC" w14:textId="77777777" w:rsidR="00F572A3" w:rsidRPr="0049396B" w:rsidRDefault="00F572A3" w:rsidP="009B4DB9">
            <w:pPr>
              <w:keepNext/>
              <w:keepLines/>
              <w:jc w:val="left"/>
              <w:rPr>
                <w:rFonts w:ascii="Arial Narrow" w:hAnsi="Arial Narrow"/>
                <w:sz w:val="20"/>
                <w:szCs w:val="20"/>
              </w:rPr>
            </w:pPr>
          </w:p>
        </w:tc>
        <w:tc>
          <w:tcPr>
            <w:tcW w:w="2044" w:type="pct"/>
            <w:vAlign w:val="center"/>
          </w:tcPr>
          <w:p w14:paraId="6FE513CB" w14:textId="77777777" w:rsidR="00F572A3" w:rsidRPr="0049396B" w:rsidRDefault="00F572A3" w:rsidP="009B4DB9">
            <w:pPr>
              <w:keepNext/>
              <w:keepLines/>
              <w:jc w:val="center"/>
              <w:rPr>
                <w:rFonts w:ascii="Arial Narrow" w:hAnsi="Arial Narrow"/>
                <w:sz w:val="20"/>
                <w:szCs w:val="20"/>
              </w:rPr>
            </w:pPr>
            <w:r w:rsidRPr="0049396B">
              <w:rPr>
                <w:rFonts w:ascii="Arial Narrow" w:hAnsi="Arial Narrow"/>
                <w:sz w:val="20"/>
                <w:szCs w:val="20"/>
              </w:rPr>
              <w:t>Per ampoule (30mg/20mL)</w:t>
            </w:r>
          </w:p>
        </w:tc>
        <w:tc>
          <w:tcPr>
            <w:tcW w:w="1937" w:type="pct"/>
            <w:vAlign w:val="center"/>
          </w:tcPr>
          <w:p w14:paraId="423541DD" w14:textId="77777777" w:rsidR="00F572A3" w:rsidRPr="0049396B" w:rsidRDefault="00F572A3" w:rsidP="009B4DB9">
            <w:pPr>
              <w:keepNext/>
              <w:keepLines/>
              <w:jc w:val="center"/>
              <w:rPr>
                <w:rFonts w:ascii="Arial Narrow" w:hAnsi="Arial Narrow"/>
                <w:sz w:val="20"/>
                <w:szCs w:val="20"/>
              </w:rPr>
            </w:pPr>
            <w:r w:rsidRPr="0049396B">
              <w:rPr>
                <w:rFonts w:ascii="Arial Narrow" w:hAnsi="Arial Narrow"/>
                <w:sz w:val="20"/>
                <w:szCs w:val="20"/>
              </w:rPr>
              <w:t>Per pack 10 ampoules (30mg/20mL)</w:t>
            </w:r>
          </w:p>
        </w:tc>
      </w:tr>
      <w:tr w:rsidR="00F572A3" w:rsidRPr="0049396B" w14:paraId="715B74AB" w14:textId="77777777" w:rsidTr="00B90BCC">
        <w:tc>
          <w:tcPr>
            <w:tcW w:w="1019" w:type="pct"/>
            <w:tcBorders>
              <w:bottom w:val="single" w:sz="4" w:space="0" w:color="auto"/>
            </w:tcBorders>
            <w:vAlign w:val="center"/>
          </w:tcPr>
          <w:p w14:paraId="1B89A578" w14:textId="60DBA095" w:rsidR="00F572A3" w:rsidRPr="0049396B" w:rsidRDefault="00F572A3" w:rsidP="009B4DB9">
            <w:pPr>
              <w:keepNext/>
              <w:keepLines/>
              <w:jc w:val="left"/>
              <w:rPr>
                <w:rFonts w:ascii="Arial Narrow" w:hAnsi="Arial Narrow"/>
                <w:sz w:val="20"/>
                <w:szCs w:val="20"/>
              </w:rPr>
            </w:pPr>
            <w:r w:rsidRPr="0049396B">
              <w:rPr>
                <w:rFonts w:ascii="Arial Narrow" w:hAnsi="Arial Narrow"/>
                <w:sz w:val="20"/>
                <w:szCs w:val="20"/>
              </w:rPr>
              <w:t>AEMP</w:t>
            </w:r>
            <w:r w:rsidR="00797349">
              <w:rPr>
                <w:rFonts w:ascii="Arial Narrow" w:hAnsi="Arial Narrow"/>
                <w:sz w:val="20"/>
                <w:szCs w:val="20"/>
              </w:rPr>
              <w:t xml:space="preserve"> ($)</w:t>
            </w:r>
          </w:p>
        </w:tc>
        <w:tc>
          <w:tcPr>
            <w:tcW w:w="2044" w:type="pct"/>
            <w:tcBorders>
              <w:bottom w:val="single" w:sz="4" w:space="0" w:color="auto"/>
            </w:tcBorders>
            <w:vAlign w:val="center"/>
          </w:tcPr>
          <w:p w14:paraId="0A9DAE02" w14:textId="17D7C75C" w:rsidR="00F572A3" w:rsidRPr="0049396B" w:rsidRDefault="0015085A" w:rsidP="009B4DB9">
            <w:pPr>
              <w:keepNext/>
              <w:keepLines/>
              <w:jc w:val="center"/>
              <w:rPr>
                <w:rFonts w:ascii="Arial Narrow" w:hAnsi="Arial Narrow"/>
                <w:sz w:val="20"/>
                <w:szCs w:val="20"/>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937" w:type="pct"/>
            <w:tcBorders>
              <w:bottom w:val="single" w:sz="4" w:space="0" w:color="auto"/>
            </w:tcBorders>
            <w:vAlign w:val="center"/>
          </w:tcPr>
          <w:p w14:paraId="5E294C28" w14:textId="744E4EEF" w:rsidR="00F572A3" w:rsidRPr="00797349" w:rsidRDefault="0015085A" w:rsidP="009B4DB9">
            <w:pPr>
              <w:keepNext/>
              <w:keepLines/>
              <w:jc w:val="center"/>
              <w:rPr>
                <w:rFonts w:ascii="Arial Narrow" w:hAnsi="Arial Narrow"/>
                <w:sz w:val="20"/>
                <w:szCs w:val="20"/>
                <w:highlight w:val="darkGray"/>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r>
      <w:tr w:rsidR="00F572A3" w:rsidRPr="0049396B" w14:paraId="1240BA84" w14:textId="77777777" w:rsidTr="00B90BCC">
        <w:tc>
          <w:tcPr>
            <w:tcW w:w="1019" w:type="pct"/>
            <w:tcBorders>
              <w:right w:val="nil"/>
            </w:tcBorders>
            <w:vAlign w:val="center"/>
          </w:tcPr>
          <w:p w14:paraId="5C97B1AA" w14:textId="77777777" w:rsidR="00F572A3" w:rsidRPr="0049396B" w:rsidRDefault="00F572A3" w:rsidP="009B4DB9">
            <w:pPr>
              <w:keepNext/>
              <w:keepLines/>
              <w:jc w:val="left"/>
              <w:rPr>
                <w:rFonts w:ascii="Arial Narrow" w:hAnsi="Arial Narrow"/>
                <w:b/>
                <w:sz w:val="20"/>
                <w:szCs w:val="20"/>
              </w:rPr>
            </w:pPr>
            <w:r w:rsidRPr="0049396B">
              <w:rPr>
                <w:rFonts w:ascii="Arial Narrow" w:hAnsi="Arial Narrow"/>
                <w:b/>
                <w:sz w:val="20"/>
                <w:szCs w:val="20"/>
              </w:rPr>
              <w:t>Initial treatment</w:t>
            </w:r>
          </w:p>
        </w:tc>
        <w:tc>
          <w:tcPr>
            <w:tcW w:w="2044" w:type="pct"/>
            <w:tcBorders>
              <w:left w:val="nil"/>
              <w:right w:val="nil"/>
            </w:tcBorders>
            <w:vAlign w:val="center"/>
          </w:tcPr>
          <w:p w14:paraId="4287B62D" w14:textId="77777777" w:rsidR="00F572A3" w:rsidRPr="0049396B" w:rsidRDefault="00F572A3" w:rsidP="009B4DB9">
            <w:pPr>
              <w:keepNext/>
              <w:keepLines/>
              <w:jc w:val="center"/>
              <w:rPr>
                <w:rFonts w:ascii="Arial Narrow" w:hAnsi="Arial Narrow"/>
                <w:sz w:val="20"/>
                <w:szCs w:val="20"/>
              </w:rPr>
            </w:pPr>
          </w:p>
        </w:tc>
        <w:tc>
          <w:tcPr>
            <w:tcW w:w="1937" w:type="pct"/>
            <w:tcBorders>
              <w:left w:val="nil"/>
            </w:tcBorders>
            <w:vAlign w:val="center"/>
          </w:tcPr>
          <w:p w14:paraId="6B64BA01" w14:textId="77777777" w:rsidR="00F572A3" w:rsidRPr="0049396B" w:rsidRDefault="00F572A3" w:rsidP="009B4DB9">
            <w:pPr>
              <w:keepNext/>
              <w:keepLines/>
              <w:jc w:val="center"/>
              <w:rPr>
                <w:rFonts w:ascii="Arial Narrow" w:hAnsi="Arial Narrow"/>
                <w:sz w:val="20"/>
                <w:szCs w:val="20"/>
              </w:rPr>
            </w:pPr>
          </w:p>
        </w:tc>
      </w:tr>
      <w:tr w:rsidR="00F572A3" w:rsidRPr="0049396B" w14:paraId="33AF83E0" w14:textId="77777777" w:rsidTr="00EB254E">
        <w:tc>
          <w:tcPr>
            <w:tcW w:w="1019" w:type="pct"/>
            <w:vAlign w:val="center"/>
          </w:tcPr>
          <w:p w14:paraId="5840210F" w14:textId="77777777" w:rsidR="00F572A3" w:rsidRPr="0049396B" w:rsidRDefault="00F572A3" w:rsidP="009B4DB9">
            <w:pPr>
              <w:keepNext/>
              <w:keepLines/>
              <w:jc w:val="left"/>
              <w:rPr>
                <w:rFonts w:ascii="Arial Narrow" w:hAnsi="Arial Narrow"/>
                <w:sz w:val="20"/>
                <w:szCs w:val="20"/>
              </w:rPr>
            </w:pPr>
            <w:r w:rsidRPr="0049396B">
              <w:rPr>
                <w:rFonts w:ascii="Arial Narrow" w:hAnsi="Arial Narrow"/>
                <w:sz w:val="20"/>
                <w:szCs w:val="20"/>
              </w:rPr>
              <w:t>Dispensed quantity</w:t>
            </w:r>
          </w:p>
        </w:tc>
        <w:tc>
          <w:tcPr>
            <w:tcW w:w="2044" w:type="pct"/>
            <w:vAlign w:val="center"/>
          </w:tcPr>
          <w:p w14:paraId="2F4124C0" w14:textId="77777777" w:rsidR="00F572A3" w:rsidRPr="0049396B" w:rsidRDefault="00F572A3" w:rsidP="009B4DB9">
            <w:pPr>
              <w:keepNext/>
              <w:keepLines/>
              <w:jc w:val="center"/>
              <w:rPr>
                <w:rFonts w:ascii="Arial Narrow" w:hAnsi="Arial Narrow"/>
                <w:sz w:val="20"/>
                <w:szCs w:val="20"/>
              </w:rPr>
            </w:pPr>
            <w:r w:rsidRPr="0049396B">
              <w:rPr>
                <w:rFonts w:ascii="Arial Narrow" w:hAnsi="Arial Narrow"/>
                <w:sz w:val="20"/>
                <w:szCs w:val="20"/>
              </w:rPr>
              <w:t>28 ampoules</w:t>
            </w:r>
          </w:p>
        </w:tc>
        <w:tc>
          <w:tcPr>
            <w:tcW w:w="1937" w:type="pct"/>
            <w:vAlign w:val="center"/>
          </w:tcPr>
          <w:p w14:paraId="712BAD98" w14:textId="77777777" w:rsidR="00F572A3" w:rsidRPr="0049396B" w:rsidRDefault="00F572A3" w:rsidP="009B4DB9">
            <w:pPr>
              <w:keepNext/>
              <w:keepLines/>
              <w:jc w:val="center"/>
              <w:rPr>
                <w:rFonts w:ascii="Arial Narrow" w:hAnsi="Arial Narrow"/>
                <w:sz w:val="20"/>
                <w:szCs w:val="20"/>
              </w:rPr>
            </w:pPr>
            <w:r w:rsidRPr="0049396B">
              <w:rPr>
                <w:rFonts w:ascii="Arial Narrow" w:hAnsi="Arial Narrow"/>
                <w:sz w:val="20"/>
                <w:szCs w:val="20"/>
              </w:rPr>
              <w:t>3 packs</w:t>
            </w:r>
          </w:p>
        </w:tc>
      </w:tr>
      <w:tr w:rsidR="00F572A3" w:rsidRPr="0049396B" w14:paraId="08FF936F" w14:textId="77777777" w:rsidTr="00EB254E">
        <w:tc>
          <w:tcPr>
            <w:tcW w:w="1019" w:type="pct"/>
            <w:vAlign w:val="center"/>
          </w:tcPr>
          <w:p w14:paraId="6F62F254" w14:textId="77777777" w:rsidR="00F572A3" w:rsidRPr="0049396B" w:rsidRDefault="00F572A3" w:rsidP="009B4DB9">
            <w:pPr>
              <w:keepNext/>
              <w:keepLines/>
              <w:jc w:val="left"/>
              <w:rPr>
                <w:rFonts w:ascii="Arial Narrow" w:hAnsi="Arial Narrow"/>
                <w:sz w:val="20"/>
                <w:szCs w:val="20"/>
              </w:rPr>
            </w:pPr>
            <w:r w:rsidRPr="0049396B">
              <w:rPr>
                <w:rFonts w:ascii="Arial Narrow" w:hAnsi="Arial Narrow"/>
                <w:sz w:val="20"/>
                <w:szCs w:val="20"/>
              </w:rPr>
              <w:t>Max. quantity</w:t>
            </w:r>
          </w:p>
        </w:tc>
        <w:tc>
          <w:tcPr>
            <w:tcW w:w="2044" w:type="pct"/>
            <w:vAlign w:val="center"/>
          </w:tcPr>
          <w:p w14:paraId="41F76512" w14:textId="77777777" w:rsidR="00F572A3" w:rsidRPr="0049396B" w:rsidRDefault="00F572A3" w:rsidP="009B4DB9">
            <w:pPr>
              <w:keepNext/>
              <w:keepLines/>
              <w:jc w:val="center"/>
              <w:rPr>
                <w:rFonts w:ascii="Arial Narrow" w:hAnsi="Arial Narrow"/>
                <w:sz w:val="20"/>
                <w:szCs w:val="20"/>
              </w:rPr>
            </w:pPr>
            <w:r w:rsidRPr="0049396B">
              <w:rPr>
                <w:rFonts w:ascii="Arial Narrow" w:hAnsi="Arial Narrow"/>
                <w:sz w:val="20"/>
                <w:szCs w:val="20"/>
              </w:rPr>
              <w:t>28 ampoules</w:t>
            </w:r>
          </w:p>
        </w:tc>
        <w:tc>
          <w:tcPr>
            <w:tcW w:w="1937" w:type="pct"/>
            <w:vAlign w:val="center"/>
          </w:tcPr>
          <w:p w14:paraId="4AED3463" w14:textId="77777777" w:rsidR="00F572A3" w:rsidRPr="0049396B" w:rsidRDefault="00F572A3" w:rsidP="009B4DB9">
            <w:pPr>
              <w:keepNext/>
              <w:keepLines/>
              <w:jc w:val="center"/>
              <w:rPr>
                <w:rFonts w:ascii="Arial Narrow" w:hAnsi="Arial Narrow"/>
                <w:sz w:val="20"/>
                <w:szCs w:val="20"/>
              </w:rPr>
            </w:pPr>
            <w:r w:rsidRPr="0049396B">
              <w:rPr>
                <w:rFonts w:ascii="Arial Narrow" w:hAnsi="Arial Narrow"/>
                <w:sz w:val="20"/>
                <w:szCs w:val="20"/>
              </w:rPr>
              <w:t>30 ampoules</w:t>
            </w:r>
          </w:p>
        </w:tc>
      </w:tr>
      <w:tr w:rsidR="00F572A3" w:rsidRPr="0049396B" w14:paraId="5D0FA708" w14:textId="77777777" w:rsidTr="00EB254E">
        <w:tc>
          <w:tcPr>
            <w:tcW w:w="1019" w:type="pct"/>
            <w:vAlign w:val="center"/>
          </w:tcPr>
          <w:p w14:paraId="4FC7B827" w14:textId="11883490" w:rsidR="00F572A3" w:rsidRPr="0049396B" w:rsidRDefault="00F572A3" w:rsidP="009B4DB9">
            <w:pPr>
              <w:keepNext/>
              <w:keepLines/>
              <w:jc w:val="left"/>
              <w:rPr>
                <w:rFonts w:ascii="Arial Narrow" w:hAnsi="Arial Narrow"/>
                <w:sz w:val="20"/>
                <w:szCs w:val="20"/>
              </w:rPr>
            </w:pPr>
            <w:r w:rsidRPr="0049396B">
              <w:rPr>
                <w:rFonts w:ascii="Arial Narrow" w:hAnsi="Arial Narrow"/>
                <w:sz w:val="20"/>
                <w:szCs w:val="20"/>
              </w:rPr>
              <w:lastRenderedPageBreak/>
              <w:t>DPMQ (public)</w:t>
            </w:r>
            <w:r w:rsidR="00797349">
              <w:rPr>
                <w:rFonts w:ascii="Arial Narrow" w:hAnsi="Arial Narrow"/>
                <w:sz w:val="20"/>
                <w:szCs w:val="20"/>
              </w:rPr>
              <w:t xml:space="preserve"> ($)</w:t>
            </w:r>
          </w:p>
        </w:tc>
        <w:tc>
          <w:tcPr>
            <w:tcW w:w="2044" w:type="pct"/>
            <w:vAlign w:val="center"/>
          </w:tcPr>
          <w:p w14:paraId="3BF09E2A" w14:textId="4FCBB3BF" w:rsidR="00F572A3" w:rsidRPr="00797349" w:rsidRDefault="0015085A" w:rsidP="009B4DB9">
            <w:pPr>
              <w:keepNext/>
              <w:keepLines/>
              <w:jc w:val="center"/>
              <w:rPr>
                <w:rFonts w:ascii="Arial Narrow" w:hAnsi="Arial Narrow"/>
                <w:sz w:val="20"/>
                <w:szCs w:val="20"/>
                <w:highlight w:val="darkGray"/>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937" w:type="pct"/>
            <w:vAlign w:val="center"/>
          </w:tcPr>
          <w:p w14:paraId="18F07D9D" w14:textId="62FF42D5" w:rsidR="00F572A3" w:rsidRPr="00797349" w:rsidRDefault="0015085A" w:rsidP="009B4DB9">
            <w:pPr>
              <w:keepNext/>
              <w:keepLines/>
              <w:jc w:val="center"/>
              <w:rPr>
                <w:rFonts w:ascii="Arial Narrow" w:hAnsi="Arial Narrow"/>
                <w:sz w:val="20"/>
                <w:szCs w:val="20"/>
                <w:highlight w:val="darkGray"/>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r>
      <w:tr w:rsidR="00F572A3" w:rsidRPr="0049396B" w14:paraId="164A0BFE" w14:textId="77777777" w:rsidTr="00B90BCC">
        <w:tc>
          <w:tcPr>
            <w:tcW w:w="1019" w:type="pct"/>
            <w:tcBorders>
              <w:bottom w:val="single" w:sz="4" w:space="0" w:color="auto"/>
            </w:tcBorders>
            <w:vAlign w:val="center"/>
          </w:tcPr>
          <w:p w14:paraId="3C87C42F" w14:textId="2A36E436" w:rsidR="00F572A3" w:rsidRPr="0049396B" w:rsidRDefault="00F572A3" w:rsidP="009B4DB9">
            <w:pPr>
              <w:keepNext/>
              <w:keepLines/>
              <w:jc w:val="left"/>
              <w:rPr>
                <w:rFonts w:ascii="Arial Narrow" w:hAnsi="Arial Narrow"/>
                <w:sz w:val="20"/>
                <w:szCs w:val="20"/>
              </w:rPr>
            </w:pPr>
            <w:r w:rsidRPr="0049396B">
              <w:rPr>
                <w:rFonts w:ascii="Arial Narrow" w:hAnsi="Arial Narrow"/>
                <w:sz w:val="20"/>
                <w:szCs w:val="20"/>
              </w:rPr>
              <w:t>DPMQ (private)</w:t>
            </w:r>
            <w:r w:rsidR="00797349">
              <w:rPr>
                <w:rFonts w:ascii="Arial Narrow" w:hAnsi="Arial Narrow"/>
                <w:sz w:val="20"/>
                <w:szCs w:val="20"/>
              </w:rPr>
              <w:t xml:space="preserve"> ($)</w:t>
            </w:r>
          </w:p>
        </w:tc>
        <w:tc>
          <w:tcPr>
            <w:tcW w:w="2044" w:type="pct"/>
            <w:tcBorders>
              <w:bottom w:val="single" w:sz="4" w:space="0" w:color="auto"/>
            </w:tcBorders>
            <w:vAlign w:val="center"/>
          </w:tcPr>
          <w:p w14:paraId="3F7E1697" w14:textId="1D6224A8" w:rsidR="00F572A3" w:rsidRPr="00797349" w:rsidRDefault="0015085A" w:rsidP="009B4DB9">
            <w:pPr>
              <w:keepNext/>
              <w:keepLines/>
              <w:jc w:val="center"/>
              <w:rPr>
                <w:rFonts w:ascii="Arial Narrow" w:hAnsi="Arial Narrow"/>
                <w:sz w:val="20"/>
                <w:szCs w:val="20"/>
                <w:highlight w:val="darkGray"/>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937" w:type="pct"/>
            <w:tcBorders>
              <w:bottom w:val="single" w:sz="4" w:space="0" w:color="auto"/>
            </w:tcBorders>
            <w:vAlign w:val="center"/>
          </w:tcPr>
          <w:p w14:paraId="63357EB0" w14:textId="13F384A1" w:rsidR="00F572A3" w:rsidRPr="00797349" w:rsidRDefault="0015085A" w:rsidP="009B4DB9">
            <w:pPr>
              <w:keepNext/>
              <w:keepLines/>
              <w:jc w:val="center"/>
              <w:rPr>
                <w:rFonts w:ascii="Arial Narrow" w:hAnsi="Arial Narrow"/>
                <w:sz w:val="20"/>
                <w:szCs w:val="20"/>
                <w:highlight w:val="darkGray"/>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r>
      <w:tr w:rsidR="00F572A3" w:rsidRPr="0049396B" w14:paraId="5570524F" w14:textId="77777777" w:rsidTr="00B90BCC">
        <w:tc>
          <w:tcPr>
            <w:tcW w:w="1019" w:type="pct"/>
            <w:tcBorders>
              <w:right w:val="nil"/>
            </w:tcBorders>
            <w:vAlign w:val="center"/>
          </w:tcPr>
          <w:p w14:paraId="31BAD1E3" w14:textId="77777777" w:rsidR="00F572A3" w:rsidRPr="0049396B" w:rsidRDefault="00F572A3" w:rsidP="00EB254E">
            <w:pPr>
              <w:jc w:val="left"/>
              <w:rPr>
                <w:rFonts w:ascii="Arial Narrow" w:hAnsi="Arial Narrow"/>
                <w:b/>
                <w:sz w:val="20"/>
                <w:szCs w:val="20"/>
              </w:rPr>
            </w:pPr>
            <w:r w:rsidRPr="0049396B">
              <w:rPr>
                <w:rFonts w:ascii="Arial Narrow" w:hAnsi="Arial Narrow"/>
                <w:b/>
                <w:sz w:val="20"/>
                <w:szCs w:val="20"/>
              </w:rPr>
              <w:t>Continuing treatment</w:t>
            </w:r>
          </w:p>
        </w:tc>
        <w:tc>
          <w:tcPr>
            <w:tcW w:w="2044" w:type="pct"/>
            <w:tcBorders>
              <w:left w:val="nil"/>
              <w:right w:val="nil"/>
            </w:tcBorders>
            <w:vAlign w:val="center"/>
          </w:tcPr>
          <w:p w14:paraId="6712B74C" w14:textId="77777777" w:rsidR="00F572A3" w:rsidRPr="0049396B" w:rsidRDefault="00F572A3" w:rsidP="00EB254E">
            <w:pPr>
              <w:jc w:val="center"/>
              <w:rPr>
                <w:rFonts w:ascii="Arial Narrow" w:hAnsi="Arial Narrow"/>
                <w:sz w:val="20"/>
                <w:szCs w:val="20"/>
              </w:rPr>
            </w:pPr>
          </w:p>
        </w:tc>
        <w:tc>
          <w:tcPr>
            <w:tcW w:w="1937" w:type="pct"/>
            <w:tcBorders>
              <w:left w:val="nil"/>
            </w:tcBorders>
            <w:vAlign w:val="center"/>
          </w:tcPr>
          <w:p w14:paraId="540EC389" w14:textId="77777777" w:rsidR="00F572A3" w:rsidRPr="0049396B" w:rsidRDefault="00F572A3" w:rsidP="00EB254E">
            <w:pPr>
              <w:jc w:val="center"/>
              <w:rPr>
                <w:rFonts w:ascii="Arial Narrow" w:hAnsi="Arial Narrow"/>
                <w:sz w:val="20"/>
                <w:szCs w:val="20"/>
              </w:rPr>
            </w:pPr>
          </w:p>
        </w:tc>
      </w:tr>
      <w:tr w:rsidR="00F572A3" w:rsidRPr="0049396B" w14:paraId="6AB9D99F" w14:textId="77777777" w:rsidTr="00EB254E">
        <w:tc>
          <w:tcPr>
            <w:tcW w:w="1019" w:type="pct"/>
            <w:vAlign w:val="center"/>
          </w:tcPr>
          <w:p w14:paraId="51127DFC" w14:textId="77777777" w:rsidR="00F572A3" w:rsidRPr="0049396B" w:rsidRDefault="00F572A3" w:rsidP="00EB254E">
            <w:pPr>
              <w:jc w:val="left"/>
              <w:rPr>
                <w:rFonts w:ascii="Arial Narrow" w:hAnsi="Arial Narrow"/>
                <w:sz w:val="20"/>
                <w:szCs w:val="20"/>
              </w:rPr>
            </w:pPr>
            <w:r w:rsidRPr="0049396B">
              <w:rPr>
                <w:rFonts w:ascii="Arial Narrow" w:hAnsi="Arial Narrow"/>
                <w:sz w:val="20"/>
                <w:szCs w:val="20"/>
              </w:rPr>
              <w:t>Dispensed quantity</w:t>
            </w:r>
          </w:p>
        </w:tc>
        <w:tc>
          <w:tcPr>
            <w:tcW w:w="2044" w:type="pct"/>
            <w:vAlign w:val="center"/>
          </w:tcPr>
          <w:p w14:paraId="4D780BDB"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20 ampoules</w:t>
            </w:r>
          </w:p>
        </w:tc>
        <w:tc>
          <w:tcPr>
            <w:tcW w:w="1937" w:type="pct"/>
            <w:vAlign w:val="center"/>
          </w:tcPr>
          <w:p w14:paraId="116BAC3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 packs</w:t>
            </w:r>
          </w:p>
        </w:tc>
      </w:tr>
      <w:tr w:rsidR="00F572A3" w:rsidRPr="0049396B" w14:paraId="1015E331" w14:textId="77777777" w:rsidTr="00EB254E">
        <w:tc>
          <w:tcPr>
            <w:tcW w:w="1019" w:type="pct"/>
            <w:vAlign w:val="center"/>
          </w:tcPr>
          <w:p w14:paraId="76DE9255" w14:textId="77777777" w:rsidR="00F572A3" w:rsidRPr="0049396B" w:rsidRDefault="00F572A3" w:rsidP="00EB254E">
            <w:pPr>
              <w:jc w:val="left"/>
              <w:rPr>
                <w:rFonts w:ascii="Arial Narrow" w:hAnsi="Arial Narrow"/>
                <w:sz w:val="20"/>
                <w:szCs w:val="20"/>
              </w:rPr>
            </w:pPr>
            <w:r w:rsidRPr="0049396B">
              <w:rPr>
                <w:rFonts w:ascii="Arial Narrow" w:hAnsi="Arial Narrow"/>
                <w:sz w:val="20"/>
                <w:szCs w:val="20"/>
              </w:rPr>
              <w:t>Max. quantity</w:t>
            </w:r>
          </w:p>
        </w:tc>
        <w:tc>
          <w:tcPr>
            <w:tcW w:w="2044" w:type="pct"/>
            <w:vAlign w:val="center"/>
          </w:tcPr>
          <w:p w14:paraId="53A0C475"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20 ampoules</w:t>
            </w:r>
          </w:p>
        </w:tc>
        <w:tc>
          <w:tcPr>
            <w:tcW w:w="1937" w:type="pct"/>
            <w:vAlign w:val="center"/>
          </w:tcPr>
          <w:p w14:paraId="599DA6D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20 ampoules</w:t>
            </w:r>
          </w:p>
        </w:tc>
      </w:tr>
      <w:tr w:rsidR="00F572A3" w:rsidRPr="0049396B" w14:paraId="4E5A43E4" w14:textId="77777777" w:rsidTr="00EB254E">
        <w:tc>
          <w:tcPr>
            <w:tcW w:w="1019" w:type="pct"/>
            <w:vAlign w:val="center"/>
          </w:tcPr>
          <w:p w14:paraId="32B98FEA" w14:textId="23F8ED0B" w:rsidR="00F572A3" w:rsidRPr="0049396B" w:rsidRDefault="00F572A3" w:rsidP="00EB254E">
            <w:pPr>
              <w:jc w:val="left"/>
              <w:rPr>
                <w:rFonts w:ascii="Arial Narrow" w:hAnsi="Arial Narrow"/>
                <w:sz w:val="20"/>
                <w:szCs w:val="20"/>
              </w:rPr>
            </w:pPr>
            <w:r w:rsidRPr="0049396B">
              <w:rPr>
                <w:rFonts w:ascii="Arial Narrow" w:hAnsi="Arial Narrow"/>
                <w:sz w:val="20"/>
                <w:szCs w:val="20"/>
              </w:rPr>
              <w:t>DPMQ (public)</w:t>
            </w:r>
            <w:r w:rsidR="00797349">
              <w:rPr>
                <w:rFonts w:ascii="Arial Narrow" w:hAnsi="Arial Narrow"/>
                <w:sz w:val="20"/>
                <w:szCs w:val="20"/>
              </w:rPr>
              <w:t xml:space="preserve"> ($)</w:t>
            </w:r>
          </w:p>
        </w:tc>
        <w:tc>
          <w:tcPr>
            <w:tcW w:w="2044" w:type="pct"/>
            <w:vAlign w:val="center"/>
          </w:tcPr>
          <w:p w14:paraId="13D2D7EE" w14:textId="56C9D406" w:rsidR="00F572A3" w:rsidRPr="00797349" w:rsidRDefault="0015085A" w:rsidP="00EB254E">
            <w:pPr>
              <w:jc w:val="center"/>
              <w:rPr>
                <w:rFonts w:ascii="Arial Narrow" w:hAnsi="Arial Narrow"/>
                <w:sz w:val="20"/>
                <w:szCs w:val="20"/>
                <w:highlight w:val="darkGray"/>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937" w:type="pct"/>
            <w:vAlign w:val="center"/>
          </w:tcPr>
          <w:p w14:paraId="1AB289B9" w14:textId="0842CD18" w:rsidR="00F572A3" w:rsidRPr="00797349" w:rsidRDefault="0015085A" w:rsidP="00EB254E">
            <w:pPr>
              <w:jc w:val="center"/>
              <w:rPr>
                <w:rFonts w:ascii="Arial Narrow" w:hAnsi="Arial Narrow"/>
                <w:sz w:val="20"/>
                <w:szCs w:val="20"/>
                <w:highlight w:val="darkGray"/>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r>
      <w:tr w:rsidR="00F572A3" w:rsidRPr="0049396B" w14:paraId="2200B63D" w14:textId="77777777" w:rsidTr="00EB254E">
        <w:tc>
          <w:tcPr>
            <w:tcW w:w="1019" w:type="pct"/>
            <w:vAlign w:val="center"/>
          </w:tcPr>
          <w:p w14:paraId="77EB58D1" w14:textId="542D09D8" w:rsidR="00F572A3" w:rsidRPr="0049396B" w:rsidRDefault="00F572A3" w:rsidP="00EB254E">
            <w:pPr>
              <w:jc w:val="left"/>
              <w:rPr>
                <w:rFonts w:ascii="Arial Narrow" w:hAnsi="Arial Narrow"/>
                <w:sz w:val="20"/>
                <w:szCs w:val="20"/>
              </w:rPr>
            </w:pPr>
            <w:r w:rsidRPr="0049396B">
              <w:rPr>
                <w:rFonts w:ascii="Arial Narrow" w:hAnsi="Arial Narrow"/>
                <w:sz w:val="20"/>
                <w:szCs w:val="20"/>
              </w:rPr>
              <w:t>DPMQ (private)</w:t>
            </w:r>
            <w:r w:rsidR="00797349">
              <w:rPr>
                <w:rFonts w:ascii="Arial Narrow" w:hAnsi="Arial Narrow"/>
                <w:sz w:val="20"/>
                <w:szCs w:val="20"/>
              </w:rPr>
              <w:t xml:space="preserve"> ($)</w:t>
            </w:r>
          </w:p>
        </w:tc>
        <w:tc>
          <w:tcPr>
            <w:tcW w:w="2044" w:type="pct"/>
            <w:vAlign w:val="center"/>
          </w:tcPr>
          <w:p w14:paraId="1ABB45B6" w14:textId="3E274186" w:rsidR="00F572A3" w:rsidRPr="00797349" w:rsidRDefault="0015085A" w:rsidP="00EB254E">
            <w:pPr>
              <w:jc w:val="center"/>
              <w:rPr>
                <w:rFonts w:ascii="Arial Narrow" w:hAnsi="Arial Narrow"/>
                <w:sz w:val="20"/>
                <w:szCs w:val="20"/>
                <w:highlight w:val="darkGray"/>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c>
          <w:tcPr>
            <w:tcW w:w="1937" w:type="pct"/>
            <w:vAlign w:val="center"/>
          </w:tcPr>
          <w:p w14:paraId="1D6E0D4B" w14:textId="6C49EA71" w:rsidR="00F572A3" w:rsidRPr="00797349" w:rsidRDefault="0015085A" w:rsidP="00EB254E">
            <w:pPr>
              <w:jc w:val="center"/>
              <w:rPr>
                <w:rFonts w:ascii="Arial Narrow" w:hAnsi="Arial Narrow"/>
                <w:sz w:val="20"/>
                <w:szCs w:val="20"/>
                <w:highlight w:val="darkGray"/>
              </w:rPr>
            </w:pPr>
            <w:r>
              <w:rPr>
                <w:rFonts w:ascii="Arial Narrow" w:hAnsi="Arial Narrow"/>
                <w:sz w:val="20"/>
                <w:szCs w:val="20"/>
              </w:rPr>
              <w:t xml:space="preserve"> </w:t>
            </w:r>
            <w:r w:rsidRPr="0015085A">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105BFA49"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Source: Constructed during the evaluation.</w:t>
      </w:r>
    </w:p>
    <w:p w14:paraId="339D77DF" w14:textId="767D4C8D" w:rsidR="00F572A3" w:rsidRPr="0049396B" w:rsidRDefault="00F572A3" w:rsidP="00F572A3">
      <w:pPr>
        <w:rPr>
          <w:rFonts w:ascii="Arial Narrow" w:hAnsi="Arial Narrow"/>
          <w:sz w:val="18"/>
          <w:szCs w:val="18"/>
        </w:rPr>
      </w:pPr>
      <w:r w:rsidRPr="0049396B">
        <w:rPr>
          <w:rFonts w:ascii="Arial Narrow" w:hAnsi="Arial Narrow"/>
          <w:sz w:val="18"/>
          <w:szCs w:val="18"/>
        </w:rPr>
        <w:t>^</w:t>
      </w:r>
      <w:r w:rsidRPr="0049396B">
        <w:rPr>
          <w:rFonts w:ascii="Arial Narrow" w:hAnsi="Arial Narrow"/>
          <w:sz w:val="18"/>
          <w:szCs w:val="18"/>
        </w:rPr>
        <w:tab/>
        <w:t xml:space="preserve">Using the July 2023 Pricing calculator (v43), the private DPMQ for initial treatment with 2.8 packs and 28 max quantity is </w:t>
      </w:r>
      <w:r w:rsidR="009B4DB9">
        <w:rPr>
          <w:rFonts w:ascii="Arial Narrow" w:hAnsi="Arial Narrow"/>
          <w:sz w:val="18"/>
          <w:szCs w:val="18"/>
        </w:rPr>
        <w:t>$</w:t>
      </w:r>
      <w:r w:rsidR="0015085A" w:rsidRPr="00D94CF5">
        <w:rPr>
          <w:rFonts w:ascii="Arial Narrow" w:hAnsi="Arial Narrow"/>
          <w:color w:val="000000"/>
          <w:spacing w:val="37"/>
          <w:sz w:val="18"/>
          <w:szCs w:val="18"/>
          <w:shd w:val="solid" w:color="000000" w:fill="000000"/>
          <w:fitText w:val="270" w:id="-1032131840"/>
          <w14:textFill>
            <w14:solidFill>
              <w14:srgbClr w14:val="000000">
                <w14:alpha w14:val="100000"/>
              </w14:srgbClr>
            </w14:solidFill>
          </w14:textFill>
        </w:rPr>
        <w:t xml:space="preserve">|  </w:t>
      </w:r>
      <w:r w:rsidR="0015085A" w:rsidRPr="00D94CF5">
        <w:rPr>
          <w:rFonts w:ascii="Arial Narrow" w:hAnsi="Arial Narrow"/>
          <w:color w:val="000000"/>
          <w:spacing w:val="1"/>
          <w:sz w:val="18"/>
          <w:szCs w:val="18"/>
          <w:shd w:val="solid" w:color="000000" w:fill="000000"/>
          <w:fitText w:val="270" w:id="-1032131840"/>
          <w14:textFill>
            <w14:solidFill>
              <w14:srgbClr w14:val="000000">
                <w14:alpha w14:val="100000"/>
              </w14:srgbClr>
            </w14:solidFill>
          </w14:textFill>
        </w:rPr>
        <w:t>|</w:t>
      </w:r>
      <w:r w:rsidRPr="0049396B">
        <w:rPr>
          <w:rFonts w:ascii="Arial Narrow" w:hAnsi="Arial Narrow"/>
          <w:sz w:val="18"/>
          <w:szCs w:val="18"/>
        </w:rPr>
        <w:t>.</w:t>
      </w:r>
    </w:p>
    <w:p w14:paraId="3B0C6613" w14:textId="77777777" w:rsidR="00F572A3" w:rsidRPr="0049396B" w:rsidRDefault="00F572A3" w:rsidP="00F572A3">
      <w:pPr>
        <w:spacing w:after="120"/>
        <w:rPr>
          <w:rFonts w:ascii="Arial Narrow" w:hAnsi="Arial Narrow"/>
          <w:sz w:val="18"/>
          <w:szCs w:val="18"/>
        </w:rPr>
      </w:pPr>
      <w:r w:rsidRPr="0049396B">
        <w:rPr>
          <w:rFonts w:ascii="Arial Narrow" w:hAnsi="Arial Narrow"/>
          <w:sz w:val="18"/>
          <w:szCs w:val="18"/>
        </w:rPr>
        <w:t>AEMP=approved ex-manufacturer price; DPMQ=Dispensed price for maximum quantity;</w:t>
      </w:r>
    </w:p>
    <w:p w14:paraId="65B4CC5A" w14:textId="412456DC" w:rsidR="00F572A3" w:rsidRPr="0049396B" w:rsidRDefault="00F572A3" w:rsidP="00F572A3">
      <w:pPr>
        <w:pStyle w:val="ExecSumBodyText"/>
        <w:numPr>
          <w:ilvl w:val="1"/>
          <w:numId w:val="1"/>
        </w:numPr>
        <w:rPr>
          <w:iCs/>
        </w:rPr>
      </w:pPr>
      <w:r w:rsidRPr="0049396B">
        <w:rPr>
          <w:iCs/>
        </w:rPr>
        <w:t xml:space="preserve">The requested </w:t>
      </w:r>
      <w:r w:rsidR="00833DB7" w:rsidRPr="0049396B">
        <w:rPr>
          <w:iCs/>
        </w:rPr>
        <w:t>clinical criteria restricts edaravone</w:t>
      </w:r>
      <w:r w:rsidRPr="0049396B">
        <w:rPr>
          <w:iCs/>
        </w:rPr>
        <w:t xml:space="preserve"> to patients with earlier/less progressed disease compared to the current restriction for </w:t>
      </w:r>
      <w:proofErr w:type="spellStart"/>
      <w:r w:rsidRPr="0049396B">
        <w:rPr>
          <w:iCs/>
        </w:rPr>
        <w:t>riluzole</w:t>
      </w:r>
      <w:proofErr w:type="spellEnd"/>
      <w:r w:rsidRPr="0049396B">
        <w:rPr>
          <w:iCs/>
        </w:rPr>
        <w:t xml:space="preserve">. </w:t>
      </w:r>
      <w:r w:rsidR="00133B7D" w:rsidRPr="0049396B">
        <w:rPr>
          <w:iCs/>
        </w:rPr>
        <w:t xml:space="preserve">The </w:t>
      </w:r>
      <w:r w:rsidR="00797349">
        <w:rPr>
          <w:iCs/>
        </w:rPr>
        <w:t>p</w:t>
      </w:r>
      <w:r w:rsidR="00133B7D" w:rsidRPr="0049396B">
        <w:rPr>
          <w:iCs/>
        </w:rPr>
        <w:t>re-PBAC response noted that the clinical trial evidence shows that edaravone is effective where ALS patients are recently diagnosed and their functioning has not yet deteriorated. The PBAC considered that targeting treatment to the population most likely to benefit was important</w:t>
      </w:r>
      <w:r w:rsidR="00E37283" w:rsidRPr="0049396B">
        <w:rPr>
          <w:iCs/>
        </w:rPr>
        <w:t>, especially</w:t>
      </w:r>
      <w:r w:rsidR="00133B7D" w:rsidRPr="0049396B">
        <w:rPr>
          <w:iCs/>
        </w:rPr>
        <w:t xml:space="preserve"> given the high treatment burden associated with </w:t>
      </w:r>
      <w:r w:rsidR="00FC37F4" w:rsidRPr="0049396B">
        <w:rPr>
          <w:iCs/>
        </w:rPr>
        <w:t xml:space="preserve">frequent IV infusion of edaravone. </w:t>
      </w:r>
      <w:r w:rsidRPr="0049396B">
        <w:rPr>
          <w:iCs/>
        </w:rPr>
        <w:t xml:space="preserve">Key differences between the proposed restriction criteria for edaravone and current restriction criteria for </w:t>
      </w:r>
      <w:proofErr w:type="spellStart"/>
      <w:r w:rsidRPr="0049396B">
        <w:rPr>
          <w:iCs/>
        </w:rPr>
        <w:t>riluzole</w:t>
      </w:r>
      <w:proofErr w:type="spellEnd"/>
      <w:r w:rsidRPr="0049396B">
        <w:rPr>
          <w:iCs/>
        </w:rPr>
        <w:t xml:space="preserve"> include the following: </w:t>
      </w:r>
    </w:p>
    <w:p w14:paraId="641096A6" w14:textId="4C826A54" w:rsidR="00F572A3" w:rsidRPr="0049396B" w:rsidRDefault="00F572A3" w:rsidP="000D2EDC">
      <w:pPr>
        <w:pStyle w:val="TableFigureHeading"/>
        <w:keepNext w:val="0"/>
        <w:numPr>
          <w:ilvl w:val="0"/>
          <w:numId w:val="9"/>
        </w:numPr>
        <w:spacing w:after="120"/>
        <w:jc w:val="both"/>
        <w:rPr>
          <w:rFonts w:asciiTheme="minorHAnsi" w:eastAsia="Times New Roman" w:hAnsiTheme="minorHAnsi" w:cs="Arial"/>
          <w:b w:val="0"/>
          <w:bCs w:val="0"/>
          <w:iCs/>
          <w:snapToGrid w:val="0"/>
          <w:sz w:val="24"/>
        </w:rPr>
      </w:pPr>
      <w:r w:rsidRPr="0049396B">
        <w:rPr>
          <w:rFonts w:asciiTheme="minorHAnsi" w:eastAsia="Times New Roman" w:hAnsiTheme="minorHAnsi" w:cs="Arial"/>
          <w:b w:val="0"/>
          <w:bCs w:val="0"/>
          <w:iCs/>
          <w:snapToGrid w:val="0"/>
          <w:sz w:val="24"/>
        </w:rPr>
        <w:t>Onset of disease: ≤</w:t>
      </w:r>
      <w:r w:rsidR="009B4DB9">
        <w:rPr>
          <w:rFonts w:asciiTheme="minorHAnsi" w:eastAsia="Times New Roman" w:hAnsiTheme="minorHAnsi" w:cs="Arial"/>
          <w:b w:val="0"/>
          <w:bCs w:val="0"/>
          <w:iCs/>
          <w:snapToGrid w:val="0"/>
          <w:sz w:val="24"/>
        </w:rPr>
        <w:t> </w:t>
      </w:r>
      <w:r w:rsidRPr="0049396B">
        <w:rPr>
          <w:rFonts w:asciiTheme="minorHAnsi" w:eastAsia="Times New Roman" w:hAnsiTheme="minorHAnsi" w:cs="Arial"/>
          <w:b w:val="0"/>
          <w:bCs w:val="0"/>
          <w:iCs/>
          <w:snapToGrid w:val="0"/>
          <w:sz w:val="24"/>
        </w:rPr>
        <w:t>2 years for edaravone; ≤</w:t>
      </w:r>
      <w:r w:rsidR="009B4DB9">
        <w:rPr>
          <w:rFonts w:asciiTheme="minorHAnsi" w:eastAsia="Times New Roman" w:hAnsiTheme="minorHAnsi" w:cs="Arial"/>
          <w:b w:val="0"/>
          <w:bCs w:val="0"/>
          <w:iCs/>
          <w:snapToGrid w:val="0"/>
          <w:sz w:val="24"/>
        </w:rPr>
        <w:t> </w:t>
      </w:r>
      <w:r w:rsidRPr="0049396B">
        <w:rPr>
          <w:rFonts w:asciiTheme="minorHAnsi" w:eastAsia="Times New Roman" w:hAnsiTheme="minorHAnsi" w:cs="Arial"/>
          <w:b w:val="0"/>
          <w:bCs w:val="0"/>
          <w:iCs/>
          <w:snapToGrid w:val="0"/>
          <w:sz w:val="24"/>
        </w:rPr>
        <w:t xml:space="preserve">5 years for </w:t>
      </w:r>
      <w:proofErr w:type="spellStart"/>
      <w:r w:rsidRPr="0049396B">
        <w:rPr>
          <w:rFonts w:asciiTheme="minorHAnsi" w:eastAsia="Times New Roman" w:hAnsiTheme="minorHAnsi" w:cs="Arial"/>
          <w:b w:val="0"/>
          <w:bCs w:val="0"/>
          <w:iCs/>
          <w:snapToGrid w:val="0"/>
          <w:sz w:val="24"/>
        </w:rPr>
        <w:t>riluzole</w:t>
      </w:r>
      <w:proofErr w:type="spellEnd"/>
      <w:r w:rsidRPr="0049396B">
        <w:rPr>
          <w:rFonts w:asciiTheme="minorHAnsi" w:eastAsia="Times New Roman" w:hAnsiTheme="minorHAnsi" w:cs="Arial"/>
          <w:b w:val="0"/>
          <w:bCs w:val="0"/>
          <w:iCs/>
          <w:snapToGrid w:val="0"/>
          <w:sz w:val="24"/>
        </w:rPr>
        <w:t>.</w:t>
      </w:r>
    </w:p>
    <w:p w14:paraId="6B70451B" w14:textId="18834CDA" w:rsidR="00F572A3" w:rsidRPr="0049396B" w:rsidRDefault="00F572A3" w:rsidP="000D2EDC">
      <w:pPr>
        <w:pStyle w:val="TableFigureHeading"/>
        <w:keepNext w:val="0"/>
        <w:numPr>
          <w:ilvl w:val="0"/>
          <w:numId w:val="9"/>
        </w:numPr>
        <w:spacing w:after="120"/>
        <w:jc w:val="both"/>
        <w:rPr>
          <w:rFonts w:asciiTheme="minorHAnsi" w:eastAsia="Times New Roman" w:hAnsiTheme="minorHAnsi" w:cs="Arial"/>
          <w:b w:val="0"/>
          <w:bCs w:val="0"/>
          <w:iCs/>
          <w:snapToGrid w:val="0"/>
          <w:sz w:val="24"/>
        </w:rPr>
      </w:pPr>
      <w:r w:rsidRPr="0049396B">
        <w:rPr>
          <w:rFonts w:asciiTheme="minorHAnsi" w:eastAsia="Times New Roman" w:hAnsiTheme="minorHAnsi" w:cs="Arial"/>
          <w:b w:val="0"/>
          <w:bCs w:val="0"/>
          <w:iCs/>
          <w:snapToGrid w:val="0"/>
          <w:sz w:val="24"/>
        </w:rPr>
        <w:t>% forced vital capacity (FVC): ≥</w:t>
      </w:r>
      <w:r w:rsidR="009B4DB9">
        <w:rPr>
          <w:rFonts w:asciiTheme="minorHAnsi" w:eastAsia="Times New Roman" w:hAnsiTheme="minorHAnsi" w:cs="Arial"/>
          <w:b w:val="0"/>
          <w:bCs w:val="0"/>
          <w:iCs/>
          <w:snapToGrid w:val="0"/>
          <w:sz w:val="24"/>
        </w:rPr>
        <w:t> </w:t>
      </w:r>
      <w:r w:rsidRPr="0049396B">
        <w:rPr>
          <w:rFonts w:asciiTheme="minorHAnsi" w:eastAsia="Times New Roman" w:hAnsiTheme="minorHAnsi" w:cs="Arial"/>
          <w:b w:val="0"/>
          <w:bCs w:val="0"/>
          <w:iCs/>
          <w:snapToGrid w:val="0"/>
          <w:sz w:val="24"/>
        </w:rPr>
        <w:t>80%</w:t>
      </w:r>
      <w:r w:rsidRPr="0049396B" w:rsidDel="00624040">
        <w:rPr>
          <w:rFonts w:asciiTheme="minorHAnsi" w:eastAsia="Times New Roman" w:hAnsiTheme="minorHAnsi" w:cs="Arial"/>
          <w:b w:val="0"/>
          <w:bCs w:val="0"/>
          <w:iCs/>
          <w:snapToGrid w:val="0"/>
          <w:sz w:val="24"/>
        </w:rPr>
        <w:t xml:space="preserve"> </w:t>
      </w:r>
      <w:r w:rsidRPr="0049396B">
        <w:rPr>
          <w:rFonts w:asciiTheme="minorHAnsi" w:eastAsia="Times New Roman" w:hAnsiTheme="minorHAnsi" w:cs="Arial"/>
          <w:b w:val="0"/>
          <w:bCs w:val="0"/>
          <w:iCs/>
          <w:snapToGrid w:val="0"/>
          <w:sz w:val="24"/>
        </w:rPr>
        <w:t>for edaravone; ≥</w:t>
      </w:r>
      <w:r w:rsidR="009B4DB9">
        <w:rPr>
          <w:rFonts w:asciiTheme="minorHAnsi" w:eastAsia="Times New Roman" w:hAnsiTheme="minorHAnsi" w:cs="Arial"/>
          <w:b w:val="0"/>
          <w:bCs w:val="0"/>
          <w:iCs/>
          <w:snapToGrid w:val="0"/>
          <w:sz w:val="24"/>
        </w:rPr>
        <w:t> </w:t>
      </w:r>
      <w:r w:rsidRPr="0049396B">
        <w:rPr>
          <w:rFonts w:asciiTheme="minorHAnsi" w:eastAsia="Times New Roman" w:hAnsiTheme="minorHAnsi" w:cs="Arial"/>
          <w:b w:val="0"/>
          <w:bCs w:val="0"/>
          <w:iCs/>
          <w:snapToGrid w:val="0"/>
          <w:sz w:val="24"/>
        </w:rPr>
        <w:t xml:space="preserve">60% for </w:t>
      </w:r>
      <w:proofErr w:type="spellStart"/>
      <w:r w:rsidRPr="0049396B">
        <w:rPr>
          <w:rFonts w:asciiTheme="minorHAnsi" w:eastAsia="Times New Roman" w:hAnsiTheme="minorHAnsi" w:cs="Arial"/>
          <w:b w:val="0"/>
          <w:bCs w:val="0"/>
          <w:iCs/>
          <w:snapToGrid w:val="0"/>
          <w:sz w:val="24"/>
        </w:rPr>
        <w:t>riluzole</w:t>
      </w:r>
      <w:proofErr w:type="spellEnd"/>
      <w:r w:rsidRPr="0049396B">
        <w:rPr>
          <w:rFonts w:asciiTheme="minorHAnsi" w:eastAsia="Times New Roman" w:hAnsiTheme="minorHAnsi" w:cs="Arial"/>
          <w:b w:val="0"/>
          <w:bCs w:val="0"/>
          <w:iCs/>
          <w:snapToGrid w:val="0"/>
          <w:sz w:val="24"/>
        </w:rPr>
        <w:t>.</w:t>
      </w:r>
    </w:p>
    <w:p w14:paraId="4D17FEBD" w14:textId="2089FAA8" w:rsidR="00F572A3" w:rsidRPr="0049396B" w:rsidRDefault="00F572A3" w:rsidP="000D2EDC">
      <w:pPr>
        <w:pStyle w:val="TableFigureHeading"/>
        <w:keepNext w:val="0"/>
        <w:numPr>
          <w:ilvl w:val="0"/>
          <w:numId w:val="9"/>
        </w:numPr>
        <w:spacing w:after="120"/>
        <w:jc w:val="both"/>
        <w:rPr>
          <w:rFonts w:asciiTheme="minorHAnsi" w:eastAsia="Times New Roman" w:hAnsiTheme="minorHAnsi" w:cs="Arial"/>
          <w:b w:val="0"/>
          <w:bCs w:val="0"/>
          <w:iCs/>
          <w:snapToGrid w:val="0"/>
          <w:sz w:val="24"/>
        </w:rPr>
      </w:pPr>
      <w:r w:rsidRPr="0049396B">
        <w:rPr>
          <w:rFonts w:asciiTheme="minorHAnsi" w:eastAsia="Times New Roman" w:hAnsiTheme="minorHAnsi" w:cs="Arial"/>
          <w:b w:val="0"/>
          <w:bCs w:val="0"/>
          <w:iCs/>
          <w:snapToGrid w:val="0"/>
          <w:sz w:val="24"/>
        </w:rPr>
        <w:t>% slow vital capacity (SVC): ≥</w:t>
      </w:r>
      <w:r w:rsidR="009B4DB9">
        <w:rPr>
          <w:rFonts w:asciiTheme="minorHAnsi" w:eastAsia="Times New Roman" w:hAnsiTheme="minorHAnsi" w:cs="Arial"/>
          <w:b w:val="0"/>
          <w:bCs w:val="0"/>
          <w:iCs/>
          <w:snapToGrid w:val="0"/>
          <w:sz w:val="24"/>
        </w:rPr>
        <w:t> </w:t>
      </w:r>
      <w:r w:rsidRPr="0049396B">
        <w:rPr>
          <w:rFonts w:asciiTheme="minorHAnsi" w:eastAsia="Times New Roman" w:hAnsiTheme="minorHAnsi" w:cs="Arial"/>
          <w:b w:val="0"/>
          <w:bCs w:val="0"/>
          <w:iCs/>
          <w:snapToGrid w:val="0"/>
          <w:sz w:val="24"/>
        </w:rPr>
        <w:t>80%</w:t>
      </w:r>
      <w:r w:rsidRPr="0049396B" w:rsidDel="00624040">
        <w:rPr>
          <w:rFonts w:asciiTheme="minorHAnsi" w:eastAsia="Times New Roman" w:hAnsiTheme="minorHAnsi" w:cs="Arial"/>
          <w:b w:val="0"/>
          <w:bCs w:val="0"/>
          <w:iCs/>
          <w:snapToGrid w:val="0"/>
          <w:sz w:val="24"/>
        </w:rPr>
        <w:t xml:space="preserve"> </w:t>
      </w:r>
      <w:r w:rsidRPr="0049396B">
        <w:rPr>
          <w:rFonts w:asciiTheme="minorHAnsi" w:eastAsia="Times New Roman" w:hAnsiTheme="minorHAnsi" w:cs="Arial"/>
          <w:b w:val="0"/>
          <w:bCs w:val="0"/>
          <w:iCs/>
          <w:snapToGrid w:val="0"/>
          <w:sz w:val="24"/>
        </w:rPr>
        <w:t xml:space="preserve">for edaravone; not stated for </w:t>
      </w:r>
      <w:proofErr w:type="spellStart"/>
      <w:r w:rsidRPr="0049396B">
        <w:rPr>
          <w:rFonts w:asciiTheme="minorHAnsi" w:eastAsia="Times New Roman" w:hAnsiTheme="minorHAnsi" w:cs="Arial"/>
          <w:b w:val="0"/>
          <w:bCs w:val="0"/>
          <w:iCs/>
          <w:snapToGrid w:val="0"/>
          <w:sz w:val="24"/>
        </w:rPr>
        <w:t>riluzole</w:t>
      </w:r>
      <w:proofErr w:type="spellEnd"/>
      <w:r w:rsidRPr="0049396B">
        <w:rPr>
          <w:rFonts w:asciiTheme="minorHAnsi" w:eastAsia="Times New Roman" w:hAnsiTheme="minorHAnsi" w:cs="Arial"/>
          <w:b w:val="0"/>
          <w:bCs w:val="0"/>
          <w:iCs/>
          <w:snapToGrid w:val="0"/>
          <w:sz w:val="24"/>
        </w:rPr>
        <w:t>. The submission stated that, for patients with bulbar involvement, FVC cannot always be measure</w:t>
      </w:r>
      <w:r w:rsidR="00B90BCC" w:rsidRPr="0049396B">
        <w:rPr>
          <w:rFonts w:asciiTheme="minorHAnsi" w:eastAsia="Times New Roman" w:hAnsiTheme="minorHAnsi" w:cs="Arial"/>
          <w:b w:val="0"/>
          <w:bCs w:val="0"/>
          <w:iCs/>
          <w:snapToGrid w:val="0"/>
          <w:sz w:val="24"/>
        </w:rPr>
        <w:t>d</w:t>
      </w:r>
      <w:r w:rsidRPr="0049396B">
        <w:rPr>
          <w:rFonts w:asciiTheme="minorHAnsi" w:eastAsia="Times New Roman" w:hAnsiTheme="minorHAnsi" w:cs="Arial"/>
          <w:b w:val="0"/>
          <w:bCs w:val="0"/>
          <w:iCs/>
          <w:snapToGrid w:val="0"/>
          <w:sz w:val="24"/>
        </w:rPr>
        <w:t xml:space="preserve"> but SVC would be similar.</w:t>
      </w:r>
    </w:p>
    <w:p w14:paraId="2C948216" w14:textId="77777777" w:rsidR="00F572A3" w:rsidRPr="0049396B" w:rsidRDefault="00F572A3" w:rsidP="000D2EDC">
      <w:pPr>
        <w:pStyle w:val="TableFigureHeading"/>
        <w:keepNext w:val="0"/>
        <w:numPr>
          <w:ilvl w:val="0"/>
          <w:numId w:val="9"/>
        </w:numPr>
        <w:spacing w:after="120"/>
        <w:ind w:left="1037" w:hanging="357"/>
        <w:jc w:val="both"/>
        <w:rPr>
          <w:rFonts w:asciiTheme="minorHAnsi" w:eastAsia="Times New Roman" w:hAnsiTheme="minorHAnsi" w:cs="Arial"/>
          <w:b w:val="0"/>
          <w:bCs w:val="0"/>
          <w:iCs/>
          <w:snapToGrid w:val="0"/>
          <w:sz w:val="24"/>
        </w:rPr>
      </w:pPr>
      <w:r w:rsidRPr="0049396B">
        <w:rPr>
          <w:rFonts w:asciiTheme="minorHAnsi" w:eastAsia="Times New Roman" w:hAnsiTheme="minorHAnsi" w:cs="Arial"/>
          <w:b w:val="0"/>
          <w:bCs w:val="0"/>
          <w:iCs/>
          <w:snapToGrid w:val="0"/>
          <w:sz w:val="24"/>
        </w:rPr>
        <w:t xml:space="preserve">Function: if a patient is not ambulatory, they must be able to ‘use upper limbs’ for edaravone or ‘either use upper limbs or can swallow’ for </w:t>
      </w:r>
      <w:proofErr w:type="spellStart"/>
      <w:r w:rsidRPr="0049396B">
        <w:rPr>
          <w:rFonts w:asciiTheme="minorHAnsi" w:eastAsia="Times New Roman" w:hAnsiTheme="minorHAnsi" w:cs="Arial"/>
          <w:b w:val="0"/>
          <w:bCs w:val="0"/>
          <w:iCs/>
          <w:snapToGrid w:val="0"/>
          <w:sz w:val="24"/>
        </w:rPr>
        <w:t>riluzole</w:t>
      </w:r>
      <w:proofErr w:type="spellEnd"/>
      <w:r w:rsidRPr="0049396B">
        <w:rPr>
          <w:rFonts w:asciiTheme="minorHAnsi" w:eastAsia="Times New Roman" w:hAnsiTheme="minorHAnsi" w:cs="Arial"/>
          <w:b w:val="0"/>
          <w:bCs w:val="0"/>
          <w:iCs/>
          <w:snapToGrid w:val="0"/>
          <w:sz w:val="24"/>
        </w:rPr>
        <w:t>.</w:t>
      </w:r>
    </w:p>
    <w:p w14:paraId="3C575314" w14:textId="04125AFE" w:rsidR="009C5532" w:rsidRPr="0049396B" w:rsidRDefault="009C5532" w:rsidP="0051699C">
      <w:pPr>
        <w:pStyle w:val="3-BodyText"/>
        <w:rPr>
          <w:iCs/>
        </w:rPr>
      </w:pPr>
      <w:bookmarkStart w:id="18" w:name="_Ref151723188"/>
      <w:bookmarkStart w:id="19" w:name="_Ref148346175"/>
      <w:bookmarkStart w:id="20" w:name="_Hlk144476022"/>
      <w:r w:rsidRPr="0049396B">
        <w:rPr>
          <w:iCs/>
        </w:rPr>
        <w:t xml:space="preserve">The PBAC noted that Study 19 enrolled patients with symptoms for 2 years or less. The PBAC noted that the proposed restriction was for patients who have had the disease (ALS) for less than 2 years and </w:t>
      </w:r>
      <w:r w:rsidR="00995D2F" w:rsidRPr="0049396B">
        <w:rPr>
          <w:iCs/>
        </w:rPr>
        <w:t xml:space="preserve">the PBAC </w:t>
      </w:r>
      <w:r w:rsidRPr="0049396B">
        <w:rPr>
          <w:iCs/>
        </w:rPr>
        <w:t>considered that the wording of the restriction should be aligned with the Study 19 criteria, noting also that there can be a substantial delay between symptomatic onset and diagnosis of ALS.</w:t>
      </w:r>
      <w:bookmarkEnd w:id="18"/>
      <w:r w:rsidRPr="0049396B">
        <w:rPr>
          <w:iCs/>
        </w:rPr>
        <w:t xml:space="preserve"> </w:t>
      </w:r>
    </w:p>
    <w:p w14:paraId="3DEA48A9" w14:textId="11765453" w:rsidR="00995D2F" w:rsidRPr="0049396B" w:rsidRDefault="0051699C" w:rsidP="0051699C">
      <w:pPr>
        <w:pStyle w:val="3-BodyText"/>
        <w:rPr>
          <w:iCs/>
        </w:rPr>
      </w:pPr>
      <w:r w:rsidRPr="0049396B">
        <w:rPr>
          <w:iCs/>
        </w:rPr>
        <w:t xml:space="preserve">The proposed PBS population is likely broader than the key edaravone trial population owing to the proposed criteria permitting use in </w:t>
      </w:r>
      <w:r w:rsidR="00614A56" w:rsidRPr="0049396B">
        <w:rPr>
          <w:iCs/>
        </w:rPr>
        <w:t xml:space="preserve">patients who are </w:t>
      </w:r>
      <w:r w:rsidRPr="0049396B">
        <w:rPr>
          <w:iCs/>
        </w:rPr>
        <w:t xml:space="preserve">non-ambulatory </w:t>
      </w:r>
      <w:r w:rsidR="00614A56" w:rsidRPr="0049396B">
        <w:rPr>
          <w:iCs/>
        </w:rPr>
        <w:t>and able to use upper limbs</w:t>
      </w:r>
      <w:r w:rsidRPr="0049396B">
        <w:rPr>
          <w:iCs/>
        </w:rPr>
        <w:t>. In the trial evidence, the population was restricted to patients with Grade 1 (‘able to work or perform housework’) or Grade 2 (‘independent living but unable to work’) on the Japanese ALS severity classification scale</w:t>
      </w:r>
      <w:r w:rsidR="00995D2F" w:rsidRPr="0049396B">
        <w:rPr>
          <w:iCs/>
        </w:rPr>
        <w:t xml:space="preserve">. The </w:t>
      </w:r>
      <w:r w:rsidR="00F25574">
        <w:rPr>
          <w:iCs/>
        </w:rPr>
        <w:t>p</w:t>
      </w:r>
      <w:r w:rsidR="00995D2F" w:rsidRPr="0049396B">
        <w:rPr>
          <w:iCs/>
        </w:rPr>
        <w:t xml:space="preserve">re-PBAC response suggested that the Japanese ALS severity classification scale could be used as an alternative to the submission’s proposed criteria. The PBAC considered that the clinical criterion “Patient </w:t>
      </w:r>
      <w:r w:rsidR="000F2160" w:rsidRPr="0049396B">
        <w:rPr>
          <w:iCs/>
        </w:rPr>
        <w:t xml:space="preserve">must </w:t>
      </w:r>
      <w:r w:rsidR="00995D2F" w:rsidRPr="0049396B">
        <w:rPr>
          <w:iCs/>
        </w:rPr>
        <w:t>not require assistance for eating or ambulation” would appropriately reflect the trial criteria.</w:t>
      </w:r>
    </w:p>
    <w:p w14:paraId="0FFDEE7E" w14:textId="7FFAD26C" w:rsidR="005A0FA2" w:rsidRPr="0049396B" w:rsidRDefault="00995D2F" w:rsidP="0051699C">
      <w:pPr>
        <w:pStyle w:val="3-BodyText"/>
        <w:rPr>
          <w:iCs/>
        </w:rPr>
      </w:pPr>
      <w:bookmarkStart w:id="21" w:name="_Ref151723191"/>
      <w:r w:rsidRPr="0049396B">
        <w:rPr>
          <w:iCs/>
        </w:rPr>
        <w:t>In addition, the PBAC noted that the key trial population were required to</w:t>
      </w:r>
      <w:r w:rsidR="005A0FA2" w:rsidRPr="0049396B">
        <w:rPr>
          <w:iCs/>
        </w:rPr>
        <w:t xml:space="preserve"> </w:t>
      </w:r>
      <w:r w:rsidR="0051699C" w:rsidRPr="0049396B">
        <w:rPr>
          <w:iCs/>
        </w:rPr>
        <w:t>have an Amyotrophic Lateral Sclerosis Functional Rating Scale</w:t>
      </w:r>
      <w:r w:rsidRPr="0049396B">
        <w:rPr>
          <w:iCs/>
        </w:rPr>
        <w:t>-</w:t>
      </w:r>
      <w:r w:rsidR="0051699C" w:rsidRPr="0049396B">
        <w:rPr>
          <w:iCs/>
        </w:rPr>
        <w:t>Revised (ALSFRS-R) score ≥</w:t>
      </w:r>
      <w:r w:rsidR="009B4DB9">
        <w:rPr>
          <w:iCs/>
        </w:rPr>
        <w:t> </w:t>
      </w:r>
      <w:r w:rsidR="0051699C" w:rsidRPr="0049396B">
        <w:rPr>
          <w:iCs/>
        </w:rPr>
        <w:t xml:space="preserve">2 on all individual items (i.e. on the walking item this means normal walking to walk with </w:t>
      </w:r>
      <w:r w:rsidR="0051699C" w:rsidRPr="0049396B">
        <w:rPr>
          <w:iCs/>
        </w:rPr>
        <w:lastRenderedPageBreak/>
        <w:t xml:space="preserve">assistance). </w:t>
      </w:r>
      <w:r w:rsidR="009C5532" w:rsidRPr="0049396B">
        <w:rPr>
          <w:iCs/>
        </w:rPr>
        <w:t>E</w:t>
      </w:r>
      <w:r w:rsidR="0051699C" w:rsidRPr="0049396B">
        <w:rPr>
          <w:iCs/>
        </w:rPr>
        <w:t xml:space="preserve">xpert advice presented in the submission </w:t>
      </w:r>
      <w:r w:rsidRPr="0049396B">
        <w:rPr>
          <w:iCs/>
        </w:rPr>
        <w:t xml:space="preserve">and the sponsor hearing </w:t>
      </w:r>
      <w:r w:rsidR="0051699C" w:rsidRPr="0049396B">
        <w:rPr>
          <w:iCs/>
        </w:rPr>
        <w:t xml:space="preserve">indicated that ALSFRS-R is routinely used in practice to assess the effect of treatment on </w:t>
      </w:r>
      <w:r w:rsidRPr="0049396B">
        <w:rPr>
          <w:iCs/>
        </w:rPr>
        <w:t xml:space="preserve">the </w:t>
      </w:r>
      <w:r w:rsidR="0051699C" w:rsidRPr="0049396B">
        <w:rPr>
          <w:iCs/>
        </w:rPr>
        <w:t>patient’s function.</w:t>
      </w:r>
      <w:bookmarkEnd w:id="19"/>
      <w:r w:rsidR="0051699C" w:rsidRPr="0049396B">
        <w:rPr>
          <w:iCs/>
        </w:rPr>
        <w:t xml:space="preserve"> </w:t>
      </w:r>
      <w:r w:rsidR="005773A0" w:rsidRPr="0049396B">
        <w:rPr>
          <w:iCs/>
        </w:rPr>
        <w:t xml:space="preserve">The </w:t>
      </w:r>
      <w:r w:rsidR="00F25574">
        <w:rPr>
          <w:iCs/>
        </w:rPr>
        <w:t>p</w:t>
      </w:r>
      <w:r w:rsidR="005773A0" w:rsidRPr="0049396B">
        <w:rPr>
          <w:iCs/>
        </w:rPr>
        <w:t>re-PBAC response suggested that the criterion “Patient must have at least 2 points</w:t>
      </w:r>
      <w:r w:rsidR="001C0B90" w:rsidRPr="0049396B">
        <w:rPr>
          <w:iCs/>
        </w:rPr>
        <w:t xml:space="preserve"> on each item of the ALSFRS-R” could be added to the restriction. The</w:t>
      </w:r>
      <w:r w:rsidR="005773A0" w:rsidRPr="0049396B">
        <w:rPr>
          <w:iCs/>
        </w:rPr>
        <w:t xml:space="preserve"> PBAC consider</w:t>
      </w:r>
      <w:r w:rsidR="001C0B90" w:rsidRPr="0049396B">
        <w:rPr>
          <w:iCs/>
        </w:rPr>
        <w:t>ed this was appropriate, to align with the population in Study 19, where a clinical benefit for edaravone was demonstrated.</w:t>
      </w:r>
      <w:bookmarkEnd w:id="21"/>
      <w:r w:rsidR="00AB3894" w:rsidRPr="0049396B">
        <w:rPr>
          <w:iCs/>
        </w:rPr>
        <w:t xml:space="preserve"> </w:t>
      </w:r>
    </w:p>
    <w:p w14:paraId="0E7C30F2" w14:textId="0C5CE04E" w:rsidR="0051699C" w:rsidRPr="0049396B" w:rsidRDefault="0051699C" w:rsidP="0051699C">
      <w:pPr>
        <w:pStyle w:val="3-BodyText"/>
        <w:rPr>
          <w:iCs/>
        </w:rPr>
      </w:pPr>
      <w:bookmarkStart w:id="22" w:name="_Ref148346117"/>
      <w:r w:rsidRPr="0049396B">
        <w:rPr>
          <w:iCs/>
        </w:rPr>
        <w:t>The requested restriction does not specify the diagnostic criteria of ALS. Use of the more recent Gold Coast diagnostic criteria in practice would likely include patients with ‘probable laboratory supported’ and ‘possible’ ALS under the older El Escorial revised diagnostic criteria, who were excluded from the clinical trials.</w:t>
      </w:r>
      <w:r w:rsidR="005A0FA2" w:rsidRPr="0049396B">
        <w:rPr>
          <w:iCs/>
        </w:rPr>
        <w:t xml:space="preserve"> </w:t>
      </w:r>
      <w:r w:rsidR="005E243A" w:rsidRPr="0049396B">
        <w:rPr>
          <w:iCs/>
        </w:rPr>
        <w:t>The</w:t>
      </w:r>
      <w:r w:rsidR="00797349">
        <w:rPr>
          <w:iCs/>
        </w:rPr>
        <w:t xml:space="preserve"> Pre-Sub-Committee Response (</w:t>
      </w:r>
      <w:r w:rsidR="005E243A" w:rsidRPr="0049396B">
        <w:rPr>
          <w:iCs/>
        </w:rPr>
        <w:t>PSCR</w:t>
      </w:r>
      <w:r w:rsidR="00797349">
        <w:rPr>
          <w:iCs/>
        </w:rPr>
        <w:t>)</w:t>
      </w:r>
      <w:r w:rsidR="005E243A" w:rsidRPr="0049396B">
        <w:rPr>
          <w:iCs/>
        </w:rPr>
        <w:t xml:space="preserve"> provided expert clinical opinion stating that patients across the various diagnostic criteria are not clinically different and the intention of the revised criteria is to make the diagnosis more certain, with the hope that patients can access treatment earlier. </w:t>
      </w:r>
      <w:r w:rsidR="007B081D" w:rsidRPr="0049396B">
        <w:rPr>
          <w:iCs/>
        </w:rPr>
        <w:t xml:space="preserve">The clinical expert </w:t>
      </w:r>
      <w:r w:rsidR="00746053" w:rsidRPr="0049396B">
        <w:rPr>
          <w:iCs/>
        </w:rPr>
        <w:t>suggested</w:t>
      </w:r>
      <w:r w:rsidR="007B081D" w:rsidRPr="0049396B">
        <w:rPr>
          <w:iCs/>
        </w:rPr>
        <w:t xml:space="preserve"> that it was not appropriate to continue to use historically outdated terms and approaches as a means to restrict diagnosis of ALS and access to treatment. </w:t>
      </w:r>
      <w:r w:rsidR="005A0FA2" w:rsidRPr="0049396B">
        <w:rPr>
          <w:iCs/>
        </w:rPr>
        <w:t xml:space="preserve">The </w:t>
      </w:r>
      <w:r w:rsidR="00F25574">
        <w:rPr>
          <w:iCs/>
        </w:rPr>
        <w:t>Economic Sub-Committee (</w:t>
      </w:r>
      <w:r w:rsidR="005A0FA2" w:rsidRPr="0049396B">
        <w:rPr>
          <w:iCs/>
        </w:rPr>
        <w:t>ESC</w:t>
      </w:r>
      <w:r w:rsidR="00F25574">
        <w:rPr>
          <w:iCs/>
        </w:rPr>
        <w:t>)</w:t>
      </w:r>
      <w:r w:rsidR="005A0FA2" w:rsidRPr="0049396B">
        <w:rPr>
          <w:iCs/>
        </w:rPr>
        <w:t xml:space="preserve"> noted that the Gold Coast criteria is very different to previous diagnostic criteria. While it has improved sensitivity to diagnose patients earlier in disease, it also has reduced </w:t>
      </w:r>
      <w:r w:rsidR="00594DCF" w:rsidRPr="0049396B">
        <w:rPr>
          <w:iCs/>
        </w:rPr>
        <w:t>specificity</w:t>
      </w:r>
      <w:r w:rsidR="005A0FA2" w:rsidRPr="0049396B">
        <w:rPr>
          <w:iCs/>
        </w:rPr>
        <w:t>, which may result in diagnosis of patients who would not have been diagnosed under the older criteria. The ESC considered</w:t>
      </w:r>
      <w:r w:rsidR="007B081D" w:rsidRPr="0049396B">
        <w:rPr>
          <w:iCs/>
        </w:rPr>
        <w:t xml:space="preserve"> that while it may not be appropriate for the restrictions to refer to </w:t>
      </w:r>
      <w:r w:rsidR="00746053" w:rsidRPr="0049396B">
        <w:rPr>
          <w:iCs/>
        </w:rPr>
        <w:t>outdated</w:t>
      </w:r>
      <w:r w:rsidR="007B081D" w:rsidRPr="0049396B">
        <w:rPr>
          <w:iCs/>
        </w:rPr>
        <w:t xml:space="preserve"> diagnostic criteria,</w:t>
      </w:r>
      <w:r w:rsidR="005A0FA2" w:rsidRPr="0049396B">
        <w:rPr>
          <w:iCs/>
        </w:rPr>
        <w:t xml:space="preserve"> </w:t>
      </w:r>
      <w:r w:rsidR="005E243A" w:rsidRPr="0049396B">
        <w:rPr>
          <w:iCs/>
        </w:rPr>
        <w:t xml:space="preserve">the efficacy of edaravone in patients with ‘probable laboratory supported’ and ‘possible’ ALS under the older El Escorial revised diagnostic criteria </w:t>
      </w:r>
      <w:r w:rsidR="005A0FA2" w:rsidRPr="0049396B">
        <w:rPr>
          <w:iCs/>
        </w:rPr>
        <w:t>is unknown.</w:t>
      </w:r>
      <w:bookmarkEnd w:id="22"/>
      <w:r w:rsidR="00B643C4" w:rsidRPr="0049396B">
        <w:rPr>
          <w:iCs/>
        </w:rPr>
        <w:t xml:space="preserve"> The </w:t>
      </w:r>
      <w:r w:rsidR="00F25574">
        <w:rPr>
          <w:iCs/>
        </w:rPr>
        <w:t>p</w:t>
      </w:r>
      <w:r w:rsidR="00B643C4" w:rsidRPr="0049396B">
        <w:rPr>
          <w:iCs/>
        </w:rPr>
        <w:t xml:space="preserve">re-PBAC response argued that the vast majority </w:t>
      </w:r>
      <w:r w:rsidR="00E0230F" w:rsidRPr="0049396B">
        <w:rPr>
          <w:iCs/>
        </w:rPr>
        <w:t xml:space="preserve">(97.8%) </w:t>
      </w:r>
      <w:r w:rsidR="00B643C4" w:rsidRPr="0049396B">
        <w:rPr>
          <w:iCs/>
        </w:rPr>
        <w:t xml:space="preserve">of patients with ‘probable laboratory supported’ and ‘possible’ ALS under the revised El Escorial criteria would have been categorised as ‘definite/probable’ with </w:t>
      </w:r>
      <w:r w:rsidR="00E0230F" w:rsidRPr="0049396B">
        <w:rPr>
          <w:iCs/>
        </w:rPr>
        <w:t xml:space="preserve">an </w:t>
      </w:r>
      <w:r w:rsidR="00B643C4" w:rsidRPr="0049396B">
        <w:rPr>
          <w:iCs/>
        </w:rPr>
        <w:t xml:space="preserve">additional </w:t>
      </w:r>
      <w:r w:rsidR="00E0230F" w:rsidRPr="0049396B">
        <w:rPr>
          <w:iCs/>
        </w:rPr>
        <w:t xml:space="preserve">12 months </w:t>
      </w:r>
      <w:r w:rsidR="00B643C4" w:rsidRPr="0049396B">
        <w:rPr>
          <w:iCs/>
        </w:rPr>
        <w:t xml:space="preserve">clinical follow up as in </w:t>
      </w:r>
      <w:proofErr w:type="spellStart"/>
      <w:r w:rsidR="00B643C4" w:rsidRPr="0049396B">
        <w:rPr>
          <w:iCs/>
        </w:rPr>
        <w:t>Pugdahl</w:t>
      </w:r>
      <w:proofErr w:type="spellEnd"/>
      <w:r w:rsidR="009B4DB9">
        <w:rPr>
          <w:iCs/>
        </w:rPr>
        <w:t> </w:t>
      </w:r>
      <w:r w:rsidR="00B643C4" w:rsidRPr="0049396B">
        <w:rPr>
          <w:iCs/>
        </w:rPr>
        <w:t>(2021)</w:t>
      </w:r>
      <w:r w:rsidR="00B643C4" w:rsidRPr="0049396B">
        <w:rPr>
          <w:rStyle w:val="FootnoteReference"/>
          <w:iCs/>
        </w:rPr>
        <w:footnoteReference w:id="4"/>
      </w:r>
      <w:r w:rsidR="00B643C4" w:rsidRPr="0049396B">
        <w:rPr>
          <w:iCs/>
        </w:rPr>
        <w:t>.</w:t>
      </w:r>
      <w:r w:rsidR="00E0230F" w:rsidRPr="0049396B">
        <w:rPr>
          <w:iCs/>
        </w:rPr>
        <w:t xml:space="preserve"> Therefore the </w:t>
      </w:r>
      <w:r w:rsidR="00F25574">
        <w:rPr>
          <w:iCs/>
        </w:rPr>
        <w:t>p</w:t>
      </w:r>
      <w:r w:rsidR="00E0230F" w:rsidRPr="0049396B">
        <w:rPr>
          <w:iCs/>
        </w:rPr>
        <w:t>re-PBAC response argued that the trial data remains applicable to these patients.</w:t>
      </w:r>
      <w:r w:rsidR="006A3DC8" w:rsidRPr="0049396B">
        <w:rPr>
          <w:iCs/>
        </w:rPr>
        <w:t xml:space="preserve"> The PBAC noted that there appeared to be some variation in the specificity reported in different studies.</w:t>
      </w:r>
      <w:r w:rsidR="00202643" w:rsidRPr="0049396B">
        <w:rPr>
          <w:iCs/>
        </w:rPr>
        <w:t xml:space="preserve"> </w:t>
      </w:r>
      <w:r w:rsidR="00623DE9" w:rsidRPr="0049396B">
        <w:t>The PBAC also noted that in Study</w:t>
      </w:r>
      <w:r w:rsidR="009B4DB9">
        <w:t> </w:t>
      </w:r>
      <w:r w:rsidR="00623DE9" w:rsidRPr="0049396B">
        <w:t xml:space="preserve">16 changes in the ALSFRS-R score in patients with a diagnosis of ‘probable-laboratory-supported’ were smaller than those of patients with a diagnosis of ‘definite’ or ‘probable’. </w:t>
      </w:r>
      <w:r w:rsidR="00202643" w:rsidRPr="0049396B">
        <w:rPr>
          <w:iCs/>
        </w:rPr>
        <w:t xml:space="preserve">The PBAC considered that neurologists are likely to use the Gold Coast criteria, and therefore a broader patient population would be included, largely from patients </w:t>
      </w:r>
      <w:r w:rsidR="009C5532" w:rsidRPr="0049396B">
        <w:rPr>
          <w:iCs/>
        </w:rPr>
        <w:t xml:space="preserve">who are </w:t>
      </w:r>
      <w:r w:rsidR="00202643" w:rsidRPr="0049396B">
        <w:rPr>
          <w:iCs/>
        </w:rPr>
        <w:t>earlier in their disease</w:t>
      </w:r>
      <w:r w:rsidR="009C5532" w:rsidRPr="0049396B">
        <w:rPr>
          <w:iCs/>
        </w:rPr>
        <w:t xml:space="preserve"> than those included in the trials</w:t>
      </w:r>
      <w:r w:rsidR="00202643" w:rsidRPr="0049396B">
        <w:rPr>
          <w:iCs/>
        </w:rPr>
        <w:t>.</w:t>
      </w:r>
    </w:p>
    <w:p w14:paraId="75A0FCA1" w14:textId="51A72CAD" w:rsidR="00F572A3" w:rsidRPr="0049396B" w:rsidRDefault="0051699C" w:rsidP="0051699C">
      <w:pPr>
        <w:pStyle w:val="ExecSumBodyText"/>
        <w:numPr>
          <w:ilvl w:val="1"/>
          <w:numId w:val="1"/>
        </w:numPr>
        <w:rPr>
          <w:iCs/>
        </w:rPr>
      </w:pPr>
      <w:r w:rsidRPr="0049396B">
        <w:rPr>
          <w:iCs/>
        </w:rPr>
        <w:t xml:space="preserve">The current wording of the requested restriction included relatively few stopping criteria, and patients would remain eligible for continuing treatment with edaravone provided they remain ambulatory or not ambulatory </w:t>
      </w:r>
      <w:r w:rsidR="00B90BCC" w:rsidRPr="0049396B">
        <w:rPr>
          <w:iCs/>
        </w:rPr>
        <w:t xml:space="preserve">but </w:t>
      </w:r>
      <w:r w:rsidRPr="0049396B">
        <w:rPr>
          <w:iCs/>
        </w:rPr>
        <w:t xml:space="preserve">able to use upper limbs, and have not undergone tracheostomy or experienced respiratory failure. However, in the </w:t>
      </w:r>
      <w:r w:rsidRPr="0049396B">
        <w:rPr>
          <w:iCs/>
        </w:rPr>
        <w:lastRenderedPageBreak/>
        <w:t>key trial evidence (Study 19), the discontinuation criteria</w:t>
      </w:r>
      <w:r w:rsidR="00B90BCC" w:rsidRPr="0049396B">
        <w:rPr>
          <w:iCs/>
        </w:rPr>
        <w:t xml:space="preserve"> also </w:t>
      </w:r>
      <w:r w:rsidRPr="0049396B">
        <w:rPr>
          <w:iCs/>
        </w:rPr>
        <w:t xml:space="preserve">included </w:t>
      </w:r>
      <w:r w:rsidR="00B90BCC" w:rsidRPr="0049396B">
        <w:rPr>
          <w:iCs/>
        </w:rPr>
        <w:t>other functional decline including</w:t>
      </w:r>
      <w:r w:rsidRPr="0049396B">
        <w:rPr>
          <w:iCs/>
        </w:rPr>
        <w:t xml:space="preserve"> respiratory support required all day, %FVC≤</w:t>
      </w:r>
      <w:r w:rsidR="009B4DB9">
        <w:rPr>
          <w:iCs/>
        </w:rPr>
        <w:t> </w:t>
      </w:r>
      <w:r w:rsidRPr="0049396B">
        <w:rPr>
          <w:iCs/>
        </w:rPr>
        <w:t>50% and/or PaCO2 (blood gas) ≥</w:t>
      </w:r>
      <w:r w:rsidR="009B4DB9">
        <w:rPr>
          <w:iCs/>
        </w:rPr>
        <w:t> </w:t>
      </w:r>
      <w:r w:rsidRPr="0049396B">
        <w:rPr>
          <w:iCs/>
        </w:rPr>
        <w:t>45 mmHg</w:t>
      </w:r>
      <w:r w:rsidR="00EE0095" w:rsidRPr="0049396B">
        <w:rPr>
          <w:iCs/>
        </w:rPr>
        <w:t xml:space="preserve">, </w:t>
      </w:r>
      <w:r w:rsidRPr="0049396B">
        <w:rPr>
          <w:iCs/>
        </w:rPr>
        <w:t>adverse events (AEs)</w:t>
      </w:r>
      <w:r w:rsidR="00EE0095" w:rsidRPr="0049396B">
        <w:rPr>
          <w:iCs/>
        </w:rPr>
        <w:t xml:space="preserve"> and worsening of disease (investigator determined). In Study 19, events</w:t>
      </w:r>
      <w:r w:rsidRPr="0049396B">
        <w:rPr>
          <w:iCs/>
        </w:rPr>
        <w:t xml:space="preserve"> associated with </w:t>
      </w:r>
      <w:r w:rsidR="00EE0095" w:rsidRPr="0049396B">
        <w:rPr>
          <w:iCs/>
        </w:rPr>
        <w:t xml:space="preserve">worsening disease </w:t>
      </w:r>
      <w:r w:rsidR="00746053" w:rsidRPr="0049396B">
        <w:rPr>
          <w:iCs/>
        </w:rPr>
        <w:t xml:space="preserve">were </w:t>
      </w:r>
      <w:r w:rsidRPr="0049396B">
        <w:rPr>
          <w:iCs/>
        </w:rPr>
        <w:t>defined as</w:t>
      </w:r>
      <w:r w:rsidR="00746053" w:rsidRPr="0049396B">
        <w:rPr>
          <w:iCs/>
        </w:rPr>
        <w:t>:</w:t>
      </w:r>
      <w:r w:rsidRPr="0049396B">
        <w:rPr>
          <w:iCs/>
        </w:rPr>
        <w:t xml:space="preserve"> disability of independent ambulation, loss of upper limb function, tracheostomy, use of respirator, use of tube feeding, or loss of useful speech, occurring during the 6 cycles of treatment. The modelled economic evaluation also assumed patients with gastrostomy would become ineligible for treatment (i.e. King’s stage 4a onwards). Based on similar evidence, the CADTH recommended that edaravone be discontinued in patients who become non-ambulatory (defined by ALSFRS-R score ≤1 for item 8) and unable to cut food and feed themselves without assistance, irrespective of whether a gastrostomy is in place (ALSFRS-R score &lt;</w:t>
      </w:r>
      <w:r w:rsidR="009B4DB9">
        <w:rPr>
          <w:iCs/>
        </w:rPr>
        <w:t> </w:t>
      </w:r>
      <w:r w:rsidRPr="0049396B">
        <w:rPr>
          <w:iCs/>
        </w:rPr>
        <w:t xml:space="preserve">1 for item 5a or 5b); or </w:t>
      </w:r>
      <w:r w:rsidR="00C211A3" w:rsidRPr="0049396B">
        <w:rPr>
          <w:iCs/>
        </w:rPr>
        <w:t xml:space="preserve">in </w:t>
      </w:r>
      <w:r w:rsidRPr="0049396B">
        <w:rPr>
          <w:iCs/>
        </w:rPr>
        <w:t>patient</w:t>
      </w:r>
      <w:r w:rsidR="00C211A3" w:rsidRPr="0049396B">
        <w:rPr>
          <w:iCs/>
        </w:rPr>
        <w:t>s</w:t>
      </w:r>
      <w:r w:rsidRPr="0049396B">
        <w:rPr>
          <w:iCs/>
        </w:rPr>
        <w:t xml:space="preserve"> who require permanent non-invasive or invasive ventilation.</w:t>
      </w:r>
      <w:r w:rsidR="00E0230F" w:rsidRPr="0049396B">
        <w:rPr>
          <w:iCs/>
        </w:rPr>
        <w:t xml:space="preserve"> The </w:t>
      </w:r>
      <w:r w:rsidR="00F25574">
        <w:rPr>
          <w:iCs/>
        </w:rPr>
        <w:t>p</w:t>
      </w:r>
      <w:r w:rsidR="00E0230F" w:rsidRPr="0049396B">
        <w:rPr>
          <w:iCs/>
        </w:rPr>
        <w:t>re-PBAC response proposed</w:t>
      </w:r>
      <w:r w:rsidR="00954928" w:rsidRPr="0049396B">
        <w:rPr>
          <w:iCs/>
        </w:rPr>
        <w:t xml:space="preserve"> replacing the submission’s proposed continuation criteria with “ALSFRS-R score &gt;</w:t>
      </w:r>
      <w:r w:rsidR="009B4DB9">
        <w:rPr>
          <w:iCs/>
        </w:rPr>
        <w:t> </w:t>
      </w:r>
      <w:r w:rsidR="00954928" w:rsidRPr="0049396B">
        <w:rPr>
          <w:iCs/>
        </w:rPr>
        <w:t>1” and “ALSFRS</w:t>
      </w:r>
      <w:r w:rsidR="000A66C5" w:rsidRPr="0049396B">
        <w:rPr>
          <w:iCs/>
        </w:rPr>
        <w:noBreakHyphen/>
      </w:r>
      <w:r w:rsidR="00954928" w:rsidRPr="0049396B">
        <w:rPr>
          <w:iCs/>
        </w:rPr>
        <w:t xml:space="preserve">R score </w:t>
      </w:r>
      <w:r w:rsidR="00954928" w:rsidRPr="0049396B">
        <w:rPr>
          <w:rFonts w:cstheme="minorHAnsi"/>
          <w:iCs/>
        </w:rPr>
        <w:t>≥</w:t>
      </w:r>
      <w:r w:rsidR="009B4DB9">
        <w:rPr>
          <w:rFonts w:cstheme="minorHAnsi"/>
          <w:iCs/>
        </w:rPr>
        <w:t> </w:t>
      </w:r>
      <w:r w:rsidR="00954928" w:rsidRPr="0049396B">
        <w:rPr>
          <w:iCs/>
        </w:rPr>
        <w:t>1 for item 5a or 5b”. In addition</w:t>
      </w:r>
      <w:r w:rsidR="00E9175B" w:rsidRPr="0049396B">
        <w:rPr>
          <w:iCs/>
        </w:rPr>
        <w:t>,</w:t>
      </w:r>
      <w:r w:rsidR="00954928" w:rsidRPr="0049396B">
        <w:rPr>
          <w:iCs/>
        </w:rPr>
        <w:t xml:space="preserve"> the </w:t>
      </w:r>
      <w:r w:rsidR="00F25574">
        <w:rPr>
          <w:iCs/>
        </w:rPr>
        <w:t>p</w:t>
      </w:r>
      <w:r w:rsidR="00954928" w:rsidRPr="0049396B">
        <w:rPr>
          <w:iCs/>
        </w:rPr>
        <w:t>re-PBAC response proposed the addition of continuation criteria requiring patients to have at least 50%</w:t>
      </w:r>
      <w:r w:rsidR="00BB692F" w:rsidRPr="0049396B">
        <w:rPr>
          <w:iCs/>
        </w:rPr>
        <w:t xml:space="preserve"> </w:t>
      </w:r>
      <w:r w:rsidR="00954928" w:rsidRPr="0049396B">
        <w:rPr>
          <w:iCs/>
        </w:rPr>
        <w:t>FVC or SVC.</w:t>
      </w:r>
      <w:r w:rsidR="00F23A7A">
        <w:rPr>
          <w:iCs/>
        </w:rPr>
        <w:t xml:space="preserve"> </w:t>
      </w:r>
      <w:r w:rsidR="00F23A7A" w:rsidRPr="00F23A7A">
        <w:rPr>
          <w:iCs/>
        </w:rPr>
        <w:t>The PBAC considered that given the high treatment burden, patients are likely to be regularly assessed by clinicians and treatment ceased if not clinically appropriate to continue. As such, discontinuation criteria regarding tracheostomy and respiratory failure were considered sufficient.</w:t>
      </w:r>
    </w:p>
    <w:bookmarkEnd w:id="20"/>
    <w:p w14:paraId="12523F34" w14:textId="3BD82D6F" w:rsidR="001437F1" w:rsidRPr="0049396B" w:rsidRDefault="00891FF4" w:rsidP="00F572A3">
      <w:pPr>
        <w:pStyle w:val="ExecSumBodyText"/>
        <w:numPr>
          <w:ilvl w:val="1"/>
          <w:numId w:val="1"/>
        </w:numPr>
      </w:pPr>
      <w:r w:rsidRPr="0049396B">
        <w:rPr>
          <w:iCs/>
        </w:rPr>
        <w:t>The</w:t>
      </w:r>
      <w:r w:rsidR="00306B52" w:rsidRPr="0049396B">
        <w:rPr>
          <w:iCs/>
        </w:rPr>
        <w:t xml:space="preserve"> PSCR noted that the sponsor considered it would be appropriate to include restrictions that would allow access for patients currently importing edaravone</w:t>
      </w:r>
      <w:r w:rsidR="00F572A3" w:rsidRPr="0049396B">
        <w:rPr>
          <w:iCs/>
        </w:rPr>
        <w:t xml:space="preserve">. </w:t>
      </w:r>
      <w:r w:rsidR="00890A14" w:rsidRPr="0049396B">
        <w:rPr>
          <w:iCs/>
        </w:rPr>
        <w:t xml:space="preserve">The PBAC noted that </w:t>
      </w:r>
      <w:r w:rsidRPr="0049396B">
        <w:rPr>
          <w:iCs/>
        </w:rPr>
        <w:t xml:space="preserve">if </w:t>
      </w:r>
      <w:r w:rsidR="00890A14" w:rsidRPr="0049396B">
        <w:rPr>
          <w:iCs/>
        </w:rPr>
        <w:t>the</w:t>
      </w:r>
      <w:r w:rsidRPr="0049396B">
        <w:rPr>
          <w:iCs/>
        </w:rPr>
        <w:t xml:space="preserve"> restrictions are</w:t>
      </w:r>
      <w:r w:rsidR="00890A14" w:rsidRPr="0049396B">
        <w:rPr>
          <w:iCs/>
        </w:rPr>
        <w:t xml:space="preserve"> changed as proposed above</w:t>
      </w:r>
      <w:r w:rsidRPr="0049396B">
        <w:rPr>
          <w:iCs/>
        </w:rPr>
        <w:t>, they</w:t>
      </w:r>
      <w:r w:rsidR="00890A14" w:rsidRPr="0049396B">
        <w:rPr>
          <w:iCs/>
        </w:rPr>
        <w:t xml:space="preserve"> would allow patients accessing edaravone privately to transition to PBS-subsidised treatment.</w:t>
      </w:r>
    </w:p>
    <w:p w14:paraId="3C08A247" w14:textId="0EF2DC21" w:rsidR="00F572A3" w:rsidRDefault="00F572A3" w:rsidP="00F572A3">
      <w:pPr>
        <w:pStyle w:val="ExecSumBodyText"/>
        <w:numPr>
          <w:ilvl w:val="1"/>
          <w:numId w:val="1"/>
        </w:numPr>
      </w:pPr>
      <w:r w:rsidRPr="0049396B">
        <w:t>The submission stated that infusions of edaravone would be delivered through commercial arrangements with existing infusion providers and where appropriate through home delivery, with the costs to be borne by the sponsor. In the trial evidence, patients received treatment at an inpatient or outpatient clinic with infusions administered by healthcare workers.</w:t>
      </w:r>
      <w:r w:rsidR="00746053" w:rsidRPr="0049396B">
        <w:t xml:space="preserve"> The PSCR</w:t>
      </w:r>
      <w:r w:rsidR="00890A14" w:rsidRPr="0049396B">
        <w:t xml:space="preserve"> and </w:t>
      </w:r>
      <w:r w:rsidR="00797349">
        <w:t>p</w:t>
      </w:r>
      <w:r w:rsidR="00890A14" w:rsidRPr="0049396B">
        <w:t>re-PBAC response</w:t>
      </w:r>
      <w:r w:rsidR="00746053" w:rsidRPr="0049396B">
        <w:t xml:space="preserve"> also noted that delivering edaravone in patients' homes requires considerable financial investment by the </w:t>
      </w:r>
      <w:r w:rsidR="00F25574">
        <w:t>s</w:t>
      </w:r>
      <w:r w:rsidR="00746053" w:rsidRPr="0049396B">
        <w:t xml:space="preserve">ponsor </w:t>
      </w:r>
      <w:r w:rsidR="00643F72" w:rsidRPr="0049396B">
        <w:t>(~</w:t>
      </w:r>
      <w:r w:rsidR="009B4DB9">
        <w:t>$</w:t>
      </w:r>
      <w:r w:rsidR="0015085A" w:rsidRPr="00D94CF5">
        <w:rPr>
          <w:color w:val="000000"/>
          <w:w w:val="15"/>
          <w:shd w:val="solid" w:color="000000" w:fill="000000"/>
          <w:fitText w:val="-20" w:id="-1032131839"/>
          <w14:textFill>
            <w14:solidFill>
              <w14:srgbClr w14:val="000000">
                <w14:alpha w14:val="100000"/>
              </w14:srgbClr>
            </w14:solidFill>
          </w14:textFill>
        </w:rPr>
        <w:t xml:space="preserve">|  </w:t>
      </w:r>
      <w:r w:rsidR="0015085A" w:rsidRPr="00D94CF5">
        <w:rPr>
          <w:color w:val="000000"/>
          <w:spacing w:val="-69"/>
          <w:w w:val="15"/>
          <w:shd w:val="solid" w:color="000000" w:fill="000000"/>
          <w:fitText w:val="-20" w:id="-1032131839"/>
          <w14:textFill>
            <w14:solidFill>
              <w14:srgbClr w14:val="000000">
                <w14:alpha w14:val="100000"/>
              </w14:srgbClr>
            </w14:solidFill>
          </w14:textFill>
        </w:rPr>
        <w:t>|</w:t>
      </w:r>
      <w:r w:rsidR="00643F72" w:rsidRPr="0049396B">
        <w:t xml:space="preserve"> per infusion) </w:t>
      </w:r>
      <w:r w:rsidR="00746053" w:rsidRPr="0049396B">
        <w:t xml:space="preserve">and stated this is partly reflected in the proposed price of edaravone, to allow the </w:t>
      </w:r>
      <w:r w:rsidR="00F25574">
        <w:t>s</w:t>
      </w:r>
      <w:r w:rsidR="00746053" w:rsidRPr="0049396B">
        <w:t>ponsor to provide such a high level of care.</w:t>
      </w:r>
    </w:p>
    <w:p w14:paraId="5687134A" w14:textId="22B7CC55" w:rsidR="00590FD9" w:rsidRPr="0049396B" w:rsidRDefault="00590FD9" w:rsidP="009B4DB9">
      <w:pPr>
        <w:pStyle w:val="ExecSumBodyText"/>
        <w:keepNext/>
        <w:numPr>
          <w:ilvl w:val="1"/>
          <w:numId w:val="1"/>
        </w:numPr>
      </w:pPr>
      <w:r w:rsidRPr="0049396B">
        <w:rPr>
          <w:iCs/>
        </w:rPr>
        <w:t>An oral formulation of edaravone is available overseas, but is not currently approved for use in Australia and PBS listing was not sought for the oral formulation.</w:t>
      </w:r>
    </w:p>
    <w:p w14:paraId="76DB2848" w14:textId="0860DBD7" w:rsidR="003029B7" w:rsidRPr="00797349" w:rsidRDefault="003029B7" w:rsidP="00797349">
      <w:pPr>
        <w:ind w:firstLine="709"/>
        <w:rPr>
          <w:rFonts w:asciiTheme="minorHAnsi" w:hAnsiTheme="minorHAnsi"/>
          <w:i/>
        </w:rPr>
      </w:pPr>
      <w:r w:rsidRPr="0049396B">
        <w:rPr>
          <w:rFonts w:asciiTheme="minorHAnsi" w:hAnsiTheme="minorHAnsi"/>
          <w:i/>
        </w:rPr>
        <w:t>For more detail on PBAC’s view, see section 7 PBAC outcome.</w:t>
      </w:r>
    </w:p>
    <w:p w14:paraId="324645F3" w14:textId="77777777" w:rsidR="00F572A3" w:rsidRPr="0049396B" w:rsidDel="00195452" w:rsidRDefault="00F572A3" w:rsidP="00F572A3">
      <w:pPr>
        <w:pStyle w:val="2-SectionHeading"/>
        <w:numPr>
          <w:ilvl w:val="0"/>
          <w:numId w:val="1"/>
        </w:numPr>
      </w:pPr>
      <w:bookmarkStart w:id="23" w:name="_Toc145493773"/>
      <w:r w:rsidRPr="0049396B" w:rsidDel="00195452">
        <w:t>Population and disease</w:t>
      </w:r>
      <w:bookmarkEnd w:id="23"/>
    </w:p>
    <w:p w14:paraId="4CF6520B" w14:textId="3E343EE2" w:rsidR="007E4A08" w:rsidRPr="0049396B" w:rsidRDefault="00F572A3" w:rsidP="00F572A3">
      <w:pPr>
        <w:pStyle w:val="3-BodyText"/>
        <w:rPr>
          <w:iCs/>
        </w:rPr>
      </w:pPr>
      <w:r w:rsidRPr="0049396B">
        <w:t>ALS (also known as Lou Gehrig’s disease in the US) is the most common phenotype of motor neuron disease (MND), which affect</w:t>
      </w:r>
      <w:r w:rsidR="006755A0" w:rsidRPr="0049396B">
        <w:t>s</w:t>
      </w:r>
      <w:r w:rsidRPr="0049396B">
        <w:t xml:space="preserve"> both upper motor neurons (UMN) and lower motor neurons (LMN) of the brain. ALS is characterised by progressive muscular </w:t>
      </w:r>
      <w:r w:rsidRPr="0049396B">
        <w:lastRenderedPageBreak/>
        <w:t xml:space="preserve">paralysis reflecting degeneration of motor neurons in the primary motor cortex, corticospinal tracts, brain stem and spinal cord. ALS has heterogeneous clinical presentation and rate of progression. </w:t>
      </w:r>
      <w:bookmarkStart w:id="24" w:name="_Hlk145409063"/>
      <w:r w:rsidR="00F55B6A" w:rsidRPr="0049396B">
        <w:t>The disease usually begins in the extremities (spinal onset), although 2</w:t>
      </w:r>
      <w:r w:rsidR="00D14CB0" w:rsidRPr="0049396B">
        <w:t>0</w:t>
      </w:r>
      <w:r w:rsidR="00F55B6A" w:rsidRPr="0049396B">
        <w:t xml:space="preserve">% of patients have a bulbar onset, which has a worse prognosis. </w:t>
      </w:r>
      <w:r w:rsidR="00D14CB0" w:rsidRPr="0049396B">
        <w:t>Patients with spinal onset present with symptoms related to focal muscle weakness, which may start distally or proximally in the upper limbs and lower limbs. Common bulbar (UMN) symptoms are dysarthria (slow speech) and dysphagia (swallowing difficulties) along with emotional lability. ALS is</w:t>
      </w:r>
      <w:r w:rsidR="00F55B6A" w:rsidRPr="0049396B">
        <w:t xml:space="preserve"> asymmetrical with respect to onset and spread of UMN and LMN dysfunction. </w:t>
      </w:r>
      <w:bookmarkEnd w:id="24"/>
      <w:r w:rsidRPr="0049396B">
        <w:t>Depending on the area of the body where muscles are affected first, symptoms and signs can include muscle wasting, weakness, stiffness, cramps and rippling of the muscles (fasciculations). As the disease progresses, patients gradually lose voluntary muscle control, and eventually lose the ability to speak, eat and move. Most people with ALS die from respiratory failure associated with the disease. Survival rate depends on the region of disease onset: 24</w:t>
      </w:r>
      <w:r w:rsidR="009B4DB9">
        <w:t> </w:t>
      </w:r>
      <w:r w:rsidRPr="0049396B">
        <w:t>months for ALS bulbar</w:t>
      </w:r>
      <w:r w:rsidR="00D14CB0" w:rsidRPr="0049396B">
        <w:t xml:space="preserve"> (UMN)</w:t>
      </w:r>
      <w:r w:rsidRPr="0049396B">
        <w:t xml:space="preserve"> onset and 33-40 months for cervical and lumbar </w:t>
      </w:r>
      <w:r w:rsidR="00D14CB0" w:rsidRPr="0049396B">
        <w:t xml:space="preserve">(LMN) </w:t>
      </w:r>
      <w:r w:rsidRPr="0049396B">
        <w:t>onset.</w:t>
      </w:r>
      <w:r w:rsidRPr="0049396B">
        <w:rPr>
          <w:i/>
        </w:rPr>
        <w:t xml:space="preserve"> </w:t>
      </w:r>
      <w:r w:rsidRPr="0049396B">
        <w:rPr>
          <w:iCs/>
        </w:rPr>
        <w:t>Prognostic factors associated with better survival without respiratory failure include younger age at symptom onset and delay from symptom onset to diagnosis</w:t>
      </w:r>
      <w:r w:rsidR="00E24379">
        <w:rPr>
          <w:iCs/>
        </w:rPr>
        <w:t xml:space="preserve"> (suggesting slower progression)</w:t>
      </w:r>
      <w:r w:rsidRPr="0049396B">
        <w:rPr>
          <w:iCs/>
        </w:rPr>
        <w:t>, as well as higher ALS functional score, FVC at presentation and limb rather than bulbar symptom onset.</w:t>
      </w:r>
    </w:p>
    <w:p w14:paraId="20B656E0" w14:textId="77777777" w:rsidR="00F572A3" w:rsidRPr="0049396B" w:rsidRDefault="00F572A3" w:rsidP="003C4D88">
      <w:pPr>
        <w:pStyle w:val="3-BodyText"/>
        <w:numPr>
          <w:ilvl w:val="0"/>
          <w:numId w:val="0"/>
        </w:numPr>
        <w:rPr>
          <w:b/>
          <w:bCs/>
        </w:rPr>
      </w:pPr>
      <w:r w:rsidRPr="0049396B">
        <w:rPr>
          <w:b/>
          <w:bCs/>
        </w:rPr>
        <w:t>Diagnosis</w:t>
      </w:r>
    </w:p>
    <w:p w14:paraId="0E2F91EA" w14:textId="77777777" w:rsidR="00F572A3" w:rsidRPr="0049396B" w:rsidRDefault="00F572A3" w:rsidP="00F572A3">
      <w:pPr>
        <w:pStyle w:val="3-BodyText"/>
      </w:pPr>
      <w:r w:rsidRPr="0049396B">
        <w:rPr>
          <w:iCs/>
        </w:rPr>
        <w:t xml:space="preserve">Diagnosis of ALS is primarily based on clinical signs, symptoms and process of elimination of other causes of progressive UMN and LMN dysfunction. </w:t>
      </w:r>
      <w:r w:rsidRPr="0049396B">
        <w:t>The average time from ALS symptom onset to diagnosis is approximately 6 to 12 months. The delay in diagnosis is due to a number of factors such as variability in the type of symptoms, speed of symptoms progression and clinical presentation that can overlap with other neurological disorders. Diagnostic criteria for ALS have evolved over time.</w:t>
      </w:r>
    </w:p>
    <w:p w14:paraId="51FD7CDF" w14:textId="3C6E0B93" w:rsidR="00F572A3" w:rsidRPr="0049396B" w:rsidRDefault="00F572A3" w:rsidP="00F572A3">
      <w:pPr>
        <w:pStyle w:val="3-BodyText"/>
        <w:rPr>
          <w:iCs/>
        </w:rPr>
      </w:pPr>
      <w:r w:rsidRPr="0049396B">
        <w:t>The El Escorial revised Arlie House diagnostic criteria (2000) was previously the clinical standard, which categorised patients into four levels of disease: ‘definite ALS’, ‘probable ALS’, ‘probable ALS laboratory supported’, or ‘possible ALS’.</w:t>
      </w:r>
      <w:r w:rsidRPr="0049396B">
        <w:rPr>
          <w:i/>
        </w:rPr>
        <w:t xml:space="preserve"> </w:t>
      </w:r>
      <w:r w:rsidR="0049396B" w:rsidRPr="0049396B">
        <w:rPr>
          <w:iCs/>
        </w:rPr>
        <w:t>This c</w:t>
      </w:r>
      <w:r w:rsidR="00E24379">
        <w:rPr>
          <w:iCs/>
        </w:rPr>
        <w:t>ategorisation</w:t>
      </w:r>
      <w:r w:rsidRPr="0049396B">
        <w:rPr>
          <w:iCs/>
        </w:rPr>
        <w:t xml:space="preserve"> (and subsequent Awaji criteria 2008) is complex with several notable limitations including low inter-rater reliability and </w:t>
      </w:r>
      <w:bookmarkStart w:id="25" w:name="_Hlk144476986"/>
      <w:r w:rsidRPr="0049396B">
        <w:rPr>
          <w:iCs/>
        </w:rPr>
        <w:t>patients with possible ALS may progress to death without ever satisfying the criteria for probable or definite disease</w:t>
      </w:r>
      <w:r w:rsidRPr="0049396B" w:rsidDel="005E42D6">
        <w:rPr>
          <w:iCs/>
        </w:rPr>
        <w:t xml:space="preserve"> </w:t>
      </w:r>
      <w:bookmarkEnd w:id="25"/>
      <w:r w:rsidRPr="0049396B">
        <w:rPr>
          <w:iCs/>
        </w:rPr>
        <w:t>(Johnsen 2019, Traynor 2000</w:t>
      </w:r>
      <w:r w:rsidRPr="0049396B">
        <w:rPr>
          <w:rStyle w:val="FootnoteReference"/>
          <w:iCs/>
        </w:rPr>
        <w:footnoteReference w:id="5"/>
      </w:r>
      <w:r w:rsidRPr="0049396B">
        <w:rPr>
          <w:iCs/>
        </w:rPr>
        <w:t>). Another limitation was that the four categories describe patients whose disease is ALS to a high degree of diagnostic certainty, but patients may be excluded from clinical trials that required definite or probable ALS diagnosis.</w:t>
      </w:r>
    </w:p>
    <w:p w14:paraId="04AC6011" w14:textId="0D052731" w:rsidR="00F572A3" w:rsidRPr="0049396B" w:rsidRDefault="00F572A3" w:rsidP="00F572A3">
      <w:pPr>
        <w:pStyle w:val="3-BodyText"/>
        <w:rPr>
          <w:iCs/>
        </w:rPr>
      </w:pPr>
      <w:r w:rsidRPr="0049396B">
        <w:t xml:space="preserve">Currently, the Gold Coast criteria is being integrated into clinical practice to facilitate earlier diagnosis of ALS and show better inter-rater agreement while maintaining </w:t>
      </w:r>
      <w:r w:rsidRPr="0049396B">
        <w:lastRenderedPageBreak/>
        <w:t xml:space="preserve">specificity compared to previous diagnostic criteria. </w:t>
      </w:r>
      <w:r w:rsidR="00E24379">
        <w:t>The Gold Coast criteria</w:t>
      </w:r>
      <w:r w:rsidRPr="0049396B">
        <w:t xml:space="preserve"> classifies patients as either having ALS or not. </w:t>
      </w:r>
      <w:r w:rsidRPr="0049396B">
        <w:rPr>
          <w:iCs/>
        </w:rPr>
        <w:t>An advantage of the Gold Coast criteria is simplification of the diagnostic process without the likelihood of excluding patients with the disease. In a retrospective Australian study, Hannaford 2021</w:t>
      </w:r>
      <w:r w:rsidRPr="0049396B">
        <w:rPr>
          <w:rStyle w:val="FootnoteReference"/>
          <w:iCs/>
        </w:rPr>
        <w:footnoteReference w:id="6"/>
      </w:r>
      <w:r w:rsidRPr="0049396B">
        <w:rPr>
          <w:iCs/>
        </w:rPr>
        <w:t xml:space="preserve"> reported the diagnostic sensitivity of the Gold Coast criteria was similar to </w:t>
      </w:r>
      <w:proofErr w:type="gramStart"/>
      <w:r w:rsidRPr="0049396B">
        <w:rPr>
          <w:iCs/>
        </w:rPr>
        <w:t>revised</w:t>
      </w:r>
      <w:proofErr w:type="gramEnd"/>
      <w:r w:rsidRPr="0049396B">
        <w:rPr>
          <w:iCs/>
        </w:rPr>
        <w:t xml:space="preserve"> El Escorial for definite, probable, or possible ALS (92% vs 90%), but more sensitive for definite or probable ALS.</w:t>
      </w:r>
    </w:p>
    <w:p w14:paraId="63EE129D" w14:textId="77777777" w:rsidR="00F572A3" w:rsidRPr="0049396B" w:rsidRDefault="00F572A3" w:rsidP="0049396B">
      <w:pPr>
        <w:pStyle w:val="3-BodyText"/>
        <w:numPr>
          <w:ilvl w:val="0"/>
          <w:numId w:val="0"/>
        </w:numPr>
        <w:rPr>
          <w:b/>
          <w:bCs/>
        </w:rPr>
      </w:pPr>
      <w:r w:rsidRPr="0049396B">
        <w:rPr>
          <w:b/>
          <w:bCs/>
        </w:rPr>
        <w:t>Disease staging</w:t>
      </w:r>
    </w:p>
    <w:p w14:paraId="3F4CF1D8" w14:textId="77777777" w:rsidR="00F572A3" w:rsidRPr="0049396B" w:rsidRDefault="00F572A3" w:rsidP="00F572A3">
      <w:pPr>
        <w:pStyle w:val="3-BodyText"/>
      </w:pPr>
      <w:r w:rsidRPr="0049396B">
        <w:t xml:space="preserve">There are multiple clinical staging systems to help identify an objective measure of disease progression and guide treatment decisions and prognostication, including King’s staging and others (e.g. Milano Torino Staging and Fine till 9 staging). The modelled economic evaluation presented in the submission defined health states according to the King’s staging, which classifies </w:t>
      </w:r>
      <w:r w:rsidRPr="0049396B">
        <w:rPr>
          <w:iCs/>
        </w:rPr>
        <w:t xml:space="preserve">disease progression based on the number of body regions involved (bulbar, upper limb and lower limb) as well as the need for swallowing or respiratory support. </w:t>
      </w:r>
      <w:r w:rsidRPr="0049396B">
        <w:t>Expert advice presented in the submission indicated that clinicians are familiar with King’s staging but it is not usually assessed in clinical practice.</w:t>
      </w:r>
    </w:p>
    <w:p w14:paraId="05E6B906" w14:textId="77777777" w:rsidR="00F572A3" w:rsidRPr="0049396B" w:rsidRDefault="00F572A3" w:rsidP="00F572A3">
      <w:pPr>
        <w:pStyle w:val="3-BodyText"/>
      </w:pPr>
      <w:r w:rsidRPr="0049396B">
        <w:rPr>
          <w:iCs/>
        </w:rPr>
        <w:t>ALSFRS-R is a disease-specific severity score to assess motor impairment and functional deterioration in ALS, but does not provide information about the stage of the disease nor the expected speed of progression (</w:t>
      </w:r>
      <w:proofErr w:type="spellStart"/>
      <w:r w:rsidRPr="0049396B">
        <w:rPr>
          <w:iCs/>
        </w:rPr>
        <w:t>Genge</w:t>
      </w:r>
      <w:proofErr w:type="spellEnd"/>
      <w:r w:rsidRPr="0049396B">
        <w:rPr>
          <w:iCs/>
        </w:rPr>
        <w:t xml:space="preserve"> and </w:t>
      </w:r>
      <w:proofErr w:type="spellStart"/>
      <w:r w:rsidRPr="0049396B">
        <w:rPr>
          <w:iCs/>
        </w:rPr>
        <w:t>Chio</w:t>
      </w:r>
      <w:proofErr w:type="spellEnd"/>
      <w:r w:rsidRPr="0049396B">
        <w:rPr>
          <w:iCs/>
        </w:rPr>
        <w:t xml:space="preserve"> 2023</w:t>
      </w:r>
      <w:r w:rsidRPr="0049396B">
        <w:rPr>
          <w:rStyle w:val="FootnoteReference"/>
          <w:iCs/>
        </w:rPr>
        <w:footnoteReference w:id="7"/>
      </w:r>
      <w:r w:rsidRPr="0049396B">
        <w:rPr>
          <w:iCs/>
        </w:rPr>
        <w:t xml:space="preserve">). It is a multidimensional scale made up of 12 items, each graded from 4 (normal) to 0 (none), exploring the bulbar domain, upper limb and lower limb motility, and the respiratory domain. The scores range from 48 to 0, with higher score indicating more function is retained. </w:t>
      </w:r>
      <w:bookmarkStart w:id="26" w:name="_Hlk144477418"/>
      <w:r w:rsidRPr="0049396B">
        <w:t xml:space="preserve">The modelled economic evaluation presented in the submission used a mapping algorithm developed by </w:t>
      </w:r>
      <w:r w:rsidRPr="0049396B">
        <w:rPr>
          <w:iCs/>
        </w:rPr>
        <w:t>Balendra 2014 to define progression through the different King’s stage using ALSFRS-R scores reported in the key edaravone trial evidence.</w:t>
      </w:r>
      <w:bookmarkEnd w:id="26"/>
      <w:r w:rsidRPr="0049396B">
        <w:t xml:space="preserve"> While it is widely used and validated, ALSFRS-R also has a number of limitations: it is a subjective measure, the total score lacks </w:t>
      </w:r>
      <w:proofErr w:type="spellStart"/>
      <w:r w:rsidRPr="0049396B">
        <w:t>unidimensionality</w:t>
      </w:r>
      <w:proofErr w:type="spellEnd"/>
      <w:r w:rsidRPr="0049396B">
        <w:t xml:space="preserve"> meaning that the same total ALSFRS-R score in two patients with ALS may not reflect comparable clinical conditions (i.e. each one-point change on the scale represents a different quantity of functional change, and certain one-point changes on the scale represent a change in a domain other than functional status), lack of correlation between score and prognosis, and it has a floor-effect meaning that patients systematically die before reaching a score of 0 (</w:t>
      </w:r>
      <w:proofErr w:type="spellStart"/>
      <w:r w:rsidRPr="0049396B">
        <w:t>Corcia</w:t>
      </w:r>
      <w:proofErr w:type="spellEnd"/>
      <w:r w:rsidRPr="0049396B">
        <w:t xml:space="preserve"> 2019).</w:t>
      </w:r>
    </w:p>
    <w:p w14:paraId="7F54CE94" w14:textId="77777777" w:rsidR="00F572A3" w:rsidRPr="0049396B" w:rsidRDefault="00F572A3" w:rsidP="00401F9E">
      <w:pPr>
        <w:pStyle w:val="3-BodyText"/>
        <w:keepNext/>
        <w:numPr>
          <w:ilvl w:val="0"/>
          <w:numId w:val="0"/>
        </w:numPr>
        <w:ind w:left="720"/>
        <w:rPr>
          <w:u w:val="single"/>
        </w:rPr>
      </w:pPr>
      <w:r w:rsidRPr="0049396B">
        <w:rPr>
          <w:u w:val="single"/>
        </w:rPr>
        <w:lastRenderedPageBreak/>
        <w:t>Treatment</w:t>
      </w:r>
    </w:p>
    <w:p w14:paraId="7385F4D4" w14:textId="19BD3741" w:rsidR="00F572A3" w:rsidRPr="0049396B" w:rsidRDefault="00F572A3" w:rsidP="00401F9E">
      <w:pPr>
        <w:pStyle w:val="3-BodyText"/>
        <w:keepNext/>
        <w:rPr>
          <w:iCs/>
        </w:rPr>
      </w:pPr>
      <w:r w:rsidRPr="0049396B">
        <w:rPr>
          <w:iCs/>
        </w:rPr>
        <w:t>Treatment of ALS is coordinated multidisciplinary care involving pharmacological and/or non-pharmacological approaches to manage symptoms (Dharmadasa 2017</w:t>
      </w:r>
      <w:r w:rsidRPr="0049396B">
        <w:rPr>
          <w:rStyle w:val="FootnoteReference"/>
          <w:iCs/>
        </w:rPr>
        <w:footnoteReference w:id="8"/>
      </w:r>
      <w:r w:rsidRPr="0049396B">
        <w:rPr>
          <w:iCs/>
        </w:rPr>
        <w:t xml:space="preserve">, </w:t>
      </w:r>
      <w:proofErr w:type="spellStart"/>
      <w:r w:rsidRPr="0049396B">
        <w:rPr>
          <w:iCs/>
        </w:rPr>
        <w:t>Hogden</w:t>
      </w:r>
      <w:proofErr w:type="spellEnd"/>
      <w:r w:rsidRPr="0049396B">
        <w:rPr>
          <w:iCs/>
        </w:rPr>
        <w:t xml:space="preserve"> 2017</w:t>
      </w:r>
      <w:r w:rsidRPr="0049396B">
        <w:rPr>
          <w:rStyle w:val="FootnoteReference"/>
          <w:iCs/>
        </w:rPr>
        <w:footnoteReference w:id="9"/>
      </w:r>
      <w:r w:rsidRPr="0049396B">
        <w:rPr>
          <w:iCs/>
        </w:rPr>
        <w:t xml:space="preserve"> and Lau 2018</w:t>
      </w:r>
      <w:r w:rsidRPr="0049396B">
        <w:rPr>
          <w:rStyle w:val="FootnoteReference"/>
          <w:iCs/>
        </w:rPr>
        <w:footnoteReference w:id="10"/>
      </w:r>
      <w:r w:rsidRPr="0049396B">
        <w:rPr>
          <w:iCs/>
        </w:rPr>
        <w:t>). Given the disease impact</w:t>
      </w:r>
      <w:r w:rsidR="00E24E69" w:rsidRPr="0049396B">
        <w:rPr>
          <w:iCs/>
        </w:rPr>
        <w:t>s</w:t>
      </w:r>
      <w:r w:rsidRPr="0049396B">
        <w:rPr>
          <w:iCs/>
        </w:rPr>
        <w:t xml:space="preserve"> all bodily functions, multidisciplinary care may include attendance of general practitioners, neurologists, gastroenterologists, rehabilitation and/or palliative care physicians, nurses, physiotherapists, psychologists, speech pathologists and occupational therapists. Symptomatic management of ALS include</w:t>
      </w:r>
      <w:r w:rsidR="006755A0" w:rsidRPr="0049396B">
        <w:rPr>
          <w:iCs/>
        </w:rPr>
        <w:t>s</w:t>
      </w:r>
      <w:r w:rsidRPr="0049396B">
        <w:rPr>
          <w:iCs/>
        </w:rPr>
        <w:t xml:space="preserve"> management of respiratory symptoms, nutrition, dysarthria, dysphagia, functional decline and psychosocial issues. Depending on the symptoms, a mix of non-pharmacological and pharmacological management may be provided. Non-pharmacological therapies of ALS include physiotherapy, orthotics, ventilatory support (e.g. non-invasive ventilation), counselling, and nutritional support (e.g. gastrostomy feeding tube or percutaneous endoscopic gastrostomy). Pharmacological treatments include disease-modifying medication (</w:t>
      </w:r>
      <w:proofErr w:type="spellStart"/>
      <w:r w:rsidRPr="0049396B">
        <w:rPr>
          <w:iCs/>
        </w:rPr>
        <w:t>riluzole</w:t>
      </w:r>
      <w:proofErr w:type="spellEnd"/>
      <w:r w:rsidRPr="0049396B">
        <w:rPr>
          <w:iCs/>
        </w:rPr>
        <w:t>), and medications to manage symptoms such as spasticity (baclofen; clonazepam, botulinum toxin injections), respiratory dysfunction (benzodiazepines, morphine), pain (e.g. analgesics, opioids and anti-inflammatory drugs) and mood disorder (anxiolytics and antidepressants).</w:t>
      </w:r>
    </w:p>
    <w:p w14:paraId="750E6CF6" w14:textId="279EE6DA" w:rsidR="00F572A3" w:rsidRPr="0049396B" w:rsidRDefault="00F572A3" w:rsidP="00F572A3">
      <w:pPr>
        <w:pStyle w:val="3-BodyText"/>
      </w:pPr>
      <w:r w:rsidRPr="0049396B">
        <w:t xml:space="preserve">Edaravone is a free radical scavenger and is expected to act as an antioxidant, a molecule that can prevent damage to nerve cells caused by oxygen-containing molecules and block clumping together of superoxide dismutase (SOD1) in the nerves and thereby reduces inflammation. The mechanism by which edaravone exerts its therapeutic effect in patients with ALS is unknown. The submission proposed edaravone as an adjunct (add-on) treatment to current treatments including </w:t>
      </w:r>
      <w:proofErr w:type="spellStart"/>
      <w:r w:rsidRPr="0049396B">
        <w:t>ril</w:t>
      </w:r>
      <w:r w:rsidR="00401F9E" w:rsidRPr="0049396B">
        <w:t>u</w:t>
      </w:r>
      <w:r w:rsidRPr="0049396B">
        <w:t>zole</w:t>
      </w:r>
      <w:proofErr w:type="spellEnd"/>
      <w:r w:rsidRPr="0049396B">
        <w:t>, for patients who meet the proposed eligibility criteria.</w:t>
      </w:r>
    </w:p>
    <w:p w14:paraId="160B1296" w14:textId="78E3C2E3" w:rsidR="003029B7" w:rsidRPr="0049396B" w:rsidRDefault="003029B7" w:rsidP="000D2EDC">
      <w:pPr>
        <w:ind w:firstLine="709"/>
      </w:pPr>
      <w:r w:rsidRPr="0049396B">
        <w:rPr>
          <w:rFonts w:asciiTheme="minorHAnsi" w:hAnsiTheme="minorHAnsi"/>
          <w:i/>
        </w:rPr>
        <w:t>For more detail on PBAC’s view, see section 7 PBAC outcome.</w:t>
      </w:r>
    </w:p>
    <w:p w14:paraId="457714A0" w14:textId="77777777" w:rsidR="00F572A3" w:rsidRPr="0049396B" w:rsidRDefault="00F572A3" w:rsidP="00F572A3">
      <w:pPr>
        <w:pStyle w:val="2-SectionHeading"/>
        <w:numPr>
          <w:ilvl w:val="0"/>
          <w:numId w:val="1"/>
        </w:numPr>
      </w:pPr>
      <w:bookmarkStart w:id="27" w:name="_Toc145493774"/>
      <w:r w:rsidRPr="0049396B">
        <w:t>Comparator</w:t>
      </w:r>
      <w:bookmarkEnd w:id="27"/>
    </w:p>
    <w:p w14:paraId="045F1053" w14:textId="2C81523B" w:rsidR="00F572A3" w:rsidRPr="0049396B" w:rsidRDefault="00F572A3" w:rsidP="00F572A3">
      <w:pPr>
        <w:pStyle w:val="3-BodyText"/>
        <w:rPr>
          <w:iCs/>
          <w:snapToGrid/>
        </w:rPr>
      </w:pPr>
      <w:r w:rsidRPr="0049396B">
        <w:t xml:space="preserve">The submission nominated placebo plus SOC with or without </w:t>
      </w:r>
      <w:proofErr w:type="spellStart"/>
      <w:r w:rsidRPr="0049396B">
        <w:t>riluzole</w:t>
      </w:r>
      <w:proofErr w:type="spellEnd"/>
      <w:r w:rsidRPr="0049396B">
        <w:t xml:space="preserve">, as the main comparator. </w:t>
      </w:r>
      <w:r w:rsidRPr="0049396B">
        <w:rPr>
          <w:iCs/>
        </w:rPr>
        <w:t>Th</w:t>
      </w:r>
      <w:r w:rsidR="006755A0" w:rsidRPr="0049396B">
        <w:rPr>
          <w:iCs/>
        </w:rPr>
        <w:t>e evaluation considered this</w:t>
      </w:r>
      <w:r w:rsidRPr="0049396B">
        <w:rPr>
          <w:iCs/>
        </w:rPr>
        <w:t xml:space="preserve"> was appropriate. The</w:t>
      </w:r>
      <w:r w:rsidRPr="0049396B">
        <w:t xml:space="preserve"> </w:t>
      </w:r>
      <w:r w:rsidR="001F4F88" w:rsidRPr="0049396B">
        <w:t>submission stated</w:t>
      </w:r>
      <w:r w:rsidRPr="0049396B">
        <w:t xml:space="preserve"> the proposed listing of edaravone as adjunct treatment was not expected to displace any non-pharmacological or pharmacological treatments (including </w:t>
      </w:r>
      <w:proofErr w:type="spellStart"/>
      <w:r w:rsidRPr="0049396B">
        <w:t>riluzole</w:t>
      </w:r>
      <w:proofErr w:type="spellEnd"/>
      <w:r w:rsidRPr="0049396B">
        <w:t xml:space="preserve">), in-line with the clinical evidence presented in the submission. </w:t>
      </w:r>
      <w:proofErr w:type="spellStart"/>
      <w:r w:rsidRPr="0049396B">
        <w:rPr>
          <w:iCs/>
        </w:rPr>
        <w:t>Riluzole</w:t>
      </w:r>
      <w:proofErr w:type="spellEnd"/>
      <w:r w:rsidRPr="0049396B">
        <w:rPr>
          <w:iCs/>
        </w:rPr>
        <w:t xml:space="preserve"> is currently the only drug specifically listed on the PBS for ALS. The Australian MND registry (AMNDR) reported 78-85% uptake of </w:t>
      </w:r>
      <w:proofErr w:type="spellStart"/>
      <w:r w:rsidRPr="0049396B">
        <w:rPr>
          <w:iCs/>
        </w:rPr>
        <w:t>riluzole</w:t>
      </w:r>
      <w:proofErr w:type="spellEnd"/>
      <w:r w:rsidRPr="0049396B">
        <w:rPr>
          <w:iCs/>
        </w:rPr>
        <w:t xml:space="preserve"> across all ALS phenotypes with treatment initiated </w:t>
      </w:r>
      <w:r w:rsidRPr="0049396B">
        <w:rPr>
          <w:iCs/>
        </w:rPr>
        <w:lastRenderedPageBreak/>
        <w:t>soon after diagnosis (median delay of 10-12 months from symptom onset) (</w:t>
      </w:r>
      <w:proofErr w:type="spellStart"/>
      <w:r w:rsidRPr="0049396B">
        <w:rPr>
          <w:iCs/>
        </w:rPr>
        <w:t>Talman</w:t>
      </w:r>
      <w:proofErr w:type="spellEnd"/>
      <w:r w:rsidRPr="0049396B">
        <w:rPr>
          <w:iCs/>
        </w:rPr>
        <w:t xml:space="preserve"> 2016).</w:t>
      </w:r>
    </w:p>
    <w:p w14:paraId="4E01FD98" w14:textId="4E2531EB" w:rsidR="00F572A3" w:rsidRPr="0049396B" w:rsidRDefault="00F572A3" w:rsidP="00F572A3">
      <w:pPr>
        <w:pStyle w:val="3-BodyText"/>
        <w:rPr>
          <w:i/>
          <w:snapToGrid/>
        </w:rPr>
      </w:pPr>
      <w:r w:rsidRPr="0049396B">
        <w:rPr>
          <w:iCs/>
          <w:snapToGrid/>
        </w:rPr>
        <w:t>In the past 20-30 years, there have been numerous drugs in development for ALS which ha</w:t>
      </w:r>
      <w:r w:rsidR="0020124D" w:rsidRPr="0049396B">
        <w:rPr>
          <w:iCs/>
          <w:snapToGrid/>
        </w:rPr>
        <w:t>ve</w:t>
      </w:r>
      <w:r w:rsidRPr="0049396B">
        <w:rPr>
          <w:iCs/>
          <w:snapToGrid/>
        </w:rPr>
        <w:t xml:space="preserve"> failed in clinical trials. However, the clinical and treatment landscape for ALS is evolving with emerging disease modifying drugs for ALS that include add-on treatments with sodium phenylbutyrate-</w:t>
      </w:r>
      <w:proofErr w:type="spellStart"/>
      <w:r w:rsidRPr="0049396B">
        <w:rPr>
          <w:iCs/>
          <w:snapToGrid/>
        </w:rPr>
        <w:t>taurursodiol</w:t>
      </w:r>
      <w:proofErr w:type="spellEnd"/>
      <w:r w:rsidRPr="0049396B">
        <w:rPr>
          <w:iCs/>
          <w:snapToGrid/>
        </w:rPr>
        <w:t xml:space="preserve"> (PB-TURSO) and </w:t>
      </w:r>
      <w:proofErr w:type="spellStart"/>
      <w:r w:rsidRPr="0049396B">
        <w:rPr>
          <w:iCs/>
          <w:snapToGrid/>
        </w:rPr>
        <w:t>tofersen</w:t>
      </w:r>
      <w:proofErr w:type="spellEnd"/>
      <w:r w:rsidRPr="0049396B">
        <w:rPr>
          <w:iCs/>
          <w:snapToGrid/>
        </w:rPr>
        <w:t>. PB-TURSO was approved by the FDA in September 2022</w:t>
      </w:r>
      <w:r w:rsidRPr="0049396B">
        <w:rPr>
          <w:rStyle w:val="FootnoteReference"/>
          <w:iCs/>
        </w:rPr>
        <w:footnoteReference w:id="11"/>
      </w:r>
      <w:r w:rsidR="00634708" w:rsidRPr="0049396B">
        <w:rPr>
          <w:iCs/>
          <w:snapToGrid/>
        </w:rPr>
        <w:t xml:space="preserve">and </w:t>
      </w:r>
      <w:proofErr w:type="spellStart"/>
      <w:r w:rsidR="00634708" w:rsidRPr="0049396B">
        <w:rPr>
          <w:iCs/>
          <w:snapToGrid/>
        </w:rPr>
        <w:t>t</w:t>
      </w:r>
      <w:r w:rsidRPr="0049396B">
        <w:rPr>
          <w:iCs/>
          <w:snapToGrid/>
        </w:rPr>
        <w:t>ofersen</w:t>
      </w:r>
      <w:proofErr w:type="spellEnd"/>
      <w:r w:rsidRPr="0049396B">
        <w:rPr>
          <w:iCs/>
          <w:snapToGrid/>
        </w:rPr>
        <w:t xml:space="preserve"> for SOD1-associated ALS </w:t>
      </w:r>
      <w:r w:rsidR="00001B9A" w:rsidRPr="0049396B">
        <w:rPr>
          <w:iCs/>
          <w:snapToGrid/>
        </w:rPr>
        <w:t xml:space="preserve">was </w:t>
      </w:r>
      <w:r w:rsidRPr="0049396B">
        <w:rPr>
          <w:iCs/>
          <w:snapToGrid/>
        </w:rPr>
        <w:t>approved by the FDA in April 2023</w:t>
      </w:r>
      <w:r w:rsidRPr="0049396B">
        <w:rPr>
          <w:rStyle w:val="FootnoteReference"/>
          <w:iCs/>
        </w:rPr>
        <w:footnoteReference w:id="12"/>
      </w:r>
      <w:r w:rsidRPr="0049396B">
        <w:rPr>
          <w:iCs/>
          <w:snapToGrid/>
        </w:rPr>
        <w:t>.</w:t>
      </w:r>
      <w:r w:rsidR="001F4F88" w:rsidRPr="0049396B">
        <w:rPr>
          <w:iCs/>
          <w:snapToGrid/>
        </w:rPr>
        <w:t xml:space="preserve"> The ESC also noted that an oral form of edaravone is in development.</w:t>
      </w:r>
    </w:p>
    <w:p w14:paraId="03F8E9D4" w14:textId="0BF58F00" w:rsidR="003029B7" w:rsidRPr="009B4DB9" w:rsidRDefault="003029B7" w:rsidP="009B4DB9">
      <w:pPr>
        <w:pStyle w:val="3-BodyText"/>
        <w:numPr>
          <w:ilvl w:val="0"/>
          <w:numId w:val="0"/>
        </w:numPr>
        <w:ind w:left="720"/>
        <w:rPr>
          <w:i/>
          <w:iCs/>
        </w:rPr>
      </w:pPr>
      <w:r w:rsidRPr="009B4DB9">
        <w:rPr>
          <w:i/>
          <w:iCs/>
        </w:rPr>
        <w:t>For more detail on PBAC’s view, see section 7 PBAC outcome.</w:t>
      </w:r>
    </w:p>
    <w:p w14:paraId="3D6A87F6" w14:textId="77777777" w:rsidR="00F572A3" w:rsidRPr="0049396B" w:rsidRDefault="00F572A3" w:rsidP="00F572A3">
      <w:pPr>
        <w:pStyle w:val="2-SectionHeading"/>
        <w:numPr>
          <w:ilvl w:val="0"/>
          <w:numId w:val="1"/>
        </w:numPr>
      </w:pPr>
      <w:bookmarkStart w:id="28" w:name="_Toc145493775"/>
      <w:bookmarkStart w:id="29" w:name="_Toc22897640"/>
      <w:r w:rsidRPr="0049396B">
        <w:t>Consideration of the evidence</w:t>
      </w:r>
      <w:bookmarkEnd w:id="28"/>
    </w:p>
    <w:p w14:paraId="62325C25" w14:textId="77777777" w:rsidR="003029B7" w:rsidRPr="0049396B" w:rsidRDefault="003029B7" w:rsidP="003029B7">
      <w:pPr>
        <w:pStyle w:val="4-SubsectionHeading"/>
      </w:pPr>
      <w:bookmarkStart w:id="30" w:name="_Hlk76375935"/>
      <w:bookmarkStart w:id="31" w:name="_Toc145493776"/>
      <w:r w:rsidRPr="0049396B">
        <w:t>Sponsor hearing</w:t>
      </w:r>
    </w:p>
    <w:p w14:paraId="4105EE5A" w14:textId="002D4DC1" w:rsidR="003029B7" w:rsidRPr="0049396B" w:rsidRDefault="003029B7" w:rsidP="003029B7">
      <w:pPr>
        <w:widowControl w:val="0"/>
        <w:numPr>
          <w:ilvl w:val="1"/>
          <w:numId w:val="1"/>
        </w:numPr>
        <w:spacing w:after="120"/>
        <w:rPr>
          <w:rFonts w:asciiTheme="minorHAnsi" w:hAnsiTheme="minorHAnsi"/>
          <w:bCs/>
          <w:snapToGrid w:val="0"/>
        </w:rPr>
      </w:pPr>
      <w:bookmarkStart w:id="32" w:name="_Hlk76382586"/>
      <w:r w:rsidRPr="0049396B">
        <w:rPr>
          <w:rFonts w:asciiTheme="minorHAnsi" w:hAnsiTheme="minorHAnsi"/>
          <w:bCs/>
          <w:snapToGrid w:val="0"/>
        </w:rPr>
        <w:t>The sponsor requested a hearing for this item. The clinician</w:t>
      </w:r>
      <w:r w:rsidR="00594DCF" w:rsidRPr="0049396B">
        <w:rPr>
          <w:rFonts w:asciiTheme="minorHAnsi" w:hAnsiTheme="minorHAnsi"/>
          <w:bCs/>
          <w:snapToGrid w:val="0"/>
        </w:rPr>
        <w:t xml:space="preserve"> discussed the Gold Coast Diagnostic Criteria, noting that these new criteria diagnose ALS with greater sensitivity whilst maintaining specificity.</w:t>
      </w:r>
      <w:r w:rsidRPr="0049396B">
        <w:rPr>
          <w:rFonts w:asciiTheme="minorHAnsi" w:hAnsiTheme="minorHAnsi"/>
          <w:bCs/>
          <w:snapToGrid w:val="0"/>
        </w:rPr>
        <w:t xml:space="preserve"> </w:t>
      </w:r>
      <w:r w:rsidR="00594DCF" w:rsidRPr="0049396B">
        <w:rPr>
          <w:rFonts w:asciiTheme="minorHAnsi" w:hAnsiTheme="minorHAnsi"/>
          <w:bCs/>
          <w:snapToGrid w:val="0"/>
        </w:rPr>
        <w:t>While these criteria would be more inclusive, the clinician considered that they would identify patients earlier, where the</w:t>
      </w:r>
      <w:r w:rsidR="00BC4DBB" w:rsidRPr="0049396B">
        <w:rPr>
          <w:rFonts w:asciiTheme="minorHAnsi" w:hAnsiTheme="minorHAnsi"/>
          <w:bCs/>
          <w:snapToGrid w:val="0"/>
        </w:rPr>
        <w:t xml:space="preserve">y are likely to benefit more from treatment. </w:t>
      </w:r>
      <w:r w:rsidR="005B1796" w:rsidRPr="0049396B">
        <w:rPr>
          <w:rFonts w:asciiTheme="minorHAnsi" w:hAnsiTheme="minorHAnsi"/>
          <w:bCs/>
          <w:snapToGrid w:val="0"/>
        </w:rPr>
        <w:t>The clinician noted that diagnosis of ALS is not taken lightly given the</w:t>
      </w:r>
      <w:r w:rsidR="00833DB7" w:rsidRPr="0049396B">
        <w:rPr>
          <w:rFonts w:asciiTheme="minorHAnsi" w:hAnsiTheme="minorHAnsi"/>
          <w:bCs/>
          <w:snapToGrid w:val="0"/>
        </w:rPr>
        <w:t xml:space="preserve"> major</w:t>
      </w:r>
      <w:r w:rsidR="00787688" w:rsidRPr="0049396B">
        <w:rPr>
          <w:rFonts w:asciiTheme="minorHAnsi" w:hAnsiTheme="minorHAnsi"/>
          <w:bCs/>
          <w:snapToGrid w:val="0"/>
        </w:rPr>
        <w:t xml:space="preserve"> impact on patients and their families of a diagnosis of ALS. </w:t>
      </w:r>
      <w:r w:rsidR="00BC4DBB" w:rsidRPr="0049396B">
        <w:rPr>
          <w:rFonts w:asciiTheme="minorHAnsi" w:hAnsiTheme="minorHAnsi"/>
          <w:bCs/>
          <w:snapToGrid w:val="0"/>
        </w:rPr>
        <w:t>The clinician also discussed the use of the ALSFRS-R scale</w:t>
      </w:r>
      <w:r w:rsidR="00787688" w:rsidRPr="0049396B">
        <w:rPr>
          <w:rFonts w:asciiTheme="minorHAnsi" w:hAnsiTheme="minorHAnsi"/>
          <w:bCs/>
          <w:snapToGrid w:val="0"/>
        </w:rPr>
        <w:t>, which can be used by nurses or other health practitioners</w:t>
      </w:r>
      <w:r w:rsidR="00BC4DBB" w:rsidRPr="0049396B">
        <w:rPr>
          <w:rFonts w:asciiTheme="minorHAnsi" w:hAnsiTheme="minorHAnsi"/>
          <w:bCs/>
          <w:snapToGrid w:val="0"/>
        </w:rPr>
        <w:t xml:space="preserve">. </w:t>
      </w:r>
      <w:r w:rsidR="00787688" w:rsidRPr="0049396B">
        <w:rPr>
          <w:rFonts w:asciiTheme="minorHAnsi" w:hAnsiTheme="minorHAnsi"/>
          <w:bCs/>
          <w:snapToGrid w:val="0"/>
        </w:rPr>
        <w:t xml:space="preserve">The clinician noted that a change of 1 or 2 points on </w:t>
      </w:r>
      <w:r w:rsidR="00833DB7" w:rsidRPr="0049396B">
        <w:rPr>
          <w:rFonts w:asciiTheme="minorHAnsi" w:hAnsiTheme="minorHAnsi"/>
          <w:bCs/>
          <w:snapToGrid w:val="0"/>
        </w:rPr>
        <w:t>this</w:t>
      </w:r>
      <w:r w:rsidR="00787688" w:rsidRPr="0049396B">
        <w:rPr>
          <w:rFonts w:asciiTheme="minorHAnsi" w:hAnsiTheme="minorHAnsi"/>
          <w:bCs/>
          <w:snapToGrid w:val="0"/>
        </w:rPr>
        <w:t xml:space="preserve"> scale can be very clinically meaningful for patients as it can reflect the ability to climb stairs, to speak, or the ability to sleep lying down. </w:t>
      </w:r>
      <w:r w:rsidR="00BC4DBB" w:rsidRPr="0049396B">
        <w:rPr>
          <w:rFonts w:asciiTheme="minorHAnsi" w:hAnsiTheme="minorHAnsi"/>
          <w:bCs/>
          <w:snapToGrid w:val="0"/>
        </w:rPr>
        <w:t xml:space="preserve">The clinician also discussed the </w:t>
      </w:r>
      <w:r w:rsidR="0049396B" w:rsidRPr="0049396B">
        <w:rPr>
          <w:rFonts w:asciiTheme="minorHAnsi" w:hAnsiTheme="minorHAnsi"/>
          <w:bCs/>
          <w:snapToGrid w:val="0"/>
        </w:rPr>
        <w:t>real-world</w:t>
      </w:r>
      <w:r w:rsidR="00BC4DBB" w:rsidRPr="0049396B">
        <w:rPr>
          <w:rFonts w:asciiTheme="minorHAnsi" w:hAnsiTheme="minorHAnsi"/>
          <w:bCs/>
          <w:snapToGrid w:val="0"/>
        </w:rPr>
        <w:t xml:space="preserve"> evidence for edaravone from Brooks 2022, and considered this would likely be representative of effectiveness in the proposed PBS population</w:t>
      </w:r>
      <w:r w:rsidR="00787688" w:rsidRPr="0049396B">
        <w:rPr>
          <w:rFonts w:asciiTheme="minorHAnsi" w:hAnsiTheme="minorHAnsi"/>
          <w:bCs/>
          <w:snapToGrid w:val="0"/>
        </w:rPr>
        <w:t xml:space="preserve">, though there were differences in the proportion of patients treated with </w:t>
      </w:r>
      <w:proofErr w:type="spellStart"/>
      <w:r w:rsidR="00787688" w:rsidRPr="0049396B">
        <w:rPr>
          <w:rFonts w:asciiTheme="minorHAnsi" w:hAnsiTheme="minorHAnsi"/>
          <w:bCs/>
          <w:snapToGrid w:val="0"/>
        </w:rPr>
        <w:t>riluzole</w:t>
      </w:r>
      <w:proofErr w:type="spellEnd"/>
      <w:r w:rsidR="00787688" w:rsidRPr="0049396B">
        <w:rPr>
          <w:rFonts w:asciiTheme="minorHAnsi" w:hAnsiTheme="minorHAnsi"/>
          <w:bCs/>
          <w:snapToGrid w:val="0"/>
        </w:rPr>
        <w:t xml:space="preserve"> (65% vs 85-95% in Australia)</w:t>
      </w:r>
      <w:r w:rsidR="00BC4DBB" w:rsidRPr="0049396B">
        <w:rPr>
          <w:rFonts w:asciiTheme="minorHAnsi" w:hAnsiTheme="minorHAnsi"/>
          <w:bCs/>
          <w:snapToGrid w:val="0"/>
        </w:rPr>
        <w:t xml:space="preserve">. </w:t>
      </w:r>
    </w:p>
    <w:bookmarkEnd w:id="32"/>
    <w:p w14:paraId="04CC20AF" w14:textId="77777777" w:rsidR="003029B7" w:rsidRPr="0049396B" w:rsidRDefault="003029B7" w:rsidP="003029B7">
      <w:pPr>
        <w:pStyle w:val="4-SubsectionHeading"/>
      </w:pPr>
      <w:r w:rsidRPr="0049396B">
        <w:t>Consumer comments</w:t>
      </w:r>
    </w:p>
    <w:p w14:paraId="260E8DA7" w14:textId="4C874031" w:rsidR="003029B7" w:rsidRPr="0049396B" w:rsidRDefault="003029B7" w:rsidP="003029B7">
      <w:pPr>
        <w:widowControl w:val="0"/>
        <w:numPr>
          <w:ilvl w:val="1"/>
          <w:numId w:val="1"/>
        </w:numPr>
        <w:spacing w:after="120"/>
        <w:rPr>
          <w:rFonts w:asciiTheme="minorHAnsi" w:hAnsiTheme="minorHAnsi"/>
          <w:bCs/>
          <w:snapToGrid w:val="0"/>
        </w:rPr>
      </w:pPr>
      <w:bookmarkStart w:id="33" w:name="_Hlk76382618"/>
      <w:r w:rsidRPr="0049396B">
        <w:rPr>
          <w:rFonts w:asciiTheme="minorHAnsi" w:hAnsiTheme="minorHAnsi"/>
          <w:bCs/>
          <w:snapToGrid w:val="0"/>
        </w:rPr>
        <w:t>The PBAC noted and welcomed the input from individuals (</w:t>
      </w:r>
      <w:r w:rsidR="00BC4DBB" w:rsidRPr="0049396B">
        <w:rPr>
          <w:rFonts w:asciiTheme="minorHAnsi" w:hAnsiTheme="minorHAnsi"/>
          <w:bCs/>
          <w:snapToGrid w:val="0"/>
        </w:rPr>
        <w:t>15</w:t>
      </w:r>
      <w:r w:rsidRPr="0049396B">
        <w:rPr>
          <w:rFonts w:asciiTheme="minorHAnsi" w:hAnsiTheme="minorHAnsi"/>
          <w:bCs/>
          <w:snapToGrid w:val="0"/>
        </w:rPr>
        <w:t>)</w:t>
      </w:r>
      <w:r w:rsidR="00BC4DBB" w:rsidRPr="0049396B">
        <w:rPr>
          <w:rFonts w:asciiTheme="minorHAnsi" w:hAnsiTheme="minorHAnsi"/>
          <w:bCs/>
          <w:snapToGrid w:val="0"/>
        </w:rPr>
        <w:t xml:space="preserve"> </w:t>
      </w:r>
      <w:r w:rsidRPr="0049396B">
        <w:rPr>
          <w:rFonts w:asciiTheme="minorHAnsi" w:hAnsiTheme="minorHAnsi"/>
          <w:bCs/>
          <w:snapToGrid w:val="0"/>
        </w:rPr>
        <w:t xml:space="preserve">and organisations (1) via the Consumer Comments facility on the PBS website. The comments </w:t>
      </w:r>
      <w:r w:rsidR="00BC4DBB" w:rsidRPr="0049396B">
        <w:rPr>
          <w:rFonts w:asciiTheme="minorHAnsi" w:hAnsiTheme="minorHAnsi"/>
          <w:bCs/>
          <w:snapToGrid w:val="0"/>
        </w:rPr>
        <w:t xml:space="preserve">from individuals who would like to access edaravone highlighted the anticipated clinical benefit on </w:t>
      </w:r>
      <w:r w:rsidR="0049396B" w:rsidRPr="0049396B">
        <w:rPr>
          <w:rFonts w:asciiTheme="minorHAnsi" w:hAnsiTheme="minorHAnsi"/>
          <w:bCs/>
          <w:snapToGrid w:val="0"/>
        </w:rPr>
        <w:t>patients’</w:t>
      </w:r>
      <w:r w:rsidR="00BC4DBB" w:rsidRPr="0049396B">
        <w:rPr>
          <w:rFonts w:asciiTheme="minorHAnsi" w:hAnsiTheme="minorHAnsi"/>
          <w:bCs/>
          <w:snapToGrid w:val="0"/>
        </w:rPr>
        <w:t xml:space="preserve"> quality of life and life expectancy</w:t>
      </w:r>
      <w:r w:rsidR="00F20C89" w:rsidRPr="0049396B">
        <w:rPr>
          <w:rFonts w:asciiTheme="minorHAnsi" w:hAnsiTheme="minorHAnsi"/>
          <w:bCs/>
          <w:snapToGrid w:val="0"/>
        </w:rPr>
        <w:t>,</w:t>
      </w:r>
      <w:r w:rsidR="00BC4DBB" w:rsidRPr="0049396B">
        <w:rPr>
          <w:rFonts w:asciiTheme="minorHAnsi" w:hAnsiTheme="minorHAnsi"/>
          <w:bCs/>
          <w:snapToGrid w:val="0"/>
        </w:rPr>
        <w:t xml:space="preserve"> with potential additive effects when taken in addition to existing treatments. The comments noted that side effects are expected to be minimal and manageable.</w:t>
      </w:r>
      <w:r w:rsidR="00F20C89" w:rsidRPr="0049396B">
        <w:rPr>
          <w:rFonts w:asciiTheme="minorHAnsi" w:hAnsiTheme="minorHAnsi"/>
          <w:bCs/>
          <w:snapToGrid w:val="0"/>
        </w:rPr>
        <w:t xml:space="preserve"> The comments stated that slowed progression would result in preserved dignity, the ability to contribute to family life </w:t>
      </w:r>
      <w:r w:rsidR="00F20C89" w:rsidRPr="0049396B">
        <w:rPr>
          <w:rFonts w:asciiTheme="minorHAnsi" w:hAnsiTheme="minorHAnsi"/>
          <w:bCs/>
          <w:snapToGrid w:val="0"/>
        </w:rPr>
        <w:lastRenderedPageBreak/>
        <w:t>and social activities. In addition, preservation of mobility and use of hands would improve well-being</w:t>
      </w:r>
      <w:r w:rsidR="00452B7B" w:rsidRPr="0049396B">
        <w:rPr>
          <w:rFonts w:asciiTheme="minorHAnsi" w:hAnsiTheme="minorHAnsi"/>
          <w:bCs/>
          <w:snapToGrid w:val="0"/>
        </w:rPr>
        <w:t xml:space="preserve"> for patients</w:t>
      </w:r>
      <w:r w:rsidR="00F20C89" w:rsidRPr="0049396B">
        <w:rPr>
          <w:rFonts w:asciiTheme="minorHAnsi" w:hAnsiTheme="minorHAnsi"/>
          <w:bCs/>
          <w:snapToGrid w:val="0"/>
        </w:rPr>
        <w:t xml:space="preserve">. Patients noted that edaravone is available in other countries and that the delay in access for Australian patients means that they cannot currently access treatment. Consumers caring for individuals with ALS considered that the possibility of extending </w:t>
      </w:r>
      <w:r w:rsidR="00535D14" w:rsidRPr="0049396B">
        <w:rPr>
          <w:rFonts w:asciiTheme="minorHAnsi" w:hAnsiTheme="minorHAnsi"/>
          <w:bCs/>
          <w:snapToGrid w:val="0"/>
        </w:rPr>
        <w:t>life is highly valued and may allow time for a cure to be found. Other interested individuals added that edaravone would provide a choice of treatment and stated their support for patients with ALS</w:t>
      </w:r>
      <w:r w:rsidR="0049396B">
        <w:rPr>
          <w:rFonts w:asciiTheme="minorHAnsi" w:hAnsiTheme="minorHAnsi"/>
          <w:bCs/>
          <w:snapToGrid w:val="0"/>
        </w:rPr>
        <w:t>.</w:t>
      </w:r>
    </w:p>
    <w:p w14:paraId="175CFC5D" w14:textId="7B5DA72D" w:rsidR="003029B7" w:rsidRPr="0049396B" w:rsidRDefault="003029B7" w:rsidP="003029B7">
      <w:pPr>
        <w:widowControl w:val="0"/>
        <w:numPr>
          <w:ilvl w:val="1"/>
          <w:numId w:val="1"/>
        </w:numPr>
        <w:spacing w:after="120"/>
        <w:rPr>
          <w:rFonts w:asciiTheme="minorHAnsi" w:hAnsiTheme="minorHAnsi"/>
          <w:bCs/>
          <w:snapToGrid w:val="0"/>
        </w:rPr>
      </w:pPr>
      <w:r w:rsidRPr="0049396B">
        <w:rPr>
          <w:rFonts w:asciiTheme="minorHAnsi" w:hAnsiTheme="minorHAnsi"/>
          <w:bCs/>
          <w:snapToGrid w:val="0"/>
        </w:rPr>
        <w:t xml:space="preserve">The PBAC noted the advice received from </w:t>
      </w:r>
      <w:r w:rsidR="00535D14" w:rsidRPr="0049396B">
        <w:rPr>
          <w:rFonts w:asciiTheme="minorHAnsi" w:hAnsiTheme="minorHAnsi"/>
          <w:bCs/>
          <w:snapToGrid w:val="0"/>
        </w:rPr>
        <w:t xml:space="preserve">Motor Neurone Disease Australia regarding ALS and available treatments. </w:t>
      </w:r>
      <w:r w:rsidRPr="0049396B">
        <w:rPr>
          <w:rFonts w:asciiTheme="minorHAnsi" w:hAnsiTheme="minorHAnsi"/>
          <w:bCs/>
          <w:snapToGrid w:val="0"/>
        </w:rPr>
        <w:t xml:space="preserve">The PBAC specifically noted the advice that </w:t>
      </w:r>
      <w:r w:rsidR="00535D14" w:rsidRPr="0049396B">
        <w:rPr>
          <w:rFonts w:asciiTheme="minorHAnsi" w:hAnsiTheme="minorHAnsi"/>
          <w:bCs/>
          <w:snapToGrid w:val="0"/>
        </w:rPr>
        <w:t xml:space="preserve">the prevalence of MND is anticipated to </w:t>
      </w:r>
      <w:r w:rsidR="00BB692F" w:rsidRPr="0049396B">
        <w:rPr>
          <w:rFonts w:asciiTheme="minorHAnsi" w:hAnsiTheme="minorHAnsi"/>
          <w:bCs/>
          <w:snapToGrid w:val="0"/>
        </w:rPr>
        <w:t xml:space="preserve">increase </w:t>
      </w:r>
      <w:r w:rsidR="00535D14" w:rsidRPr="0049396B">
        <w:rPr>
          <w:rFonts w:asciiTheme="minorHAnsi" w:hAnsiTheme="minorHAnsi"/>
          <w:bCs/>
          <w:snapToGrid w:val="0"/>
        </w:rPr>
        <w:t>globally, with a 69% increase forecast in the next 25 years. The comments noted that clinical trial</w:t>
      </w:r>
      <w:r w:rsidR="00BB692F" w:rsidRPr="0049396B">
        <w:rPr>
          <w:rFonts w:asciiTheme="minorHAnsi" w:hAnsiTheme="minorHAnsi"/>
          <w:bCs/>
          <w:snapToGrid w:val="0"/>
        </w:rPr>
        <w:t>s</w:t>
      </w:r>
      <w:r w:rsidR="00535D14" w:rsidRPr="0049396B">
        <w:rPr>
          <w:rFonts w:asciiTheme="minorHAnsi" w:hAnsiTheme="minorHAnsi"/>
          <w:bCs/>
          <w:snapToGrid w:val="0"/>
        </w:rPr>
        <w:t xml:space="preserve"> showed that </w:t>
      </w:r>
      <w:proofErr w:type="spellStart"/>
      <w:r w:rsidR="00535D14" w:rsidRPr="0049396B">
        <w:rPr>
          <w:rFonts w:asciiTheme="minorHAnsi" w:hAnsiTheme="minorHAnsi"/>
          <w:bCs/>
          <w:snapToGrid w:val="0"/>
        </w:rPr>
        <w:t>riluzole</w:t>
      </w:r>
      <w:proofErr w:type="spellEnd"/>
      <w:r w:rsidR="00535D14" w:rsidRPr="0049396B">
        <w:rPr>
          <w:rFonts w:asciiTheme="minorHAnsi" w:hAnsiTheme="minorHAnsi"/>
          <w:bCs/>
          <w:snapToGrid w:val="0"/>
        </w:rPr>
        <w:t xml:space="preserve"> slowed disease progression </w:t>
      </w:r>
      <w:r w:rsidR="00777C2B" w:rsidRPr="0049396B">
        <w:rPr>
          <w:rFonts w:asciiTheme="minorHAnsi" w:hAnsiTheme="minorHAnsi"/>
          <w:bCs/>
          <w:snapToGrid w:val="0"/>
        </w:rPr>
        <w:t xml:space="preserve">by 2-3 months, however real-world data indicated that survival benefit is greater, </w:t>
      </w:r>
      <w:r w:rsidR="00833DB7" w:rsidRPr="0049396B">
        <w:rPr>
          <w:rFonts w:asciiTheme="minorHAnsi" w:hAnsiTheme="minorHAnsi"/>
          <w:bCs/>
          <w:snapToGrid w:val="0"/>
        </w:rPr>
        <w:t>with</w:t>
      </w:r>
      <w:r w:rsidR="00777C2B" w:rsidRPr="0049396B">
        <w:rPr>
          <w:rFonts w:asciiTheme="minorHAnsi" w:hAnsiTheme="minorHAnsi"/>
          <w:bCs/>
          <w:snapToGrid w:val="0"/>
        </w:rPr>
        <w:t xml:space="preserve"> </w:t>
      </w:r>
      <w:r w:rsidR="00BB692F" w:rsidRPr="0049396B">
        <w:rPr>
          <w:rFonts w:asciiTheme="minorHAnsi" w:hAnsiTheme="minorHAnsi"/>
          <w:bCs/>
          <w:snapToGrid w:val="0"/>
        </w:rPr>
        <w:t xml:space="preserve">a </w:t>
      </w:r>
      <w:r w:rsidR="00777C2B" w:rsidRPr="0049396B">
        <w:rPr>
          <w:rFonts w:asciiTheme="minorHAnsi" w:hAnsiTheme="minorHAnsi"/>
          <w:bCs/>
          <w:snapToGrid w:val="0"/>
        </w:rPr>
        <w:t>6-19 months</w:t>
      </w:r>
      <w:r w:rsidR="00833DB7" w:rsidRPr="0049396B">
        <w:rPr>
          <w:rFonts w:asciiTheme="minorHAnsi" w:hAnsiTheme="minorHAnsi"/>
          <w:bCs/>
          <w:snapToGrid w:val="0"/>
        </w:rPr>
        <w:t xml:space="preserve"> survival benefit</w:t>
      </w:r>
      <w:r w:rsidR="00C01DA5">
        <w:rPr>
          <w:rStyle w:val="FootnoteReference"/>
          <w:rFonts w:asciiTheme="minorHAnsi" w:hAnsiTheme="minorHAnsi"/>
          <w:bCs/>
          <w:snapToGrid w:val="0"/>
        </w:rPr>
        <w:footnoteReference w:id="13"/>
      </w:r>
      <w:r w:rsidR="00777C2B" w:rsidRPr="0049396B">
        <w:rPr>
          <w:rFonts w:asciiTheme="minorHAnsi" w:hAnsiTheme="minorHAnsi"/>
          <w:bCs/>
          <w:snapToGrid w:val="0"/>
        </w:rPr>
        <w:t xml:space="preserve">. The comments noted that </w:t>
      </w:r>
      <w:r w:rsidR="00833DB7" w:rsidRPr="0049396B">
        <w:rPr>
          <w:rFonts w:asciiTheme="minorHAnsi" w:hAnsiTheme="minorHAnsi"/>
          <w:bCs/>
          <w:snapToGrid w:val="0"/>
        </w:rPr>
        <w:t xml:space="preserve">patients in Australian have accessed edaravone through special access schemes and </w:t>
      </w:r>
      <w:r w:rsidR="00777C2B" w:rsidRPr="0049396B">
        <w:rPr>
          <w:rFonts w:asciiTheme="minorHAnsi" w:hAnsiTheme="minorHAnsi"/>
          <w:bCs/>
          <w:snapToGrid w:val="0"/>
        </w:rPr>
        <w:t xml:space="preserve">edaravone has been demonstrated to have clinical benefit with minimal safety concerns. </w:t>
      </w:r>
    </w:p>
    <w:bookmarkEnd w:id="30"/>
    <w:bookmarkEnd w:id="33"/>
    <w:p w14:paraId="3AEEB6BE" w14:textId="77777777" w:rsidR="00F572A3" w:rsidRPr="0049396B" w:rsidRDefault="00F572A3" w:rsidP="00F572A3">
      <w:pPr>
        <w:pStyle w:val="4-SubsectionHeading"/>
      </w:pPr>
      <w:r w:rsidRPr="0049396B">
        <w:t>Clinical trials</w:t>
      </w:r>
      <w:bookmarkEnd w:id="29"/>
      <w:bookmarkEnd w:id="31"/>
    </w:p>
    <w:p w14:paraId="72E570B6" w14:textId="52E36162" w:rsidR="00F572A3" w:rsidRPr="0049396B" w:rsidRDefault="00F572A3" w:rsidP="00F572A3">
      <w:pPr>
        <w:pStyle w:val="3-BodyText"/>
      </w:pPr>
      <w:r w:rsidRPr="0049396B">
        <w:t xml:space="preserve">The submission was based on three randomised controlled trials (RCTs) comparing edaravone plus SOC with or without </w:t>
      </w:r>
      <w:proofErr w:type="spellStart"/>
      <w:r w:rsidRPr="0049396B">
        <w:t>riluzole</w:t>
      </w:r>
      <w:proofErr w:type="spellEnd"/>
      <w:r w:rsidRPr="0049396B">
        <w:t xml:space="preserve"> versus placebo plus SOC with or without </w:t>
      </w:r>
      <w:proofErr w:type="spellStart"/>
      <w:r w:rsidRPr="0049396B">
        <w:t>riluzole</w:t>
      </w:r>
      <w:proofErr w:type="spellEnd"/>
      <w:r w:rsidRPr="0049396B">
        <w:t xml:space="preserve"> (Study 16, Study 17 and Study 19) and one RCT comparing edaravone plus </w:t>
      </w:r>
      <w:proofErr w:type="spellStart"/>
      <w:r w:rsidRPr="0049396B">
        <w:t>riluzole</w:t>
      </w:r>
      <w:proofErr w:type="spellEnd"/>
      <w:r w:rsidRPr="0049396B">
        <w:t xml:space="preserve"> versus </w:t>
      </w:r>
      <w:proofErr w:type="spellStart"/>
      <w:r w:rsidRPr="0049396B">
        <w:t>riluzole</w:t>
      </w:r>
      <w:proofErr w:type="spellEnd"/>
      <w:r w:rsidRPr="0049396B">
        <w:t xml:space="preserve"> alone (</w:t>
      </w:r>
      <w:proofErr w:type="spellStart"/>
      <w:r w:rsidRPr="0049396B">
        <w:t>Samadhiya</w:t>
      </w:r>
      <w:proofErr w:type="spellEnd"/>
      <w:r w:rsidRPr="0049396B">
        <w:t xml:space="preserve"> 2022) in ALS patients. Details of the </w:t>
      </w:r>
      <w:r w:rsidR="007418A9" w:rsidRPr="0049396B">
        <w:t>trials</w:t>
      </w:r>
      <w:r w:rsidRPr="0049396B">
        <w:t xml:space="preserve"> presented in the submission are provided in </w:t>
      </w:r>
      <w:r w:rsidRPr="0049396B">
        <w:fldChar w:fldCharType="begin" w:fldLock="1"/>
      </w:r>
      <w:r w:rsidRPr="0049396B">
        <w:instrText xml:space="preserve"> REF _Ref144727319 \h </w:instrText>
      </w:r>
      <w:r w:rsidRPr="0049396B">
        <w:fldChar w:fldCharType="separate"/>
      </w:r>
      <w:r w:rsidR="00041148" w:rsidRPr="0049396B">
        <w:t>Table 3</w:t>
      </w:r>
      <w:r w:rsidRPr="0049396B">
        <w:fldChar w:fldCharType="end"/>
      </w:r>
      <w:r w:rsidRPr="0049396B">
        <w:t>.</w:t>
      </w:r>
    </w:p>
    <w:p w14:paraId="6721E037" w14:textId="7A536BB5" w:rsidR="00F572A3" w:rsidRPr="0049396B" w:rsidRDefault="00F572A3" w:rsidP="0068547D">
      <w:pPr>
        <w:pStyle w:val="TableFigureHeading"/>
      </w:pPr>
      <w:bookmarkStart w:id="34" w:name="_Ref144727319"/>
      <w:r w:rsidRPr="0049396B">
        <w:lastRenderedPageBreak/>
        <w:t xml:space="preserve">Table </w:t>
      </w:r>
      <w:r w:rsidR="001C0AB9">
        <w:fldChar w:fldCharType="begin" w:fldLock="1"/>
      </w:r>
      <w:r w:rsidR="001C0AB9">
        <w:instrText xml:space="preserve"> SEQ Table \* ARABIC </w:instrText>
      </w:r>
      <w:r w:rsidR="001C0AB9">
        <w:fldChar w:fldCharType="separate"/>
      </w:r>
      <w:r w:rsidR="00B41026" w:rsidRPr="0049396B">
        <w:t>3</w:t>
      </w:r>
      <w:r w:rsidR="001C0AB9">
        <w:fldChar w:fldCharType="end"/>
      </w:r>
      <w:bookmarkEnd w:id="34"/>
      <w:r w:rsidRPr="0049396B">
        <w:t>:</w:t>
      </w:r>
      <w:r w:rsidRPr="0049396B">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59"/>
        <w:gridCol w:w="5939"/>
        <w:gridCol w:w="1919"/>
      </w:tblGrid>
      <w:tr w:rsidR="00F572A3" w:rsidRPr="0049396B" w14:paraId="7D1137C9" w14:textId="77777777" w:rsidTr="00EB254E">
        <w:trPr>
          <w:tblHeader/>
        </w:trPr>
        <w:tc>
          <w:tcPr>
            <w:tcW w:w="643" w:type="pct"/>
            <w:vAlign w:val="center"/>
          </w:tcPr>
          <w:p w14:paraId="19A37F9D" w14:textId="77777777" w:rsidR="00F572A3" w:rsidRPr="0049396B" w:rsidRDefault="00F572A3" w:rsidP="00EB254E">
            <w:pPr>
              <w:pStyle w:val="In-tableHeading"/>
              <w:rPr>
                <w:lang w:val="en-AU"/>
              </w:rPr>
            </w:pPr>
            <w:r w:rsidRPr="0049396B">
              <w:rPr>
                <w:lang w:val="en-AU"/>
              </w:rPr>
              <w:t>Trial ID</w:t>
            </w:r>
          </w:p>
        </w:tc>
        <w:tc>
          <w:tcPr>
            <w:tcW w:w="3293" w:type="pct"/>
            <w:vAlign w:val="center"/>
          </w:tcPr>
          <w:p w14:paraId="30637783" w14:textId="77777777" w:rsidR="00F572A3" w:rsidRPr="0049396B" w:rsidRDefault="00F572A3" w:rsidP="00EB254E">
            <w:pPr>
              <w:pStyle w:val="In-tableHeading"/>
              <w:rPr>
                <w:lang w:val="en-AU"/>
              </w:rPr>
            </w:pPr>
            <w:r w:rsidRPr="0049396B">
              <w:rPr>
                <w:lang w:val="en-AU"/>
              </w:rPr>
              <w:t>Protocol title/ Publication title</w:t>
            </w:r>
          </w:p>
        </w:tc>
        <w:tc>
          <w:tcPr>
            <w:tcW w:w="1064" w:type="pct"/>
            <w:vAlign w:val="center"/>
          </w:tcPr>
          <w:p w14:paraId="72ECAF62" w14:textId="77777777" w:rsidR="00F572A3" w:rsidRPr="0049396B" w:rsidRDefault="00F572A3" w:rsidP="00EB254E">
            <w:pPr>
              <w:pStyle w:val="In-tableHeading"/>
              <w:rPr>
                <w:lang w:val="en-AU"/>
              </w:rPr>
            </w:pPr>
            <w:r w:rsidRPr="0049396B">
              <w:rPr>
                <w:lang w:val="en-AU"/>
              </w:rPr>
              <w:t>Publication citation</w:t>
            </w:r>
          </w:p>
        </w:tc>
      </w:tr>
      <w:tr w:rsidR="00F572A3" w:rsidRPr="0049396B" w14:paraId="51F748C3" w14:textId="77777777" w:rsidTr="00EB254E">
        <w:trPr>
          <w:tblHeader/>
        </w:trPr>
        <w:tc>
          <w:tcPr>
            <w:tcW w:w="5000" w:type="pct"/>
            <w:gridSpan w:val="3"/>
            <w:vAlign w:val="center"/>
          </w:tcPr>
          <w:p w14:paraId="18961D85" w14:textId="77777777" w:rsidR="00F572A3" w:rsidRPr="0049396B" w:rsidRDefault="00F572A3" w:rsidP="00EB254E">
            <w:pPr>
              <w:pStyle w:val="In-tableHeading"/>
              <w:rPr>
                <w:lang w:val="en-AU"/>
              </w:rPr>
            </w:pPr>
            <w:r w:rsidRPr="0049396B">
              <w:rPr>
                <w:lang w:val="en-AU"/>
              </w:rPr>
              <w:t>EDA ± RLZ vs PBO ± RLZ (main evidence)</w:t>
            </w:r>
          </w:p>
        </w:tc>
      </w:tr>
      <w:tr w:rsidR="00F572A3" w:rsidRPr="0049396B" w14:paraId="4FA143B9" w14:textId="77777777" w:rsidTr="00EB254E">
        <w:tc>
          <w:tcPr>
            <w:tcW w:w="643" w:type="pct"/>
            <w:vMerge w:val="restart"/>
            <w:vAlign w:val="center"/>
          </w:tcPr>
          <w:p w14:paraId="16AF4BB1" w14:textId="77777777" w:rsidR="00F572A3" w:rsidRPr="0049396B" w:rsidRDefault="00F572A3" w:rsidP="00EB254E">
            <w:pPr>
              <w:pStyle w:val="TableText0"/>
            </w:pPr>
            <w:r w:rsidRPr="0049396B">
              <w:t>Study 16</w:t>
            </w:r>
          </w:p>
          <w:p w14:paraId="5DF77986" w14:textId="77777777" w:rsidR="00F572A3" w:rsidRPr="0049396B" w:rsidRDefault="00F572A3" w:rsidP="00EB254E">
            <w:pPr>
              <w:pStyle w:val="TableText0"/>
            </w:pPr>
            <w:r w:rsidRPr="0049396B">
              <w:t>(MC186-16)</w:t>
            </w:r>
          </w:p>
          <w:p w14:paraId="79FDFAAB" w14:textId="77777777" w:rsidR="00F572A3" w:rsidRPr="0049396B" w:rsidRDefault="00F572A3" w:rsidP="00EB254E">
            <w:pPr>
              <w:pStyle w:val="TableText0"/>
            </w:pPr>
            <w:r w:rsidRPr="0049396B">
              <w:t>NCT00330681</w:t>
            </w:r>
          </w:p>
        </w:tc>
        <w:tc>
          <w:tcPr>
            <w:tcW w:w="3293" w:type="pct"/>
            <w:tcBorders>
              <w:bottom w:val="nil"/>
            </w:tcBorders>
            <w:vAlign w:val="center"/>
          </w:tcPr>
          <w:p w14:paraId="1F866F07" w14:textId="77777777" w:rsidR="00F572A3" w:rsidRPr="0049396B" w:rsidRDefault="00F572A3" w:rsidP="00EB254E">
            <w:pPr>
              <w:pStyle w:val="TableText0"/>
              <w:rPr>
                <w:szCs w:val="18"/>
              </w:rPr>
            </w:pPr>
            <w:r w:rsidRPr="0049396B">
              <w:rPr>
                <w:szCs w:val="18"/>
              </w:rPr>
              <w:t>Mitsubishi Tanabe Pharma Corporation. MCI-186-16: A Double-Blind, parallel-group, placebo-controlled, phase III confirmatory study of MCI-186 (Edaravone) for the treatment of amyotrophic lateral sclerosis, Mitsubishi Tanabe Pharma Corporation.</w:t>
            </w:r>
          </w:p>
        </w:tc>
        <w:tc>
          <w:tcPr>
            <w:tcW w:w="1064" w:type="pct"/>
            <w:tcBorders>
              <w:bottom w:val="nil"/>
            </w:tcBorders>
            <w:vAlign w:val="center"/>
          </w:tcPr>
          <w:p w14:paraId="035E3198" w14:textId="77777777" w:rsidR="00F572A3" w:rsidRPr="0049396B" w:rsidRDefault="00F572A3" w:rsidP="00EB254E">
            <w:pPr>
              <w:pStyle w:val="TableText0"/>
            </w:pPr>
            <w:r w:rsidRPr="0049396B">
              <w:t>2016</w:t>
            </w:r>
          </w:p>
        </w:tc>
      </w:tr>
      <w:tr w:rsidR="00F572A3" w:rsidRPr="0049396B" w14:paraId="26CBDE77" w14:textId="77777777" w:rsidTr="00EB254E">
        <w:trPr>
          <w:trHeight w:val="435"/>
        </w:trPr>
        <w:tc>
          <w:tcPr>
            <w:tcW w:w="643" w:type="pct"/>
            <w:vMerge/>
            <w:vAlign w:val="center"/>
          </w:tcPr>
          <w:p w14:paraId="78AFF030" w14:textId="77777777" w:rsidR="00F572A3" w:rsidRPr="0049396B" w:rsidRDefault="00F572A3" w:rsidP="00EB254E">
            <w:pPr>
              <w:pStyle w:val="TableText0"/>
            </w:pPr>
          </w:p>
        </w:tc>
        <w:tc>
          <w:tcPr>
            <w:tcW w:w="3293" w:type="pct"/>
            <w:tcBorders>
              <w:top w:val="nil"/>
              <w:bottom w:val="nil"/>
            </w:tcBorders>
            <w:vAlign w:val="center"/>
          </w:tcPr>
          <w:p w14:paraId="109E556E" w14:textId="77777777" w:rsidR="00F572A3" w:rsidRPr="0049396B" w:rsidRDefault="00F572A3" w:rsidP="00EB254E">
            <w:pPr>
              <w:pStyle w:val="TableText0"/>
              <w:rPr>
                <w:szCs w:val="18"/>
              </w:rPr>
            </w:pPr>
            <w:r w:rsidRPr="0049396B">
              <w:rPr>
                <w:szCs w:val="18"/>
              </w:rPr>
              <w:t xml:space="preserve">Abe, K, </w:t>
            </w:r>
            <w:proofErr w:type="spellStart"/>
            <w:r w:rsidRPr="0049396B">
              <w:rPr>
                <w:szCs w:val="18"/>
              </w:rPr>
              <w:t>Itoyama</w:t>
            </w:r>
            <w:proofErr w:type="spellEnd"/>
            <w:r w:rsidRPr="0049396B">
              <w:rPr>
                <w:szCs w:val="18"/>
              </w:rPr>
              <w:t>, Y, et al. Confirmatory double-blind, parallel-group, placebo-controlled study of efficacy and safety of edaravone (MCI-186) in amyotrophic lateral sclerosis patients.</w:t>
            </w:r>
          </w:p>
        </w:tc>
        <w:tc>
          <w:tcPr>
            <w:tcW w:w="1064" w:type="pct"/>
            <w:tcBorders>
              <w:top w:val="nil"/>
              <w:bottom w:val="nil"/>
            </w:tcBorders>
            <w:vAlign w:val="center"/>
          </w:tcPr>
          <w:p w14:paraId="25401755" w14:textId="77777777" w:rsidR="00F572A3" w:rsidRPr="0049396B" w:rsidRDefault="00F572A3" w:rsidP="00EB254E">
            <w:pPr>
              <w:pStyle w:val="TableText0"/>
              <w:rPr>
                <w:szCs w:val="18"/>
              </w:rPr>
            </w:pPr>
            <w:proofErr w:type="spellStart"/>
            <w:r w:rsidRPr="0049396B">
              <w:rPr>
                <w:szCs w:val="18"/>
              </w:rPr>
              <w:t>Amyotroph</w:t>
            </w:r>
            <w:proofErr w:type="spellEnd"/>
            <w:r w:rsidRPr="0049396B">
              <w:rPr>
                <w:szCs w:val="18"/>
              </w:rPr>
              <w:t xml:space="preserve"> Lateral </w:t>
            </w:r>
            <w:proofErr w:type="spellStart"/>
            <w:r w:rsidRPr="0049396B">
              <w:rPr>
                <w:szCs w:val="18"/>
              </w:rPr>
              <w:t>Scler</w:t>
            </w:r>
            <w:proofErr w:type="spellEnd"/>
            <w:r w:rsidRPr="0049396B">
              <w:rPr>
                <w:szCs w:val="18"/>
              </w:rPr>
              <w:t xml:space="preserve"> Frontotemporal </w:t>
            </w:r>
            <w:proofErr w:type="spellStart"/>
            <w:r w:rsidRPr="0049396B">
              <w:rPr>
                <w:szCs w:val="18"/>
              </w:rPr>
              <w:t>Degener</w:t>
            </w:r>
            <w:proofErr w:type="spellEnd"/>
            <w:r w:rsidRPr="0049396B">
              <w:rPr>
                <w:szCs w:val="18"/>
              </w:rPr>
              <w:t xml:space="preserve"> 2014; 15(7-8): 610-617</w:t>
            </w:r>
          </w:p>
        </w:tc>
      </w:tr>
      <w:tr w:rsidR="00F572A3" w:rsidRPr="0049396B" w14:paraId="069D7817" w14:textId="77777777" w:rsidTr="00EB254E">
        <w:trPr>
          <w:trHeight w:val="435"/>
        </w:trPr>
        <w:tc>
          <w:tcPr>
            <w:tcW w:w="643" w:type="pct"/>
            <w:vMerge/>
            <w:vAlign w:val="center"/>
          </w:tcPr>
          <w:p w14:paraId="762232C0" w14:textId="77777777" w:rsidR="00F572A3" w:rsidRPr="0049396B" w:rsidRDefault="00F572A3" w:rsidP="00EB254E">
            <w:pPr>
              <w:pStyle w:val="TableText0"/>
            </w:pPr>
          </w:p>
        </w:tc>
        <w:tc>
          <w:tcPr>
            <w:tcW w:w="3293" w:type="pct"/>
            <w:tcBorders>
              <w:top w:val="nil"/>
            </w:tcBorders>
            <w:vAlign w:val="center"/>
          </w:tcPr>
          <w:p w14:paraId="1901E072" w14:textId="391F98C8" w:rsidR="00F572A3" w:rsidRPr="0049396B" w:rsidRDefault="00350640" w:rsidP="00EB254E">
            <w:pPr>
              <w:pStyle w:val="TableText0"/>
              <w:rPr>
                <w:szCs w:val="18"/>
              </w:rPr>
            </w:pPr>
            <w:r w:rsidRPr="0049396B">
              <w:rPr>
                <w:szCs w:val="18"/>
              </w:rPr>
              <w:t xml:space="preserve">Edaravone </w:t>
            </w:r>
            <w:r w:rsidR="00F572A3" w:rsidRPr="0049396B">
              <w:rPr>
                <w:szCs w:val="18"/>
              </w:rPr>
              <w:t>(MCI-186) ALS 16 study Group. A post-hoc subgroup analysis of outcomes in the first phase III clinical study of edaravone (MCI-186) in amyotrophic lateral sclerosis.</w:t>
            </w:r>
          </w:p>
        </w:tc>
        <w:tc>
          <w:tcPr>
            <w:tcW w:w="1064" w:type="pct"/>
            <w:tcBorders>
              <w:top w:val="nil"/>
            </w:tcBorders>
            <w:vAlign w:val="center"/>
          </w:tcPr>
          <w:p w14:paraId="780C3014" w14:textId="77777777" w:rsidR="00F572A3" w:rsidRPr="0049396B" w:rsidRDefault="00F572A3" w:rsidP="00EB254E">
            <w:pPr>
              <w:pStyle w:val="TableText0"/>
              <w:rPr>
                <w:szCs w:val="18"/>
              </w:rPr>
            </w:pPr>
            <w:proofErr w:type="spellStart"/>
            <w:r w:rsidRPr="0049396B">
              <w:rPr>
                <w:szCs w:val="18"/>
              </w:rPr>
              <w:t>Amyotroph</w:t>
            </w:r>
            <w:proofErr w:type="spellEnd"/>
            <w:r w:rsidRPr="0049396B">
              <w:rPr>
                <w:szCs w:val="18"/>
              </w:rPr>
              <w:t xml:space="preserve"> Lateral </w:t>
            </w:r>
            <w:proofErr w:type="spellStart"/>
            <w:r w:rsidRPr="0049396B">
              <w:rPr>
                <w:szCs w:val="18"/>
              </w:rPr>
              <w:t>Scler</w:t>
            </w:r>
            <w:proofErr w:type="spellEnd"/>
            <w:r w:rsidRPr="0049396B">
              <w:rPr>
                <w:szCs w:val="18"/>
              </w:rPr>
              <w:t xml:space="preserve"> Frontotemporal </w:t>
            </w:r>
            <w:proofErr w:type="spellStart"/>
            <w:r w:rsidRPr="0049396B">
              <w:rPr>
                <w:szCs w:val="18"/>
              </w:rPr>
              <w:t>Degener</w:t>
            </w:r>
            <w:proofErr w:type="spellEnd"/>
            <w:r w:rsidRPr="0049396B">
              <w:rPr>
                <w:szCs w:val="18"/>
              </w:rPr>
              <w:t xml:space="preserve"> 2017; 18(sup1): 11-19</w:t>
            </w:r>
          </w:p>
        </w:tc>
      </w:tr>
      <w:tr w:rsidR="00F572A3" w:rsidRPr="0049396B" w14:paraId="1C7488B8" w14:textId="77777777" w:rsidTr="00EB254E">
        <w:tc>
          <w:tcPr>
            <w:tcW w:w="643" w:type="pct"/>
            <w:vMerge w:val="restart"/>
            <w:vAlign w:val="center"/>
          </w:tcPr>
          <w:p w14:paraId="6214B18B" w14:textId="77777777" w:rsidR="00F572A3" w:rsidRPr="0049396B" w:rsidRDefault="00F572A3" w:rsidP="00EB254E">
            <w:pPr>
              <w:pStyle w:val="TableText0"/>
            </w:pPr>
            <w:r w:rsidRPr="0049396B">
              <w:t>Study 17</w:t>
            </w:r>
          </w:p>
          <w:p w14:paraId="4EEBFB42" w14:textId="77777777" w:rsidR="00F572A3" w:rsidRPr="0049396B" w:rsidRDefault="00F572A3" w:rsidP="00EB254E">
            <w:pPr>
              <w:pStyle w:val="TableText0"/>
            </w:pPr>
            <w:r w:rsidRPr="0049396B">
              <w:t>(MCI186-17)</w:t>
            </w:r>
          </w:p>
          <w:p w14:paraId="4E13040B" w14:textId="77777777" w:rsidR="00F572A3" w:rsidRPr="0049396B" w:rsidRDefault="00F572A3" w:rsidP="00EB254E">
            <w:pPr>
              <w:pStyle w:val="TableText0"/>
            </w:pPr>
            <w:r w:rsidRPr="0049396B">
              <w:t>extension to MCI186-16</w:t>
            </w:r>
          </w:p>
          <w:p w14:paraId="4A8EF782" w14:textId="77777777" w:rsidR="00F572A3" w:rsidRPr="0049396B" w:rsidRDefault="00F572A3" w:rsidP="00EB254E">
            <w:pPr>
              <w:pStyle w:val="TableText0"/>
            </w:pPr>
            <w:r w:rsidRPr="0049396B">
              <w:t>NCT00424463</w:t>
            </w:r>
          </w:p>
        </w:tc>
        <w:tc>
          <w:tcPr>
            <w:tcW w:w="3293" w:type="pct"/>
            <w:tcBorders>
              <w:bottom w:val="nil"/>
            </w:tcBorders>
            <w:vAlign w:val="center"/>
          </w:tcPr>
          <w:p w14:paraId="69BA0413" w14:textId="77777777" w:rsidR="00F572A3" w:rsidRPr="0049396B" w:rsidRDefault="00F572A3" w:rsidP="00EB254E">
            <w:pPr>
              <w:pStyle w:val="TableText0"/>
            </w:pPr>
            <w:r w:rsidRPr="0049396B">
              <w:t>Mitsubishi Tanabe Pharma Corporation. MCI-186-17: A Double-Blind, parallel-group, placebo-controlled, phase III confirmatory study of MCI-186 (Edaravone) for the treatment of amyotrophic lateral sclerosis (extension study), Mitsubishi Tanabe Pharma Corporation.</w:t>
            </w:r>
          </w:p>
        </w:tc>
        <w:tc>
          <w:tcPr>
            <w:tcW w:w="1064" w:type="pct"/>
            <w:tcBorders>
              <w:bottom w:val="nil"/>
            </w:tcBorders>
            <w:vAlign w:val="center"/>
          </w:tcPr>
          <w:p w14:paraId="203B428B" w14:textId="77777777" w:rsidR="00F572A3" w:rsidRPr="0049396B" w:rsidRDefault="00F572A3" w:rsidP="00EB254E">
            <w:pPr>
              <w:pStyle w:val="TableText0"/>
            </w:pPr>
            <w:r w:rsidRPr="0049396B">
              <w:t>2016</w:t>
            </w:r>
          </w:p>
        </w:tc>
      </w:tr>
      <w:tr w:rsidR="00F572A3" w:rsidRPr="0049396B" w14:paraId="23E95132" w14:textId="77777777" w:rsidTr="00EB254E">
        <w:trPr>
          <w:trHeight w:val="501"/>
        </w:trPr>
        <w:tc>
          <w:tcPr>
            <w:tcW w:w="643" w:type="pct"/>
            <w:vMerge/>
            <w:vAlign w:val="center"/>
          </w:tcPr>
          <w:p w14:paraId="3DADB37D" w14:textId="77777777" w:rsidR="00F572A3" w:rsidRPr="0049396B" w:rsidRDefault="00F572A3" w:rsidP="00EB254E">
            <w:pPr>
              <w:pStyle w:val="TableText0"/>
            </w:pPr>
          </w:p>
        </w:tc>
        <w:tc>
          <w:tcPr>
            <w:tcW w:w="3293" w:type="pct"/>
            <w:tcBorders>
              <w:top w:val="nil"/>
            </w:tcBorders>
            <w:vAlign w:val="center"/>
          </w:tcPr>
          <w:p w14:paraId="4BCBA889" w14:textId="77777777" w:rsidR="00F572A3" w:rsidRPr="0049396B" w:rsidRDefault="00F572A3" w:rsidP="00EB254E">
            <w:pPr>
              <w:pStyle w:val="TableText0"/>
              <w:rPr>
                <w:szCs w:val="18"/>
              </w:rPr>
            </w:pPr>
            <w:r w:rsidRPr="0049396B">
              <w:rPr>
                <w:szCs w:val="18"/>
              </w:rPr>
              <w:t>The Writing Group. Exploratory double-blind, parallel-group, placebo-controlled extension study of edaravone (MCI-186) in amyotrophic lateral sclerosis.</w:t>
            </w:r>
          </w:p>
        </w:tc>
        <w:tc>
          <w:tcPr>
            <w:tcW w:w="1064" w:type="pct"/>
            <w:tcBorders>
              <w:top w:val="nil"/>
            </w:tcBorders>
            <w:vAlign w:val="center"/>
          </w:tcPr>
          <w:p w14:paraId="5F0D7FB6" w14:textId="77777777" w:rsidR="00F572A3" w:rsidRPr="0049396B" w:rsidRDefault="00F572A3" w:rsidP="00EB254E">
            <w:pPr>
              <w:pStyle w:val="TableText0"/>
              <w:rPr>
                <w:i/>
              </w:rPr>
            </w:pPr>
            <w:proofErr w:type="spellStart"/>
            <w:r w:rsidRPr="0049396B">
              <w:rPr>
                <w:szCs w:val="18"/>
              </w:rPr>
              <w:t>Amyotroph</w:t>
            </w:r>
            <w:proofErr w:type="spellEnd"/>
            <w:r w:rsidRPr="0049396B">
              <w:rPr>
                <w:szCs w:val="18"/>
              </w:rPr>
              <w:t xml:space="preserve"> Lateral </w:t>
            </w:r>
            <w:proofErr w:type="spellStart"/>
            <w:r w:rsidRPr="0049396B">
              <w:rPr>
                <w:szCs w:val="18"/>
              </w:rPr>
              <w:t>Scler</w:t>
            </w:r>
            <w:proofErr w:type="spellEnd"/>
            <w:r w:rsidRPr="0049396B">
              <w:rPr>
                <w:szCs w:val="18"/>
              </w:rPr>
              <w:t xml:space="preserve"> Frontotemporal </w:t>
            </w:r>
            <w:proofErr w:type="spellStart"/>
            <w:r w:rsidRPr="0049396B">
              <w:rPr>
                <w:szCs w:val="18"/>
              </w:rPr>
              <w:t>Degener</w:t>
            </w:r>
            <w:proofErr w:type="spellEnd"/>
            <w:r w:rsidRPr="0049396B">
              <w:rPr>
                <w:szCs w:val="18"/>
              </w:rPr>
              <w:t xml:space="preserve"> 2017; 18(sup1): 20-31</w:t>
            </w:r>
          </w:p>
        </w:tc>
      </w:tr>
      <w:tr w:rsidR="00F572A3" w:rsidRPr="0049396B" w14:paraId="12B13F85" w14:textId="77777777" w:rsidTr="00EB254E">
        <w:tc>
          <w:tcPr>
            <w:tcW w:w="643" w:type="pct"/>
            <w:vMerge w:val="restart"/>
            <w:vAlign w:val="center"/>
          </w:tcPr>
          <w:p w14:paraId="48DCAA1B" w14:textId="77777777" w:rsidR="00F572A3" w:rsidRPr="0049396B" w:rsidRDefault="00F572A3" w:rsidP="00EB254E">
            <w:pPr>
              <w:pStyle w:val="TableText0"/>
            </w:pPr>
            <w:r w:rsidRPr="0049396B">
              <w:t>Study 19</w:t>
            </w:r>
          </w:p>
          <w:p w14:paraId="54769776" w14:textId="77777777" w:rsidR="00F572A3" w:rsidRPr="0049396B" w:rsidRDefault="00F572A3" w:rsidP="00EB254E">
            <w:pPr>
              <w:pStyle w:val="TableText0"/>
            </w:pPr>
            <w:r w:rsidRPr="0049396B">
              <w:t>(MCI186-19)</w:t>
            </w:r>
          </w:p>
          <w:p w14:paraId="649D78E9" w14:textId="77777777" w:rsidR="00F572A3" w:rsidRPr="0049396B" w:rsidRDefault="00F572A3" w:rsidP="00EB254E">
            <w:pPr>
              <w:pStyle w:val="TableText0"/>
            </w:pPr>
            <w:r w:rsidRPr="0049396B">
              <w:t>NCT01492686</w:t>
            </w:r>
          </w:p>
        </w:tc>
        <w:tc>
          <w:tcPr>
            <w:tcW w:w="3293" w:type="pct"/>
            <w:tcBorders>
              <w:bottom w:val="nil"/>
            </w:tcBorders>
            <w:vAlign w:val="center"/>
          </w:tcPr>
          <w:p w14:paraId="083463D5" w14:textId="77777777" w:rsidR="00F572A3" w:rsidRPr="0049396B" w:rsidRDefault="00F572A3" w:rsidP="00EB254E">
            <w:pPr>
              <w:pStyle w:val="TableText0"/>
            </w:pPr>
            <w:r w:rsidRPr="0049396B">
              <w:t>Mitsubishi Tanabe Pharma Corporation. MCI-186-19: A phase III, double-blind, parallel-group study of Edaravone (MCI-186) for treatment of amyotrophic lateral sclerosis (second confirmatory study), Mitsubishi Tanabe Pharma Corporation</w:t>
            </w:r>
          </w:p>
        </w:tc>
        <w:tc>
          <w:tcPr>
            <w:tcW w:w="1064" w:type="pct"/>
            <w:tcBorders>
              <w:bottom w:val="nil"/>
            </w:tcBorders>
            <w:vAlign w:val="center"/>
          </w:tcPr>
          <w:p w14:paraId="5CE6860B" w14:textId="77777777" w:rsidR="00F572A3" w:rsidRPr="0049396B" w:rsidRDefault="00F572A3" w:rsidP="00EB254E">
            <w:pPr>
              <w:pStyle w:val="TableText0"/>
            </w:pPr>
            <w:r w:rsidRPr="0049396B">
              <w:t>2016</w:t>
            </w:r>
          </w:p>
        </w:tc>
      </w:tr>
      <w:tr w:rsidR="00F572A3" w:rsidRPr="0049396B" w14:paraId="7E725F7D" w14:textId="77777777" w:rsidTr="00EB254E">
        <w:trPr>
          <w:trHeight w:val="698"/>
        </w:trPr>
        <w:tc>
          <w:tcPr>
            <w:tcW w:w="643" w:type="pct"/>
            <w:vMerge/>
            <w:vAlign w:val="center"/>
          </w:tcPr>
          <w:p w14:paraId="34DE9DE5" w14:textId="77777777" w:rsidR="00F572A3" w:rsidRPr="0049396B" w:rsidRDefault="00F572A3" w:rsidP="00EB254E">
            <w:pPr>
              <w:pStyle w:val="TableText0"/>
            </w:pPr>
          </w:p>
        </w:tc>
        <w:tc>
          <w:tcPr>
            <w:tcW w:w="3293" w:type="pct"/>
            <w:tcBorders>
              <w:top w:val="nil"/>
            </w:tcBorders>
            <w:vAlign w:val="center"/>
          </w:tcPr>
          <w:p w14:paraId="5B5C2618" w14:textId="77777777" w:rsidR="00F572A3" w:rsidRPr="0049396B" w:rsidRDefault="00F572A3" w:rsidP="00EB254E">
            <w:pPr>
              <w:pStyle w:val="TableText0"/>
              <w:rPr>
                <w:szCs w:val="18"/>
              </w:rPr>
            </w:pPr>
            <w:r w:rsidRPr="0049396B">
              <w:rPr>
                <w:szCs w:val="18"/>
              </w:rPr>
              <w:t xml:space="preserve">The Writing Group. Safety and efficacy of edaravone in </w:t>
            </w:r>
            <w:proofErr w:type="spellStart"/>
            <w:r w:rsidRPr="0049396B">
              <w:rPr>
                <w:szCs w:val="18"/>
              </w:rPr>
              <w:t>well defined</w:t>
            </w:r>
            <w:proofErr w:type="spellEnd"/>
            <w:r w:rsidRPr="0049396B">
              <w:rPr>
                <w:szCs w:val="18"/>
              </w:rPr>
              <w:t xml:space="preserve"> patients with amyotrophic lateral sclerosis: a randomised, double-blind, placebo-controlled trial.</w:t>
            </w:r>
          </w:p>
        </w:tc>
        <w:tc>
          <w:tcPr>
            <w:tcW w:w="1064" w:type="pct"/>
            <w:tcBorders>
              <w:top w:val="nil"/>
            </w:tcBorders>
            <w:vAlign w:val="center"/>
          </w:tcPr>
          <w:p w14:paraId="792E40A1" w14:textId="77777777" w:rsidR="00F572A3" w:rsidRPr="0049396B" w:rsidRDefault="00F572A3" w:rsidP="00EB254E">
            <w:pPr>
              <w:pStyle w:val="TableText0"/>
            </w:pPr>
            <w:r w:rsidRPr="0049396B">
              <w:rPr>
                <w:szCs w:val="18"/>
              </w:rPr>
              <w:t>Lancet Neurol 2017; 16(7): 505-512</w:t>
            </w:r>
          </w:p>
        </w:tc>
      </w:tr>
      <w:tr w:rsidR="00F572A3" w:rsidRPr="0049396B" w14:paraId="6EC1BA64" w14:textId="77777777" w:rsidTr="00EB254E">
        <w:tc>
          <w:tcPr>
            <w:tcW w:w="643" w:type="pct"/>
            <w:tcBorders>
              <w:top w:val="nil"/>
              <w:bottom w:val="single" w:sz="4" w:space="0" w:color="auto"/>
            </w:tcBorders>
            <w:vAlign w:val="center"/>
          </w:tcPr>
          <w:p w14:paraId="04C63A1F" w14:textId="77777777" w:rsidR="00F572A3" w:rsidRPr="0049396B" w:rsidRDefault="00F572A3" w:rsidP="00EB254E">
            <w:pPr>
              <w:pStyle w:val="TableText0"/>
            </w:pPr>
            <w:r w:rsidRPr="0049396B">
              <w:t>Studies MCI186-16, 17 and 19</w:t>
            </w:r>
          </w:p>
        </w:tc>
        <w:tc>
          <w:tcPr>
            <w:tcW w:w="3293" w:type="pct"/>
            <w:tcBorders>
              <w:top w:val="nil"/>
              <w:bottom w:val="single" w:sz="4" w:space="0" w:color="auto"/>
            </w:tcBorders>
            <w:vAlign w:val="center"/>
          </w:tcPr>
          <w:p w14:paraId="43B0668B" w14:textId="77777777" w:rsidR="00F572A3" w:rsidRPr="0049396B" w:rsidRDefault="00F572A3" w:rsidP="00EB254E">
            <w:pPr>
              <w:pStyle w:val="TableText0"/>
              <w:rPr>
                <w:szCs w:val="18"/>
              </w:rPr>
            </w:pPr>
            <w:r w:rsidRPr="0049396B">
              <w:rPr>
                <w:szCs w:val="18"/>
              </w:rPr>
              <w:t>Takahashi, F, Kano, O, et al. Associations between the ALSFRS-R score and urate levels during 12 months of edaravone treatment for amyotrophic lateral sclerosis: Post hoc analysis of ALSFRS-R scores in clinical studies MCI186-16, MCI186-17, and MCI186-19.</w:t>
            </w:r>
          </w:p>
        </w:tc>
        <w:tc>
          <w:tcPr>
            <w:tcW w:w="1064" w:type="pct"/>
            <w:tcBorders>
              <w:top w:val="nil"/>
              <w:bottom w:val="single" w:sz="4" w:space="0" w:color="auto"/>
            </w:tcBorders>
            <w:vAlign w:val="center"/>
          </w:tcPr>
          <w:p w14:paraId="615AAD93" w14:textId="77777777" w:rsidR="00F572A3" w:rsidRPr="0049396B" w:rsidRDefault="00F572A3" w:rsidP="00EB254E">
            <w:pPr>
              <w:pStyle w:val="TableText0"/>
            </w:pPr>
            <w:r w:rsidRPr="0049396B">
              <w:rPr>
                <w:szCs w:val="18"/>
              </w:rPr>
              <w:t>Muscle and Nerve 2022; 66(5): 593-602.</w:t>
            </w:r>
          </w:p>
        </w:tc>
      </w:tr>
      <w:tr w:rsidR="00F572A3" w:rsidRPr="0049396B" w14:paraId="593E6155" w14:textId="77777777" w:rsidTr="00EB254E">
        <w:tc>
          <w:tcPr>
            <w:tcW w:w="5000" w:type="pct"/>
            <w:gridSpan w:val="3"/>
            <w:tcBorders>
              <w:top w:val="single" w:sz="4" w:space="0" w:color="auto"/>
              <w:bottom w:val="nil"/>
            </w:tcBorders>
            <w:vAlign w:val="center"/>
          </w:tcPr>
          <w:p w14:paraId="19186DF0" w14:textId="77777777" w:rsidR="00F572A3" w:rsidRPr="0049396B" w:rsidRDefault="00F572A3" w:rsidP="00EB254E">
            <w:pPr>
              <w:pStyle w:val="TableText0"/>
              <w:rPr>
                <w:b/>
                <w:szCs w:val="18"/>
              </w:rPr>
            </w:pPr>
            <w:r w:rsidRPr="0049396B">
              <w:rPr>
                <w:b/>
              </w:rPr>
              <w:t>EDA + RLZ vs RLZ (supplementary evidence)</w:t>
            </w:r>
          </w:p>
        </w:tc>
      </w:tr>
      <w:tr w:rsidR="00F572A3" w:rsidRPr="0049396B" w14:paraId="0470189D" w14:textId="77777777" w:rsidTr="00EB254E">
        <w:trPr>
          <w:trHeight w:val="698"/>
        </w:trPr>
        <w:tc>
          <w:tcPr>
            <w:tcW w:w="643" w:type="pct"/>
            <w:tcBorders>
              <w:top w:val="single" w:sz="4" w:space="0" w:color="auto"/>
              <w:bottom w:val="single" w:sz="4" w:space="0" w:color="auto"/>
            </w:tcBorders>
            <w:vAlign w:val="center"/>
          </w:tcPr>
          <w:p w14:paraId="4928EF37" w14:textId="77777777" w:rsidR="00F572A3" w:rsidRPr="0049396B" w:rsidRDefault="00F572A3" w:rsidP="00EB254E">
            <w:pPr>
              <w:pStyle w:val="TableText0"/>
            </w:pPr>
            <w:proofErr w:type="spellStart"/>
            <w:r w:rsidRPr="0049396B">
              <w:t>Samadhiya</w:t>
            </w:r>
            <w:proofErr w:type="spellEnd"/>
            <w:r w:rsidRPr="0049396B">
              <w:t xml:space="preserve"> 2022</w:t>
            </w:r>
          </w:p>
        </w:tc>
        <w:tc>
          <w:tcPr>
            <w:tcW w:w="3293" w:type="pct"/>
            <w:tcBorders>
              <w:top w:val="single" w:sz="4" w:space="0" w:color="auto"/>
              <w:bottom w:val="single" w:sz="4" w:space="0" w:color="auto"/>
            </w:tcBorders>
            <w:vAlign w:val="center"/>
          </w:tcPr>
          <w:p w14:paraId="426DFC0E" w14:textId="77777777" w:rsidR="00F572A3" w:rsidRPr="0049396B" w:rsidRDefault="00F572A3" w:rsidP="00EB254E">
            <w:pPr>
              <w:pStyle w:val="TableText0"/>
              <w:rPr>
                <w:szCs w:val="18"/>
              </w:rPr>
            </w:pPr>
            <w:proofErr w:type="spellStart"/>
            <w:r w:rsidRPr="0049396B">
              <w:rPr>
                <w:szCs w:val="18"/>
              </w:rPr>
              <w:t>Samadhiya</w:t>
            </w:r>
            <w:proofErr w:type="spellEnd"/>
            <w:r w:rsidRPr="0049396B">
              <w:rPr>
                <w:szCs w:val="18"/>
              </w:rPr>
              <w:t xml:space="preserve">, S, Sardana, V, et al. Assessment of Therapeutic Response of Edaravone and </w:t>
            </w:r>
            <w:proofErr w:type="spellStart"/>
            <w:r w:rsidRPr="0049396B">
              <w:rPr>
                <w:szCs w:val="18"/>
              </w:rPr>
              <w:t>Riluzole</w:t>
            </w:r>
            <w:proofErr w:type="spellEnd"/>
            <w:r w:rsidRPr="0049396B">
              <w:rPr>
                <w:szCs w:val="18"/>
              </w:rPr>
              <w:t xml:space="preserve"> Combination Therapy in Amyotrophic Lateral Sclerosis Patients.</w:t>
            </w:r>
          </w:p>
        </w:tc>
        <w:tc>
          <w:tcPr>
            <w:tcW w:w="1064" w:type="pct"/>
            <w:tcBorders>
              <w:top w:val="single" w:sz="4" w:space="0" w:color="auto"/>
              <w:bottom w:val="single" w:sz="4" w:space="0" w:color="auto"/>
            </w:tcBorders>
            <w:vAlign w:val="center"/>
          </w:tcPr>
          <w:p w14:paraId="106B6E38" w14:textId="77777777" w:rsidR="00F572A3" w:rsidRPr="0049396B" w:rsidRDefault="00F572A3" w:rsidP="00EB254E">
            <w:pPr>
              <w:pStyle w:val="TableText0"/>
              <w:rPr>
                <w:szCs w:val="18"/>
              </w:rPr>
            </w:pPr>
            <w:r w:rsidRPr="0049396B">
              <w:rPr>
                <w:szCs w:val="18"/>
              </w:rPr>
              <w:t xml:space="preserve">Ann Indian </w:t>
            </w:r>
            <w:proofErr w:type="spellStart"/>
            <w:r w:rsidRPr="0049396B">
              <w:rPr>
                <w:szCs w:val="18"/>
              </w:rPr>
              <w:t>Acad</w:t>
            </w:r>
            <w:proofErr w:type="spellEnd"/>
            <w:r w:rsidRPr="0049396B">
              <w:rPr>
                <w:szCs w:val="18"/>
              </w:rPr>
              <w:t xml:space="preserve"> Neurol 2022; 25(4): 692-697</w:t>
            </w:r>
          </w:p>
        </w:tc>
      </w:tr>
    </w:tbl>
    <w:p w14:paraId="5B6CF056" w14:textId="77777777" w:rsidR="00F572A3" w:rsidRPr="0049396B" w:rsidRDefault="00F572A3" w:rsidP="00F572A3">
      <w:pPr>
        <w:pStyle w:val="FooterTableFigure"/>
      </w:pPr>
      <w:r w:rsidRPr="0049396B">
        <w:t>Source: Table 2-5, pp32-34 of the submission.</w:t>
      </w:r>
    </w:p>
    <w:p w14:paraId="7D4D0102" w14:textId="77777777" w:rsidR="00F572A3" w:rsidRPr="0049396B" w:rsidRDefault="00F572A3" w:rsidP="00F572A3">
      <w:pPr>
        <w:pStyle w:val="FooterTableFigure"/>
        <w:rPr>
          <w:szCs w:val="18"/>
        </w:rPr>
      </w:pPr>
      <w:r w:rsidRPr="0049396B">
        <w:rPr>
          <w:szCs w:val="18"/>
        </w:rPr>
        <w:t>EDA=edaravone; PBO=placebo; RLZ=</w:t>
      </w:r>
      <w:proofErr w:type="spellStart"/>
      <w:r w:rsidRPr="0049396B">
        <w:rPr>
          <w:szCs w:val="18"/>
        </w:rPr>
        <w:t>riluzole</w:t>
      </w:r>
      <w:proofErr w:type="spellEnd"/>
      <w:r w:rsidRPr="0049396B">
        <w:rPr>
          <w:szCs w:val="18"/>
        </w:rPr>
        <w:t>;</w:t>
      </w:r>
    </w:p>
    <w:p w14:paraId="0E2CADE7" w14:textId="18340A1B" w:rsidR="00F572A3" w:rsidRPr="0049396B" w:rsidRDefault="00F572A3" w:rsidP="00F572A3">
      <w:pPr>
        <w:pStyle w:val="3-BodyText"/>
      </w:pPr>
      <w:r w:rsidRPr="0049396B">
        <w:t xml:space="preserve">The key features of the trials are summarised in </w:t>
      </w:r>
      <w:r w:rsidRPr="0049396B">
        <w:fldChar w:fldCharType="begin" w:fldLock="1"/>
      </w:r>
      <w:r w:rsidRPr="0049396B">
        <w:instrText xml:space="preserve"> REF _Ref144727370 \h </w:instrText>
      </w:r>
      <w:r w:rsidRPr="0049396B">
        <w:fldChar w:fldCharType="separate"/>
      </w:r>
      <w:r w:rsidR="00041148" w:rsidRPr="0049396B">
        <w:t>Table 4</w:t>
      </w:r>
      <w:r w:rsidRPr="0049396B">
        <w:fldChar w:fldCharType="end"/>
      </w:r>
      <w:r w:rsidRPr="0049396B">
        <w:t>.</w:t>
      </w:r>
    </w:p>
    <w:p w14:paraId="63183A47" w14:textId="69F42278" w:rsidR="00F572A3" w:rsidRPr="0049396B" w:rsidRDefault="00F572A3" w:rsidP="007E4A08">
      <w:pPr>
        <w:pStyle w:val="TableFigureHeading"/>
        <w:keepLines/>
        <w:rPr>
          <w:rStyle w:val="CommentReference"/>
          <w:b/>
          <w:szCs w:val="24"/>
        </w:rPr>
      </w:pPr>
      <w:bookmarkStart w:id="35" w:name="_Ref144727370"/>
      <w:r w:rsidRPr="0049396B">
        <w:lastRenderedPageBreak/>
        <w:t xml:space="preserve">Table </w:t>
      </w:r>
      <w:r w:rsidR="001C0AB9">
        <w:fldChar w:fldCharType="begin" w:fldLock="1"/>
      </w:r>
      <w:r w:rsidR="001C0AB9">
        <w:instrText xml:space="preserve"> SEQ Table \* ARABIC </w:instrText>
      </w:r>
      <w:r w:rsidR="001C0AB9">
        <w:fldChar w:fldCharType="separate"/>
      </w:r>
      <w:r w:rsidR="00B41026" w:rsidRPr="0049396B">
        <w:t>4</w:t>
      </w:r>
      <w:r w:rsidR="001C0AB9">
        <w:fldChar w:fldCharType="end"/>
      </w:r>
      <w:bookmarkEnd w:id="35"/>
      <w:r w:rsidRPr="0049396B">
        <w:t>:</w:t>
      </w:r>
      <w:r w:rsidRPr="0049396B">
        <w:rPr>
          <w:rStyle w:val="CommentReference"/>
          <w:b/>
          <w:szCs w:val="24"/>
        </w:rPr>
        <w:t xml:space="preserve">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68"/>
        <w:gridCol w:w="408"/>
        <w:gridCol w:w="1472"/>
        <w:gridCol w:w="840"/>
        <w:gridCol w:w="1380"/>
        <w:gridCol w:w="1868"/>
        <w:gridCol w:w="1556"/>
        <w:gridCol w:w="525"/>
      </w:tblGrid>
      <w:tr w:rsidR="00F572A3" w:rsidRPr="0049396B" w14:paraId="373354DB" w14:textId="77777777" w:rsidTr="00EB254E">
        <w:trPr>
          <w:tblHeader/>
        </w:trPr>
        <w:tc>
          <w:tcPr>
            <w:tcW w:w="537" w:type="pct"/>
            <w:shd w:val="clear" w:color="auto" w:fill="auto"/>
            <w:vAlign w:val="center"/>
          </w:tcPr>
          <w:p w14:paraId="33809AF2" w14:textId="77777777" w:rsidR="00F572A3" w:rsidRPr="0049396B" w:rsidRDefault="00F572A3" w:rsidP="007E4A08">
            <w:pPr>
              <w:pStyle w:val="In-tableHeading"/>
              <w:keepLines/>
              <w:rPr>
                <w:lang w:val="en-AU"/>
              </w:rPr>
            </w:pPr>
            <w:r w:rsidRPr="0049396B">
              <w:rPr>
                <w:lang w:val="en-AU"/>
              </w:rPr>
              <w:t>Trial</w:t>
            </w:r>
          </w:p>
        </w:tc>
        <w:tc>
          <w:tcPr>
            <w:tcW w:w="226" w:type="pct"/>
            <w:shd w:val="clear" w:color="auto" w:fill="auto"/>
            <w:vAlign w:val="center"/>
          </w:tcPr>
          <w:p w14:paraId="67C517FE" w14:textId="77777777" w:rsidR="00F572A3" w:rsidRPr="0049396B" w:rsidRDefault="00F572A3" w:rsidP="007E4A08">
            <w:pPr>
              <w:pStyle w:val="In-tableHeading"/>
              <w:keepLines/>
              <w:jc w:val="center"/>
              <w:rPr>
                <w:lang w:val="en-AU"/>
              </w:rPr>
            </w:pPr>
            <w:r w:rsidRPr="0049396B">
              <w:rPr>
                <w:lang w:val="en-AU"/>
              </w:rPr>
              <w:t>N</w:t>
            </w:r>
          </w:p>
        </w:tc>
        <w:tc>
          <w:tcPr>
            <w:tcW w:w="816" w:type="pct"/>
            <w:shd w:val="clear" w:color="auto" w:fill="auto"/>
            <w:vAlign w:val="center"/>
          </w:tcPr>
          <w:p w14:paraId="0F366290" w14:textId="77777777" w:rsidR="00F572A3" w:rsidRPr="0049396B" w:rsidRDefault="00F572A3" w:rsidP="007E4A08">
            <w:pPr>
              <w:pStyle w:val="In-tableHeading"/>
              <w:keepLines/>
              <w:jc w:val="center"/>
              <w:rPr>
                <w:lang w:val="en-AU"/>
              </w:rPr>
            </w:pPr>
            <w:r w:rsidRPr="0049396B">
              <w:rPr>
                <w:lang w:val="en-AU"/>
              </w:rPr>
              <w:t>Design/ duration</w:t>
            </w:r>
          </w:p>
        </w:tc>
        <w:tc>
          <w:tcPr>
            <w:tcW w:w="466" w:type="pct"/>
            <w:shd w:val="clear" w:color="auto" w:fill="auto"/>
            <w:vAlign w:val="center"/>
          </w:tcPr>
          <w:p w14:paraId="346FE862" w14:textId="77777777" w:rsidR="00F572A3" w:rsidRPr="0049396B" w:rsidRDefault="00F572A3" w:rsidP="007E4A08">
            <w:pPr>
              <w:pStyle w:val="In-tableHeading"/>
              <w:keepLines/>
              <w:jc w:val="center"/>
              <w:rPr>
                <w:lang w:val="en-AU"/>
              </w:rPr>
            </w:pPr>
            <w:r w:rsidRPr="0049396B">
              <w:rPr>
                <w:lang w:val="en-AU"/>
              </w:rPr>
              <w:t>Bias</w:t>
            </w:r>
          </w:p>
        </w:tc>
        <w:tc>
          <w:tcPr>
            <w:tcW w:w="765" w:type="pct"/>
            <w:vAlign w:val="center"/>
          </w:tcPr>
          <w:p w14:paraId="4432C8AD" w14:textId="77777777" w:rsidR="00F572A3" w:rsidRPr="0049396B" w:rsidRDefault="00F572A3" w:rsidP="007E4A08">
            <w:pPr>
              <w:pStyle w:val="In-tableHeading"/>
              <w:keepLines/>
              <w:jc w:val="center"/>
              <w:rPr>
                <w:lang w:val="en-AU"/>
              </w:rPr>
            </w:pPr>
            <w:r w:rsidRPr="0049396B">
              <w:rPr>
                <w:lang w:val="en-AU"/>
              </w:rPr>
              <w:t>Treatment arms</w:t>
            </w:r>
          </w:p>
        </w:tc>
        <w:tc>
          <w:tcPr>
            <w:tcW w:w="1036" w:type="pct"/>
            <w:shd w:val="clear" w:color="auto" w:fill="auto"/>
            <w:vAlign w:val="center"/>
          </w:tcPr>
          <w:p w14:paraId="6B495CDA" w14:textId="77777777" w:rsidR="00F572A3" w:rsidRPr="0049396B" w:rsidRDefault="00F572A3" w:rsidP="007E4A08">
            <w:pPr>
              <w:pStyle w:val="In-tableHeading"/>
              <w:keepLines/>
              <w:jc w:val="center"/>
              <w:rPr>
                <w:lang w:val="en-AU"/>
              </w:rPr>
            </w:pPr>
            <w:r w:rsidRPr="0049396B">
              <w:rPr>
                <w:lang w:val="en-AU"/>
              </w:rPr>
              <w:t>Population</w:t>
            </w:r>
          </w:p>
        </w:tc>
        <w:tc>
          <w:tcPr>
            <w:tcW w:w="863" w:type="pct"/>
            <w:shd w:val="clear" w:color="auto" w:fill="auto"/>
            <w:vAlign w:val="center"/>
          </w:tcPr>
          <w:p w14:paraId="787C0663" w14:textId="77777777" w:rsidR="00F572A3" w:rsidRPr="0049396B" w:rsidRDefault="00F572A3" w:rsidP="007E4A08">
            <w:pPr>
              <w:pStyle w:val="In-tableHeading"/>
              <w:keepLines/>
              <w:jc w:val="center"/>
              <w:rPr>
                <w:lang w:val="en-AU"/>
              </w:rPr>
            </w:pPr>
            <w:r w:rsidRPr="0049396B">
              <w:rPr>
                <w:lang w:val="en-AU"/>
              </w:rPr>
              <w:t>Outcome(s)</w:t>
            </w:r>
          </w:p>
        </w:tc>
        <w:tc>
          <w:tcPr>
            <w:tcW w:w="291" w:type="pct"/>
            <w:shd w:val="clear" w:color="auto" w:fill="auto"/>
            <w:vAlign w:val="center"/>
          </w:tcPr>
          <w:p w14:paraId="490DF315" w14:textId="77777777" w:rsidR="00F572A3" w:rsidRPr="0049396B" w:rsidRDefault="00F572A3" w:rsidP="007E4A08">
            <w:pPr>
              <w:pStyle w:val="In-tableHeading"/>
              <w:keepLines/>
              <w:jc w:val="center"/>
              <w:rPr>
                <w:lang w:val="en-AU"/>
              </w:rPr>
            </w:pPr>
            <w:r w:rsidRPr="0049396B">
              <w:rPr>
                <w:lang w:val="en-AU"/>
              </w:rPr>
              <w:t>S3</w:t>
            </w:r>
          </w:p>
        </w:tc>
      </w:tr>
      <w:tr w:rsidR="00F572A3" w:rsidRPr="0049396B" w14:paraId="2874E41A" w14:textId="77777777" w:rsidTr="00EB254E">
        <w:tc>
          <w:tcPr>
            <w:tcW w:w="5000" w:type="pct"/>
            <w:gridSpan w:val="8"/>
            <w:shd w:val="clear" w:color="auto" w:fill="auto"/>
            <w:vAlign w:val="center"/>
          </w:tcPr>
          <w:p w14:paraId="474B226F" w14:textId="77777777" w:rsidR="00F572A3" w:rsidRPr="0049396B" w:rsidRDefault="00F572A3" w:rsidP="007E4A08">
            <w:pPr>
              <w:pStyle w:val="In-tableHeading"/>
              <w:keepLines/>
              <w:rPr>
                <w:lang w:val="en-AU"/>
              </w:rPr>
            </w:pPr>
            <w:r w:rsidRPr="0049396B">
              <w:rPr>
                <w:lang w:val="en-AU"/>
              </w:rPr>
              <w:t>EDA ± RLZ vs PBO ± RLZ</w:t>
            </w:r>
          </w:p>
        </w:tc>
      </w:tr>
      <w:tr w:rsidR="00F572A3" w:rsidRPr="0049396B" w14:paraId="24A1EA54" w14:textId="77777777" w:rsidTr="00EB254E">
        <w:tc>
          <w:tcPr>
            <w:tcW w:w="537" w:type="pct"/>
            <w:shd w:val="clear" w:color="auto" w:fill="auto"/>
            <w:vAlign w:val="center"/>
          </w:tcPr>
          <w:p w14:paraId="275F82E0" w14:textId="77777777" w:rsidR="00F572A3" w:rsidRPr="0049396B" w:rsidRDefault="00F572A3" w:rsidP="007E4A08">
            <w:pPr>
              <w:pStyle w:val="TableText0"/>
              <w:keepLines/>
            </w:pPr>
            <w:r w:rsidRPr="0049396B">
              <w:t>Study 16</w:t>
            </w:r>
          </w:p>
        </w:tc>
        <w:tc>
          <w:tcPr>
            <w:tcW w:w="226" w:type="pct"/>
            <w:shd w:val="clear" w:color="auto" w:fill="auto"/>
            <w:vAlign w:val="center"/>
          </w:tcPr>
          <w:p w14:paraId="162CA584" w14:textId="77777777" w:rsidR="00F572A3" w:rsidRPr="0049396B" w:rsidRDefault="00F572A3" w:rsidP="007E4A08">
            <w:pPr>
              <w:pStyle w:val="TableText0"/>
              <w:keepLines/>
              <w:jc w:val="center"/>
            </w:pPr>
            <w:r w:rsidRPr="0049396B">
              <w:t>206 (72</w:t>
            </w:r>
            <w:r w:rsidRPr="0049396B">
              <w:rPr>
                <w:vertAlign w:val="superscript"/>
              </w:rPr>
              <w:t>a</w:t>
            </w:r>
            <w:r w:rsidRPr="0049396B">
              <w:t xml:space="preserve">) </w:t>
            </w:r>
          </w:p>
        </w:tc>
        <w:tc>
          <w:tcPr>
            <w:tcW w:w="816" w:type="pct"/>
            <w:shd w:val="clear" w:color="auto" w:fill="auto"/>
            <w:vAlign w:val="center"/>
          </w:tcPr>
          <w:p w14:paraId="49D68022" w14:textId="2DC8A10B" w:rsidR="00F572A3" w:rsidRPr="0049396B" w:rsidRDefault="00F572A3" w:rsidP="007E4A08">
            <w:pPr>
              <w:pStyle w:val="TableText0"/>
              <w:keepLines/>
              <w:jc w:val="center"/>
            </w:pPr>
            <w:r w:rsidRPr="0049396B">
              <w:t>MC</w:t>
            </w:r>
            <w:r w:rsidR="00BB692F" w:rsidRPr="0049396B">
              <w:t>,</w:t>
            </w:r>
            <w:r w:rsidRPr="0049396B">
              <w:t xml:space="preserve"> R, DB, PC,</w:t>
            </w:r>
          </w:p>
          <w:p w14:paraId="44FE879F" w14:textId="77777777" w:rsidR="00F572A3" w:rsidRPr="0049396B" w:rsidRDefault="00F572A3" w:rsidP="007E4A08">
            <w:pPr>
              <w:pStyle w:val="TableText0"/>
              <w:keepLines/>
              <w:jc w:val="center"/>
            </w:pPr>
            <w:r w:rsidRPr="0049396B">
              <w:t>24w (+12w pre-study)</w:t>
            </w:r>
          </w:p>
        </w:tc>
        <w:tc>
          <w:tcPr>
            <w:tcW w:w="466" w:type="pct"/>
            <w:shd w:val="clear" w:color="auto" w:fill="auto"/>
            <w:vAlign w:val="center"/>
          </w:tcPr>
          <w:p w14:paraId="73A5AE7C" w14:textId="77777777" w:rsidR="00F572A3" w:rsidRPr="0049396B" w:rsidRDefault="00F572A3" w:rsidP="007E4A08">
            <w:pPr>
              <w:pStyle w:val="TableText0"/>
              <w:keepLines/>
              <w:jc w:val="center"/>
            </w:pPr>
            <w:r w:rsidRPr="0049396B">
              <w:t>Low</w:t>
            </w:r>
          </w:p>
        </w:tc>
        <w:tc>
          <w:tcPr>
            <w:tcW w:w="765" w:type="pct"/>
            <w:vAlign w:val="center"/>
          </w:tcPr>
          <w:p w14:paraId="3623AF14" w14:textId="77777777" w:rsidR="00F572A3" w:rsidRPr="0049396B" w:rsidRDefault="00F572A3" w:rsidP="007E4A08">
            <w:pPr>
              <w:pStyle w:val="TableText0"/>
              <w:keepLines/>
              <w:jc w:val="center"/>
            </w:pPr>
            <w:r w:rsidRPr="0049396B">
              <w:t>EDA IV 60 mg D</w:t>
            </w:r>
            <w:r w:rsidRPr="0049396B">
              <w:rPr>
                <w:vertAlign w:val="superscript"/>
              </w:rPr>
              <w:t>c</w:t>
            </w:r>
          </w:p>
          <w:p w14:paraId="120058A0" w14:textId="77777777" w:rsidR="00F572A3" w:rsidRPr="0049396B" w:rsidRDefault="00F572A3" w:rsidP="007E4A08">
            <w:pPr>
              <w:pStyle w:val="TableText0"/>
              <w:keepLines/>
              <w:jc w:val="center"/>
            </w:pPr>
            <w:proofErr w:type="spellStart"/>
            <w:r w:rsidRPr="0049396B">
              <w:t>PBO</w:t>
            </w:r>
            <w:r w:rsidRPr="0049396B">
              <w:rPr>
                <w:vertAlign w:val="superscript"/>
              </w:rPr>
              <w:t>c</w:t>
            </w:r>
            <w:proofErr w:type="spellEnd"/>
          </w:p>
        </w:tc>
        <w:tc>
          <w:tcPr>
            <w:tcW w:w="1036" w:type="pct"/>
            <w:shd w:val="clear" w:color="auto" w:fill="auto"/>
            <w:vAlign w:val="center"/>
          </w:tcPr>
          <w:p w14:paraId="3254BB1B" w14:textId="77777777" w:rsidR="00F572A3" w:rsidRPr="0049396B" w:rsidRDefault="00F572A3" w:rsidP="007E4A08">
            <w:pPr>
              <w:pStyle w:val="TableText0"/>
              <w:keepLines/>
              <w:jc w:val="center"/>
            </w:pPr>
            <w:r w:rsidRPr="0049396B">
              <w:t>Definite, probable or probable-laboratory supported ALS^, Grades 1 and 2</w:t>
            </w:r>
            <w:r w:rsidRPr="0049396B">
              <w:rPr>
                <w:vertAlign w:val="superscript"/>
              </w:rPr>
              <w:t>#</w:t>
            </w:r>
            <w:r w:rsidRPr="0049396B">
              <w:t xml:space="preserve"> severity; FVC ≥70%; disease ≤3y</w:t>
            </w:r>
          </w:p>
        </w:tc>
        <w:tc>
          <w:tcPr>
            <w:tcW w:w="863" w:type="pct"/>
            <w:shd w:val="clear" w:color="auto" w:fill="auto"/>
            <w:vAlign w:val="center"/>
          </w:tcPr>
          <w:p w14:paraId="779AD17F" w14:textId="77777777" w:rsidR="00F572A3" w:rsidRPr="0049396B" w:rsidRDefault="00F572A3" w:rsidP="007E4A08">
            <w:pPr>
              <w:pStyle w:val="TableText0"/>
              <w:keepLines/>
              <w:jc w:val="center"/>
            </w:pPr>
            <w:r w:rsidRPr="0049396B">
              <w:t>1°: ALSFRS-R</w:t>
            </w:r>
          </w:p>
          <w:p w14:paraId="0963FB69" w14:textId="77777777" w:rsidR="00F572A3" w:rsidRPr="0049396B" w:rsidRDefault="00F572A3" w:rsidP="007E4A08">
            <w:pPr>
              <w:pStyle w:val="TableText0"/>
              <w:keepLines/>
              <w:jc w:val="center"/>
            </w:pPr>
            <w:r w:rsidRPr="0049396B">
              <w:t>2°: %FVC, MNS, death or state of disease progression</w:t>
            </w:r>
          </w:p>
        </w:tc>
        <w:tc>
          <w:tcPr>
            <w:tcW w:w="291" w:type="pct"/>
            <w:shd w:val="clear" w:color="auto" w:fill="auto"/>
            <w:vAlign w:val="center"/>
          </w:tcPr>
          <w:p w14:paraId="5BB0B1CD" w14:textId="77777777" w:rsidR="00F572A3" w:rsidRPr="0049396B" w:rsidRDefault="00F572A3" w:rsidP="007E4A08">
            <w:pPr>
              <w:pStyle w:val="TableText0"/>
              <w:keepLines/>
              <w:jc w:val="center"/>
            </w:pPr>
            <w:r w:rsidRPr="0049396B">
              <w:t>-</w:t>
            </w:r>
          </w:p>
        </w:tc>
      </w:tr>
      <w:tr w:rsidR="00F572A3" w:rsidRPr="0049396B" w14:paraId="4288B261" w14:textId="77777777" w:rsidTr="00EB254E">
        <w:tc>
          <w:tcPr>
            <w:tcW w:w="537" w:type="pct"/>
            <w:shd w:val="clear" w:color="auto" w:fill="auto"/>
            <w:vAlign w:val="center"/>
          </w:tcPr>
          <w:p w14:paraId="72A75EB8" w14:textId="77777777" w:rsidR="00F572A3" w:rsidRPr="0049396B" w:rsidRDefault="00F572A3" w:rsidP="007E4A08">
            <w:pPr>
              <w:pStyle w:val="TableText0"/>
              <w:keepLines/>
            </w:pPr>
            <w:r w:rsidRPr="0049396B">
              <w:t>Study 17 (Study 16 extension)</w:t>
            </w:r>
          </w:p>
        </w:tc>
        <w:tc>
          <w:tcPr>
            <w:tcW w:w="226" w:type="pct"/>
            <w:shd w:val="clear" w:color="auto" w:fill="auto"/>
            <w:vAlign w:val="center"/>
          </w:tcPr>
          <w:p w14:paraId="19E9C09E" w14:textId="77777777" w:rsidR="00F572A3" w:rsidRPr="0049396B" w:rsidRDefault="00F572A3" w:rsidP="007E4A08">
            <w:pPr>
              <w:pStyle w:val="TableText0"/>
              <w:keepLines/>
              <w:jc w:val="center"/>
            </w:pPr>
            <w:r w:rsidRPr="0049396B">
              <w:t>181</w:t>
            </w:r>
          </w:p>
        </w:tc>
        <w:tc>
          <w:tcPr>
            <w:tcW w:w="816" w:type="pct"/>
            <w:shd w:val="clear" w:color="auto" w:fill="auto"/>
            <w:vAlign w:val="center"/>
          </w:tcPr>
          <w:p w14:paraId="378F25F8" w14:textId="77777777" w:rsidR="00F572A3" w:rsidRPr="0049396B" w:rsidRDefault="00F572A3" w:rsidP="007E4A08">
            <w:pPr>
              <w:pStyle w:val="TableText0"/>
              <w:keepLines/>
              <w:jc w:val="center"/>
            </w:pPr>
            <w:r w:rsidRPr="0049396B">
              <w:t>MC, R, DB, PB,</w:t>
            </w:r>
          </w:p>
          <w:p w14:paraId="09B07A42" w14:textId="77777777" w:rsidR="00F572A3" w:rsidRPr="0049396B" w:rsidRDefault="00F572A3" w:rsidP="007E4A08">
            <w:pPr>
              <w:pStyle w:val="TableText0"/>
              <w:keepLines/>
              <w:jc w:val="center"/>
            </w:pPr>
            <w:r w:rsidRPr="0049396B">
              <w:t>24w</w:t>
            </w:r>
            <w:r w:rsidRPr="0049396B">
              <w:rPr>
                <w:vertAlign w:val="superscript"/>
              </w:rPr>
              <w:t>b</w:t>
            </w:r>
            <w:r w:rsidRPr="0049396B">
              <w:t xml:space="preserve"> +12w OL </w:t>
            </w:r>
          </w:p>
        </w:tc>
        <w:tc>
          <w:tcPr>
            <w:tcW w:w="466" w:type="pct"/>
            <w:shd w:val="clear" w:color="auto" w:fill="auto"/>
            <w:vAlign w:val="center"/>
          </w:tcPr>
          <w:p w14:paraId="524EDD50" w14:textId="77777777" w:rsidR="00F572A3" w:rsidRPr="0049396B" w:rsidRDefault="00F572A3" w:rsidP="007E4A08">
            <w:pPr>
              <w:pStyle w:val="TableText0"/>
              <w:keepLines/>
              <w:jc w:val="center"/>
            </w:pPr>
            <w:r w:rsidRPr="0049396B">
              <w:t>Low</w:t>
            </w:r>
          </w:p>
        </w:tc>
        <w:tc>
          <w:tcPr>
            <w:tcW w:w="765" w:type="pct"/>
            <w:vAlign w:val="center"/>
          </w:tcPr>
          <w:p w14:paraId="368D2DC4" w14:textId="77777777" w:rsidR="00F572A3" w:rsidRPr="0049396B" w:rsidRDefault="00F572A3" w:rsidP="007E4A08">
            <w:pPr>
              <w:pStyle w:val="TableText0"/>
              <w:keepLines/>
              <w:jc w:val="center"/>
            </w:pPr>
            <w:r w:rsidRPr="0049396B">
              <w:t>EDA IV 60 mg D</w:t>
            </w:r>
            <w:r w:rsidRPr="0049396B">
              <w:rPr>
                <w:vertAlign w:val="superscript"/>
              </w:rPr>
              <w:t>c</w:t>
            </w:r>
          </w:p>
          <w:p w14:paraId="61217AAA" w14:textId="77777777" w:rsidR="00F572A3" w:rsidRPr="0049396B" w:rsidRDefault="00F572A3" w:rsidP="007E4A08">
            <w:pPr>
              <w:pStyle w:val="TableText0"/>
              <w:keepLines/>
              <w:jc w:val="center"/>
            </w:pPr>
            <w:proofErr w:type="spellStart"/>
            <w:r w:rsidRPr="0049396B">
              <w:t>PBO</w:t>
            </w:r>
            <w:r w:rsidRPr="0049396B">
              <w:rPr>
                <w:vertAlign w:val="superscript"/>
              </w:rPr>
              <w:t>c</w:t>
            </w:r>
            <w:proofErr w:type="spellEnd"/>
          </w:p>
        </w:tc>
        <w:tc>
          <w:tcPr>
            <w:tcW w:w="1036" w:type="pct"/>
            <w:shd w:val="clear" w:color="auto" w:fill="auto"/>
            <w:vAlign w:val="center"/>
          </w:tcPr>
          <w:p w14:paraId="5C6BAA04" w14:textId="77777777" w:rsidR="00F572A3" w:rsidRPr="0049396B" w:rsidRDefault="00F572A3" w:rsidP="007E4A08">
            <w:pPr>
              <w:pStyle w:val="TableText0"/>
              <w:keepLines/>
              <w:jc w:val="center"/>
            </w:pPr>
            <w:r w:rsidRPr="0049396B">
              <w:t>From Study 16</w:t>
            </w:r>
          </w:p>
        </w:tc>
        <w:tc>
          <w:tcPr>
            <w:tcW w:w="863" w:type="pct"/>
            <w:shd w:val="clear" w:color="auto" w:fill="auto"/>
            <w:vAlign w:val="center"/>
          </w:tcPr>
          <w:p w14:paraId="296648A0" w14:textId="77777777" w:rsidR="00F572A3" w:rsidRPr="0049396B" w:rsidRDefault="00F572A3" w:rsidP="007E4A08">
            <w:pPr>
              <w:pStyle w:val="TableText0"/>
              <w:keepLines/>
              <w:jc w:val="center"/>
            </w:pPr>
            <w:r w:rsidRPr="0049396B">
              <w:t>1°: ALSFRS-R</w:t>
            </w:r>
          </w:p>
          <w:p w14:paraId="53FCEE8D" w14:textId="77777777" w:rsidR="00F572A3" w:rsidRPr="0049396B" w:rsidRDefault="00F572A3" w:rsidP="007E4A08">
            <w:pPr>
              <w:pStyle w:val="TableText0"/>
              <w:keepLines/>
              <w:jc w:val="center"/>
            </w:pPr>
            <w:r w:rsidRPr="0049396B">
              <w:t>2°: %FVC, MNS, death or state of disease progression</w:t>
            </w:r>
          </w:p>
        </w:tc>
        <w:tc>
          <w:tcPr>
            <w:tcW w:w="291" w:type="pct"/>
            <w:shd w:val="clear" w:color="auto" w:fill="auto"/>
            <w:vAlign w:val="center"/>
          </w:tcPr>
          <w:p w14:paraId="29587B8E" w14:textId="77777777" w:rsidR="00F572A3" w:rsidRPr="0049396B" w:rsidRDefault="00F572A3" w:rsidP="007E4A08">
            <w:pPr>
              <w:pStyle w:val="TableText0"/>
              <w:keepLines/>
              <w:jc w:val="center"/>
            </w:pPr>
            <w:r w:rsidRPr="0049396B">
              <w:t>-</w:t>
            </w:r>
          </w:p>
        </w:tc>
      </w:tr>
      <w:tr w:rsidR="00F572A3" w:rsidRPr="0049396B" w14:paraId="455816CA" w14:textId="77777777" w:rsidTr="00EB254E">
        <w:tc>
          <w:tcPr>
            <w:tcW w:w="537" w:type="pct"/>
            <w:shd w:val="clear" w:color="auto" w:fill="auto"/>
            <w:vAlign w:val="center"/>
          </w:tcPr>
          <w:p w14:paraId="11300B22" w14:textId="77777777" w:rsidR="00F572A3" w:rsidRPr="0049396B" w:rsidRDefault="00F572A3" w:rsidP="007E4A08">
            <w:pPr>
              <w:pStyle w:val="TableText0"/>
              <w:keepLines/>
            </w:pPr>
            <w:r w:rsidRPr="0049396B">
              <w:t>Study 19</w:t>
            </w:r>
          </w:p>
        </w:tc>
        <w:tc>
          <w:tcPr>
            <w:tcW w:w="226" w:type="pct"/>
            <w:shd w:val="clear" w:color="auto" w:fill="auto"/>
            <w:vAlign w:val="center"/>
          </w:tcPr>
          <w:p w14:paraId="7B27CD4C" w14:textId="77777777" w:rsidR="00F572A3" w:rsidRPr="0049396B" w:rsidRDefault="00F572A3" w:rsidP="007E4A08">
            <w:pPr>
              <w:pStyle w:val="TableText0"/>
              <w:keepLines/>
              <w:jc w:val="center"/>
            </w:pPr>
            <w:r w:rsidRPr="0049396B">
              <w:t>137</w:t>
            </w:r>
          </w:p>
        </w:tc>
        <w:tc>
          <w:tcPr>
            <w:tcW w:w="816" w:type="pct"/>
            <w:shd w:val="clear" w:color="auto" w:fill="auto"/>
            <w:vAlign w:val="center"/>
          </w:tcPr>
          <w:p w14:paraId="40FBD46C" w14:textId="77777777" w:rsidR="00F572A3" w:rsidRPr="0049396B" w:rsidRDefault="00F572A3" w:rsidP="007E4A08">
            <w:pPr>
              <w:pStyle w:val="TableText0"/>
              <w:keepLines/>
              <w:jc w:val="center"/>
            </w:pPr>
            <w:r w:rsidRPr="0049396B">
              <w:t>MC, R, DB, PB,</w:t>
            </w:r>
          </w:p>
          <w:p w14:paraId="1810F7CC" w14:textId="77777777" w:rsidR="00F572A3" w:rsidRPr="0049396B" w:rsidRDefault="00F572A3" w:rsidP="007E4A08">
            <w:pPr>
              <w:pStyle w:val="TableText0"/>
              <w:keepLines/>
              <w:jc w:val="center"/>
            </w:pPr>
            <w:r w:rsidRPr="0049396B">
              <w:t>24w (+12w pre-study) + 24w OL</w:t>
            </w:r>
          </w:p>
        </w:tc>
        <w:tc>
          <w:tcPr>
            <w:tcW w:w="466" w:type="pct"/>
            <w:shd w:val="clear" w:color="auto" w:fill="auto"/>
            <w:vAlign w:val="center"/>
          </w:tcPr>
          <w:p w14:paraId="5DFF084D" w14:textId="77777777" w:rsidR="00F572A3" w:rsidRPr="0049396B" w:rsidRDefault="00F572A3" w:rsidP="007E4A08">
            <w:pPr>
              <w:pStyle w:val="TableText0"/>
              <w:keepLines/>
              <w:jc w:val="center"/>
            </w:pPr>
            <w:r w:rsidRPr="0049396B">
              <w:t>Low</w:t>
            </w:r>
          </w:p>
        </w:tc>
        <w:tc>
          <w:tcPr>
            <w:tcW w:w="765" w:type="pct"/>
            <w:vAlign w:val="center"/>
          </w:tcPr>
          <w:p w14:paraId="1BEE5ED9" w14:textId="77777777" w:rsidR="00F572A3" w:rsidRPr="0049396B" w:rsidRDefault="00F572A3" w:rsidP="007E4A08">
            <w:pPr>
              <w:pStyle w:val="TableText0"/>
              <w:keepLines/>
              <w:jc w:val="center"/>
            </w:pPr>
            <w:r w:rsidRPr="0049396B">
              <w:t>EDA IV 60 mg D</w:t>
            </w:r>
            <w:r w:rsidRPr="0049396B">
              <w:rPr>
                <w:vertAlign w:val="superscript"/>
              </w:rPr>
              <w:t>c</w:t>
            </w:r>
          </w:p>
          <w:p w14:paraId="22B95B63" w14:textId="77777777" w:rsidR="00F572A3" w:rsidRPr="0049396B" w:rsidRDefault="00F572A3" w:rsidP="007E4A08">
            <w:pPr>
              <w:pStyle w:val="TableText0"/>
              <w:keepLines/>
              <w:jc w:val="center"/>
            </w:pPr>
            <w:proofErr w:type="spellStart"/>
            <w:r w:rsidRPr="0049396B">
              <w:t>PBO</w:t>
            </w:r>
            <w:r w:rsidRPr="0049396B">
              <w:rPr>
                <w:vertAlign w:val="superscript"/>
              </w:rPr>
              <w:t>c</w:t>
            </w:r>
            <w:proofErr w:type="spellEnd"/>
          </w:p>
        </w:tc>
        <w:tc>
          <w:tcPr>
            <w:tcW w:w="1036" w:type="pct"/>
            <w:shd w:val="clear" w:color="auto" w:fill="auto"/>
            <w:vAlign w:val="center"/>
          </w:tcPr>
          <w:p w14:paraId="3BF3B36A" w14:textId="77777777" w:rsidR="00F572A3" w:rsidRPr="0049396B" w:rsidRDefault="00F572A3" w:rsidP="007E4A08">
            <w:pPr>
              <w:pStyle w:val="TableText0"/>
              <w:keepLines/>
              <w:jc w:val="center"/>
            </w:pPr>
            <w:r w:rsidRPr="0049396B">
              <w:t>Definite or probable ALS^, Grades 1 and 2 severity</w:t>
            </w:r>
            <w:r w:rsidRPr="0049396B">
              <w:rPr>
                <w:vertAlign w:val="superscript"/>
              </w:rPr>
              <w:t>#</w:t>
            </w:r>
            <w:r w:rsidRPr="0049396B">
              <w:t>, FVC ≥80%, disease ≤2y, ALSFRS ≥2 all items</w:t>
            </w:r>
          </w:p>
        </w:tc>
        <w:tc>
          <w:tcPr>
            <w:tcW w:w="863" w:type="pct"/>
            <w:shd w:val="clear" w:color="auto" w:fill="auto"/>
            <w:vAlign w:val="center"/>
          </w:tcPr>
          <w:p w14:paraId="0F36CA2B" w14:textId="77777777" w:rsidR="00F572A3" w:rsidRPr="0049396B" w:rsidRDefault="00F572A3" w:rsidP="007E4A08">
            <w:pPr>
              <w:pStyle w:val="TableText0"/>
              <w:keepLines/>
              <w:jc w:val="center"/>
            </w:pPr>
            <w:r w:rsidRPr="0049396B">
              <w:t>1°: ALSFRS-R</w:t>
            </w:r>
          </w:p>
          <w:p w14:paraId="43F6933C" w14:textId="77777777" w:rsidR="00F572A3" w:rsidRPr="0049396B" w:rsidRDefault="00F572A3" w:rsidP="007E4A08">
            <w:pPr>
              <w:pStyle w:val="TableText0"/>
              <w:keepLines/>
              <w:jc w:val="center"/>
            </w:pPr>
            <w:r w:rsidRPr="0049396B">
              <w:t>2°: %FVC, MNS, death or state of disease progression</w:t>
            </w:r>
          </w:p>
        </w:tc>
        <w:tc>
          <w:tcPr>
            <w:tcW w:w="291" w:type="pct"/>
            <w:shd w:val="clear" w:color="auto" w:fill="auto"/>
            <w:vAlign w:val="center"/>
          </w:tcPr>
          <w:p w14:paraId="657B46CD" w14:textId="77777777" w:rsidR="00F572A3" w:rsidRPr="0049396B" w:rsidRDefault="00F572A3" w:rsidP="007E4A08">
            <w:pPr>
              <w:pStyle w:val="TableText0"/>
              <w:keepLines/>
              <w:jc w:val="center"/>
            </w:pPr>
            <w:r w:rsidRPr="0049396B">
              <w:rPr>
                <w:rFonts w:ascii="Wingdings" w:eastAsia="Wingdings" w:hAnsi="Wingdings" w:cs="Wingdings"/>
              </w:rPr>
              <w:sym w:font="Wingdings" w:char="F0FC"/>
            </w:r>
          </w:p>
        </w:tc>
      </w:tr>
      <w:tr w:rsidR="00F572A3" w:rsidRPr="0049396B" w14:paraId="465BF2E3" w14:textId="77777777" w:rsidTr="00EB254E">
        <w:tc>
          <w:tcPr>
            <w:tcW w:w="5000" w:type="pct"/>
            <w:gridSpan w:val="8"/>
            <w:shd w:val="clear" w:color="auto" w:fill="auto"/>
            <w:vAlign w:val="center"/>
          </w:tcPr>
          <w:p w14:paraId="5F6F27EF" w14:textId="77777777" w:rsidR="00F572A3" w:rsidRPr="0049396B" w:rsidRDefault="00F572A3" w:rsidP="007E4A08">
            <w:pPr>
              <w:pStyle w:val="TableText0"/>
              <w:keepLines/>
              <w:rPr>
                <w:b/>
                <w:bCs w:val="0"/>
              </w:rPr>
            </w:pPr>
            <w:r w:rsidRPr="0049396B">
              <w:rPr>
                <w:b/>
                <w:bCs w:val="0"/>
              </w:rPr>
              <w:t>EDA + RLZ vs RLZ</w:t>
            </w:r>
          </w:p>
        </w:tc>
      </w:tr>
      <w:tr w:rsidR="00F572A3" w:rsidRPr="0049396B" w14:paraId="040114BC" w14:textId="77777777" w:rsidTr="00EB254E">
        <w:tc>
          <w:tcPr>
            <w:tcW w:w="537" w:type="pct"/>
            <w:shd w:val="clear" w:color="auto" w:fill="auto"/>
            <w:vAlign w:val="center"/>
          </w:tcPr>
          <w:p w14:paraId="5081B9FE" w14:textId="77777777" w:rsidR="00F572A3" w:rsidRPr="0049396B" w:rsidRDefault="00F572A3" w:rsidP="007E4A08">
            <w:pPr>
              <w:pStyle w:val="TableText0"/>
              <w:keepLines/>
            </w:pPr>
            <w:proofErr w:type="spellStart"/>
            <w:r w:rsidRPr="0049396B">
              <w:t>Samadhiya</w:t>
            </w:r>
            <w:proofErr w:type="spellEnd"/>
            <w:r w:rsidRPr="0049396B">
              <w:t xml:space="preserve"> 2022</w:t>
            </w:r>
          </w:p>
        </w:tc>
        <w:tc>
          <w:tcPr>
            <w:tcW w:w="226" w:type="pct"/>
            <w:shd w:val="clear" w:color="auto" w:fill="auto"/>
            <w:vAlign w:val="center"/>
          </w:tcPr>
          <w:p w14:paraId="1BC922B6" w14:textId="77777777" w:rsidR="00F572A3" w:rsidRPr="0049396B" w:rsidRDefault="00F572A3" w:rsidP="007E4A08">
            <w:pPr>
              <w:pStyle w:val="TableText0"/>
              <w:keepLines/>
              <w:jc w:val="center"/>
            </w:pPr>
            <w:r w:rsidRPr="0049396B">
              <w:t>30</w:t>
            </w:r>
          </w:p>
        </w:tc>
        <w:tc>
          <w:tcPr>
            <w:tcW w:w="816" w:type="pct"/>
            <w:shd w:val="clear" w:color="auto" w:fill="auto"/>
            <w:vAlign w:val="center"/>
          </w:tcPr>
          <w:p w14:paraId="0E456701" w14:textId="77777777" w:rsidR="00F572A3" w:rsidRPr="0049396B" w:rsidRDefault="00F572A3" w:rsidP="007E4A08">
            <w:pPr>
              <w:pStyle w:val="TableText0"/>
              <w:keepLines/>
              <w:jc w:val="center"/>
            </w:pPr>
            <w:r w:rsidRPr="0049396B">
              <w:t>R, parallel, OL,</w:t>
            </w:r>
          </w:p>
          <w:p w14:paraId="178D3E66" w14:textId="77777777" w:rsidR="00F572A3" w:rsidRPr="0049396B" w:rsidRDefault="00F572A3" w:rsidP="007E4A08">
            <w:pPr>
              <w:pStyle w:val="TableText0"/>
              <w:keepLines/>
              <w:jc w:val="center"/>
            </w:pPr>
            <w:r w:rsidRPr="0049396B">
              <w:t>24w</w:t>
            </w:r>
          </w:p>
        </w:tc>
        <w:tc>
          <w:tcPr>
            <w:tcW w:w="466" w:type="pct"/>
            <w:shd w:val="clear" w:color="auto" w:fill="auto"/>
            <w:vAlign w:val="center"/>
          </w:tcPr>
          <w:p w14:paraId="209F88E7" w14:textId="77777777" w:rsidR="00F572A3" w:rsidRPr="0049396B" w:rsidRDefault="00F572A3" w:rsidP="007E4A08">
            <w:pPr>
              <w:pStyle w:val="TableText0"/>
              <w:keepLines/>
              <w:jc w:val="center"/>
            </w:pPr>
            <w:r w:rsidRPr="0049396B">
              <w:t>High</w:t>
            </w:r>
          </w:p>
        </w:tc>
        <w:tc>
          <w:tcPr>
            <w:tcW w:w="765" w:type="pct"/>
            <w:vAlign w:val="center"/>
          </w:tcPr>
          <w:p w14:paraId="2353C216" w14:textId="77777777" w:rsidR="00F572A3" w:rsidRPr="0049396B" w:rsidRDefault="00F572A3" w:rsidP="007E4A08">
            <w:pPr>
              <w:pStyle w:val="TableText0"/>
              <w:keepLines/>
              <w:jc w:val="center"/>
            </w:pPr>
            <w:r w:rsidRPr="0049396B">
              <w:t>RLZ 50 mg BID + EDA 60 mg D</w:t>
            </w:r>
          </w:p>
          <w:p w14:paraId="5F499A5C" w14:textId="77777777" w:rsidR="00F572A3" w:rsidRPr="0049396B" w:rsidRDefault="00F572A3" w:rsidP="007E4A08">
            <w:pPr>
              <w:pStyle w:val="TableText0"/>
              <w:keepLines/>
              <w:jc w:val="center"/>
            </w:pPr>
            <w:r w:rsidRPr="0049396B">
              <w:t>RLZ 50 mg BID</w:t>
            </w:r>
          </w:p>
        </w:tc>
        <w:tc>
          <w:tcPr>
            <w:tcW w:w="1036" w:type="pct"/>
            <w:shd w:val="clear" w:color="auto" w:fill="auto"/>
            <w:vAlign w:val="center"/>
          </w:tcPr>
          <w:p w14:paraId="25B3A97E" w14:textId="77777777" w:rsidR="00F572A3" w:rsidRPr="0049396B" w:rsidRDefault="00F572A3" w:rsidP="007E4A08">
            <w:pPr>
              <w:pStyle w:val="TableText0"/>
              <w:keepLines/>
              <w:jc w:val="center"/>
            </w:pPr>
            <w:r w:rsidRPr="0049396B">
              <w:t>Definite or probable ALS^, FVC ≥80%, disease ≤2y</w:t>
            </w:r>
          </w:p>
        </w:tc>
        <w:tc>
          <w:tcPr>
            <w:tcW w:w="863" w:type="pct"/>
            <w:shd w:val="clear" w:color="auto" w:fill="auto"/>
            <w:vAlign w:val="center"/>
          </w:tcPr>
          <w:p w14:paraId="787A1A17" w14:textId="77777777" w:rsidR="00F572A3" w:rsidRPr="0049396B" w:rsidRDefault="00F572A3" w:rsidP="007E4A08">
            <w:pPr>
              <w:pStyle w:val="TableText0"/>
              <w:keepLines/>
              <w:jc w:val="center"/>
            </w:pPr>
            <w:r w:rsidRPr="0049396B">
              <w:t>ALSFRS-R, serum creatinine</w:t>
            </w:r>
          </w:p>
        </w:tc>
        <w:tc>
          <w:tcPr>
            <w:tcW w:w="291" w:type="pct"/>
            <w:shd w:val="clear" w:color="auto" w:fill="auto"/>
            <w:vAlign w:val="center"/>
          </w:tcPr>
          <w:p w14:paraId="7F47E3F4" w14:textId="77777777" w:rsidR="00F572A3" w:rsidRPr="0049396B" w:rsidRDefault="00F572A3" w:rsidP="007E4A08">
            <w:pPr>
              <w:pStyle w:val="TableText0"/>
              <w:keepLines/>
              <w:jc w:val="center"/>
            </w:pPr>
            <w:r w:rsidRPr="0049396B">
              <w:t>-</w:t>
            </w:r>
          </w:p>
        </w:tc>
      </w:tr>
    </w:tbl>
    <w:p w14:paraId="388524F9" w14:textId="77777777" w:rsidR="00F572A3" w:rsidRPr="0049396B" w:rsidRDefault="00F572A3" w:rsidP="007E4A08">
      <w:pPr>
        <w:pStyle w:val="TableFigureFooter"/>
        <w:keepNext/>
        <w:keepLines/>
      </w:pPr>
      <w:r w:rsidRPr="0049396B">
        <w:t>Source: Sections 32.3.1.1-2.3.1.2, pp38-41 of the submission.</w:t>
      </w:r>
    </w:p>
    <w:p w14:paraId="66E83288" w14:textId="77777777" w:rsidR="00F572A3" w:rsidRPr="0049396B" w:rsidRDefault="00F572A3" w:rsidP="007E4A08">
      <w:pPr>
        <w:pStyle w:val="TableFigureFooter"/>
        <w:keepNext/>
        <w:keepLines/>
      </w:pPr>
      <w:r w:rsidRPr="0049396B">
        <w:t>ALS=amyotrophic lateral sclerosis; ALSFRS-R=ALS Functional Rating Scale - Revised; DB=double blind; EDA=edaravone; FVC=forced vital capacity; MC=multi-centre; MND-NET=Motor Neuron Disease Network; MNS=Modified Norris Scale; OL=open label; OS=overall survival; PBO=placebo; PC=placebo controlled; PRO-ACT=Pooled Resource Open-Access ALS Clinical Trials database; R=randomised; RLZ=</w:t>
      </w:r>
      <w:proofErr w:type="spellStart"/>
      <w:r w:rsidRPr="0049396B">
        <w:t>riluzole</w:t>
      </w:r>
      <w:proofErr w:type="spellEnd"/>
      <w:r w:rsidRPr="0049396B">
        <w:t>; SC=single centre; VHA=Veterans Health Administration database; w=week; y=year; S3=Section 3 of the submission;</w:t>
      </w:r>
    </w:p>
    <w:p w14:paraId="74E76F95" w14:textId="77777777" w:rsidR="00F572A3" w:rsidRPr="0049396B" w:rsidRDefault="00F572A3" w:rsidP="007E4A08">
      <w:pPr>
        <w:pStyle w:val="TableFigureFooter"/>
        <w:keepNext/>
        <w:keepLines/>
      </w:pPr>
      <w:r w:rsidRPr="0049396B">
        <w:t>^</w:t>
      </w:r>
      <w:r w:rsidRPr="0049396B">
        <w:tab/>
        <w:t>El Escorial revised Arlie House diagnostic criteria.</w:t>
      </w:r>
    </w:p>
    <w:p w14:paraId="6DB0A1B6" w14:textId="77777777" w:rsidR="00F572A3" w:rsidRPr="0049396B" w:rsidRDefault="00F572A3" w:rsidP="007E4A08">
      <w:pPr>
        <w:pStyle w:val="TableFigureFooter"/>
        <w:keepNext/>
        <w:keepLines/>
      </w:pPr>
      <w:r w:rsidRPr="0049396B">
        <w:t>#</w:t>
      </w:r>
      <w:r w:rsidRPr="0049396B">
        <w:tab/>
        <w:t>Japanese ALS severity classification.</w:t>
      </w:r>
    </w:p>
    <w:p w14:paraId="2C38A340" w14:textId="77777777" w:rsidR="00F572A3" w:rsidRPr="0049396B" w:rsidRDefault="00F572A3" w:rsidP="007E4A08">
      <w:pPr>
        <w:pStyle w:val="TableFigureFooter"/>
        <w:keepNext/>
        <w:keepLines/>
        <w:ind w:left="165" w:hanging="165"/>
      </w:pPr>
      <w:r w:rsidRPr="0049396B">
        <w:rPr>
          <w:vertAlign w:val="superscript"/>
        </w:rPr>
        <w:t>a</w:t>
      </w:r>
      <w:r w:rsidRPr="0049396B">
        <w:rPr>
          <w:vertAlign w:val="superscript"/>
        </w:rPr>
        <w:tab/>
      </w:r>
      <w:bookmarkStart w:id="36" w:name="_Hlk151711506"/>
      <w:r w:rsidRPr="0049396B">
        <w:t>The submission presented a post hoc analysis in a subgroup (N=72) meeting the dpEESP2y criteria (i.e. definite or probable ALS, efficacy expected subpopulation, within 2 years of ALS onset), ALSFRS ≥2 all items and FVC ≥80%; as supportive evidence for the proposed PBS population.</w:t>
      </w:r>
    </w:p>
    <w:bookmarkEnd w:id="36"/>
    <w:p w14:paraId="13DBA9E4" w14:textId="77777777" w:rsidR="00F572A3" w:rsidRPr="0049396B" w:rsidRDefault="00F572A3" w:rsidP="007E4A08">
      <w:pPr>
        <w:pStyle w:val="TableFigureFooter"/>
        <w:keepNext/>
        <w:keepLines/>
        <w:ind w:left="165" w:hanging="165"/>
      </w:pPr>
      <w:r w:rsidRPr="0049396B">
        <w:rPr>
          <w:vertAlign w:val="superscript"/>
        </w:rPr>
        <w:t>b</w:t>
      </w:r>
      <w:r w:rsidRPr="0049396B">
        <w:tab/>
        <w:t>All patients who completed Study 16 without meeting discontinuation criteria were eligible to enter Study 17. In Study 17, patients in PBO group from Study 16 were allocated to EDA, and patients in EDA group from Study 16 were randomised on a 1:1 basis to continue EDA or to PBO. Following six cycles of treatment in the extension study (cycles 7-12), all patients were allocated to receive open label EDA for a further three cycles (cycles 13-15).</w:t>
      </w:r>
    </w:p>
    <w:p w14:paraId="6D1148EC" w14:textId="77777777" w:rsidR="00F572A3" w:rsidRPr="0049396B" w:rsidRDefault="00F572A3" w:rsidP="007E4A08">
      <w:pPr>
        <w:pStyle w:val="TableFigureFooter"/>
        <w:keepNext/>
        <w:keepLines/>
      </w:pPr>
      <w:r w:rsidRPr="0049396B">
        <w:rPr>
          <w:vertAlign w:val="superscript"/>
        </w:rPr>
        <w:t>c</w:t>
      </w:r>
      <w:r w:rsidRPr="0049396B">
        <w:tab/>
        <w:t xml:space="preserve">Patients may or may not have received treatment with </w:t>
      </w:r>
      <w:proofErr w:type="spellStart"/>
      <w:r w:rsidRPr="0049396B">
        <w:t>riluzole</w:t>
      </w:r>
      <w:proofErr w:type="spellEnd"/>
      <w:r w:rsidRPr="0049396B">
        <w:t>.</w:t>
      </w:r>
    </w:p>
    <w:p w14:paraId="4B276F4F" w14:textId="005DDADB" w:rsidR="00F572A3" w:rsidRPr="0049396B" w:rsidRDefault="00F572A3" w:rsidP="00F572A3">
      <w:pPr>
        <w:pStyle w:val="3-BodyText"/>
        <w:rPr>
          <w:iCs/>
        </w:rPr>
      </w:pPr>
      <w:r w:rsidRPr="0049396B">
        <w:t xml:space="preserve">Study 16, Study 17 and Study 19 were all multicentre, randomised double-blind, placebo-controlled trials, conducted in Japan. Study 16 and Study 19 randomised eligible patients to edaravone or placebo as add-on treatment to SOC with or without </w:t>
      </w:r>
      <w:proofErr w:type="spellStart"/>
      <w:r w:rsidRPr="0049396B">
        <w:t>riluzole</w:t>
      </w:r>
      <w:proofErr w:type="spellEnd"/>
      <w:r w:rsidRPr="0049396B">
        <w:t xml:space="preserve"> for 24 weeks (or 6 four-week cycles). Study 17 was an extension trial of Study 16, and re-randomised patients treated with edaravone in Study 16 to either edaravone (EDA-EDA) or placebo (EDA-PBO) for another 24-week double-blind period (cycles 7-12). Patients treated with placebo in Study 16 all switched to edaravone (PBO-EDA) in Study 17. Study 19 also included an extension phase following the double-blind period in which all patients received open-label edaravone for 24 weeks. Concomitant </w:t>
      </w:r>
      <w:proofErr w:type="spellStart"/>
      <w:r w:rsidRPr="0049396B">
        <w:t>riluzole</w:t>
      </w:r>
      <w:proofErr w:type="spellEnd"/>
      <w:r w:rsidRPr="0049396B">
        <w:t xml:space="preserve"> was permitted in Study 16, Study 17 and Study 19 if initiated prior to the pre-study observation period and dosage remained unchanged. </w:t>
      </w:r>
      <w:proofErr w:type="spellStart"/>
      <w:r w:rsidRPr="0049396B">
        <w:t>Samadhiya</w:t>
      </w:r>
      <w:proofErr w:type="spellEnd"/>
      <w:r w:rsidRPr="0049396B">
        <w:t xml:space="preserve"> 2022 was a small single centre, randomised open-label trial conducted in India, where patients were randomised to receive either combination therapy of edaravone plus </w:t>
      </w:r>
      <w:proofErr w:type="spellStart"/>
      <w:r w:rsidRPr="0049396B">
        <w:t>riluzole</w:t>
      </w:r>
      <w:proofErr w:type="spellEnd"/>
      <w:r w:rsidRPr="0049396B">
        <w:t xml:space="preserve"> or </w:t>
      </w:r>
      <w:proofErr w:type="spellStart"/>
      <w:r w:rsidRPr="0049396B">
        <w:t>riluzole</w:t>
      </w:r>
      <w:proofErr w:type="spellEnd"/>
      <w:r w:rsidRPr="0049396B">
        <w:t xml:space="preserve"> alone for 6 months. All patients in both groups then received open-label </w:t>
      </w:r>
      <w:proofErr w:type="spellStart"/>
      <w:r w:rsidRPr="0049396B">
        <w:t>riluzole</w:t>
      </w:r>
      <w:proofErr w:type="spellEnd"/>
      <w:r w:rsidRPr="0049396B">
        <w:t xml:space="preserve"> for another 6 months.</w:t>
      </w:r>
      <w:r w:rsidR="00757D28" w:rsidRPr="0049396B">
        <w:t xml:space="preserve"> The dose regimen</w:t>
      </w:r>
      <w:r w:rsidR="00A75637" w:rsidRPr="0049396B">
        <w:t>s</w:t>
      </w:r>
      <w:r w:rsidR="00757D28" w:rsidRPr="0049396B">
        <w:t xml:space="preserve"> across the </w:t>
      </w:r>
      <w:r w:rsidR="00757D28" w:rsidRPr="0049396B">
        <w:lastRenderedPageBreak/>
        <w:t>randomised trials were consistent with the PI.</w:t>
      </w:r>
      <w:r w:rsidR="00C508C0" w:rsidRPr="0049396B">
        <w:t xml:space="preserve"> </w:t>
      </w:r>
      <w:r w:rsidR="00C508C0" w:rsidRPr="0049396B">
        <w:rPr>
          <w:iCs/>
        </w:rPr>
        <w:t xml:space="preserve">However, it was noted that across all trials the median number of days on treatment per subsequent cycle (12-14 days) was longer than the recommended 10 days, and was also inconsistent </w:t>
      </w:r>
      <w:r w:rsidR="00912766" w:rsidRPr="0049396B">
        <w:rPr>
          <w:iCs/>
        </w:rPr>
        <w:t xml:space="preserve">with </w:t>
      </w:r>
      <w:r w:rsidR="00C508C0" w:rsidRPr="0049396B">
        <w:rPr>
          <w:iCs/>
        </w:rPr>
        <w:t>and longer than the number of treatment days in the modelled economic evaluation.</w:t>
      </w:r>
      <w:r w:rsidR="00891FF4" w:rsidRPr="0049396B">
        <w:rPr>
          <w:iCs/>
        </w:rPr>
        <w:t xml:space="preserve"> The </w:t>
      </w:r>
      <w:r w:rsidR="00F25574">
        <w:rPr>
          <w:iCs/>
        </w:rPr>
        <w:t>p</w:t>
      </w:r>
      <w:r w:rsidR="00891FF4" w:rsidRPr="0049396B">
        <w:rPr>
          <w:iCs/>
        </w:rPr>
        <w:t xml:space="preserve">re-PBAC response clarified that days on treatment was measured </w:t>
      </w:r>
      <w:r w:rsidR="00D92DEC" w:rsidRPr="0049396B">
        <w:rPr>
          <w:iCs/>
        </w:rPr>
        <w:t>from the first day of infusion to the last and does not reflect the number of infusions over the 14 day cycle.</w:t>
      </w:r>
    </w:p>
    <w:p w14:paraId="42E600FE" w14:textId="77777777" w:rsidR="00F572A3" w:rsidRPr="0049396B" w:rsidRDefault="00F572A3" w:rsidP="00F572A3">
      <w:pPr>
        <w:pStyle w:val="3-BodyText"/>
      </w:pPr>
      <w:r w:rsidRPr="0049396B">
        <w:t>The submission described Study 19 as the pivotal trial in the proposed PBS population, which recruited ‘dpEESP2y’ patients:</w:t>
      </w:r>
    </w:p>
    <w:p w14:paraId="0CC0DB35" w14:textId="77777777" w:rsidR="00F572A3" w:rsidRPr="0049396B" w:rsidRDefault="00F572A3" w:rsidP="000D2EDC">
      <w:pPr>
        <w:pStyle w:val="3-BodyText"/>
        <w:numPr>
          <w:ilvl w:val="0"/>
          <w:numId w:val="8"/>
        </w:numPr>
        <w:ind w:left="1077" w:hanging="357"/>
      </w:pPr>
      <w:r w:rsidRPr="0049396B">
        <w:t>‘</w:t>
      </w:r>
      <w:proofErr w:type="spellStart"/>
      <w:r w:rsidRPr="0049396B">
        <w:t>dp</w:t>
      </w:r>
      <w:proofErr w:type="spellEnd"/>
      <w:r w:rsidRPr="0049396B">
        <w:t xml:space="preserve">’ - </w:t>
      </w:r>
      <w:r w:rsidRPr="0049396B">
        <w:rPr>
          <w:b/>
          <w:bCs/>
          <w:u w:val="single"/>
        </w:rPr>
        <w:t>d</w:t>
      </w:r>
      <w:r w:rsidRPr="0049396B">
        <w:t xml:space="preserve">efinite or </w:t>
      </w:r>
      <w:r w:rsidRPr="0049396B">
        <w:rPr>
          <w:b/>
          <w:bCs/>
          <w:u w:val="single"/>
        </w:rPr>
        <w:t>p</w:t>
      </w:r>
      <w:r w:rsidRPr="0049396B">
        <w:t>robable ALS on El Escorial revised Airlie House criteria.</w:t>
      </w:r>
    </w:p>
    <w:p w14:paraId="5DA625F1" w14:textId="77777777" w:rsidR="00F572A3" w:rsidRPr="0049396B" w:rsidRDefault="00F572A3" w:rsidP="000D2EDC">
      <w:pPr>
        <w:pStyle w:val="3-BodyText"/>
        <w:numPr>
          <w:ilvl w:val="0"/>
          <w:numId w:val="8"/>
        </w:numPr>
        <w:ind w:left="1077" w:hanging="357"/>
      </w:pPr>
      <w:r w:rsidRPr="0049396B">
        <w:t>‘EESP’ - ‘</w:t>
      </w:r>
      <w:r w:rsidRPr="0049396B">
        <w:rPr>
          <w:b/>
          <w:bCs/>
          <w:u w:val="single"/>
        </w:rPr>
        <w:t>e</w:t>
      </w:r>
      <w:r w:rsidRPr="0049396B">
        <w:t xml:space="preserve">fficacy </w:t>
      </w:r>
      <w:r w:rsidRPr="0049396B">
        <w:rPr>
          <w:b/>
          <w:bCs/>
          <w:u w:val="single"/>
        </w:rPr>
        <w:t>e</w:t>
      </w:r>
      <w:r w:rsidRPr="0049396B">
        <w:t xml:space="preserve">xpected </w:t>
      </w:r>
      <w:r w:rsidRPr="0049396B">
        <w:rPr>
          <w:b/>
          <w:bCs/>
          <w:u w:val="single"/>
        </w:rPr>
        <w:t>s</w:t>
      </w:r>
      <w:r w:rsidRPr="0049396B">
        <w:t>ub</w:t>
      </w:r>
      <w:r w:rsidRPr="0049396B">
        <w:rPr>
          <w:b/>
          <w:bCs/>
          <w:u w:val="single"/>
        </w:rPr>
        <w:t>p</w:t>
      </w:r>
      <w:r w:rsidRPr="0049396B">
        <w:t>opulation’ (FVC ≥80%, ALSFRS ≥2 all items).</w:t>
      </w:r>
    </w:p>
    <w:p w14:paraId="4A0A7667" w14:textId="77777777" w:rsidR="00F572A3" w:rsidRPr="0049396B" w:rsidRDefault="00F572A3" w:rsidP="000D2EDC">
      <w:pPr>
        <w:pStyle w:val="3-BodyText"/>
        <w:numPr>
          <w:ilvl w:val="0"/>
          <w:numId w:val="8"/>
        </w:numPr>
      </w:pPr>
      <w:r w:rsidRPr="0049396B">
        <w:t xml:space="preserve">‘2y’ - within </w:t>
      </w:r>
      <w:r w:rsidRPr="0049396B">
        <w:rPr>
          <w:b/>
          <w:bCs/>
          <w:u w:val="single"/>
        </w:rPr>
        <w:t>2</w:t>
      </w:r>
      <w:r w:rsidRPr="0049396B">
        <w:t xml:space="preserve"> </w:t>
      </w:r>
      <w:r w:rsidRPr="0049396B">
        <w:rPr>
          <w:b/>
          <w:bCs/>
          <w:u w:val="single"/>
        </w:rPr>
        <w:t>y</w:t>
      </w:r>
      <w:r w:rsidRPr="0049396B">
        <w:t>ears of ALS symptom onset.</w:t>
      </w:r>
    </w:p>
    <w:p w14:paraId="0E6D1DD2" w14:textId="77777777" w:rsidR="00F572A3" w:rsidRPr="0049396B" w:rsidRDefault="00F572A3" w:rsidP="00F572A3">
      <w:pPr>
        <w:pStyle w:val="3-BodyText"/>
        <w:numPr>
          <w:ilvl w:val="0"/>
          <w:numId w:val="0"/>
        </w:numPr>
        <w:ind w:left="720"/>
      </w:pPr>
      <w:r w:rsidRPr="0049396B">
        <w:t xml:space="preserve">The dpEESP2y population enrolled in Study 19 was defined from a post-hoc subgroup analysis of Study 16 to identify the ‘greater efficacy expected population’. The submission described the dpEESP2y subgroup in Study 16, the corresponding dpEESP2y subgroup in Study 17 (a randomised extension of Study 16) and </w:t>
      </w:r>
      <w:proofErr w:type="spellStart"/>
      <w:r w:rsidRPr="0049396B">
        <w:t>Samadhiya</w:t>
      </w:r>
      <w:proofErr w:type="spellEnd"/>
      <w:r w:rsidRPr="0049396B">
        <w:t xml:space="preserve"> 2022 (a small open-label trial in dpEESP2y patients) as supportive evidence. </w:t>
      </w:r>
    </w:p>
    <w:p w14:paraId="0B1DB0F2" w14:textId="471883C0" w:rsidR="00F572A3" w:rsidRPr="0049396B" w:rsidRDefault="00F572A3" w:rsidP="00F572A3">
      <w:pPr>
        <w:pStyle w:val="3-BodyText"/>
        <w:rPr>
          <w:iCs/>
        </w:rPr>
      </w:pPr>
      <w:bookmarkStart w:id="37" w:name="_Hlk144671998"/>
      <w:r w:rsidRPr="0049396B">
        <w:rPr>
          <w:iCs/>
        </w:rPr>
        <w:t xml:space="preserve">The submission did not provide a scientific justification or rationale for increased efficacy of </w:t>
      </w:r>
      <w:r w:rsidR="00350640" w:rsidRPr="0049396B">
        <w:rPr>
          <w:iCs/>
        </w:rPr>
        <w:t xml:space="preserve">edaravone </w:t>
      </w:r>
      <w:r w:rsidRPr="0049396B">
        <w:rPr>
          <w:iCs/>
        </w:rPr>
        <w:t>in the dpEESP2y subpopulation. By definition, this subpopulation excludes patients with ‘probable ALS laboratory supported’ or ‘possible ALS’ according to the El Escorial revised diagnostic criteria. This is relevant because clinical practice is currently moving away from the El Escorial revised diagnostic criteria towards the Gold Coast diagnostic criteria, which would likely classify these excluded patients as having ALS. As discussed in</w:t>
      </w:r>
      <w:r w:rsidR="00357506" w:rsidRPr="0049396B">
        <w:rPr>
          <w:iCs/>
        </w:rPr>
        <w:t xml:space="preserve"> paragraph</w:t>
      </w:r>
      <w:r w:rsidR="00D26A69" w:rsidRPr="0049396B">
        <w:rPr>
          <w:iCs/>
        </w:rPr>
        <w:t xml:space="preserve"> </w:t>
      </w:r>
      <w:r w:rsidR="00357506" w:rsidRPr="0049396B">
        <w:rPr>
          <w:iCs/>
        </w:rPr>
        <w:fldChar w:fldCharType="begin" w:fldLock="1"/>
      </w:r>
      <w:r w:rsidR="00357506" w:rsidRPr="0049396B">
        <w:rPr>
          <w:iCs/>
        </w:rPr>
        <w:instrText xml:space="preserve"> REF _Ref148346117 \r \h </w:instrText>
      </w:r>
      <w:r w:rsidR="00357506" w:rsidRPr="0049396B">
        <w:rPr>
          <w:iCs/>
        </w:rPr>
      </w:r>
      <w:r w:rsidR="00357506" w:rsidRPr="0049396B">
        <w:rPr>
          <w:iCs/>
        </w:rPr>
        <w:fldChar w:fldCharType="separate"/>
      </w:r>
      <w:r w:rsidR="00401F9E" w:rsidRPr="0049396B">
        <w:rPr>
          <w:iCs/>
        </w:rPr>
        <w:t>3.6</w:t>
      </w:r>
      <w:r w:rsidR="00357506" w:rsidRPr="0049396B">
        <w:rPr>
          <w:iCs/>
        </w:rPr>
        <w:fldChar w:fldCharType="end"/>
      </w:r>
      <w:r w:rsidRPr="0049396B">
        <w:rPr>
          <w:iCs/>
        </w:rPr>
        <w:t xml:space="preserve">, the requested restriction of </w:t>
      </w:r>
      <w:r w:rsidR="00350640" w:rsidRPr="0049396B">
        <w:rPr>
          <w:iCs/>
        </w:rPr>
        <w:t xml:space="preserve">edaravone </w:t>
      </w:r>
      <w:r w:rsidRPr="0049396B">
        <w:rPr>
          <w:iCs/>
        </w:rPr>
        <w:t xml:space="preserve">does not specify the diagnostic criteria of ALS, and hence the precise </w:t>
      </w:r>
      <w:r w:rsidR="00FD018D" w:rsidRPr="0049396B">
        <w:rPr>
          <w:iCs/>
        </w:rPr>
        <w:t>alignment with</w:t>
      </w:r>
      <w:r w:rsidRPr="0049396B">
        <w:rPr>
          <w:iCs/>
        </w:rPr>
        <w:t xml:space="preserve"> the dpEESP2y subpopulation in practice may not be feasible. The submission did not present any evidence for </w:t>
      </w:r>
      <w:r w:rsidR="00350640" w:rsidRPr="0049396B">
        <w:rPr>
          <w:iCs/>
        </w:rPr>
        <w:t xml:space="preserve">edaravone </w:t>
      </w:r>
      <w:r w:rsidRPr="0049396B">
        <w:rPr>
          <w:iCs/>
        </w:rPr>
        <w:t xml:space="preserve">in patients with ‘probable ALS laboratory supported’ or ‘possible ALS’ according to the El Escorial revised diagnostic criteria, who would also likely receive </w:t>
      </w:r>
      <w:r w:rsidR="00350640" w:rsidRPr="0049396B">
        <w:rPr>
          <w:iCs/>
        </w:rPr>
        <w:t xml:space="preserve">edaravone </w:t>
      </w:r>
      <w:r w:rsidRPr="0049396B">
        <w:rPr>
          <w:iCs/>
        </w:rPr>
        <w:t>on the PBS.</w:t>
      </w:r>
      <w:r w:rsidR="00D92DEC" w:rsidRPr="0049396B">
        <w:rPr>
          <w:iCs/>
        </w:rPr>
        <w:t xml:space="preserve"> </w:t>
      </w:r>
    </w:p>
    <w:p w14:paraId="0D19FB79" w14:textId="0F9EFF87" w:rsidR="00F572A3" w:rsidRPr="0049396B" w:rsidRDefault="00F572A3" w:rsidP="00F572A3">
      <w:pPr>
        <w:pStyle w:val="3-BodyText"/>
        <w:rPr>
          <w:iCs/>
        </w:rPr>
      </w:pPr>
      <w:r w:rsidRPr="0049396B">
        <w:rPr>
          <w:iCs/>
        </w:rPr>
        <w:t>In addition to other selection criteria, patients enrolled in Study 16, Study 17 and Study 19 also had to have grade 1 (‘able to work or perform housework’) and grade 2 (‘independent living but unable to work’) disease at baseline, according to the Japanese ALS severity classification system. The submission excluded Study 18</w:t>
      </w:r>
      <w:r w:rsidRPr="0049396B">
        <w:rPr>
          <w:rStyle w:val="FootnoteReference"/>
          <w:iCs/>
        </w:rPr>
        <w:footnoteReference w:id="14"/>
      </w:r>
      <w:r w:rsidRPr="0049396B">
        <w:rPr>
          <w:iCs/>
        </w:rPr>
        <w:t xml:space="preserve"> (NCT00415519), which enrolled patients with grade 3 disease (‘requiring assistance for eating, excretion or ambulation’) and slightly broader other criteria compared to Study 16, on the basis of ‘inappropriate indication or patient population’. It is </w:t>
      </w:r>
      <w:r w:rsidRPr="0049396B">
        <w:rPr>
          <w:iCs/>
        </w:rPr>
        <w:lastRenderedPageBreak/>
        <w:t>unknown how the Japanese ALS severity classification system correlate</w:t>
      </w:r>
      <w:r w:rsidR="00FD018D" w:rsidRPr="0049396B">
        <w:rPr>
          <w:iCs/>
        </w:rPr>
        <w:t>s</w:t>
      </w:r>
      <w:r w:rsidRPr="0049396B">
        <w:rPr>
          <w:iCs/>
        </w:rPr>
        <w:t xml:space="preserve"> with other severity scales / staging systems (e.g. King’s staging).</w:t>
      </w:r>
    </w:p>
    <w:bookmarkEnd w:id="37"/>
    <w:p w14:paraId="38D11657" w14:textId="23B1EB77" w:rsidR="00F572A3" w:rsidRPr="0049396B" w:rsidRDefault="00F572A3" w:rsidP="00F572A3">
      <w:pPr>
        <w:pStyle w:val="3-BodyText"/>
        <w:rPr>
          <w:iCs/>
        </w:rPr>
      </w:pPr>
      <w:r w:rsidRPr="0049396B">
        <w:rPr>
          <w:iCs/>
        </w:rPr>
        <w:t xml:space="preserve">The decision to exclude Study 18 from the submission may not be appropriate, given the requested restriction would likely include some patients with Stage 3 disease on the Japanese ALS severity classification system. </w:t>
      </w:r>
      <w:bookmarkStart w:id="38" w:name="_Hlk144722111"/>
      <w:r w:rsidRPr="0049396B">
        <w:rPr>
          <w:iCs/>
        </w:rPr>
        <w:t>As discussed in</w:t>
      </w:r>
      <w:r w:rsidR="00357506" w:rsidRPr="0049396B">
        <w:rPr>
          <w:iCs/>
        </w:rPr>
        <w:t xml:space="preserve"> paragraph</w:t>
      </w:r>
      <w:r w:rsidRPr="0049396B">
        <w:rPr>
          <w:iCs/>
        </w:rPr>
        <w:t xml:space="preserve"> </w:t>
      </w:r>
      <w:r w:rsidR="00357506" w:rsidRPr="0049396B">
        <w:rPr>
          <w:iCs/>
          <w:highlight w:val="yellow"/>
        </w:rPr>
        <w:fldChar w:fldCharType="begin" w:fldLock="1"/>
      </w:r>
      <w:r w:rsidR="00357506" w:rsidRPr="0049396B">
        <w:rPr>
          <w:iCs/>
        </w:rPr>
        <w:instrText xml:space="preserve"> REF _Ref148346175 \r \h </w:instrText>
      </w:r>
      <w:r w:rsidR="00357506" w:rsidRPr="0049396B">
        <w:rPr>
          <w:iCs/>
          <w:highlight w:val="yellow"/>
        </w:rPr>
      </w:r>
      <w:r w:rsidR="00357506" w:rsidRPr="0049396B">
        <w:rPr>
          <w:iCs/>
          <w:highlight w:val="yellow"/>
        </w:rPr>
        <w:fldChar w:fldCharType="separate"/>
      </w:r>
      <w:r w:rsidR="00506A5E" w:rsidRPr="0049396B">
        <w:rPr>
          <w:iCs/>
        </w:rPr>
        <w:t>3.5</w:t>
      </w:r>
      <w:r w:rsidR="00357506" w:rsidRPr="0049396B">
        <w:rPr>
          <w:iCs/>
          <w:highlight w:val="yellow"/>
        </w:rPr>
        <w:fldChar w:fldCharType="end"/>
      </w:r>
      <w:r w:rsidRPr="0049396B">
        <w:rPr>
          <w:iCs/>
        </w:rPr>
        <w:t xml:space="preserve">, the requested restriction of </w:t>
      </w:r>
      <w:r w:rsidR="00350640" w:rsidRPr="0049396B">
        <w:rPr>
          <w:iCs/>
        </w:rPr>
        <w:t xml:space="preserve">edaravone </w:t>
      </w:r>
      <w:r w:rsidRPr="0049396B">
        <w:rPr>
          <w:iCs/>
        </w:rPr>
        <w:t xml:space="preserve">permits use in non-ambulatory patients who can use their upper limbs, based on similar wording in the restriction of </w:t>
      </w:r>
      <w:proofErr w:type="spellStart"/>
      <w:r w:rsidRPr="0049396B">
        <w:rPr>
          <w:iCs/>
        </w:rPr>
        <w:t>riluzole</w:t>
      </w:r>
      <w:proofErr w:type="spellEnd"/>
      <w:r w:rsidRPr="0049396B">
        <w:rPr>
          <w:iCs/>
        </w:rPr>
        <w:t xml:space="preserve">. The requested restriction makes no reference to the Japanese ALS severity system or minimum ALSFRS item scores. The results in the intention to treat (ITT) population of Study 18 showed no difference between </w:t>
      </w:r>
      <w:r w:rsidR="00350640" w:rsidRPr="0049396B">
        <w:rPr>
          <w:iCs/>
        </w:rPr>
        <w:t xml:space="preserve">edaravone </w:t>
      </w:r>
      <w:r w:rsidRPr="0049396B">
        <w:rPr>
          <w:iCs/>
        </w:rPr>
        <w:t>and placebo on the primary and key secondary outcomes at 24 weeks, although results in the dpEESP2y subpopulation of Study 18 were not available</w:t>
      </w:r>
      <w:bookmarkEnd w:id="38"/>
      <w:r w:rsidRPr="0049396B">
        <w:rPr>
          <w:iCs/>
        </w:rPr>
        <w:t>.</w:t>
      </w:r>
    </w:p>
    <w:p w14:paraId="4852E916" w14:textId="353DBF45" w:rsidR="00F572A3" w:rsidRPr="0049396B" w:rsidRDefault="00F572A3" w:rsidP="00F572A3">
      <w:pPr>
        <w:pStyle w:val="3-BodyText"/>
        <w:rPr>
          <w:iCs/>
        </w:rPr>
      </w:pPr>
      <w:r w:rsidRPr="0049396B">
        <w:rPr>
          <w:iCs/>
        </w:rPr>
        <w:t xml:space="preserve">For the ITT population, the risk of bias in Study 16, Study 17 and Study 19 was considered low, whereas the risk of bias in </w:t>
      </w:r>
      <w:proofErr w:type="spellStart"/>
      <w:r w:rsidRPr="0049396B">
        <w:rPr>
          <w:iCs/>
        </w:rPr>
        <w:t>Samadhiya</w:t>
      </w:r>
      <w:proofErr w:type="spellEnd"/>
      <w:r w:rsidRPr="0049396B">
        <w:rPr>
          <w:iCs/>
        </w:rPr>
        <w:t xml:space="preserve"> 2022 was considered high owing to the small unblinded comparison groups. The risk of bias in Study 16 (and Study 17) for the post-hoc dpEESP2y subgroup was also considered high due to the exploratory nature of the analysis. There were differences in baseline characteristics across the comparison groups in the dpEESP2y subgroup of Study 16 in terms of the proportion of patients diagnosed with definite ALS (45.0% vs 28.1%) and probable ALS (55.0% vs 71.9%), initial ALS symptoms were bulbar (12.5% vs 21.9%) as opposed to limb (87.5% vs 78.1%), disease duration (1.21 vs 1.03 years), concomitant therapy (62.5% vs 78.1%) and concomitant </w:t>
      </w:r>
      <w:proofErr w:type="spellStart"/>
      <w:r w:rsidRPr="0049396B">
        <w:rPr>
          <w:iCs/>
        </w:rPr>
        <w:t>riluzole</w:t>
      </w:r>
      <w:proofErr w:type="spellEnd"/>
      <w:r w:rsidRPr="0049396B">
        <w:rPr>
          <w:iCs/>
        </w:rPr>
        <w:t xml:space="preserve"> (92.5% vs 78.1%). Th</w:t>
      </w:r>
      <w:r w:rsidR="00060798" w:rsidRPr="0049396B">
        <w:rPr>
          <w:iCs/>
        </w:rPr>
        <w:t>e</w:t>
      </w:r>
      <w:r w:rsidRPr="0049396B">
        <w:rPr>
          <w:iCs/>
        </w:rPr>
        <w:t xml:space="preserve"> submission did not directly address the implications of these differences on the results, but noted an underpowered subgroup analysis in Study 19 showing results of the primary outcome (change in ALSFRS-R) were robust across prognostic factors related to survival (e.g. age, disease duration, bulbar vs limb onset, severity grade 1 vs 2).</w:t>
      </w:r>
    </w:p>
    <w:p w14:paraId="2FC4D6E5" w14:textId="77777777" w:rsidR="00F572A3" w:rsidRPr="0049396B" w:rsidRDefault="00F572A3" w:rsidP="00F572A3">
      <w:pPr>
        <w:pStyle w:val="4-SubsectionHeading"/>
      </w:pPr>
      <w:bookmarkStart w:id="39" w:name="_Toc22897641"/>
      <w:bookmarkStart w:id="40" w:name="_Toc145493777"/>
      <w:r w:rsidRPr="0049396B">
        <w:t>Comparative effectiveness</w:t>
      </w:r>
      <w:bookmarkEnd w:id="39"/>
      <w:bookmarkEnd w:id="40"/>
    </w:p>
    <w:p w14:paraId="2D74EA3B" w14:textId="2F5A212F" w:rsidR="00F572A3" w:rsidRPr="0049396B" w:rsidRDefault="00F572A3" w:rsidP="00F572A3">
      <w:pPr>
        <w:pStyle w:val="3-BodyText"/>
        <w:rPr>
          <w:iCs/>
          <w:u w:val="single"/>
        </w:rPr>
      </w:pPr>
      <w:r w:rsidRPr="0049396B">
        <w:rPr>
          <w:iCs/>
        </w:rPr>
        <w:t>Given that the primary goal of ALS treatment is the prevention or delay of disease progression, thus improving survival, the objectives of clinical trials include demonstrating efficacy on increased survival, delay of disease progression and improvement of symptoms (e.g. muscle strength and related function). Guidelines by the EMA 2016</w:t>
      </w:r>
      <w:r w:rsidRPr="0049396B">
        <w:rPr>
          <w:rStyle w:val="FootnoteReference"/>
          <w:iCs/>
        </w:rPr>
        <w:footnoteReference w:id="15"/>
      </w:r>
      <w:r w:rsidRPr="0049396B">
        <w:rPr>
          <w:iCs/>
        </w:rPr>
        <w:t xml:space="preserve"> and FDA 2019</w:t>
      </w:r>
      <w:r w:rsidRPr="0049396B">
        <w:rPr>
          <w:rStyle w:val="FootnoteReference"/>
          <w:iCs/>
        </w:rPr>
        <w:footnoteReference w:id="16"/>
      </w:r>
      <w:r w:rsidRPr="0049396B">
        <w:rPr>
          <w:iCs/>
        </w:rPr>
        <w:t xml:space="preserve"> on clinical trials for ALS treatment generally recommend survival or ALSFRS-R functional scale as either primary or secondary outcome. Survival data may be confounded by ventilation use, and a composite outcome using time to event (death, tracheostomy or permanent ventilator </w:t>
      </w:r>
      <w:r w:rsidRPr="0049396B">
        <w:rPr>
          <w:iCs/>
        </w:rPr>
        <w:lastRenderedPageBreak/>
        <w:t xml:space="preserve">dependence) may be used. </w:t>
      </w:r>
      <w:r w:rsidR="00FD018D" w:rsidRPr="0049396B">
        <w:rPr>
          <w:iCs/>
        </w:rPr>
        <w:t xml:space="preserve">The ESC noted that use of invasive ventilatory support differs substantially by country and impacts on survival. </w:t>
      </w:r>
      <w:r w:rsidRPr="0049396B">
        <w:rPr>
          <w:iCs/>
        </w:rPr>
        <w:t>ALSFRS-R is widely used in clinical trials, and is validated for ALS. Other measures of function included Modified Norris scale, muscle strength and respiratory function (i.e. FVC). Patient-reported outcomes such as generic quality of life index or disease specific scales (e.g. ALS assessment questionnaire – 40 items (ALSAQ-40)) are also generally recommended alongside effectiveness outcomes.</w:t>
      </w:r>
    </w:p>
    <w:p w14:paraId="794AA781" w14:textId="77777777" w:rsidR="00F572A3" w:rsidRPr="0049396B" w:rsidRDefault="00F572A3" w:rsidP="00F572A3">
      <w:pPr>
        <w:pStyle w:val="3-BodyText"/>
        <w:numPr>
          <w:ilvl w:val="0"/>
          <w:numId w:val="0"/>
        </w:numPr>
        <w:ind w:left="720" w:hanging="720"/>
        <w:outlineLvl w:val="2"/>
        <w:rPr>
          <w:u w:val="single"/>
        </w:rPr>
      </w:pPr>
      <w:r w:rsidRPr="0049396B">
        <w:rPr>
          <w:u w:val="single"/>
        </w:rPr>
        <w:t>Trial results</w:t>
      </w:r>
    </w:p>
    <w:p w14:paraId="40090A68" w14:textId="56452026" w:rsidR="00F572A3" w:rsidRPr="0049396B" w:rsidRDefault="00F572A3" w:rsidP="00F572A3">
      <w:pPr>
        <w:pStyle w:val="3-BodyText"/>
      </w:pPr>
      <w:r w:rsidRPr="0049396B">
        <w:fldChar w:fldCharType="begin" w:fldLock="1"/>
      </w:r>
      <w:r w:rsidRPr="0049396B">
        <w:instrText xml:space="preserve"> REF _Ref144727434 \h </w:instrText>
      </w:r>
      <w:r w:rsidRPr="0049396B">
        <w:fldChar w:fldCharType="separate"/>
      </w:r>
      <w:r w:rsidR="00041148" w:rsidRPr="0049396B">
        <w:t>Table 5</w:t>
      </w:r>
      <w:r w:rsidRPr="0049396B">
        <w:fldChar w:fldCharType="end"/>
      </w:r>
      <w:r w:rsidRPr="0049396B">
        <w:t xml:space="preserve"> presents the results of the primary and key secondary outcomes from baseline to cycle 6 in Study 16 and Study 19; </w:t>
      </w:r>
      <w:r w:rsidRPr="0049396B">
        <w:fldChar w:fldCharType="begin" w:fldLock="1"/>
      </w:r>
      <w:r w:rsidRPr="0049396B">
        <w:instrText xml:space="preserve"> REF _Ref144727471 \h </w:instrText>
      </w:r>
      <w:r w:rsidRPr="0049396B">
        <w:fldChar w:fldCharType="separate"/>
      </w:r>
      <w:r w:rsidR="00041148" w:rsidRPr="0049396B">
        <w:t>Table 6</w:t>
      </w:r>
      <w:r w:rsidRPr="0049396B">
        <w:fldChar w:fldCharType="end"/>
      </w:r>
      <w:r w:rsidRPr="0049396B">
        <w:t xml:space="preserve"> presents the results from treatment extension to cycle 12 in Study 16/17 and Study 19. Results for </w:t>
      </w:r>
      <w:proofErr w:type="spellStart"/>
      <w:r w:rsidRPr="0049396B">
        <w:t>Samadhiya</w:t>
      </w:r>
      <w:proofErr w:type="spellEnd"/>
      <w:r w:rsidRPr="0049396B">
        <w:t xml:space="preserve"> 2022 </w:t>
      </w:r>
      <w:r w:rsidR="002F7B38" w:rsidRPr="0049396B">
        <w:t xml:space="preserve">were </w:t>
      </w:r>
      <w:r w:rsidRPr="0049396B">
        <w:t>presented separately, as the study did not present the mean change from baseline in the ALSFRS-R score to cycle 6, instead the mean response on the individual ALSFRS-R items was presented at baseline, 6 months and 12 months.</w:t>
      </w:r>
    </w:p>
    <w:p w14:paraId="35E10C14" w14:textId="3F19CBB8" w:rsidR="00F572A3" w:rsidRPr="0049396B" w:rsidRDefault="00F572A3" w:rsidP="00B676F6">
      <w:pPr>
        <w:pStyle w:val="Caption"/>
        <w:widowControl w:val="0"/>
        <w:rPr>
          <w:szCs w:val="20"/>
        </w:rPr>
      </w:pPr>
      <w:bookmarkStart w:id="41" w:name="_Ref144727434"/>
      <w:r w:rsidRPr="0049396B">
        <w:lastRenderedPageBreak/>
        <w:t xml:space="preserve">Table </w:t>
      </w:r>
      <w:r w:rsidR="001C0AB9">
        <w:fldChar w:fldCharType="begin" w:fldLock="1"/>
      </w:r>
      <w:r w:rsidR="001C0AB9">
        <w:instrText xml:space="preserve"> SEQ Table \* ARABIC </w:instrText>
      </w:r>
      <w:r w:rsidR="001C0AB9">
        <w:fldChar w:fldCharType="separate"/>
      </w:r>
      <w:r w:rsidR="00B41026" w:rsidRPr="0049396B">
        <w:t>5</w:t>
      </w:r>
      <w:r w:rsidR="001C0AB9">
        <w:fldChar w:fldCharType="end"/>
      </w:r>
      <w:bookmarkEnd w:id="41"/>
      <w:r w:rsidRPr="0049396B">
        <w:t>:</w:t>
      </w:r>
      <w:r w:rsidRPr="0049396B">
        <w:rPr>
          <w:b w:val="0"/>
          <w:szCs w:val="20"/>
        </w:rPr>
        <w:t xml:space="preserve"> </w:t>
      </w:r>
      <w:r w:rsidRPr="0049396B">
        <w:rPr>
          <w:szCs w:val="20"/>
        </w:rPr>
        <w:t>Change from baseline in ALSFRS-R, time to death and disease progression, FVC, Modified Norris Scale, ALSAQ-40 at cycle 6.</w:t>
      </w:r>
    </w:p>
    <w:tbl>
      <w:tblPr>
        <w:tblStyle w:val="TableGrid"/>
        <w:tblW w:w="5000" w:type="pct"/>
        <w:tblCellMar>
          <w:left w:w="28" w:type="dxa"/>
          <w:right w:w="28" w:type="dxa"/>
        </w:tblCellMar>
        <w:tblLook w:val="04A0" w:firstRow="1" w:lastRow="0" w:firstColumn="1" w:lastColumn="0" w:noHBand="0" w:noVBand="1"/>
      </w:tblPr>
      <w:tblGrid>
        <w:gridCol w:w="2358"/>
        <w:gridCol w:w="1103"/>
        <w:gridCol w:w="1104"/>
        <w:gridCol w:w="1104"/>
        <w:gridCol w:w="1104"/>
        <w:gridCol w:w="1142"/>
        <w:gridCol w:w="1102"/>
      </w:tblGrid>
      <w:tr w:rsidR="00F572A3" w:rsidRPr="0049396B" w14:paraId="0DE47441" w14:textId="77777777" w:rsidTr="00EB254E">
        <w:tc>
          <w:tcPr>
            <w:tcW w:w="1308" w:type="pct"/>
            <w:vMerge w:val="restart"/>
            <w:vAlign w:val="center"/>
          </w:tcPr>
          <w:p w14:paraId="15991C02"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Outcome</w:t>
            </w:r>
          </w:p>
        </w:tc>
        <w:tc>
          <w:tcPr>
            <w:tcW w:w="1224" w:type="pct"/>
            <w:gridSpan w:val="2"/>
            <w:vAlign w:val="center"/>
          </w:tcPr>
          <w:p w14:paraId="2DD429CE"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 xml:space="preserve">Study 16 </w:t>
            </w:r>
          </w:p>
          <w:p w14:paraId="3F549CB4"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(ITT)</w:t>
            </w:r>
          </w:p>
        </w:tc>
        <w:tc>
          <w:tcPr>
            <w:tcW w:w="1224" w:type="pct"/>
            <w:gridSpan w:val="2"/>
            <w:vAlign w:val="center"/>
          </w:tcPr>
          <w:p w14:paraId="2C0C6934"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 xml:space="preserve">Study 16 dpEESP2y </w:t>
            </w:r>
          </w:p>
          <w:p w14:paraId="732CB220" w14:textId="77777777" w:rsidR="00F572A3" w:rsidRPr="0049396B" w:rsidRDefault="00F572A3" w:rsidP="00B676F6">
            <w:pPr>
              <w:keepNext/>
              <w:keepLines/>
              <w:widowControl w:val="0"/>
              <w:jc w:val="center"/>
              <w:rPr>
                <w:rFonts w:ascii="Arial Narrow" w:hAnsi="Arial Narrow"/>
                <w:b/>
                <w:iCs/>
                <w:sz w:val="20"/>
                <w:szCs w:val="20"/>
              </w:rPr>
            </w:pPr>
            <w:r w:rsidRPr="0049396B">
              <w:rPr>
                <w:rFonts w:ascii="Arial Narrow" w:hAnsi="Arial Narrow"/>
                <w:b/>
                <w:iCs/>
                <w:sz w:val="20"/>
                <w:szCs w:val="20"/>
              </w:rPr>
              <w:t>(post hoc)</w:t>
            </w:r>
          </w:p>
        </w:tc>
        <w:tc>
          <w:tcPr>
            <w:tcW w:w="1244" w:type="pct"/>
            <w:gridSpan w:val="2"/>
            <w:vAlign w:val="center"/>
          </w:tcPr>
          <w:p w14:paraId="14BA6559"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 xml:space="preserve">Study 19 dpEESP2y </w:t>
            </w:r>
          </w:p>
          <w:p w14:paraId="4DCEB437"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(ITT)</w:t>
            </w:r>
          </w:p>
        </w:tc>
      </w:tr>
      <w:tr w:rsidR="00F572A3" w:rsidRPr="0049396B" w14:paraId="6CC6232C" w14:textId="77777777" w:rsidTr="00EB254E">
        <w:tc>
          <w:tcPr>
            <w:tcW w:w="1308" w:type="pct"/>
            <w:vMerge/>
          </w:tcPr>
          <w:p w14:paraId="104CA607" w14:textId="77777777" w:rsidR="00F572A3" w:rsidRPr="0049396B" w:rsidRDefault="00F572A3" w:rsidP="00B676F6">
            <w:pPr>
              <w:keepNext/>
              <w:keepLines/>
              <w:widowControl w:val="0"/>
              <w:rPr>
                <w:rFonts w:ascii="Arial Narrow" w:hAnsi="Arial Narrow"/>
                <w:b/>
                <w:sz w:val="20"/>
                <w:szCs w:val="20"/>
              </w:rPr>
            </w:pPr>
          </w:p>
        </w:tc>
        <w:tc>
          <w:tcPr>
            <w:tcW w:w="612" w:type="pct"/>
            <w:vAlign w:val="center"/>
          </w:tcPr>
          <w:p w14:paraId="678A07CC"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EDA</w:t>
            </w:r>
          </w:p>
          <w:p w14:paraId="355A1239"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N=100</w:t>
            </w:r>
          </w:p>
        </w:tc>
        <w:tc>
          <w:tcPr>
            <w:tcW w:w="612" w:type="pct"/>
            <w:vAlign w:val="center"/>
          </w:tcPr>
          <w:p w14:paraId="5B79EAE0"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PBO</w:t>
            </w:r>
          </w:p>
          <w:p w14:paraId="6F3468DE"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N=99</w:t>
            </w:r>
          </w:p>
        </w:tc>
        <w:tc>
          <w:tcPr>
            <w:tcW w:w="612" w:type="pct"/>
            <w:vAlign w:val="center"/>
          </w:tcPr>
          <w:p w14:paraId="48A7F027"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EDA</w:t>
            </w:r>
          </w:p>
          <w:p w14:paraId="6DB4EA66"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N=39</w:t>
            </w:r>
          </w:p>
        </w:tc>
        <w:tc>
          <w:tcPr>
            <w:tcW w:w="612" w:type="pct"/>
            <w:vAlign w:val="center"/>
          </w:tcPr>
          <w:p w14:paraId="509129EA"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PBO</w:t>
            </w:r>
          </w:p>
          <w:p w14:paraId="6C01CE59"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N=29</w:t>
            </w:r>
          </w:p>
        </w:tc>
        <w:tc>
          <w:tcPr>
            <w:tcW w:w="633" w:type="pct"/>
            <w:vAlign w:val="center"/>
          </w:tcPr>
          <w:p w14:paraId="1C560C18"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 xml:space="preserve">EDA </w:t>
            </w:r>
          </w:p>
          <w:p w14:paraId="2C1AAD97"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N=68</w:t>
            </w:r>
          </w:p>
        </w:tc>
        <w:tc>
          <w:tcPr>
            <w:tcW w:w="611" w:type="pct"/>
            <w:vAlign w:val="center"/>
          </w:tcPr>
          <w:p w14:paraId="16824E87"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PBO</w:t>
            </w:r>
          </w:p>
          <w:p w14:paraId="200B4E43"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N=66</w:t>
            </w:r>
          </w:p>
        </w:tc>
      </w:tr>
      <w:tr w:rsidR="00F572A3" w:rsidRPr="0049396B" w14:paraId="264D34A2" w14:textId="77777777" w:rsidTr="00EB254E">
        <w:tc>
          <w:tcPr>
            <w:tcW w:w="5000" w:type="pct"/>
            <w:gridSpan w:val="7"/>
            <w:vAlign w:val="center"/>
          </w:tcPr>
          <w:p w14:paraId="08405017" w14:textId="77777777" w:rsidR="00F572A3" w:rsidRPr="0049396B" w:rsidRDefault="00F572A3" w:rsidP="00B676F6">
            <w:pPr>
              <w:keepNext/>
              <w:keepLines/>
              <w:widowControl w:val="0"/>
              <w:jc w:val="left"/>
              <w:rPr>
                <w:rFonts w:ascii="Arial Narrow" w:hAnsi="Arial Narrow"/>
                <w:sz w:val="20"/>
                <w:szCs w:val="20"/>
              </w:rPr>
            </w:pPr>
            <w:r w:rsidRPr="0049396B">
              <w:rPr>
                <w:rFonts w:ascii="Arial Narrow" w:hAnsi="Arial Narrow"/>
                <w:b/>
                <w:sz w:val="20"/>
                <w:szCs w:val="20"/>
              </w:rPr>
              <w:t>ALSRFS-R score: change from baseline in cycle 1 to end of cycle 6</w:t>
            </w:r>
            <w:r w:rsidRPr="0049396B">
              <w:rPr>
                <w:rFonts w:ascii="Arial Narrow" w:hAnsi="Arial Narrow"/>
                <w:b/>
                <w:sz w:val="20"/>
                <w:szCs w:val="20"/>
                <w:vertAlign w:val="superscript"/>
              </w:rPr>
              <w:t>a</w:t>
            </w:r>
          </w:p>
        </w:tc>
      </w:tr>
      <w:tr w:rsidR="00F572A3" w:rsidRPr="0049396B" w14:paraId="6EAA3D85" w14:textId="77777777" w:rsidTr="00EB254E">
        <w:tc>
          <w:tcPr>
            <w:tcW w:w="1308" w:type="pct"/>
          </w:tcPr>
          <w:p w14:paraId="7AE9001E" w14:textId="77777777" w:rsidR="00F572A3" w:rsidRPr="0049396B" w:rsidRDefault="00F572A3" w:rsidP="00B676F6">
            <w:pPr>
              <w:keepNext/>
              <w:keepLines/>
              <w:widowControl w:val="0"/>
              <w:rPr>
                <w:rFonts w:ascii="Arial Narrow" w:hAnsi="Arial Narrow"/>
                <w:sz w:val="20"/>
                <w:szCs w:val="20"/>
              </w:rPr>
            </w:pPr>
            <w:r w:rsidRPr="0049396B">
              <w:rPr>
                <w:rFonts w:ascii="Arial Narrow" w:hAnsi="Arial Narrow"/>
                <w:sz w:val="20"/>
                <w:szCs w:val="20"/>
              </w:rPr>
              <w:t xml:space="preserve">End cycle 6, LS mean (SE) </w:t>
            </w:r>
          </w:p>
        </w:tc>
        <w:tc>
          <w:tcPr>
            <w:tcW w:w="612" w:type="pct"/>
            <w:vAlign w:val="center"/>
          </w:tcPr>
          <w:p w14:paraId="57B673DC"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-5.7 (0.85)</w:t>
            </w:r>
          </w:p>
        </w:tc>
        <w:tc>
          <w:tcPr>
            <w:tcW w:w="612" w:type="pct"/>
            <w:vAlign w:val="center"/>
          </w:tcPr>
          <w:p w14:paraId="0D87AD98"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-6.35 (0.84)</w:t>
            </w:r>
          </w:p>
        </w:tc>
        <w:tc>
          <w:tcPr>
            <w:tcW w:w="612" w:type="pct"/>
            <w:vAlign w:val="center"/>
          </w:tcPr>
          <w:p w14:paraId="291B5E90"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-4.58 (1.55)</w:t>
            </w:r>
          </w:p>
        </w:tc>
        <w:tc>
          <w:tcPr>
            <w:tcW w:w="612" w:type="pct"/>
            <w:vAlign w:val="center"/>
          </w:tcPr>
          <w:p w14:paraId="1A077296"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-7.59 (1.34)</w:t>
            </w:r>
          </w:p>
        </w:tc>
        <w:tc>
          <w:tcPr>
            <w:tcW w:w="633" w:type="pct"/>
            <w:vAlign w:val="center"/>
          </w:tcPr>
          <w:p w14:paraId="2AC3A7C8"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-5.01 (0.64)</w:t>
            </w:r>
          </w:p>
        </w:tc>
        <w:tc>
          <w:tcPr>
            <w:tcW w:w="611" w:type="pct"/>
            <w:vAlign w:val="center"/>
          </w:tcPr>
          <w:p w14:paraId="2F085B7B"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-7.50 (0.66)</w:t>
            </w:r>
          </w:p>
        </w:tc>
      </w:tr>
      <w:tr w:rsidR="00F572A3" w:rsidRPr="0049396B" w14:paraId="4D1EC378" w14:textId="77777777" w:rsidTr="00EB254E">
        <w:tc>
          <w:tcPr>
            <w:tcW w:w="1308" w:type="pct"/>
          </w:tcPr>
          <w:p w14:paraId="14070E3B" w14:textId="77777777" w:rsidR="00F572A3" w:rsidRPr="0049396B" w:rsidRDefault="00F572A3" w:rsidP="00B676F6">
            <w:pPr>
              <w:keepNext/>
              <w:keepLines/>
              <w:widowControl w:val="0"/>
              <w:ind w:firstLine="170"/>
              <w:rPr>
                <w:rFonts w:ascii="Arial Narrow" w:hAnsi="Arial Narrow"/>
                <w:sz w:val="20"/>
                <w:szCs w:val="20"/>
              </w:rPr>
            </w:pPr>
            <w:r w:rsidRPr="0049396B">
              <w:rPr>
                <w:rFonts w:ascii="Arial Narrow" w:hAnsi="Arial Narrow"/>
                <w:sz w:val="20"/>
                <w:szCs w:val="20"/>
              </w:rPr>
              <w:t>Difference (95%CI) v PBO</w:t>
            </w:r>
          </w:p>
        </w:tc>
        <w:tc>
          <w:tcPr>
            <w:tcW w:w="1224" w:type="pct"/>
            <w:gridSpan w:val="2"/>
            <w:vAlign w:val="center"/>
          </w:tcPr>
          <w:p w14:paraId="6DB9AB19"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sz w:val="20"/>
                <w:szCs w:val="20"/>
              </w:rPr>
              <w:t>0.65 (-0.90, 2.19)</w:t>
            </w:r>
          </w:p>
        </w:tc>
        <w:tc>
          <w:tcPr>
            <w:tcW w:w="1224" w:type="pct"/>
            <w:gridSpan w:val="2"/>
            <w:vAlign w:val="center"/>
          </w:tcPr>
          <w:p w14:paraId="06E5CABB"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3.01 (0.35, 5.67)</w:t>
            </w:r>
          </w:p>
        </w:tc>
        <w:tc>
          <w:tcPr>
            <w:tcW w:w="1244" w:type="pct"/>
            <w:gridSpan w:val="2"/>
            <w:vAlign w:val="center"/>
          </w:tcPr>
          <w:p w14:paraId="389F2A19"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b/>
                <w:sz w:val="20"/>
                <w:szCs w:val="20"/>
              </w:rPr>
              <w:t>2.49 (0.99, 3.98)</w:t>
            </w:r>
          </w:p>
        </w:tc>
      </w:tr>
      <w:tr w:rsidR="00F572A3" w:rsidRPr="0049396B" w14:paraId="5972AADF" w14:textId="77777777" w:rsidTr="00EB254E">
        <w:tc>
          <w:tcPr>
            <w:tcW w:w="1308" w:type="pct"/>
          </w:tcPr>
          <w:p w14:paraId="303DA9E3" w14:textId="77777777" w:rsidR="00F572A3" w:rsidRPr="0049396B" w:rsidRDefault="00F572A3" w:rsidP="00B676F6">
            <w:pPr>
              <w:keepNext/>
              <w:keepLines/>
              <w:widowControl w:val="0"/>
              <w:ind w:firstLine="170"/>
              <w:jc w:val="right"/>
              <w:rPr>
                <w:rFonts w:ascii="Arial Narrow" w:hAnsi="Arial Narrow"/>
                <w:sz w:val="20"/>
                <w:szCs w:val="20"/>
              </w:rPr>
            </w:pPr>
            <w:r w:rsidRPr="0049396B">
              <w:rPr>
                <w:rFonts w:ascii="Arial Narrow" w:hAnsi="Arial Narrow"/>
                <w:sz w:val="20"/>
                <w:szCs w:val="20"/>
              </w:rPr>
              <w:t>Meta-analysis (post hoc)</w:t>
            </w:r>
          </w:p>
        </w:tc>
        <w:tc>
          <w:tcPr>
            <w:tcW w:w="1224" w:type="pct"/>
            <w:gridSpan w:val="2"/>
            <w:vAlign w:val="center"/>
          </w:tcPr>
          <w:p w14:paraId="48AB3465"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sz w:val="20"/>
                <w:szCs w:val="20"/>
              </w:rPr>
              <w:t>-</w:t>
            </w:r>
          </w:p>
        </w:tc>
        <w:tc>
          <w:tcPr>
            <w:tcW w:w="2469" w:type="pct"/>
            <w:gridSpan w:val="4"/>
            <w:vAlign w:val="center"/>
          </w:tcPr>
          <w:p w14:paraId="6B05D2BE"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b/>
                <w:sz w:val="20"/>
                <w:szCs w:val="20"/>
              </w:rPr>
              <w:t>2.62 (1.32, 3.91)</w:t>
            </w:r>
          </w:p>
        </w:tc>
      </w:tr>
      <w:tr w:rsidR="00F572A3" w:rsidRPr="0049396B" w14:paraId="15F8F8B1" w14:textId="77777777" w:rsidTr="00EB254E">
        <w:tc>
          <w:tcPr>
            <w:tcW w:w="5000" w:type="pct"/>
            <w:gridSpan w:val="7"/>
            <w:tcBorders>
              <w:bottom w:val="single" w:sz="4" w:space="0" w:color="auto"/>
            </w:tcBorders>
            <w:vAlign w:val="center"/>
          </w:tcPr>
          <w:p w14:paraId="1F1223ED" w14:textId="77777777" w:rsidR="00F572A3" w:rsidRPr="0049396B" w:rsidRDefault="00F572A3" w:rsidP="00B676F6">
            <w:pPr>
              <w:keepNext/>
              <w:keepLines/>
              <w:widowControl w:val="0"/>
              <w:jc w:val="left"/>
              <w:rPr>
                <w:rFonts w:ascii="Arial Narrow" w:hAnsi="Arial Narrow"/>
                <w:b/>
                <w:sz w:val="20"/>
                <w:szCs w:val="20"/>
              </w:rPr>
            </w:pPr>
            <w:r w:rsidRPr="0049396B">
              <w:rPr>
                <w:rFonts w:ascii="Arial Narrow" w:hAnsi="Arial Narrow"/>
                <w:b/>
                <w:sz w:val="20"/>
                <w:szCs w:val="20"/>
              </w:rPr>
              <w:t>Time to death or state of disease progression from baseline in cycle 1 to end of cycle 6</w:t>
            </w:r>
          </w:p>
        </w:tc>
      </w:tr>
      <w:tr w:rsidR="00F572A3" w:rsidRPr="0049396B" w14:paraId="1E6E0204" w14:textId="77777777" w:rsidTr="00EB254E">
        <w:tc>
          <w:tcPr>
            <w:tcW w:w="1308" w:type="pct"/>
            <w:tcBorders>
              <w:bottom w:val="nil"/>
            </w:tcBorders>
          </w:tcPr>
          <w:p w14:paraId="0B695D9E" w14:textId="77777777" w:rsidR="00F572A3" w:rsidRPr="0049396B" w:rsidRDefault="00F572A3" w:rsidP="00B676F6">
            <w:pPr>
              <w:keepNext/>
              <w:keepLines/>
              <w:widowControl w:val="0"/>
              <w:rPr>
                <w:rFonts w:ascii="Arial Narrow" w:hAnsi="Arial Narrow"/>
                <w:iCs/>
                <w:sz w:val="20"/>
                <w:szCs w:val="20"/>
              </w:rPr>
            </w:pPr>
            <w:r w:rsidRPr="0049396B">
              <w:rPr>
                <w:rFonts w:ascii="Arial Narrow" w:hAnsi="Arial Narrow"/>
                <w:iCs/>
                <w:sz w:val="20"/>
                <w:szCs w:val="20"/>
              </w:rPr>
              <w:t xml:space="preserve">No. </w:t>
            </w:r>
            <w:proofErr w:type="spellStart"/>
            <w:r w:rsidRPr="0049396B">
              <w:rPr>
                <w:rFonts w:ascii="Arial Narrow" w:hAnsi="Arial Narrow"/>
                <w:iCs/>
                <w:sz w:val="20"/>
                <w:szCs w:val="20"/>
              </w:rPr>
              <w:t>patients</w:t>
            </w:r>
            <w:r w:rsidRPr="0049396B">
              <w:rPr>
                <w:rFonts w:ascii="Arial Narrow" w:hAnsi="Arial Narrow"/>
                <w:iCs/>
                <w:sz w:val="20"/>
                <w:szCs w:val="20"/>
                <w:vertAlign w:val="superscript"/>
              </w:rPr>
              <w:t>d</w:t>
            </w:r>
            <w:proofErr w:type="spellEnd"/>
          </w:p>
        </w:tc>
        <w:tc>
          <w:tcPr>
            <w:tcW w:w="612" w:type="pct"/>
            <w:tcBorders>
              <w:bottom w:val="nil"/>
            </w:tcBorders>
            <w:vAlign w:val="center"/>
          </w:tcPr>
          <w:p w14:paraId="64393C88"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32</w:t>
            </w:r>
          </w:p>
        </w:tc>
        <w:tc>
          <w:tcPr>
            <w:tcW w:w="612" w:type="pct"/>
            <w:tcBorders>
              <w:bottom w:val="nil"/>
            </w:tcBorders>
            <w:vAlign w:val="center"/>
          </w:tcPr>
          <w:p w14:paraId="02D407D9"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27</w:t>
            </w:r>
          </w:p>
        </w:tc>
        <w:tc>
          <w:tcPr>
            <w:tcW w:w="612" w:type="pct"/>
            <w:tcBorders>
              <w:bottom w:val="nil"/>
            </w:tcBorders>
            <w:vAlign w:val="center"/>
          </w:tcPr>
          <w:p w14:paraId="1B3DCC87"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7</w:t>
            </w:r>
          </w:p>
        </w:tc>
        <w:tc>
          <w:tcPr>
            <w:tcW w:w="612" w:type="pct"/>
            <w:tcBorders>
              <w:bottom w:val="nil"/>
            </w:tcBorders>
            <w:vAlign w:val="center"/>
          </w:tcPr>
          <w:p w14:paraId="2CDC0F78"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9</w:t>
            </w:r>
          </w:p>
        </w:tc>
        <w:tc>
          <w:tcPr>
            <w:tcW w:w="633" w:type="pct"/>
            <w:tcBorders>
              <w:bottom w:val="nil"/>
            </w:tcBorders>
            <w:vAlign w:val="center"/>
          </w:tcPr>
          <w:p w14:paraId="114A3075"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w:t>
            </w:r>
          </w:p>
        </w:tc>
        <w:tc>
          <w:tcPr>
            <w:tcW w:w="611" w:type="pct"/>
            <w:tcBorders>
              <w:bottom w:val="nil"/>
            </w:tcBorders>
            <w:vAlign w:val="center"/>
          </w:tcPr>
          <w:p w14:paraId="6631C561"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6</w:t>
            </w:r>
          </w:p>
        </w:tc>
      </w:tr>
      <w:tr w:rsidR="00F572A3" w:rsidRPr="0049396B" w14:paraId="0841C833" w14:textId="77777777" w:rsidTr="00EB254E">
        <w:tc>
          <w:tcPr>
            <w:tcW w:w="1308" w:type="pct"/>
            <w:tcBorders>
              <w:top w:val="nil"/>
              <w:bottom w:val="nil"/>
            </w:tcBorders>
          </w:tcPr>
          <w:p w14:paraId="7D501CE1" w14:textId="6E309758" w:rsidR="00F572A3" w:rsidRPr="0049396B" w:rsidRDefault="00F572A3" w:rsidP="00B676F6">
            <w:pPr>
              <w:keepNext/>
              <w:keepLines/>
              <w:widowControl w:val="0"/>
              <w:rPr>
                <w:rFonts w:ascii="Arial Narrow" w:hAnsi="Arial Narrow"/>
                <w:sz w:val="20"/>
                <w:szCs w:val="20"/>
              </w:rPr>
            </w:pPr>
            <w:r w:rsidRPr="0049396B">
              <w:rPr>
                <w:rFonts w:ascii="Arial Narrow" w:hAnsi="Arial Narrow"/>
                <w:sz w:val="20"/>
                <w:szCs w:val="20"/>
              </w:rPr>
              <w:t>No. events to cycle 6, n</w:t>
            </w:r>
          </w:p>
        </w:tc>
        <w:tc>
          <w:tcPr>
            <w:tcW w:w="612" w:type="pct"/>
            <w:tcBorders>
              <w:top w:val="nil"/>
              <w:bottom w:val="nil"/>
            </w:tcBorders>
            <w:vAlign w:val="center"/>
          </w:tcPr>
          <w:p w14:paraId="0570E43F"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38</w:t>
            </w:r>
          </w:p>
        </w:tc>
        <w:tc>
          <w:tcPr>
            <w:tcW w:w="612" w:type="pct"/>
            <w:tcBorders>
              <w:top w:val="nil"/>
              <w:bottom w:val="nil"/>
            </w:tcBorders>
            <w:vAlign w:val="center"/>
          </w:tcPr>
          <w:p w14:paraId="56F0E5C7"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37</w:t>
            </w:r>
          </w:p>
        </w:tc>
        <w:tc>
          <w:tcPr>
            <w:tcW w:w="612" w:type="pct"/>
            <w:tcBorders>
              <w:top w:val="nil"/>
              <w:bottom w:val="nil"/>
            </w:tcBorders>
            <w:vAlign w:val="center"/>
          </w:tcPr>
          <w:p w14:paraId="72ABF987"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7</w:t>
            </w:r>
          </w:p>
        </w:tc>
        <w:tc>
          <w:tcPr>
            <w:tcW w:w="612" w:type="pct"/>
            <w:tcBorders>
              <w:top w:val="nil"/>
              <w:bottom w:val="nil"/>
            </w:tcBorders>
            <w:vAlign w:val="center"/>
          </w:tcPr>
          <w:p w14:paraId="4A90A202"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11</w:t>
            </w:r>
          </w:p>
        </w:tc>
        <w:tc>
          <w:tcPr>
            <w:tcW w:w="633" w:type="pct"/>
            <w:tcBorders>
              <w:top w:val="nil"/>
              <w:bottom w:val="nil"/>
            </w:tcBorders>
            <w:vAlign w:val="center"/>
          </w:tcPr>
          <w:p w14:paraId="29A40B35"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w:t>
            </w:r>
          </w:p>
        </w:tc>
        <w:tc>
          <w:tcPr>
            <w:tcW w:w="611" w:type="pct"/>
            <w:tcBorders>
              <w:top w:val="nil"/>
              <w:bottom w:val="nil"/>
            </w:tcBorders>
            <w:vAlign w:val="center"/>
          </w:tcPr>
          <w:p w14:paraId="154EB9FC"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6</w:t>
            </w:r>
          </w:p>
        </w:tc>
      </w:tr>
      <w:tr w:rsidR="00F572A3" w:rsidRPr="0049396B" w14:paraId="5904882E" w14:textId="77777777" w:rsidTr="00EB254E">
        <w:tc>
          <w:tcPr>
            <w:tcW w:w="1308" w:type="pct"/>
            <w:tcBorders>
              <w:top w:val="nil"/>
              <w:bottom w:val="nil"/>
            </w:tcBorders>
          </w:tcPr>
          <w:p w14:paraId="5EAA0339" w14:textId="77777777" w:rsidR="00F572A3" w:rsidRPr="0049396B" w:rsidRDefault="00F572A3" w:rsidP="00A21488">
            <w:pPr>
              <w:pStyle w:val="ListParagraph"/>
              <w:keepNext/>
              <w:keepLines/>
              <w:widowControl w:val="0"/>
              <w:numPr>
                <w:ilvl w:val="0"/>
                <w:numId w:val="11"/>
              </w:numPr>
              <w:spacing w:after="0"/>
              <w:ind w:left="249" w:hanging="215"/>
              <w:rPr>
                <w:rFonts w:ascii="Arial Narrow" w:hAnsi="Arial Narrow"/>
                <w:sz w:val="20"/>
                <w:szCs w:val="20"/>
              </w:rPr>
            </w:pPr>
            <w:r w:rsidRPr="0049396B">
              <w:rPr>
                <w:rFonts w:ascii="Arial Narrow" w:hAnsi="Arial Narrow"/>
                <w:sz w:val="20"/>
                <w:szCs w:val="20"/>
              </w:rPr>
              <w:t>Death</w:t>
            </w:r>
          </w:p>
        </w:tc>
        <w:tc>
          <w:tcPr>
            <w:tcW w:w="612" w:type="pct"/>
            <w:tcBorders>
              <w:top w:val="nil"/>
              <w:bottom w:val="nil"/>
            </w:tcBorders>
            <w:vAlign w:val="center"/>
          </w:tcPr>
          <w:p w14:paraId="3B4A927A"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w:t>
            </w:r>
          </w:p>
        </w:tc>
        <w:tc>
          <w:tcPr>
            <w:tcW w:w="612" w:type="pct"/>
            <w:tcBorders>
              <w:top w:val="nil"/>
              <w:bottom w:val="nil"/>
            </w:tcBorders>
            <w:vAlign w:val="center"/>
          </w:tcPr>
          <w:p w14:paraId="36E213F5"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w:t>
            </w:r>
          </w:p>
        </w:tc>
        <w:tc>
          <w:tcPr>
            <w:tcW w:w="612" w:type="pct"/>
            <w:tcBorders>
              <w:top w:val="nil"/>
              <w:bottom w:val="nil"/>
            </w:tcBorders>
            <w:vAlign w:val="center"/>
          </w:tcPr>
          <w:p w14:paraId="1A247C57"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2" w:type="pct"/>
            <w:tcBorders>
              <w:top w:val="nil"/>
              <w:bottom w:val="nil"/>
            </w:tcBorders>
            <w:vAlign w:val="center"/>
          </w:tcPr>
          <w:p w14:paraId="04C2E363"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33" w:type="pct"/>
            <w:tcBorders>
              <w:top w:val="nil"/>
              <w:bottom w:val="nil"/>
            </w:tcBorders>
            <w:vAlign w:val="center"/>
          </w:tcPr>
          <w:p w14:paraId="4399EEE8"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1" w:type="pct"/>
            <w:tcBorders>
              <w:top w:val="nil"/>
              <w:bottom w:val="nil"/>
            </w:tcBorders>
            <w:vAlign w:val="center"/>
          </w:tcPr>
          <w:p w14:paraId="036F1EFD"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r>
      <w:tr w:rsidR="00F572A3" w:rsidRPr="0049396B" w14:paraId="7A6160BE" w14:textId="77777777" w:rsidTr="00EB254E">
        <w:tc>
          <w:tcPr>
            <w:tcW w:w="1308" w:type="pct"/>
            <w:tcBorders>
              <w:top w:val="nil"/>
              <w:bottom w:val="nil"/>
            </w:tcBorders>
          </w:tcPr>
          <w:p w14:paraId="1DE9365D" w14:textId="77777777" w:rsidR="00F572A3" w:rsidRPr="0049396B" w:rsidRDefault="00F572A3" w:rsidP="00A21488">
            <w:pPr>
              <w:pStyle w:val="ListParagraph"/>
              <w:keepNext/>
              <w:keepLines/>
              <w:widowControl w:val="0"/>
              <w:numPr>
                <w:ilvl w:val="0"/>
                <w:numId w:val="11"/>
              </w:numPr>
              <w:spacing w:after="0"/>
              <w:ind w:left="249" w:hanging="215"/>
              <w:rPr>
                <w:rFonts w:ascii="Arial Narrow" w:hAnsi="Arial Narrow"/>
                <w:sz w:val="20"/>
                <w:szCs w:val="20"/>
              </w:rPr>
            </w:pPr>
            <w:r w:rsidRPr="0049396B">
              <w:rPr>
                <w:rFonts w:ascii="Arial Narrow" w:hAnsi="Arial Narrow"/>
                <w:sz w:val="20"/>
                <w:szCs w:val="20"/>
              </w:rPr>
              <w:t>Disability of independent ambulation</w:t>
            </w:r>
          </w:p>
        </w:tc>
        <w:tc>
          <w:tcPr>
            <w:tcW w:w="612" w:type="pct"/>
            <w:tcBorders>
              <w:top w:val="nil"/>
              <w:bottom w:val="nil"/>
            </w:tcBorders>
            <w:vAlign w:val="center"/>
          </w:tcPr>
          <w:p w14:paraId="16D7459C"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28</w:t>
            </w:r>
          </w:p>
        </w:tc>
        <w:tc>
          <w:tcPr>
            <w:tcW w:w="612" w:type="pct"/>
            <w:tcBorders>
              <w:top w:val="nil"/>
              <w:bottom w:val="nil"/>
            </w:tcBorders>
            <w:vAlign w:val="center"/>
          </w:tcPr>
          <w:p w14:paraId="5B963182"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23</w:t>
            </w:r>
          </w:p>
        </w:tc>
        <w:tc>
          <w:tcPr>
            <w:tcW w:w="612" w:type="pct"/>
            <w:tcBorders>
              <w:top w:val="nil"/>
              <w:bottom w:val="nil"/>
            </w:tcBorders>
            <w:vAlign w:val="center"/>
          </w:tcPr>
          <w:p w14:paraId="2BF63F24"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7</w:t>
            </w:r>
          </w:p>
        </w:tc>
        <w:tc>
          <w:tcPr>
            <w:tcW w:w="612" w:type="pct"/>
            <w:tcBorders>
              <w:top w:val="nil"/>
              <w:bottom w:val="nil"/>
            </w:tcBorders>
            <w:vAlign w:val="center"/>
          </w:tcPr>
          <w:p w14:paraId="20E105AC"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8</w:t>
            </w:r>
          </w:p>
        </w:tc>
        <w:tc>
          <w:tcPr>
            <w:tcW w:w="633" w:type="pct"/>
            <w:tcBorders>
              <w:top w:val="nil"/>
              <w:bottom w:val="nil"/>
            </w:tcBorders>
            <w:vAlign w:val="center"/>
          </w:tcPr>
          <w:p w14:paraId="73A356CC"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1" w:type="pct"/>
            <w:tcBorders>
              <w:top w:val="nil"/>
              <w:bottom w:val="nil"/>
            </w:tcBorders>
            <w:vAlign w:val="center"/>
          </w:tcPr>
          <w:p w14:paraId="5C45BC9B"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w:t>
            </w:r>
          </w:p>
        </w:tc>
      </w:tr>
      <w:tr w:rsidR="00F572A3" w:rsidRPr="0049396B" w14:paraId="404494FB" w14:textId="77777777" w:rsidTr="00EB254E">
        <w:tc>
          <w:tcPr>
            <w:tcW w:w="1308" w:type="pct"/>
            <w:tcBorders>
              <w:top w:val="nil"/>
              <w:bottom w:val="nil"/>
            </w:tcBorders>
          </w:tcPr>
          <w:p w14:paraId="04C96272" w14:textId="77777777" w:rsidR="00F572A3" w:rsidRPr="0049396B" w:rsidRDefault="00F572A3" w:rsidP="00A21488">
            <w:pPr>
              <w:pStyle w:val="ListParagraph"/>
              <w:keepNext/>
              <w:keepLines/>
              <w:widowControl w:val="0"/>
              <w:numPr>
                <w:ilvl w:val="0"/>
                <w:numId w:val="11"/>
              </w:numPr>
              <w:spacing w:after="0"/>
              <w:ind w:left="249" w:hanging="215"/>
              <w:rPr>
                <w:rFonts w:ascii="Arial Narrow" w:hAnsi="Arial Narrow"/>
                <w:sz w:val="20"/>
                <w:szCs w:val="20"/>
              </w:rPr>
            </w:pPr>
            <w:r w:rsidRPr="0049396B">
              <w:rPr>
                <w:rFonts w:ascii="Arial Narrow" w:hAnsi="Arial Narrow"/>
                <w:sz w:val="20"/>
                <w:szCs w:val="20"/>
              </w:rPr>
              <w:t>Loss of upper limbs function</w:t>
            </w:r>
          </w:p>
        </w:tc>
        <w:tc>
          <w:tcPr>
            <w:tcW w:w="612" w:type="pct"/>
            <w:tcBorders>
              <w:top w:val="nil"/>
              <w:bottom w:val="nil"/>
            </w:tcBorders>
            <w:vAlign w:val="center"/>
          </w:tcPr>
          <w:p w14:paraId="3CD267FC"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w:t>
            </w:r>
          </w:p>
        </w:tc>
        <w:tc>
          <w:tcPr>
            <w:tcW w:w="612" w:type="pct"/>
            <w:tcBorders>
              <w:top w:val="nil"/>
              <w:bottom w:val="nil"/>
            </w:tcBorders>
            <w:vAlign w:val="center"/>
          </w:tcPr>
          <w:p w14:paraId="6EEC0DB4"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4</w:t>
            </w:r>
          </w:p>
        </w:tc>
        <w:tc>
          <w:tcPr>
            <w:tcW w:w="612" w:type="pct"/>
            <w:tcBorders>
              <w:top w:val="nil"/>
              <w:bottom w:val="nil"/>
            </w:tcBorders>
            <w:vAlign w:val="center"/>
          </w:tcPr>
          <w:p w14:paraId="70D6A674"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2" w:type="pct"/>
            <w:tcBorders>
              <w:top w:val="nil"/>
              <w:bottom w:val="nil"/>
            </w:tcBorders>
            <w:vAlign w:val="center"/>
          </w:tcPr>
          <w:p w14:paraId="75BC97EA"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w:t>
            </w:r>
          </w:p>
        </w:tc>
        <w:tc>
          <w:tcPr>
            <w:tcW w:w="633" w:type="pct"/>
            <w:tcBorders>
              <w:top w:val="nil"/>
              <w:bottom w:val="nil"/>
            </w:tcBorders>
            <w:vAlign w:val="center"/>
          </w:tcPr>
          <w:p w14:paraId="5F1CDBE0"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1" w:type="pct"/>
            <w:tcBorders>
              <w:top w:val="nil"/>
              <w:bottom w:val="nil"/>
            </w:tcBorders>
            <w:vAlign w:val="center"/>
          </w:tcPr>
          <w:p w14:paraId="712C018E"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r>
      <w:tr w:rsidR="00F572A3" w:rsidRPr="0049396B" w14:paraId="768A477D" w14:textId="77777777" w:rsidTr="00EB254E">
        <w:tc>
          <w:tcPr>
            <w:tcW w:w="1308" w:type="pct"/>
            <w:tcBorders>
              <w:top w:val="nil"/>
              <w:bottom w:val="nil"/>
            </w:tcBorders>
          </w:tcPr>
          <w:p w14:paraId="22142658" w14:textId="77777777" w:rsidR="00F572A3" w:rsidRPr="0049396B" w:rsidRDefault="00F572A3" w:rsidP="00A21488">
            <w:pPr>
              <w:pStyle w:val="ListParagraph"/>
              <w:keepNext/>
              <w:keepLines/>
              <w:widowControl w:val="0"/>
              <w:numPr>
                <w:ilvl w:val="0"/>
                <w:numId w:val="11"/>
              </w:numPr>
              <w:spacing w:after="0"/>
              <w:ind w:left="249" w:hanging="215"/>
              <w:rPr>
                <w:rFonts w:ascii="Arial Narrow" w:hAnsi="Arial Narrow"/>
                <w:sz w:val="20"/>
                <w:szCs w:val="20"/>
              </w:rPr>
            </w:pPr>
            <w:r w:rsidRPr="0049396B">
              <w:rPr>
                <w:rFonts w:ascii="Arial Narrow" w:hAnsi="Arial Narrow"/>
                <w:sz w:val="20"/>
                <w:szCs w:val="20"/>
              </w:rPr>
              <w:t>Tracheostomy</w:t>
            </w:r>
          </w:p>
        </w:tc>
        <w:tc>
          <w:tcPr>
            <w:tcW w:w="612" w:type="pct"/>
            <w:tcBorders>
              <w:top w:val="nil"/>
              <w:bottom w:val="nil"/>
            </w:tcBorders>
            <w:vAlign w:val="center"/>
          </w:tcPr>
          <w:p w14:paraId="7A0FCA8B"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2" w:type="pct"/>
            <w:tcBorders>
              <w:top w:val="nil"/>
              <w:bottom w:val="nil"/>
            </w:tcBorders>
            <w:vAlign w:val="center"/>
          </w:tcPr>
          <w:p w14:paraId="4ADA28C3"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2</w:t>
            </w:r>
          </w:p>
        </w:tc>
        <w:tc>
          <w:tcPr>
            <w:tcW w:w="612" w:type="pct"/>
            <w:tcBorders>
              <w:top w:val="nil"/>
              <w:bottom w:val="nil"/>
            </w:tcBorders>
            <w:vAlign w:val="center"/>
          </w:tcPr>
          <w:p w14:paraId="2E5A9AD5"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2" w:type="pct"/>
            <w:tcBorders>
              <w:top w:val="nil"/>
              <w:bottom w:val="nil"/>
            </w:tcBorders>
            <w:vAlign w:val="center"/>
          </w:tcPr>
          <w:p w14:paraId="64F2969F"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33" w:type="pct"/>
            <w:tcBorders>
              <w:top w:val="nil"/>
              <w:bottom w:val="nil"/>
            </w:tcBorders>
            <w:vAlign w:val="center"/>
          </w:tcPr>
          <w:p w14:paraId="49894946"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1</w:t>
            </w:r>
          </w:p>
        </w:tc>
        <w:tc>
          <w:tcPr>
            <w:tcW w:w="611" w:type="pct"/>
            <w:tcBorders>
              <w:top w:val="nil"/>
              <w:bottom w:val="nil"/>
            </w:tcBorders>
            <w:vAlign w:val="center"/>
          </w:tcPr>
          <w:p w14:paraId="32CCD168"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r>
      <w:tr w:rsidR="00F572A3" w:rsidRPr="0049396B" w14:paraId="5727096E" w14:textId="77777777" w:rsidTr="00EB254E">
        <w:tc>
          <w:tcPr>
            <w:tcW w:w="1308" w:type="pct"/>
            <w:tcBorders>
              <w:top w:val="nil"/>
              <w:bottom w:val="nil"/>
            </w:tcBorders>
          </w:tcPr>
          <w:p w14:paraId="31E575E8" w14:textId="77777777" w:rsidR="00F572A3" w:rsidRPr="0049396B" w:rsidRDefault="00F572A3" w:rsidP="00A21488">
            <w:pPr>
              <w:pStyle w:val="ListParagraph"/>
              <w:keepNext/>
              <w:keepLines/>
              <w:widowControl w:val="0"/>
              <w:numPr>
                <w:ilvl w:val="0"/>
                <w:numId w:val="11"/>
              </w:numPr>
              <w:spacing w:after="0"/>
              <w:ind w:left="249" w:hanging="215"/>
              <w:rPr>
                <w:rFonts w:ascii="Arial Narrow" w:hAnsi="Arial Narrow"/>
                <w:sz w:val="20"/>
                <w:szCs w:val="20"/>
              </w:rPr>
            </w:pPr>
            <w:r w:rsidRPr="0049396B">
              <w:rPr>
                <w:rFonts w:ascii="Arial Narrow" w:hAnsi="Arial Narrow"/>
                <w:sz w:val="20"/>
                <w:szCs w:val="20"/>
              </w:rPr>
              <w:t>Use of respirator</w:t>
            </w:r>
          </w:p>
        </w:tc>
        <w:tc>
          <w:tcPr>
            <w:tcW w:w="612" w:type="pct"/>
            <w:tcBorders>
              <w:top w:val="nil"/>
              <w:bottom w:val="nil"/>
            </w:tcBorders>
            <w:vAlign w:val="center"/>
          </w:tcPr>
          <w:p w14:paraId="4AE9038C"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1</w:t>
            </w:r>
          </w:p>
        </w:tc>
        <w:tc>
          <w:tcPr>
            <w:tcW w:w="612" w:type="pct"/>
            <w:tcBorders>
              <w:top w:val="nil"/>
              <w:bottom w:val="nil"/>
            </w:tcBorders>
            <w:vAlign w:val="center"/>
          </w:tcPr>
          <w:p w14:paraId="6839E986"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3</w:t>
            </w:r>
          </w:p>
        </w:tc>
        <w:tc>
          <w:tcPr>
            <w:tcW w:w="612" w:type="pct"/>
            <w:tcBorders>
              <w:top w:val="nil"/>
              <w:bottom w:val="nil"/>
            </w:tcBorders>
            <w:vAlign w:val="center"/>
          </w:tcPr>
          <w:p w14:paraId="10C0A774"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2" w:type="pct"/>
            <w:tcBorders>
              <w:top w:val="nil"/>
              <w:bottom w:val="nil"/>
            </w:tcBorders>
            <w:vAlign w:val="center"/>
          </w:tcPr>
          <w:p w14:paraId="49E4C496"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33" w:type="pct"/>
            <w:tcBorders>
              <w:top w:val="nil"/>
              <w:bottom w:val="nil"/>
            </w:tcBorders>
            <w:vAlign w:val="center"/>
          </w:tcPr>
          <w:p w14:paraId="68569837"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1" w:type="pct"/>
            <w:tcBorders>
              <w:top w:val="nil"/>
              <w:bottom w:val="nil"/>
            </w:tcBorders>
            <w:vAlign w:val="center"/>
          </w:tcPr>
          <w:p w14:paraId="5D1A5B22"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r>
      <w:tr w:rsidR="00F572A3" w:rsidRPr="0049396B" w14:paraId="77879A26" w14:textId="77777777" w:rsidTr="00EB254E">
        <w:tc>
          <w:tcPr>
            <w:tcW w:w="1308" w:type="pct"/>
            <w:tcBorders>
              <w:top w:val="nil"/>
              <w:bottom w:val="nil"/>
            </w:tcBorders>
          </w:tcPr>
          <w:p w14:paraId="0FA1B840" w14:textId="77777777" w:rsidR="00F572A3" w:rsidRPr="0049396B" w:rsidRDefault="00F572A3" w:rsidP="00A21488">
            <w:pPr>
              <w:pStyle w:val="ListParagraph"/>
              <w:keepNext/>
              <w:keepLines/>
              <w:widowControl w:val="0"/>
              <w:numPr>
                <w:ilvl w:val="0"/>
                <w:numId w:val="11"/>
              </w:numPr>
              <w:spacing w:after="0"/>
              <w:ind w:left="249" w:hanging="215"/>
              <w:rPr>
                <w:rFonts w:ascii="Arial Narrow" w:hAnsi="Arial Narrow"/>
                <w:sz w:val="20"/>
                <w:szCs w:val="20"/>
              </w:rPr>
            </w:pPr>
            <w:r w:rsidRPr="0049396B">
              <w:rPr>
                <w:rFonts w:ascii="Arial Narrow" w:hAnsi="Arial Narrow"/>
                <w:sz w:val="20"/>
                <w:szCs w:val="20"/>
              </w:rPr>
              <w:t>Use of tube feeding</w:t>
            </w:r>
          </w:p>
        </w:tc>
        <w:tc>
          <w:tcPr>
            <w:tcW w:w="612" w:type="pct"/>
            <w:tcBorders>
              <w:top w:val="nil"/>
              <w:bottom w:val="nil"/>
            </w:tcBorders>
            <w:vAlign w:val="center"/>
          </w:tcPr>
          <w:p w14:paraId="4A262952"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5</w:t>
            </w:r>
          </w:p>
        </w:tc>
        <w:tc>
          <w:tcPr>
            <w:tcW w:w="612" w:type="pct"/>
            <w:tcBorders>
              <w:top w:val="nil"/>
              <w:bottom w:val="nil"/>
            </w:tcBorders>
            <w:vAlign w:val="center"/>
          </w:tcPr>
          <w:p w14:paraId="350BFFDD"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3</w:t>
            </w:r>
          </w:p>
        </w:tc>
        <w:tc>
          <w:tcPr>
            <w:tcW w:w="612" w:type="pct"/>
            <w:tcBorders>
              <w:top w:val="nil"/>
              <w:bottom w:val="nil"/>
            </w:tcBorders>
            <w:vAlign w:val="center"/>
          </w:tcPr>
          <w:p w14:paraId="2863894B"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2" w:type="pct"/>
            <w:tcBorders>
              <w:top w:val="nil"/>
              <w:bottom w:val="nil"/>
            </w:tcBorders>
            <w:vAlign w:val="center"/>
          </w:tcPr>
          <w:p w14:paraId="0D96CB14"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1</w:t>
            </w:r>
          </w:p>
        </w:tc>
        <w:tc>
          <w:tcPr>
            <w:tcW w:w="633" w:type="pct"/>
            <w:tcBorders>
              <w:top w:val="nil"/>
              <w:bottom w:val="nil"/>
            </w:tcBorders>
            <w:vAlign w:val="center"/>
          </w:tcPr>
          <w:p w14:paraId="6CF98705"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0</w:t>
            </w:r>
          </w:p>
        </w:tc>
        <w:tc>
          <w:tcPr>
            <w:tcW w:w="611" w:type="pct"/>
            <w:tcBorders>
              <w:top w:val="nil"/>
              <w:bottom w:val="nil"/>
            </w:tcBorders>
            <w:vAlign w:val="center"/>
          </w:tcPr>
          <w:p w14:paraId="3BBDB2F8"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1</w:t>
            </w:r>
          </w:p>
        </w:tc>
      </w:tr>
      <w:tr w:rsidR="00F572A3" w:rsidRPr="0049396B" w14:paraId="54973549" w14:textId="77777777" w:rsidTr="00EB254E">
        <w:tc>
          <w:tcPr>
            <w:tcW w:w="1308" w:type="pct"/>
            <w:tcBorders>
              <w:top w:val="nil"/>
            </w:tcBorders>
          </w:tcPr>
          <w:p w14:paraId="28319DA4" w14:textId="77777777" w:rsidR="00F572A3" w:rsidRPr="0049396B" w:rsidRDefault="00F572A3" w:rsidP="00A21488">
            <w:pPr>
              <w:pStyle w:val="ListParagraph"/>
              <w:keepNext/>
              <w:keepLines/>
              <w:widowControl w:val="0"/>
              <w:numPr>
                <w:ilvl w:val="0"/>
                <w:numId w:val="11"/>
              </w:numPr>
              <w:spacing w:after="0"/>
              <w:ind w:left="249" w:hanging="215"/>
              <w:rPr>
                <w:rFonts w:ascii="Arial Narrow" w:hAnsi="Arial Narrow"/>
                <w:sz w:val="20"/>
                <w:szCs w:val="20"/>
              </w:rPr>
            </w:pPr>
            <w:r w:rsidRPr="0049396B">
              <w:rPr>
                <w:rFonts w:ascii="Arial Narrow" w:hAnsi="Arial Narrow"/>
                <w:sz w:val="20"/>
                <w:szCs w:val="20"/>
              </w:rPr>
              <w:t>Loss of useful speech</w:t>
            </w:r>
          </w:p>
        </w:tc>
        <w:tc>
          <w:tcPr>
            <w:tcW w:w="612" w:type="pct"/>
            <w:tcBorders>
              <w:top w:val="nil"/>
            </w:tcBorders>
            <w:vAlign w:val="center"/>
          </w:tcPr>
          <w:p w14:paraId="12795D8B"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w:t>
            </w:r>
            <w:r w:rsidRPr="0049396B">
              <w:rPr>
                <w:rFonts w:ascii="Arial Narrow" w:hAnsi="Arial Narrow"/>
                <w:iCs/>
                <w:sz w:val="20"/>
                <w:szCs w:val="20"/>
                <w:vertAlign w:val="superscript"/>
              </w:rPr>
              <w:t>b</w:t>
            </w:r>
          </w:p>
        </w:tc>
        <w:tc>
          <w:tcPr>
            <w:tcW w:w="612" w:type="pct"/>
            <w:tcBorders>
              <w:top w:val="nil"/>
            </w:tcBorders>
            <w:vAlign w:val="center"/>
          </w:tcPr>
          <w:p w14:paraId="5506637A"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w:t>
            </w:r>
            <w:r w:rsidRPr="0049396B">
              <w:rPr>
                <w:rFonts w:ascii="Arial Narrow" w:hAnsi="Arial Narrow"/>
                <w:iCs/>
                <w:sz w:val="20"/>
                <w:szCs w:val="20"/>
                <w:vertAlign w:val="superscript"/>
              </w:rPr>
              <w:t>b</w:t>
            </w:r>
          </w:p>
        </w:tc>
        <w:tc>
          <w:tcPr>
            <w:tcW w:w="612" w:type="pct"/>
            <w:tcBorders>
              <w:top w:val="nil"/>
            </w:tcBorders>
            <w:vAlign w:val="center"/>
          </w:tcPr>
          <w:p w14:paraId="7123322F"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w:t>
            </w:r>
            <w:r w:rsidRPr="0049396B">
              <w:rPr>
                <w:rFonts w:ascii="Arial Narrow" w:hAnsi="Arial Narrow"/>
                <w:iCs/>
                <w:sz w:val="20"/>
                <w:szCs w:val="20"/>
                <w:vertAlign w:val="superscript"/>
              </w:rPr>
              <w:t>b</w:t>
            </w:r>
          </w:p>
        </w:tc>
        <w:tc>
          <w:tcPr>
            <w:tcW w:w="612" w:type="pct"/>
            <w:tcBorders>
              <w:top w:val="nil"/>
            </w:tcBorders>
            <w:vAlign w:val="center"/>
          </w:tcPr>
          <w:p w14:paraId="6E49205E"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w:t>
            </w:r>
            <w:r w:rsidRPr="0049396B">
              <w:rPr>
                <w:rFonts w:ascii="Arial Narrow" w:hAnsi="Arial Narrow"/>
                <w:iCs/>
                <w:sz w:val="20"/>
                <w:szCs w:val="20"/>
                <w:vertAlign w:val="superscript"/>
              </w:rPr>
              <w:t>b</w:t>
            </w:r>
          </w:p>
        </w:tc>
        <w:tc>
          <w:tcPr>
            <w:tcW w:w="633" w:type="pct"/>
            <w:tcBorders>
              <w:top w:val="nil"/>
            </w:tcBorders>
            <w:vAlign w:val="center"/>
          </w:tcPr>
          <w:p w14:paraId="066BBA8D"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1</w:t>
            </w:r>
          </w:p>
        </w:tc>
        <w:tc>
          <w:tcPr>
            <w:tcW w:w="611" w:type="pct"/>
            <w:tcBorders>
              <w:top w:val="nil"/>
            </w:tcBorders>
            <w:vAlign w:val="center"/>
          </w:tcPr>
          <w:p w14:paraId="6DE06533" w14:textId="77777777" w:rsidR="00F572A3" w:rsidRPr="0049396B" w:rsidRDefault="00F572A3" w:rsidP="00B676F6">
            <w:pPr>
              <w:keepNext/>
              <w:keepLines/>
              <w:widowControl w:val="0"/>
              <w:jc w:val="center"/>
              <w:rPr>
                <w:rFonts w:ascii="Arial Narrow" w:hAnsi="Arial Narrow"/>
                <w:iCs/>
                <w:sz w:val="20"/>
                <w:szCs w:val="20"/>
              </w:rPr>
            </w:pPr>
            <w:r w:rsidRPr="0049396B">
              <w:rPr>
                <w:rFonts w:ascii="Arial Narrow" w:hAnsi="Arial Narrow"/>
                <w:iCs/>
                <w:sz w:val="20"/>
                <w:szCs w:val="20"/>
              </w:rPr>
              <w:t>3</w:t>
            </w:r>
          </w:p>
        </w:tc>
      </w:tr>
      <w:tr w:rsidR="00F572A3" w:rsidRPr="0049396B" w14:paraId="28D02B60" w14:textId="77777777" w:rsidTr="00EB254E">
        <w:tc>
          <w:tcPr>
            <w:tcW w:w="1308" w:type="pct"/>
            <w:vAlign w:val="center"/>
          </w:tcPr>
          <w:p w14:paraId="47E410C1" w14:textId="77777777" w:rsidR="00F572A3" w:rsidRPr="0049396B" w:rsidRDefault="00F572A3" w:rsidP="00B676F6">
            <w:pPr>
              <w:keepNext/>
              <w:keepLines/>
              <w:widowControl w:val="0"/>
              <w:jc w:val="left"/>
              <w:rPr>
                <w:rFonts w:ascii="Arial Narrow" w:hAnsi="Arial Narrow"/>
                <w:sz w:val="20"/>
                <w:szCs w:val="20"/>
              </w:rPr>
            </w:pPr>
            <w:r w:rsidRPr="0049396B">
              <w:rPr>
                <w:rFonts w:ascii="Arial Narrow" w:hAnsi="Arial Narrow"/>
                <w:sz w:val="20"/>
                <w:szCs w:val="20"/>
              </w:rPr>
              <w:t>Between-group comparison</w:t>
            </w:r>
          </w:p>
        </w:tc>
        <w:tc>
          <w:tcPr>
            <w:tcW w:w="1224" w:type="pct"/>
            <w:gridSpan w:val="2"/>
            <w:vAlign w:val="center"/>
          </w:tcPr>
          <w:p w14:paraId="136390C9" w14:textId="3C823E42"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p=0.93^</w:t>
            </w:r>
          </w:p>
        </w:tc>
        <w:tc>
          <w:tcPr>
            <w:tcW w:w="1224" w:type="pct"/>
            <w:gridSpan w:val="2"/>
            <w:vAlign w:val="center"/>
          </w:tcPr>
          <w:p w14:paraId="6DB62C3C" w14:textId="4109407A"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p=0.07^</w:t>
            </w:r>
          </w:p>
        </w:tc>
        <w:tc>
          <w:tcPr>
            <w:tcW w:w="1244" w:type="pct"/>
            <w:gridSpan w:val="2"/>
            <w:vAlign w:val="center"/>
          </w:tcPr>
          <w:p w14:paraId="00CBE300" w14:textId="77777777" w:rsidR="00F572A3" w:rsidRPr="0049396B" w:rsidRDefault="00F572A3" w:rsidP="00B676F6">
            <w:pPr>
              <w:keepNext/>
              <w:keepLines/>
              <w:widowControl w:val="0"/>
              <w:jc w:val="center"/>
              <w:rPr>
                <w:rFonts w:ascii="Arial Narrow" w:hAnsi="Arial Narrow"/>
                <w:i/>
                <w:sz w:val="20"/>
                <w:szCs w:val="20"/>
              </w:rPr>
            </w:pPr>
            <w:r w:rsidRPr="0049396B">
              <w:rPr>
                <w:rFonts w:ascii="Arial Narrow" w:hAnsi="Arial Narrow"/>
                <w:sz w:val="20"/>
                <w:szCs w:val="20"/>
              </w:rPr>
              <w:t>p=0.128 (log-rank test), p=0.142 (generalized Wilcoxon test)</w:t>
            </w:r>
            <w:r w:rsidRPr="0049396B">
              <w:rPr>
                <w:rFonts w:ascii="Arial Narrow" w:hAnsi="Arial Narrow"/>
                <w:sz w:val="20"/>
                <w:szCs w:val="20"/>
                <w:vertAlign w:val="superscript"/>
              </w:rPr>
              <w:t>e</w:t>
            </w:r>
          </w:p>
        </w:tc>
      </w:tr>
      <w:tr w:rsidR="00F572A3" w:rsidRPr="0049396B" w14:paraId="4EF4FADA" w14:textId="77777777" w:rsidTr="00EB254E">
        <w:tc>
          <w:tcPr>
            <w:tcW w:w="5000" w:type="pct"/>
            <w:gridSpan w:val="7"/>
            <w:vAlign w:val="center"/>
          </w:tcPr>
          <w:p w14:paraId="551CDA71" w14:textId="77777777" w:rsidR="00F572A3" w:rsidRPr="0049396B" w:rsidRDefault="00F572A3" w:rsidP="00B676F6">
            <w:pPr>
              <w:keepNext/>
              <w:keepLines/>
              <w:widowControl w:val="0"/>
              <w:jc w:val="left"/>
              <w:rPr>
                <w:rFonts w:ascii="Arial Narrow" w:hAnsi="Arial Narrow"/>
                <w:b/>
                <w:sz w:val="20"/>
                <w:szCs w:val="20"/>
              </w:rPr>
            </w:pPr>
            <w:r w:rsidRPr="0049396B">
              <w:rPr>
                <w:rFonts w:ascii="Arial Narrow" w:hAnsi="Arial Narrow"/>
                <w:b/>
                <w:sz w:val="20"/>
                <w:szCs w:val="20"/>
              </w:rPr>
              <w:t>%FVC:</w:t>
            </w:r>
            <w:r w:rsidRPr="0049396B">
              <w:t xml:space="preserve"> </w:t>
            </w:r>
            <w:r w:rsidRPr="0049396B">
              <w:rPr>
                <w:rFonts w:ascii="Arial Narrow" w:hAnsi="Arial Narrow"/>
                <w:b/>
                <w:sz w:val="20"/>
                <w:szCs w:val="20"/>
              </w:rPr>
              <w:t>changes from baseline in cycle 1 to end of cycle 6</w:t>
            </w:r>
            <w:r w:rsidRPr="0049396B">
              <w:rPr>
                <w:rFonts w:ascii="Arial Narrow" w:hAnsi="Arial Narrow"/>
                <w:b/>
                <w:sz w:val="20"/>
                <w:szCs w:val="20"/>
                <w:vertAlign w:val="superscript"/>
              </w:rPr>
              <w:t>c</w:t>
            </w:r>
          </w:p>
        </w:tc>
      </w:tr>
      <w:tr w:rsidR="00F572A3" w:rsidRPr="0049396B" w14:paraId="786A5160" w14:textId="77777777" w:rsidTr="00EB254E">
        <w:tc>
          <w:tcPr>
            <w:tcW w:w="1308" w:type="pct"/>
          </w:tcPr>
          <w:p w14:paraId="27485E9B" w14:textId="77777777" w:rsidR="00F572A3" w:rsidRPr="0049396B" w:rsidRDefault="00F572A3" w:rsidP="00B676F6">
            <w:pPr>
              <w:keepNext/>
              <w:keepLines/>
              <w:widowControl w:val="0"/>
              <w:rPr>
                <w:rFonts w:ascii="Arial Narrow" w:hAnsi="Arial Narrow"/>
                <w:sz w:val="20"/>
                <w:szCs w:val="20"/>
              </w:rPr>
            </w:pPr>
            <w:r w:rsidRPr="0049396B">
              <w:rPr>
                <w:rFonts w:ascii="Arial Narrow" w:hAnsi="Arial Narrow"/>
                <w:sz w:val="20"/>
                <w:szCs w:val="20"/>
              </w:rPr>
              <w:t xml:space="preserve">End cycle 6, LS mean (SE) </w:t>
            </w:r>
          </w:p>
        </w:tc>
        <w:tc>
          <w:tcPr>
            <w:tcW w:w="612" w:type="pct"/>
            <w:vAlign w:val="center"/>
          </w:tcPr>
          <w:p w14:paraId="1E6218E2"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-14.57 (2.41)</w:t>
            </w:r>
          </w:p>
        </w:tc>
        <w:tc>
          <w:tcPr>
            <w:tcW w:w="612" w:type="pct"/>
            <w:vAlign w:val="center"/>
          </w:tcPr>
          <w:p w14:paraId="34614EE6"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-17.49 (2.39)</w:t>
            </w:r>
          </w:p>
        </w:tc>
        <w:tc>
          <w:tcPr>
            <w:tcW w:w="612" w:type="pct"/>
            <w:vAlign w:val="center"/>
          </w:tcPr>
          <w:p w14:paraId="141C9B42"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-13.40 (3.61)</w:t>
            </w:r>
          </w:p>
        </w:tc>
        <w:tc>
          <w:tcPr>
            <w:tcW w:w="612" w:type="pct"/>
            <w:vAlign w:val="center"/>
          </w:tcPr>
          <w:p w14:paraId="287CF451"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-19.69 (3.12)</w:t>
            </w:r>
          </w:p>
        </w:tc>
        <w:tc>
          <w:tcPr>
            <w:tcW w:w="633" w:type="pct"/>
            <w:vAlign w:val="center"/>
          </w:tcPr>
          <w:p w14:paraId="5CB589E3"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-15.61 (2.41)</w:t>
            </w:r>
          </w:p>
        </w:tc>
        <w:tc>
          <w:tcPr>
            <w:tcW w:w="611" w:type="pct"/>
            <w:vAlign w:val="center"/>
          </w:tcPr>
          <w:p w14:paraId="3B77A7BA"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-20.40 (2.48)</w:t>
            </w:r>
          </w:p>
        </w:tc>
      </w:tr>
      <w:tr w:rsidR="00F572A3" w:rsidRPr="0049396B" w14:paraId="0C8563B8" w14:textId="77777777" w:rsidTr="00EB254E">
        <w:tc>
          <w:tcPr>
            <w:tcW w:w="1308" w:type="pct"/>
          </w:tcPr>
          <w:p w14:paraId="21C0C2AB" w14:textId="77777777" w:rsidR="00F572A3" w:rsidRPr="0049396B" w:rsidRDefault="00F572A3" w:rsidP="00B676F6">
            <w:pPr>
              <w:keepNext/>
              <w:keepLines/>
              <w:widowControl w:val="0"/>
              <w:ind w:left="170"/>
              <w:rPr>
                <w:rFonts w:ascii="Arial Narrow" w:hAnsi="Arial Narrow"/>
                <w:sz w:val="20"/>
                <w:szCs w:val="20"/>
              </w:rPr>
            </w:pPr>
            <w:r w:rsidRPr="0049396B">
              <w:rPr>
                <w:rFonts w:ascii="Arial Narrow" w:hAnsi="Arial Narrow"/>
                <w:sz w:val="20"/>
                <w:szCs w:val="20"/>
              </w:rPr>
              <w:t>Difference (95%CI) v PBO</w:t>
            </w:r>
          </w:p>
        </w:tc>
        <w:tc>
          <w:tcPr>
            <w:tcW w:w="1224" w:type="pct"/>
            <w:gridSpan w:val="2"/>
            <w:vAlign w:val="center"/>
          </w:tcPr>
          <w:p w14:paraId="7AF8D815"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2.92 (-1.49, 7.33)</w:t>
            </w:r>
          </w:p>
        </w:tc>
        <w:tc>
          <w:tcPr>
            <w:tcW w:w="1224" w:type="pct"/>
            <w:gridSpan w:val="2"/>
            <w:vAlign w:val="center"/>
          </w:tcPr>
          <w:p w14:paraId="3786A626"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6.30 (0.09, 12.50)</w:t>
            </w:r>
          </w:p>
        </w:tc>
        <w:tc>
          <w:tcPr>
            <w:tcW w:w="1244" w:type="pct"/>
            <w:gridSpan w:val="2"/>
            <w:vAlign w:val="center"/>
          </w:tcPr>
          <w:p w14:paraId="43A0D7D8"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4·78 (-0·83, 10·40)</w:t>
            </w:r>
          </w:p>
        </w:tc>
      </w:tr>
      <w:tr w:rsidR="00F572A3" w:rsidRPr="0049396B" w14:paraId="22AA5902" w14:textId="77777777" w:rsidTr="00EB254E">
        <w:tc>
          <w:tcPr>
            <w:tcW w:w="1308" w:type="pct"/>
          </w:tcPr>
          <w:p w14:paraId="744F530C" w14:textId="77777777" w:rsidR="00F572A3" w:rsidRPr="0049396B" w:rsidRDefault="00F572A3" w:rsidP="00B676F6">
            <w:pPr>
              <w:keepNext/>
              <w:keepLines/>
              <w:widowControl w:val="0"/>
              <w:ind w:left="170"/>
              <w:jc w:val="right"/>
              <w:rPr>
                <w:rFonts w:ascii="Arial Narrow" w:hAnsi="Arial Narrow"/>
                <w:sz w:val="20"/>
                <w:szCs w:val="20"/>
              </w:rPr>
            </w:pPr>
            <w:r w:rsidRPr="0049396B">
              <w:rPr>
                <w:rFonts w:ascii="Arial Narrow" w:hAnsi="Arial Narrow"/>
                <w:sz w:val="20"/>
                <w:szCs w:val="20"/>
              </w:rPr>
              <w:t>Meta-analysis (post hoc)</w:t>
            </w:r>
          </w:p>
        </w:tc>
        <w:tc>
          <w:tcPr>
            <w:tcW w:w="1224" w:type="pct"/>
            <w:gridSpan w:val="2"/>
            <w:vAlign w:val="center"/>
          </w:tcPr>
          <w:p w14:paraId="2231DEF5"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sz w:val="20"/>
                <w:szCs w:val="20"/>
              </w:rPr>
              <w:t>-</w:t>
            </w:r>
          </w:p>
        </w:tc>
        <w:tc>
          <w:tcPr>
            <w:tcW w:w="2469" w:type="pct"/>
            <w:gridSpan w:val="4"/>
            <w:vAlign w:val="center"/>
          </w:tcPr>
          <w:p w14:paraId="6E43308C"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b/>
                <w:sz w:val="20"/>
                <w:szCs w:val="20"/>
              </w:rPr>
              <w:t>5.47 (1.37, 9.58)</w:t>
            </w:r>
          </w:p>
        </w:tc>
      </w:tr>
      <w:tr w:rsidR="00F572A3" w:rsidRPr="0049396B" w14:paraId="3F597C87" w14:textId="77777777" w:rsidTr="00EB254E">
        <w:tc>
          <w:tcPr>
            <w:tcW w:w="5000" w:type="pct"/>
            <w:gridSpan w:val="7"/>
            <w:vAlign w:val="center"/>
          </w:tcPr>
          <w:p w14:paraId="7C2555CC" w14:textId="77777777" w:rsidR="00F572A3" w:rsidRPr="0049396B" w:rsidRDefault="00F572A3" w:rsidP="00B676F6">
            <w:pPr>
              <w:keepNext/>
              <w:keepLines/>
              <w:widowControl w:val="0"/>
              <w:jc w:val="left"/>
              <w:rPr>
                <w:rFonts w:ascii="Arial Narrow" w:hAnsi="Arial Narrow"/>
                <w:b/>
                <w:sz w:val="20"/>
                <w:szCs w:val="20"/>
              </w:rPr>
            </w:pPr>
            <w:r w:rsidRPr="0049396B">
              <w:rPr>
                <w:rFonts w:ascii="Arial Narrow" w:hAnsi="Arial Narrow"/>
                <w:b/>
                <w:sz w:val="20"/>
                <w:szCs w:val="20"/>
              </w:rPr>
              <w:t>Modified Norris Scale score: changes from baseline in cycle 1 to end of cycle 6</w:t>
            </w:r>
            <w:r w:rsidRPr="0049396B">
              <w:rPr>
                <w:rFonts w:ascii="Arial Narrow" w:hAnsi="Arial Narrow"/>
                <w:b/>
                <w:sz w:val="20"/>
                <w:szCs w:val="20"/>
                <w:vertAlign w:val="superscript"/>
              </w:rPr>
              <w:t>c</w:t>
            </w:r>
          </w:p>
        </w:tc>
      </w:tr>
      <w:tr w:rsidR="00F572A3" w:rsidRPr="0049396B" w14:paraId="50298CB7" w14:textId="77777777" w:rsidTr="00EB254E">
        <w:tc>
          <w:tcPr>
            <w:tcW w:w="1308" w:type="pct"/>
          </w:tcPr>
          <w:p w14:paraId="670B25FA" w14:textId="77777777" w:rsidR="00F572A3" w:rsidRPr="0049396B" w:rsidRDefault="00F572A3" w:rsidP="00B676F6">
            <w:pPr>
              <w:keepNext/>
              <w:keepLines/>
              <w:widowControl w:val="0"/>
              <w:rPr>
                <w:rFonts w:ascii="Arial Narrow" w:hAnsi="Arial Narrow"/>
                <w:sz w:val="20"/>
                <w:szCs w:val="20"/>
              </w:rPr>
            </w:pPr>
            <w:r w:rsidRPr="0049396B">
              <w:rPr>
                <w:rFonts w:ascii="Arial Narrow" w:hAnsi="Arial Narrow"/>
                <w:sz w:val="20"/>
                <w:szCs w:val="20"/>
              </w:rPr>
              <w:t xml:space="preserve">End cycle 6, LS mean (SE) </w:t>
            </w:r>
          </w:p>
        </w:tc>
        <w:tc>
          <w:tcPr>
            <w:tcW w:w="612" w:type="pct"/>
            <w:vAlign w:val="center"/>
          </w:tcPr>
          <w:p w14:paraId="31BCC6FB"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-14.12 (2.05)</w:t>
            </w:r>
          </w:p>
        </w:tc>
        <w:tc>
          <w:tcPr>
            <w:tcW w:w="612" w:type="pct"/>
            <w:vAlign w:val="center"/>
          </w:tcPr>
          <w:p w14:paraId="322A58E3"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-16.15 (2.00)</w:t>
            </w:r>
          </w:p>
        </w:tc>
        <w:tc>
          <w:tcPr>
            <w:tcW w:w="612" w:type="pct"/>
            <w:vAlign w:val="center"/>
          </w:tcPr>
          <w:p w14:paraId="1DA0BDCE"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-10.07 (4.22)</w:t>
            </w:r>
          </w:p>
        </w:tc>
        <w:tc>
          <w:tcPr>
            <w:tcW w:w="612" w:type="pct"/>
            <w:vAlign w:val="center"/>
          </w:tcPr>
          <w:p w14:paraId="3A9E4A4C"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-18.01 (3.64)</w:t>
            </w:r>
          </w:p>
        </w:tc>
        <w:tc>
          <w:tcPr>
            <w:tcW w:w="633" w:type="pct"/>
            <w:vAlign w:val="center"/>
          </w:tcPr>
          <w:p w14:paraId="659523DE"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-15.91 (1.97)</w:t>
            </w:r>
          </w:p>
        </w:tc>
        <w:tc>
          <w:tcPr>
            <w:tcW w:w="611" w:type="pct"/>
            <w:vAlign w:val="center"/>
          </w:tcPr>
          <w:p w14:paraId="258DE8D2"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-20.80 (2.06)</w:t>
            </w:r>
          </w:p>
        </w:tc>
      </w:tr>
      <w:tr w:rsidR="00F572A3" w:rsidRPr="0049396B" w14:paraId="24FD194E" w14:textId="77777777" w:rsidTr="00EB254E">
        <w:tc>
          <w:tcPr>
            <w:tcW w:w="1308" w:type="pct"/>
          </w:tcPr>
          <w:p w14:paraId="65082CCF" w14:textId="77777777" w:rsidR="00F572A3" w:rsidRPr="0049396B" w:rsidRDefault="00F572A3" w:rsidP="00B676F6">
            <w:pPr>
              <w:keepNext/>
              <w:keepLines/>
              <w:widowControl w:val="0"/>
              <w:ind w:left="170"/>
              <w:rPr>
                <w:rFonts w:ascii="Arial Narrow" w:hAnsi="Arial Narrow"/>
                <w:sz w:val="20"/>
                <w:szCs w:val="20"/>
              </w:rPr>
            </w:pPr>
            <w:r w:rsidRPr="0049396B">
              <w:rPr>
                <w:rFonts w:ascii="Arial Narrow" w:hAnsi="Arial Narrow"/>
                <w:sz w:val="20"/>
                <w:szCs w:val="20"/>
              </w:rPr>
              <w:t>Difference (95%CI) v PBO</w:t>
            </w:r>
          </w:p>
        </w:tc>
        <w:tc>
          <w:tcPr>
            <w:tcW w:w="1224" w:type="pct"/>
            <w:gridSpan w:val="2"/>
            <w:vAlign w:val="center"/>
          </w:tcPr>
          <w:p w14:paraId="05ABE35C"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sz w:val="20"/>
                <w:szCs w:val="20"/>
              </w:rPr>
              <w:t>2.03 (-1.69, 5.75)</w:t>
            </w:r>
          </w:p>
        </w:tc>
        <w:tc>
          <w:tcPr>
            <w:tcW w:w="1224" w:type="pct"/>
            <w:gridSpan w:val="2"/>
            <w:vAlign w:val="center"/>
          </w:tcPr>
          <w:p w14:paraId="2E3DF1F3"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b/>
                <w:sz w:val="20"/>
                <w:szCs w:val="20"/>
              </w:rPr>
              <w:t>7.95 (0.68, 15.21)</w:t>
            </w:r>
          </w:p>
        </w:tc>
        <w:tc>
          <w:tcPr>
            <w:tcW w:w="1244" w:type="pct"/>
            <w:gridSpan w:val="2"/>
            <w:vAlign w:val="center"/>
          </w:tcPr>
          <w:p w14:paraId="1977D397"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b/>
                <w:sz w:val="20"/>
                <w:szCs w:val="20"/>
              </w:rPr>
              <w:t>4.89 (0·24, 9·54)</w:t>
            </w:r>
          </w:p>
        </w:tc>
      </w:tr>
      <w:tr w:rsidR="00F572A3" w:rsidRPr="0049396B" w14:paraId="046D35B2" w14:textId="77777777" w:rsidTr="00EB254E">
        <w:tc>
          <w:tcPr>
            <w:tcW w:w="1308" w:type="pct"/>
          </w:tcPr>
          <w:p w14:paraId="1CC089D3" w14:textId="77777777" w:rsidR="00F572A3" w:rsidRPr="0049396B" w:rsidRDefault="00F572A3" w:rsidP="00B676F6">
            <w:pPr>
              <w:keepNext/>
              <w:keepLines/>
              <w:widowControl w:val="0"/>
              <w:ind w:left="170"/>
              <w:jc w:val="right"/>
              <w:rPr>
                <w:rFonts w:ascii="Arial Narrow" w:hAnsi="Arial Narrow"/>
                <w:sz w:val="20"/>
                <w:szCs w:val="20"/>
              </w:rPr>
            </w:pPr>
            <w:r w:rsidRPr="0049396B">
              <w:rPr>
                <w:rFonts w:ascii="Arial Narrow" w:hAnsi="Arial Narrow"/>
                <w:sz w:val="20"/>
                <w:szCs w:val="20"/>
              </w:rPr>
              <w:t>Meta-analysis (post hoc)</w:t>
            </w:r>
          </w:p>
        </w:tc>
        <w:tc>
          <w:tcPr>
            <w:tcW w:w="1224" w:type="pct"/>
            <w:gridSpan w:val="2"/>
            <w:vAlign w:val="center"/>
          </w:tcPr>
          <w:p w14:paraId="217417E1"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sz w:val="20"/>
                <w:szCs w:val="20"/>
              </w:rPr>
              <w:t>-</w:t>
            </w:r>
          </w:p>
        </w:tc>
        <w:tc>
          <w:tcPr>
            <w:tcW w:w="2469" w:type="pct"/>
            <w:gridSpan w:val="4"/>
            <w:vAlign w:val="center"/>
          </w:tcPr>
          <w:p w14:paraId="7DC4DD5D"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b/>
                <w:sz w:val="20"/>
                <w:szCs w:val="20"/>
              </w:rPr>
              <w:t>5.79 (1.93, 9.66)</w:t>
            </w:r>
          </w:p>
        </w:tc>
      </w:tr>
      <w:tr w:rsidR="00F572A3" w:rsidRPr="0049396B" w14:paraId="7454C132" w14:textId="77777777" w:rsidTr="00EB254E">
        <w:tc>
          <w:tcPr>
            <w:tcW w:w="5000" w:type="pct"/>
            <w:gridSpan w:val="7"/>
            <w:vAlign w:val="center"/>
          </w:tcPr>
          <w:p w14:paraId="6CB19958" w14:textId="77777777" w:rsidR="00F572A3" w:rsidRPr="0049396B" w:rsidRDefault="00F572A3" w:rsidP="00B676F6">
            <w:pPr>
              <w:keepNext/>
              <w:keepLines/>
              <w:widowControl w:val="0"/>
              <w:jc w:val="left"/>
              <w:rPr>
                <w:rFonts w:ascii="Arial Narrow" w:hAnsi="Arial Narrow"/>
                <w:b/>
                <w:sz w:val="20"/>
                <w:szCs w:val="20"/>
              </w:rPr>
            </w:pPr>
            <w:r w:rsidRPr="0049396B">
              <w:rPr>
                <w:rFonts w:ascii="Arial Narrow" w:hAnsi="Arial Narrow"/>
                <w:b/>
                <w:sz w:val="20"/>
                <w:szCs w:val="20"/>
              </w:rPr>
              <w:t>ALSAQ-40:</w:t>
            </w:r>
            <w:r w:rsidRPr="0049396B">
              <w:t xml:space="preserve"> </w:t>
            </w:r>
            <w:r w:rsidRPr="0049396B">
              <w:rPr>
                <w:rFonts w:ascii="Arial Narrow" w:hAnsi="Arial Narrow"/>
                <w:b/>
                <w:sz w:val="20"/>
                <w:szCs w:val="20"/>
              </w:rPr>
              <w:t>changes from baseline in cycle 1 to end of cycle 6</w:t>
            </w:r>
            <w:r w:rsidRPr="0049396B">
              <w:rPr>
                <w:rFonts w:ascii="Arial Narrow" w:hAnsi="Arial Narrow"/>
                <w:b/>
                <w:sz w:val="20"/>
                <w:szCs w:val="20"/>
                <w:vertAlign w:val="superscript"/>
              </w:rPr>
              <w:t>c</w:t>
            </w:r>
          </w:p>
        </w:tc>
      </w:tr>
      <w:tr w:rsidR="00F572A3" w:rsidRPr="0049396B" w14:paraId="4C62C5B6" w14:textId="77777777" w:rsidTr="00EB254E">
        <w:tc>
          <w:tcPr>
            <w:tcW w:w="1308" w:type="pct"/>
          </w:tcPr>
          <w:p w14:paraId="7284A1A8" w14:textId="77777777" w:rsidR="00F572A3" w:rsidRPr="0049396B" w:rsidRDefault="00F572A3" w:rsidP="00B676F6">
            <w:pPr>
              <w:keepNext/>
              <w:keepLines/>
              <w:widowControl w:val="0"/>
              <w:rPr>
                <w:rFonts w:ascii="Arial Narrow" w:hAnsi="Arial Narrow"/>
                <w:sz w:val="20"/>
                <w:szCs w:val="20"/>
              </w:rPr>
            </w:pPr>
            <w:r w:rsidRPr="0049396B">
              <w:rPr>
                <w:rFonts w:ascii="Arial Narrow" w:hAnsi="Arial Narrow"/>
                <w:sz w:val="20"/>
                <w:szCs w:val="20"/>
              </w:rPr>
              <w:t xml:space="preserve">End cycle 6, LS mean (SE) </w:t>
            </w:r>
          </w:p>
        </w:tc>
        <w:tc>
          <w:tcPr>
            <w:tcW w:w="612" w:type="pct"/>
            <w:vAlign w:val="center"/>
          </w:tcPr>
          <w:p w14:paraId="653AAC08"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19.60 (3.82)</w:t>
            </w:r>
          </w:p>
        </w:tc>
        <w:tc>
          <w:tcPr>
            <w:tcW w:w="612" w:type="pct"/>
            <w:vAlign w:val="center"/>
          </w:tcPr>
          <w:p w14:paraId="16E68E71"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19.13 (3.79)</w:t>
            </w:r>
          </w:p>
        </w:tc>
        <w:tc>
          <w:tcPr>
            <w:tcW w:w="612" w:type="pct"/>
            <w:vAlign w:val="center"/>
          </w:tcPr>
          <w:p w14:paraId="25F34F3B"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25.86 (7.85)</w:t>
            </w:r>
          </w:p>
        </w:tc>
        <w:tc>
          <w:tcPr>
            <w:tcW w:w="612" w:type="pct"/>
            <w:vAlign w:val="center"/>
          </w:tcPr>
          <w:p w14:paraId="02335D88"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28.99 (6.78)</w:t>
            </w:r>
          </w:p>
        </w:tc>
        <w:tc>
          <w:tcPr>
            <w:tcW w:w="633" w:type="pct"/>
            <w:vAlign w:val="center"/>
          </w:tcPr>
          <w:p w14:paraId="0797EEBF"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17.25 (3.39)</w:t>
            </w:r>
          </w:p>
        </w:tc>
        <w:tc>
          <w:tcPr>
            <w:tcW w:w="611" w:type="pct"/>
            <w:vAlign w:val="center"/>
          </w:tcPr>
          <w:p w14:paraId="6AAEBBAD"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26.04 (3.53)</w:t>
            </w:r>
          </w:p>
        </w:tc>
      </w:tr>
      <w:tr w:rsidR="00F572A3" w:rsidRPr="0049396B" w14:paraId="79BE3DCA" w14:textId="77777777" w:rsidTr="00EB254E">
        <w:tc>
          <w:tcPr>
            <w:tcW w:w="1308" w:type="pct"/>
          </w:tcPr>
          <w:p w14:paraId="0447BAED" w14:textId="77777777" w:rsidR="00F572A3" w:rsidRPr="0049396B" w:rsidRDefault="00F572A3" w:rsidP="00B676F6">
            <w:pPr>
              <w:keepNext/>
              <w:keepLines/>
              <w:widowControl w:val="0"/>
              <w:ind w:left="170"/>
              <w:rPr>
                <w:rFonts w:ascii="Arial Narrow" w:hAnsi="Arial Narrow"/>
                <w:sz w:val="20"/>
                <w:szCs w:val="20"/>
              </w:rPr>
            </w:pPr>
            <w:r w:rsidRPr="0049396B">
              <w:rPr>
                <w:rFonts w:ascii="Arial Narrow" w:hAnsi="Arial Narrow"/>
                <w:sz w:val="20"/>
                <w:szCs w:val="20"/>
              </w:rPr>
              <w:t>Difference (95%CI) v PBO</w:t>
            </w:r>
          </w:p>
        </w:tc>
        <w:tc>
          <w:tcPr>
            <w:tcW w:w="1224" w:type="pct"/>
            <w:gridSpan w:val="2"/>
            <w:vAlign w:val="center"/>
          </w:tcPr>
          <w:p w14:paraId="4EDAC77A"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sz w:val="20"/>
                <w:szCs w:val="20"/>
              </w:rPr>
              <w:t>0.48 (-6.44, 7.39)</w:t>
            </w:r>
          </w:p>
        </w:tc>
        <w:tc>
          <w:tcPr>
            <w:tcW w:w="1224" w:type="pct"/>
            <w:gridSpan w:val="2"/>
            <w:vAlign w:val="center"/>
          </w:tcPr>
          <w:p w14:paraId="3A2361B2"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sz w:val="20"/>
                <w:szCs w:val="20"/>
              </w:rPr>
              <w:t>-3.14 (-16.65, 10.38)</w:t>
            </w:r>
          </w:p>
        </w:tc>
        <w:tc>
          <w:tcPr>
            <w:tcW w:w="1244" w:type="pct"/>
            <w:gridSpan w:val="2"/>
            <w:vAlign w:val="center"/>
          </w:tcPr>
          <w:p w14:paraId="7A67C35A"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b/>
                <w:sz w:val="20"/>
                <w:szCs w:val="20"/>
              </w:rPr>
              <w:t>-8.79 (-16.76, -0.82)</w:t>
            </w:r>
          </w:p>
        </w:tc>
      </w:tr>
      <w:tr w:rsidR="00F572A3" w:rsidRPr="0049396B" w14:paraId="632693A8" w14:textId="77777777" w:rsidTr="00EB254E">
        <w:tc>
          <w:tcPr>
            <w:tcW w:w="1308" w:type="pct"/>
          </w:tcPr>
          <w:p w14:paraId="12557661" w14:textId="77777777" w:rsidR="00F572A3" w:rsidRPr="0049396B" w:rsidRDefault="00F572A3" w:rsidP="00B676F6">
            <w:pPr>
              <w:keepNext/>
              <w:keepLines/>
              <w:widowControl w:val="0"/>
              <w:ind w:left="170"/>
              <w:jc w:val="right"/>
              <w:rPr>
                <w:rFonts w:ascii="Arial Narrow" w:hAnsi="Arial Narrow"/>
                <w:sz w:val="20"/>
                <w:szCs w:val="20"/>
              </w:rPr>
            </w:pPr>
            <w:r w:rsidRPr="0049396B">
              <w:rPr>
                <w:rFonts w:ascii="Arial Narrow" w:hAnsi="Arial Narrow"/>
                <w:sz w:val="20"/>
                <w:szCs w:val="20"/>
              </w:rPr>
              <w:t>Meta-analysis (post hoc)</w:t>
            </w:r>
          </w:p>
        </w:tc>
        <w:tc>
          <w:tcPr>
            <w:tcW w:w="1224" w:type="pct"/>
            <w:gridSpan w:val="2"/>
            <w:vAlign w:val="center"/>
          </w:tcPr>
          <w:p w14:paraId="73AB34C9" w14:textId="77777777" w:rsidR="00F572A3" w:rsidRPr="0049396B" w:rsidRDefault="00F572A3" w:rsidP="00B676F6">
            <w:pPr>
              <w:keepNext/>
              <w:keepLines/>
              <w:widowControl w:val="0"/>
              <w:jc w:val="center"/>
              <w:rPr>
                <w:rFonts w:ascii="Arial Narrow" w:hAnsi="Arial Narrow"/>
                <w:b/>
                <w:sz w:val="20"/>
                <w:szCs w:val="20"/>
              </w:rPr>
            </w:pPr>
            <w:r w:rsidRPr="0049396B">
              <w:rPr>
                <w:rFonts w:ascii="Arial Narrow" w:hAnsi="Arial Narrow"/>
                <w:sz w:val="20"/>
                <w:szCs w:val="20"/>
              </w:rPr>
              <w:t>-</w:t>
            </w:r>
          </w:p>
        </w:tc>
        <w:tc>
          <w:tcPr>
            <w:tcW w:w="2469" w:type="pct"/>
            <w:gridSpan w:val="4"/>
            <w:vAlign w:val="center"/>
          </w:tcPr>
          <w:p w14:paraId="0A150327" w14:textId="77777777" w:rsidR="00F572A3" w:rsidRPr="0049396B" w:rsidRDefault="00F572A3" w:rsidP="00B676F6">
            <w:pPr>
              <w:keepNext/>
              <w:keepLines/>
              <w:widowControl w:val="0"/>
              <w:jc w:val="center"/>
              <w:rPr>
                <w:rFonts w:ascii="Arial Narrow" w:hAnsi="Arial Narrow"/>
                <w:sz w:val="20"/>
                <w:szCs w:val="20"/>
              </w:rPr>
            </w:pPr>
            <w:r w:rsidRPr="0049396B">
              <w:rPr>
                <w:rFonts w:ascii="Arial Narrow" w:hAnsi="Arial Narrow"/>
                <w:b/>
                <w:sz w:val="20"/>
                <w:szCs w:val="20"/>
              </w:rPr>
              <w:t>-7.31 (-14.09, -0.52)</w:t>
            </w:r>
          </w:p>
        </w:tc>
      </w:tr>
    </w:tbl>
    <w:p w14:paraId="59FB7F7A" w14:textId="77777777" w:rsidR="00F572A3" w:rsidRPr="0049396B" w:rsidRDefault="00F572A3" w:rsidP="00B676F6">
      <w:pPr>
        <w:keepNext/>
        <w:keepLines/>
        <w:widowControl w:val="0"/>
        <w:rPr>
          <w:rFonts w:ascii="Arial Narrow" w:hAnsi="Arial Narrow"/>
          <w:sz w:val="18"/>
          <w:szCs w:val="18"/>
        </w:rPr>
      </w:pPr>
      <w:r w:rsidRPr="0049396B">
        <w:rPr>
          <w:rFonts w:ascii="Arial Narrow" w:hAnsi="Arial Narrow"/>
          <w:sz w:val="18"/>
          <w:szCs w:val="18"/>
        </w:rPr>
        <w:t>Source: Table 2-33, p99, Table 2-38, p109, Table 2-40, p113, Table 2-41, p115, Table 2-42, p117, Table 2-48, p138 of the submission.</w:t>
      </w:r>
    </w:p>
    <w:p w14:paraId="2056574B" w14:textId="77777777" w:rsidR="00F572A3" w:rsidRPr="0049396B" w:rsidRDefault="00F572A3" w:rsidP="00B676F6">
      <w:pPr>
        <w:keepNext/>
        <w:keepLines/>
        <w:widowControl w:val="0"/>
        <w:rPr>
          <w:rFonts w:ascii="Arial Narrow" w:hAnsi="Arial Narrow"/>
          <w:sz w:val="18"/>
          <w:szCs w:val="18"/>
        </w:rPr>
      </w:pPr>
      <w:r w:rsidRPr="0049396B">
        <w:rPr>
          <w:rFonts w:ascii="Arial Narrow" w:hAnsi="Arial Narrow"/>
          <w:b/>
          <w:sz w:val="18"/>
          <w:szCs w:val="18"/>
        </w:rPr>
        <w:t>Bold</w:t>
      </w:r>
      <w:r w:rsidRPr="0049396B">
        <w:rPr>
          <w:rFonts w:ascii="Arial Narrow" w:hAnsi="Arial Narrow"/>
          <w:sz w:val="18"/>
          <w:szCs w:val="18"/>
        </w:rPr>
        <w:t xml:space="preserve"> text indicates statistical significance.</w:t>
      </w:r>
    </w:p>
    <w:p w14:paraId="2B5FA845" w14:textId="77777777" w:rsidR="00F572A3" w:rsidRPr="0049396B" w:rsidRDefault="00F572A3" w:rsidP="00B676F6">
      <w:pPr>
        <w:keepNext/>
        <w:keepLines/>
        <w:widowControl w:val="0"/>
        <w:rPr>
          <w:rFonts w:ascii="Arial Narrow" w:hAnsi="Arial Narrow"/>
          <w:sz w:val="18"/>
          <w:szCs w:val="18"/>
        </w:rPr>
      </w:pPr>
      <w:r w:rsidRPr="0049396B">
        <w:rPr>
          <w:rFonts w:ascii="Arial Narrow" w:hAnsi="Arial Narrow"/>
          <w:sz w:val="18"/>
          <w:szCs w:val="18"/>
        </w:rPr>
        <w:t>ALS=amyotrophic lateral sclerosis; ALSAQ-40=ALS Assessment Questionnaire; ALSFRS-R=ALS functional rating scale – revised; ANCOVA=analysis of covariance (using factors in randomisation dynamic allocation in that study as covariates); ANOVA=analysis of variance; CI=confidence interval; dpEESP2y=definite probably efficacy expected sub-population with ALS onset &lt;2 years; EDA=edaravone; FVC=forced vital capacity; ITT=intention to treat; LOCF=last observation carried forward; LS=least squares; PBO=placebo;</w:t>
      </w:r>
    </w:p>
    <w:p w14:paraId="0FC7389C" w14:textId="77777777" w:rsidR="00F572A3" w:rsidRPr="0049396B" w:rsidRDefault="00F572A3" w:rsidP="00B676F6">
      <w:pPr>
        <w:keepNext/>
        <w:keepLines/>
        <w:widowControl w:val="0"/>
        <w:rPr>
          <w:rFonts w:ascii="Arial Narrow" w:hAnsi="Arial Narrow"/>
          <w:sz w:val="18"/>
          <w:szCs w:val="18"/>
        </w:rPr>
      </w:pPr>
      <w:r w:rsidRPr="0049396B">
        <w:rPr>
          <w:rFonts w:ascii="Arial Narrow" w:hAnsi="Arial Narrow"/>
          <w:sz w:val="18"/>
          <w:szCs w:val="18"/>
        </w:rPr>
        <w:t>Note: dpEESP2y defined as patients with a diagnosis of ‘definite’ or ‘probable’ ALS and within two years of initial ALS symptom onset in efficacy expected subpopulation (FVC ≥80% and ALSFRS-R ≥2 on all individual items).</w:t>
      </w:r>
    </w:p>
    <w:p w14:paraId="68D36E78" w14:textId="77777777" w:rsidR="00F572A3" w:rsidRPr="0049396B" w:rsidRDefault="00F572A3" w:rsidP="00B676F6">
      <w:pPr>
        <w:keepNext/>
        <w:keepLines/>
        <w:widowControl w:val="0"/>
        <w:rPr>
          <w:rFonts w:ascii="Arial Narrow" w:hAnsi="Arial Narrow"/>
          <w:sz w:val="18"/>
          <w:szCs w:val="18"/>
        </w:rPr>
      </w:pPr>
      <w:r w:rsidRPr="0049396B">
        <w:rPr>
          <w:rFonts w:ascii="Arial Narrow" w:hAnsi="Arial Narrow"/>
          <w:sz w:val="18"/>
          <w:szCs w:val="18"/>
        </w:rPr>
        <w:t>^</w:t>
      </w:r>
      <w:r w:rsidRPr="0049396B">
        <w:rPr>
          <w:rFonts w:ascii="Arial Narrow" w:hAnsi="Arial Narrow"/>
          <w:sz w:val="18"/>
          <w:szCs w:val="18"/>
        </w:rPr>
        <w:tab/>
        <w:t>Analysis during the evaluation used RevMan v5.4.1.</w:t>
      </w:r>
    </w:p>
    <w:p w14:paraId="1241DB78" w14:textId="77777777" w:rsidR="00F572A3" w:rsidRPr="0049396B" w:rsidRDefault="00F572A3" w:rsidP="00B676F6">
      <w:pPr>
        <w:keepNext/>
        <w:keepLines/>
        <w:widowControl w:val="0"/>
        <w:rPr>
          <w:rFonts w:ascii="Arial Narrow" w:hAnsi="Arial Narrow"/>
          <w:sz w:val="18"/>
          <w:szCs w:val="18"/>
        </w:rPr>
      </w:pPr>
      <w:r w:rsidRPr="0049396B">
        <w:rPr>
          <w:rFonts w:ascii="Arial Narrow" w:hAnsi="Arial Narrow"/>
          <w:sz w:val="18"/>
          <w:szCs w:val="18"/>
        </w:rPr>
        <w:t>a</w:t>
      </w:r>
      <w:r w:rsidRPr="0049396B">
        <w:rPr>
          <w:rFonts w:ascii="Arial Narrow" w:hAnsi="Arial Narrow"/>
          <w:sz w:val="18"/>
          <w:szCs w:val="18"/>
        </w:rPr>
        <w:tab/>
        <w:t>ANCOVA LOCF analysis for patients who completed Cycle 3.</w:t>
      </w:r>
    </w:p>
    <w:p w14:paraId="038D5753" w14:textId="77777777" w:rsidR="00F572A3" w:rsidRPr="0049396B" w:rsidRDefault="00F572A3" w:rsidP="00B676F6">
      <w:pPr>
        <w:keepNext/>
        <w:keepLines/>
        <w:widowControl w:val="0"/>
        <w:rPr>
          <w:rFonts w:ascii="Arial Narrow" w:hAnsi="Arial Narrow"/>
          <w:sz w:val="18"/>
          <w:szCs w:val="18"/>
        </w:rPr>
      </w:pPr>
      <w:r w:rsidRPr="0049396B">
        <w:rPr>
          <w:rFonts w:ascii="Arial Narrow" w:hAnsi="Arial Narrow"/>
          <w:sz w:val="18"/>
          <w:szCs w:val="18"/>
        </w:rPr>
        <w:t>b</w:t>
      </w:r>
      <w:r w:rsidRPr="0049396B">
        <w:rPr>
          <w:rFonts w:ascii="Arial Narrow" w:hAnsi="Arial Narrow"/>
          <w:sz w:val="18"/>
          <w:szCs w:val="18"/>
        </w:rPr>
        <w:tab/>
        <w:t>‘Loss of useful speech’ was not included as an event in Study 16.</w:t>
      </w:r>
    </w:p>
    <w:p w14:paraId="605BBEA0" w14:textId="77777777" w:rsidR="00F572A3" w:rsidRPr="0049396B" w:rsidRDefault="00F572A3" w:rsidP="00B676F6">
      <w:pPr>
        <w:keepNext/>
        <w:keepLines/>
        <w:widowControl w:val="0"/>
        <w:ind w:left="170" w:hanging="170"/>
        <w:rPr>
          <w:rFonts w:ascii="Arial Narrow" w:hAnsi="Arial Narrow"/>
          <w:sz w:val="18"/>
          <w:szCs w:val="18"/>
        </w:rPr>
      </w:pPr>
      <w:r w:rsidRPr="0049396B">
        <w:rPr>
          <w:rFonts w:ascii="Arial Narrow" w:hAnsi="Arial Narrow"/>
          <w:sz w:val="18"/>
          <w:szCs w:val="18"/>
        </w:rPr>
        <w:t>c</w:t>
      </w:r>
      <w:r w:rsidRPr="0049396B">
        <w:rPr>
          <w:rFonts w:ascii="Arial Narrow" w:hAnsi="Arial Narrow"/>
          <w:sz w:val="18"/>
          <w:szCs w:val="18"/>
        </w:rPr>
        <w:tab/>
        <w:t>Adjusted mean value and p value from an ANOVA model with factors used in the randomisation dynamic allocation in each study as fixed effects. LOCF analysis was applied patients who completed Cycle 3.</w:t>
      </w:r>
    </w:p>
    <w:p w14:paraId="3AACF829" w14:textId="77777777" w:rsidR="00F572A3" w:rsidRPr="0049396B" w:rsidRDefault="00F572A3" w:rsidP="00B676F6">
      <w:pPr>
        <w:keepNext/>
        <w:keepLines/>
        <w:widowControl w:val="0"/>
        <w:ind w:left="170" w:hanging="170"/>
        <w:rPr>
          <w:rFonts w:ascii="Arial Narrow" w:hAnsi="Arial Narrow"/>
          <w:sz w:val="18"/>
          <w:szCs w:val="18"/>
        </w:rPr>
      </w:pPr>
      <w:r w:rsidRPr="0049396B">
        <w:rPr>
          <w:rFonts w:ascii="Arial Narrow" w:hAnsi="Arial Narrow"/>
          <w:sz w:val="18"/>
          <w:szCs w:val="18"/>
        </w:rPr>
        <w:t>d</w:t>
      </w:r>
      <w:r w:rsidRPr="0049396B">
        <w:rPr>
          <w:rFonts w:ascii="Arial Narrow" w:hAnsi="Arial Narrow"/>
          <w:sz w:val="18"/>
          <w:szCs w:val="18"/>
        </w:rPr>
        <w:tab/>
        <w:t>Patients with multiple events occurred are counted only once under the event that first occurred.</w:t>
      </w:r>
    </w:p>
    <w:p w14:paraId="0F98BCBF" w14:textId="027A3465" w:rsidR="00F572A3" w:rsidRPr="0049396B" w:rsidRDefault="00F572A3" w:rsidP="009B4DB9">
      <w:pPr>
        <w:widowControl w:val="0"/>
        <w:spacing w:after="120"/>
        <w:ind w:left="170" w:hanging="170"/>
      </w:pPr>
      <w:r w:rsidRPr="0049396B">
        <w:rPr>
          <w:rFonts w:ascii="Arial Narrow" w:hAnsi="Arial Narrow"/>
          <w:sz w:val="18"/>
          <w:szCs w:val="18"/>
        </w:rPr>
        <w:t>e</w:t>
      </w:r>
      <w:r w:rsidRPr="0049396B">
        <w:rPr>
          <w:rFonts w:ascii="Arial Narrow" w:hAnsi="Arial Narrow"/>
          <w:sz w:val="18"/>
          <w:szCs w:val="18"/>
        </w:rPr>
        <w:tab/>
        <w:t>Analysis of time to death or specified state of disease progression included Kaplan-Meier plot, log-rank test and generalised Wilcoxon test. The censoring date was the day when last observation was performed. For patients who completed double-blind period, this was end of cycle 6. For patients who discontinued treatment, it was 2 weeks after last dose. For patients with multiple events, the day of onset of first event was considered the event onset day.</w:t>
      </w:r>
    </w:p>
    <w:p w14:paraId="718DB723" w14:textId="5C5CCC5C" w:rsidR="00F572A3" w:rsidRPr="0049396B" w:rsidRDefault="00F572A3" w:rsidP="00F572A3">
      <w:pPr>
        <w:pStyle w:val="Caption"/>
        <w:rPr>
          <w:b w:val="0"/>
          <w:szCs w:val="20"/>
        </w:rPr>
      </w:pPr>
      <w:bookmarkStart w:id="42" w:name="_Ref144727471"/>
      <w:r w:rsidRPr="0049396B">
        <w:t xml:space="preserve">Table </w:t>
      </w:r>
      <w:r w:rsidR="001C0AB9">
        <w:fldChar w:fldCharType="begin" w:fldLock="1"/>
      </w:r>
      <w:r w:rsidR="001C0AB9">
        <w:instrText xml:space="preserve"> SEQ Table \* ARABIC </w:instrText>
      </w:r>
      <w:r w:rsidR="001C0AB9">
        <w:fldChar w:fldCharType="separate"/>
      </w:r>
      <w:r w:rsidR="00B41026" w:rsidRPr="0049396B">
        <w:t>6</w:t>
      </w:r>
      <w:r w:rsidR="001C0AB9">
        <w:fldChar w:fldCharType="end"/>
      </w:r>
      <w:bookmarkEnd w:id="42"/>
      <w:r w:rsidRPr="0049396B">
        <w:t>:</w:t>
      </w:r>
      <w:r w:rsidRPr="0049396B">
        <w:rPr>
          <w:szCs w:val="20"/>
        </w:rPr>
        <w:t xml:space="preserve"> Change from baseline in ALSFRS-R, time to death and disease progression, FVC, Modified Norris Scale, ALSAQ-40 at cycle 12.</w:t>
      </w:r>
    </w:p>
    <w:tbl>
      <w:tblPr>
        <w:tblStyle w:val="TableGrid"/>
        <w:tblW w:w="5000" w:type="pct"/>
        <w:tblCellMar>
          <w:left w:w="28" w:type="dxa"/>
          <w:right w:w="28" w:type="dxa"/>
        </w:tblCellMar>
        <w:tblLook w:val="04A0" w:firstRow="1" w:lastRow="0" w:firstColumn="1" w:lastColumn="0" w:noHBand="0" w:noVBand="1"/>
      </w:tblPr>
      <w:tblGrid>
        <w:gridCol w:w="2125"/>
        <w:gridCol w:w="850"/>
        <w:gridCol w:w="851"/>
        <w:gridCol w:w="849"/>
        <w:gridCol w:w="851"/>
        <w:gridCol w:w="849"/>
        <w:gridCol w:w="857"/>
        <w:gridCol w:w="851"/>
        <w:gridCol w:w="41"/>
        <w:gridCol w:w="893"/>
      </w:tblGrid>
      <w:tr w:rsidR="00F572A3" w:rsidRPr="0049396B" w14:paraId="2CF92AF5" w14:textId="77777777" w:rsidTr="00EB254E">
        <w:tc>
          <w:tcPr>
            <w:tcW w:w="1178" w:type="pct"/>
            <w:vMerge w:val="restart"/>
            <w:vAlign w:val="center"/>
          </w:tcPr>
          <w:p w14:paraId="64B7AC0E"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lastRenderedPageBreak/>
              <w:t>Outcome</w:t>
            </w:r>
          </w:p>
        </w:tc>
        <w:tc>
          <w:tcPr>
            <w:tcW w:w="1414" w:type="pct"/>
            <w:gridSpan w:val="3"/>
            <w:vAlign w:val="center"/>
          </w:tcPr>
          <w:p w14:paraId="7550761D"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Study 16/17</w:t>
            </w:r>
          </w:p>
          <w:p w14:paraId="2AD03F5B"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(ITT)</w:t>
            </w:r>
          </w:p>
        </w:tc>
        <w:tc>
          <w:tcPr>
            <w:tcW w:w="1418" w:type="pct"/>
            <w:gridSpan w:val="3"/>
            <w:vAlign w:val="center"/>
          </w:tcPr>
          <w:p w14:paraId="121B539D"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 xml:space="preserve">Study 16/17 dpEESP2y </w:t>
            </w:r>
          </w:p>
          <w:p w14:paraId="3D636170"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(post hoc)</w:t>
            </w:r>
          </w:p>
        </w:tc>
        <w:tc>
          <w:tcPr>
            <w:tcW w:w="990" w:type="pct"/>
            <w:gridSpan w:val="3"/>
            <w:vAlign w:val="center"/>
          </w:tcPr>
          <w:p w14:paraId="289DD065"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 xml:space="preserve">Study 19 dpEESP2y </w:t>
            </w:r>
          </w:p>
          <w:p w14:paraId="495069D7"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(ITT)</w:t>
            </w:r>
          </w:p>
        </w:tc>
      </w:tr>
      <w:tr w:rsidR="00F572A3" w:rsidRPr="0049396B" w14:paraId="7BCB616F" w14:textId="77777777" w:rsidTr="00EB254E">
        <w:tc>
          <w:tcPr>
            <w:tcW w:w="1178" w:type="pct"/>
            <w:vMerge/>
          </w:tcPr>
          <w:p w14:paraId="6DF1C847" w14:textId="77777777" w:rsidR="00F572A3" w:rsidRPr="0049396B" w:rsidRDefault="00F572A3" w:rsidP="00EB254E">
            <w:pPr>
              <w:rPr>
                <w:rFonts w:ascii="Arial Narrow" w:hAnsi="Arial Narrow"/>
                <w:b/>
                <w:sz w:val="20"/>
                <w:szCs w:val="20"/>
              </w:rPr>
            </w:pPr>
          </w:p>
        </w:tc>
        <w:tc>
          <w:tcPr>
            <w:tcW w:w="471" w:type="pct"/>
            <w:vAlign w:val="center"/>
          </w:tcPr>
          <w:p w14:paraId="6F9D2C5F"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EDA-EDA</w:t>
            </w:r>
          </w:p>
          <w:p w14:paraId="7BBC3DF5"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N=48</w:t>
            </w:r>
          </w:p>
        </w:tc>
        <w:tc>
          <w:tcPr>
            <w:tcW w:w="472" w:type="pct"/>
            <w:vAlign w:val="center"/>
          </w:tcPr>
          <w:p w14:paraId="7FA1CD2C"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PBO-EDA</w:t>
            </w:r>
          </w:p>
          <w:p w14:paraId="7D4903D9"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N=88</w:t>
            </w:r>
          </w:p>
        </w:tc>
        <w:tc>
          <w:tcPr>
            <w:tcW w:w="471" w:type="pct"/>
            <w:vAlign w:val="center"/>
          </w:tcPr>
          <w:p w14:paraId="75258734"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EDA-PBO</w:t>
            </w:r>
          </w:p>
          <w:p w14:paraId="3BC0BAF8"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N=44</w:t>
            </w:r>
          </w:p>
        </w:tc>
        <w:tc>
          <w:tcPr>
            <w:tcW w:w="472" w:type="pct"/>
            <w:vAlign w:val="center"/>
          </w:tcPr>
          <w:p w14:paraId="6BD19747"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EDA-EDA</w:t>
            </w:r>
          </w:p>
          <w:p w14:paraId="62A5812B"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N=22</w:t>
            </w:r>
          </w:p>
        </w:tc>
        <w:tc>
          <w:tcPr>
            <w:tcW w:w="471" w:type="pct"/>
            <w:vAlign w:val="center"/>
          </w:tcPr>
          <w:p w14:paraId="02592A90"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PBO-EDA</w:t>
            </w:r>
          </w:p>
          <w:p w14:paraId="31C284EB"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N=29</w:t>
            </w:r>
          </w:p>
        </w:tc>
        <w:tc>
          <w:tcPr>
            <w:tcW w:w="475" w:type="pct"/>
            <w:vAlign w:val="center"/>
          </w:tcPr>
          <w:p w14:paraId="0E720477"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EDA-PBO</w:t>
            </w:r>
          </w:p>
          <w:p w14:paraId="47221296"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N=16</w:t>
            </w:r>
          </w:p>
        </w:tc>
        <w:tc>
          <w:tcPr>
            <w:tcW w:w="472" w:type="pct"/>
            <w:vAlign w:val="center"/>
          </w:tcPr>
          <w:p w14:paraId="012FD7AB"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EDA-EDA</w:t>
            </w:r>
          </w:p>
          <w:p w14:paraId="23716010"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N=69</w:t>
            </w:r>
          </w:p>
        </w:tc>
        <w:tc>
          <w:tcPr>
            <w:tcW w:w="518" w:type="pct"/>
            <w:gridSpan w:val="2"/>
            <w:vAlign w:val="center"/>
          </w:tcPr>
          <w:p w14:paraId="4F7F0E58"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PBO-EDA</w:t>
            </w:r>
          </w:p>
          <w:p w14:paraId="585624B7"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N=68</w:t>
            </w:r>
          </w:p>
        </w:tc>
      </w:tr>
      <w:tr w:rsidR="00F572A3" w:rsidRPr="0049396B" w14:paraId="137C4CF3" w14:textId="77777777" w:rsidTr="00EB254E">
        <w:tc>
          <w:tcPr>
            <w:tcW w:w="5000" w:type="pct"/>
            <w:gridSpan w:val="10"/>
            <w:vAlign w:val="center"/>
          </w:tcPr>
          <w:p w14:paraId="4465E12D" w14:textId="77777777" w:rsidR="00F572A3" w:rsidRPr="0049396B" w:rsidRDefault="00F572A3" w:rsidP="00EB254E">
            <w:pPr>
              <w:jc w:val="left"/>
              <w:rPr>
                <w:rFonts w:ascii="Arial Narrow" w:hAnsi="Arial Narrow"/>
                <w:b/>
                <w:sz w:val="20"/>
                <w:szCs w:val="20"/>
              </w:rPr>
            </w:pPr>
            <w:r w:rsidRPr="0049396B">
              <w:rPr>
                <w:rFonts w:ascii="Arial Narrow" w:hAnsi="Arial Narrow"/>
                <w:b/>
                <w:sz w:val="20"/>
                <w:szCs w:val="20"/>
              </w:rPr>
              <w:t>ALSRFS-R score: change from baseline in cycle 1 to end of cycle 12</w:t>
            </w:r>
            <w:r w:rsidRPr="0049396B">
              <w:rPr>
                <w:rFonts w:ascii="Arial Narrow" w:hAnsi="Arial Narrow"/>
                <w:b/>
                <w:sz w:val="20"/>
                <w:szCs w:val="20"/>
                <w:vertAlign w:val="superscript"/>
              </w:rPr>
              <w:t>a</w:t>
            </w:r>
          </w:p>
        </w:tc>
      </w:tr>
      <w:tr w:rsidR="00F572A3" w:rsidRPr="0049396B" w14:paraId="6BEE8CD9" w14:textId="77777777" w:rsidTr="00EB254E">
        <w:tc>
          <w:tcPr>
            <w:tcW w:w="1178" w:type="pct"/>
          </w:tcPr>
          <w:p w14:paraId="22A0B256" w14:textId="77777777" w:rsidR="00F572A3" w:rsidRPr="0049396B" w:rsidRDefault="00F572A3" w:rsidP="00EB254E">
            <w:pPr>
              <w:rPr>
                <w:rFonts w:ascii="Arial Narrow" w:hAnsi="Arial Narrow"/>
                <w:sz w:val="20"/>
                <w:szCs w:val="20"/>
              </w:rPr>
            </w:pPr>
            <w:r w:rsidRPr="0049396B">
              <w:rPr>
                <w:rFonts w:ascii="Arial Narrow" w:hAnsi="Arial Narrow"/>
                <w:sz w:val="20"/>
                <w:szCs w:val="20"/>
              </w:rPr>
              <w:t xml:space="preserve">End cycle 12, LS mean (SE) </w:t>
            </w:r>
          </w:p>
        </w:tc>
        <w:tc>
          <w:tcPr>
            <w:tcW w:w="471" w:type="pct"/>
            <w:vAlign w:val="center"/>
          </w:tcPr>
          <w:p w14:paraId="09E65F98"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-8.27 (1.54)</w:t>
            </w:r>
            <w:r w:rsidRPr="0049396B">
              <w:rPr>
                <w:rFonts w:ascii="Arial Narrow" w:hAnsi="Arial Narrow"/>
                <w:sz w:val="20"/>
                <w:szCs w:val="20"/>
                <w:vertAlign w:val="superscript"/>
              </w:rPr>
              <w:t>#</w:t>
            </w:r>
          </w:p>
        </w:tc>
        <w:tc>
          <w:tcPr>
            <w:tcW w:w="472" w:type="pct"/>
            <w:vAlign w:val="center"/>
          </w:tcPr>
          <w:p w14:paraId="65EDEF3B"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-10.50 (1.37)</w:t>
            </w:r>
            <w:r w:rsidRPr="0049396B">
              <w:rPr>
                <w:rFonts w:ascii="Arial Narrow" w:hAnsi="Arial Narrow"/>
                <w:sz w:val="20"/>
                <w:szCs w:val="20"/>
                <w:vertAlign w:val="superscript"/>
              </w:rPr>
              <w:t>#</w:t>
            </w:r>
          </w:p>
        </w:tc>
        <w:tc>
          <w:tcPr>
            <w:tcW w:w="471" w:type="pct"/>
            <w:vAlign w:val="center"/>
          </w:tcPr>
          <w:p w14:paraId="73FFA04B"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Pr>
          <w:p w14:paraId="30B552BC"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 xml:space="preserve">-8.92 (2.66) </w:t>
            </w:r>
          </w:p>
        </w:tc>
        <w:tc>
          <w:tcPr>
            <w:tcW w:w="471" w:type="pct"/>
          </w:tcPr>
          <w:p w14:paraId="3733C8F2"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-13.76 (2.15)</w:t>
            </w:r>
          </w:p>
        </w:tc>
        <w:tc>
          <w:tcPr>
            <w:tcW w:w="475" w:type="pct"/>
            <w:vAlign w:val="center"/>
          </w:tcPr>
          <w:p w14:paraId="58B0ACC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Pr>
          <w:p w14:paraId="0CE219DB"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 xml:space="preserve">-10.11 (1.02) </w:t>
            </w:r>
          </w:p>
        </w:tc>
        <w:tc>
          <w:tcPr>
            <w:tcW w:w="518" w:type="pct"/>
            <w:gridSpan w:val="2"/>
          </w:tcPr>
          <w:p w14:paraId="590690D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-13.09 (1.07)</w:t>
            </w:r>
          </w:p>
        </w:tc>
      </w:tr>
      <w:tr w:rsidR="00F572A3" w:rsidRPr="0049396B" w14:paraId="7D7458C3" w14:textId="77777777" w:rsidTr="00EB254E">
        <w:tc>
          <w:tcPr>
            <w:tcW w:w="1178" w:type="pct"/>
          </w:tcPr>
          <w:p w14:paraId="399E4264" w14:textId="77777777" w:rsidR="00F572A3" w:rsidRPr="0049396B" w:rsidRDefault="00F572A3" w:rsidP="00EB254E">
            <w:pPr>
              <w:ind w:firstLine="170"/>
              <w:rPr>
                <w:rFonts w:ascii="Arial Narrow" w:hAnsi="Arial Narrow"/>
                <w:sz w:val="20"/>
                <w:szCs w:val="20"/>
              </w:rPr>
            </w:pPr>
            <w:r w:rsidRPr="0049396B">
              <w:rPr>
                <w:rFonts w:ascii="Arial Narrow" w:hAnsi="Arial Narrow"/>
                <w:sz w:val="20"/>
                <w:szCs w:val="20"/>
              </w:rPr>
              <w:t>Difference (95%CI) v PBO</w:t>
            </w:r>
          </w:p>
        </w:tc>
        <w:tc>
          <w:tcPr>
            <w:tcW w:w="943" w:type="pct"/>
            <w:gridSpan w:val="2"/>
            <w:vAlign w:val="center"/>
          </w:tcPr>
          <w:p w14:paraId="0765BCF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2.24 (-0.47, 4.95)</w:t>
            </w:r>
          </w:p>
        </w:tc>
        <w:tc>
          <w:tcPr>
            <w:tcW w:w="471" w:type="pct"/>
            <w:vAlign w:val="center"/>
          </w:tcPr>
          <w:p w14:paraId="650FF466"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p>
        </w:tc>
        <w:tc>
          <w:tcPr>
            <w:tcW w:w="943" w:type="pct"/>
            <w:gridSpan w:val="2"/>
            <w:vAlign w:val="center"/>
          </w:tcPr>
          <w:p w14:paraId="301FD9A1" w14:textId="77777777" w:rsidR="00F572A3" w:rsidRPr="0049396B" w:rsidRDefault="00F572A3" w:rsidP="00EB254E">
            <w:pPr>
              <w:jc w:val="center"/>
              <w:rPr>
                <w:rFonts w:ascii="Arial Narrow" w:hAnsi="Arial Narrow"/>
                <w:sz w:val="20"/>
                <w:szCs w:val="20"/>
              </w:rPr>
            </w:pPr>
            <w:r w:rsidRPr="0049396B">
              <w:rPr>
                <w:rFonts w:ascii="Arial Narrow" w:hAnsi="Arial Narrow"/>
                <w:b/>
                <w:sz w:val="20"/>
                <w:szCs w:val="20"/>
              </w:rPr>
              <w:t>4.84 (0.19, 9.49)</w:t>
            </w:r>
          </w:p>
        </w:tc>
        <w:tc>
          <w:tcPr>
            <w:tcW w:w="475" w:type="pct"/>
            <w:vAlign w:val="center"/>
          </w:tcPr>
          <w:p w14:paraId="50ECB088"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p>
        </w:tc>
        <w:tc>
          <w:tcPr>
            <w:tcW w:w="990" w:type="pct"/>
            <w:gridSpan w:val="3"/>
            <w:vAlign w:val="center"/>
          </w:tcPr>
          <w:p w14:paraId="233D3058" w14:textId="77777777" w:rsidR="00F572A3" w:rsidRPr="0049396B" w:rsidRDefault="00F572A3" w:rsidP="00EB254E">
            <w:pPr>
              <w:jc w:val="center"/>
              <w:rPr>
                <w:rFonts w:ascii="Arial Narrow" w:hAnsi="Arial Narrow"/>
                <w:sz w:val="20"/>
                <w:szCs w:val="20"/>
              </w:rPr>
            </w:pPr>
            <w:r w:rsidRPr="0049396B">
              <w:rPr>
                <w:rFonts w:ascii="Arial Narrow" w:hAnsi="Arial Narrow"/>
                <w:b/>
                <w:sz w:val="20"/>
                <w:szCs w:val="20"/>
              </w:rPr>
              <w:t>2.99 (0.53, 5.45)</w:t>
            </w:r>
          </w:p>
        </w:tc>
      </w:tr>
      <w:tr w:rsidR="00F572A3" w:rsidRPr="0049396B" w14:paraId="495A99B2" w14:textId="77777777" w:rsidTr="00EB254E">
        <w:tc>
          <w:tcPr>
            <w:tcW w:w="5000" w:type="pct"/>
            <w:gridSpan w:val="10"/>
            <w:vAlign w:val="center"/>
          </w:tcPr>
          <w:p w14:paraId="737E24E7" w14:textId="77777777" w:rsidR="00F572A3" w:rsidRPr="0049396B" w:rsidRDefault="00F572A3" w:rsidP="00EB254E">
            <w:pPr>
              <w:jc w:val="left"/>
              <w:rPr>
                <w:rFonts w:ascii="Arial Narrow" w:hAnsi="Arial Narrow"/>
                <w:b/>
                <w:sz w:val="20"/>
                <w:szCs w:val="20"/>
              </w:rPr>
            </w:pPr>
            <w:r w:rsidRPr="0049396B">
              <w:rPr>
                <w:rFonts w:ascii="Arial Narrow" w:hAnsi="Arial Narrow"/>
                <w:b/>
                <w:sz w:val="20"/>
                <w:szCs w:val="20"/>
              </w:rPr>
              <w:t>ALSRFS-R score: change from baseline in cycle 7 to end of cycle 12</w:t>
            </w:r>
          </w:p>
        </w:tc>
      </w:tr>
      <w:tr w:rsidR="00F572A3" w:rsidRPr="0049396B" w14:paraId="28DEFB2E" w14:textId="77777777" w:rsidTr="00EB254E">
        <w:tc>
          <w:tcPr>
            <w:tcW w:w="1178" w:type="pct"/>
          </w:tcPr>
          <w:p w14:paraId="33C70B2B" w14:textId="77777777" w:rsidR="00F572A3" w:rsidRPr="0049396B" w:rsidRDefault="00F572A3" w:rsidP="00EB254E">
            <w:pPr>
              <w:rPr>
                <w:rFonts w:ascii="Arial Narrow" w:hAnsi="Arial Narrow"/>
                <w:sz w:val="20"/>
                <w:szCs w:val="20"/>
              </w:rPr>
            </w:pPr>
            <w:r w:rsidRPr="0049396B">
              <w:rPr>
                <w:rFonts w:ascii="Arial Narrow" w:hAnsi="Arial Narrow"/>
                <w:sz w:val="20"/>
                <w:szCs w:val="20"/>
              </w:rPr>
              <w:t xml:space="preserve">End cycle 12, LS mean (SE) </w:t>
            </w:r>
          </w:p>
        </w:tc>
        <w:tc>
          <w:tcPr>
            <w:tcW w:w="471" w:type="pct"/>
            <w:vAlign w:val="center"/>
          </w:tcPr>
          <w:p w14:paraId="760451BA"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-4.42 (0.69)</w:t>
            </w:r>
            <w:r w:rsidRPr="0049396B">
              <w:rPr>
                <w:rFonts w:ascii="Arial Narrow" w:hAnsi="Arial Narrow"/>
                <w:sz w:val="20"/>
                <w:szCs w:val="20"/>
                <w:vertAlign w:val="superscript"/>
              </w:rPr>
              <w:t>d</w:t>
            </w:r>
          </w:p>
        </w:tc>
        <w:tc>
          <w:tcPr>
            <w:tcW w:w="472" w:type="pct"/>
            <w:vAlign w:val="center"/>
          </w:tcPr>
          <w:p w14:paraId="1EC035FF"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1" w:type="pct"/>
            <w:vAlign w:val="center"/>
          </w:tcPr>
          <w:p w14:paraId="4EE440FE"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-5.58 (0.74)</w:t>
            </w:r>
            <w:r w:rsidRPr="0049396B">
              <w:rPr>
                <w:rFonts w:ascii="Arial Narrow" w:hAnsi="Arial Narrow"/>
                <w:sz w:val="20"/>
                <w:szCs w:val="20"/>
                <w:vertAlign w:val="superscript"/>
              </w:rPr>
              <w:t>d</w:t>
            </w:r>
          </w:p>
        </w:tc>
        <w:tc>
          <w:tcPr>
            <w:tcW w:w="472" w:type="pct"/>
            <w:vAlign w:val="center"/>
          </w:tcPr>
          <w:p w14:paraId="259E2372"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-4.22 (1.04)</w:t>
            </w:r>
            <w:r w:rsidRPr="0049396B">
              <w:rPr>
                <w:rFonts w:ascii="Arial Narrow" w:hAnsi="Arial Narrow"/>
                <w:sz w:val="20"/>
                <w:szCs w:val="20"/>
                <w:vertAlign w:val="superscript"/>
              </w:rPr>
              <w:t>d</w:t>
            </w:r>
          </w:p>
        </w:tc>
        <w:tc>
          <w:tcPr>
            <w:tcW w:w="471" w:type="pct"/>
            <w:vAlign w:val="center"/>
          </w:tcPr>
          <w:p w14:paraId="3EC297B8"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5" w:type="pct"/>
            <w:vAlign w:val="center"/>
          </w:tcPr>
          <w:p w14:paraId="4A433660"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-7.02 (1.39)</w:t>
            </w:r>
            <w:r w:rsidRPr="0049396B">
              <w:rPr>
                <w:rFonts w:ascii="Arial Narrow" w:hAnsi="Arial Narrow"/>
                <w:sz w:val="20"/>
                <w:szCs w:val="20"/>
                <w:vertAlign w:val="superscript"/>
              </w:rPr>
              <w:t>d</w:t>
            </w:r>
          </w:p>
        </w:tc>
        <w:tc>
          <w:tcPr>
            <w:tcW w:w="495" w:type="pct"/>
            <w:gridSpan w:val="2"/>
            <w:vAlign w:val="center"/>
          </w:tcPr>
          <w:p w14:paraId="0F89D420"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95" w:type="pct"/>
            <w:vAlign w:val="center"/>
          </w:tcPr>
          <w:p w14:paraId="359B7B8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r>
      <w:tr w:rsidR="00F572A3" w:rsidRPr="0049396B" w14:paraId="07DA2630" w14:textId="77777777" w:rsidTr="00EB254E">
        <w:tc>
          <w:tcPr>
            <w:tcW w:w="1178" w:type="pct"/>
          </w:tcPr>
          <w:p w14:paraId="0D56E756" w14:textId="77777777" w:rsidR="00F572A3" w:rsidRPr="0049396B" w:rsidRDefault="00F572A3" w:rsidP="00EB254E">
            <w:pPr>
              <w:ind w:firstLine="170"/>
              <w:rPr>
                <w:rFonts w:ascii="Arial Narrow" w:hAnsi="Arial Narrow"/>
                <w:sz w:val="20"/>
                <w:szCs w:val="20"/>
              </w:rPr>
            </w:pPr>
            <w:r w:rsidRPr="0049396B">
              <w:rPr>
                <w:rFonts w:ascii="Arial Narrow" w:hAnsi="Arial Narrow"/>
                <w:sz w:val="20"/>
                <w:szCs w:val="20"/>
              </w:rPr>
              <w:t>Difference (95%CI) v PBO</w:t>
            </w:r>
          </w:p>
        </w:tc>
        <w:tc>
          <w:tcPr>
            <w:tcW w:w="1414" w:type="pct"/>
            <w:gridSpan w:val="3"/>
            <w:vAlign w:val="center"/>
          </w:tcPr>
          <w:p w14:paraId="59F576A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1.16 (-0.70, 3.01)</w:t>
            </w:r>
            <w:r w:rsidRPr="0049396B">
              <w:rPr>
                <w:rFonts w:ascii="Arial Narrow" w:hAnsi="Arial Narrow"/>
                <w:sz w:val="20"/>
                <w:szCs w:val="20"/>
                <w:vertAlign w:val="superscript"/>
              </w:rPr>
              <w:t>d</w:t>
            </w:r>
          </w:p>
        </w:tc>
        <w:tc>
          <w:tcPr>
            <w:tcW w:w="1418" w:type="pct"/>
            <w:gridSpan w:val="3"/>
            <w:vAlign w:val="center"/>
          </w:tcPr>
          <w:p w14:paraId="38D4D4A8"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2.79 (-0.26, 5.85)</w:t>
            </w:r>
            <w:r w:rsidRPr="0049396B">
              <w:rPr>
                <w:rFonts w:ascii="Arial Narrow" w:hAnsi="Arial Narrow"/>
                <w:sz w:val="20"/>
                <w:szCs w:val="20"/>
                <w:vertAlign w:val="superscript"/>
              </w:rPr>
              <w:t>d</w:t>
            </w:r>
          </w:p>
        </w:tc>
        <w:tc>
          <w:tcPr>
            <w:tcW w:w="990" w:type="pct"/>
            <w:gridSpan w:val="3"/>
            <w:vAlign w:val="center"/>
          </w:tcPr>
          <w:p w14:paraId="57EF0686"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p>
        </w:tc>
      </w:tr>
      <w:tr w:rsidR="00F572A3" w:rsidRPr="0049396B" w14:paraId="78D97E31" w14:textId="77777777" w:rsidTr="00EB254E">
        <w:tc>
          <w:tcPr>
            <w:tcW w:w="5000" w:type="pct"/>
            <w:gridSpan w:val="10"/>
            <w:tcBorders>
              <w:bottom w:val="single" w:sz="4" w:space="0" w:color="auto"/>
            </w:tcBorders>
            <w:vAlign w:val="center"/>
          </w:tcPr>
          <w:p w14:paraId="56F7BB4E" w14:textId="77777777" w:rsidR="00F572A3" w:rsidRPr="0049396B" w:rsidRDefault="00F572A3" w:rsidP="00EB254E">
            <w:pPr>
              <w:jc w:val="left"/>
              <w:rPr>
                <w:rFonts w:ascii="Arial Narrow" w:hAnsi="Arial Narrow"/>
                <w:b/>
                <w:sz w:val="20"/>
                <w:szCs w:val="20"/>
              </w:rPr>
            </w:pPr>
            <w:r w:rsidRPr="0049396B">
              <w:rPr>
                <w:rFonts w:ascii="Arial Narrow" w:hAnsi="Arial Narrow"/>
                <w:b/>
                <w:sz w:val="20"/>
                <w:szCs w:val="20"/>
              </w:rPr>
              <w:t>Time to death or state of disease progression from baseline in cycle 1 to end of cycle 12</w:t>
            </w:r>
          </w:p>
        </w:tc>
      </w:tr>
      <w:tr w:rsidR="000C4857" w:rsidRPr="0049396B" w14:paraId="528ABF07" w14:textId="77777777" w:rsidTr="00EB254E">
        <w:tc>
          <w:tcPr>
            <w:tcW w:w="5000" w:type="pct"/>
            <w:gridSpan w:val="10"/>
            <w:tcBorders>
              <w:bottom w:val="single" w:sz="4" w:space="0" w:color="auto"/>
            </w:tcBorders>
            <w:vAlign w:val="center"/>
          </w:tcPr>
          <w:p w14:paraId="7D983088" w14:textId="4F45F428" w:rsidR="000C4857" w:rsidRPr="0049396B" w:rsidRDefault="000C4857" w:rsidP="000C4857">
            <w:pPr>
              <w:jc w:val="left"/>
              <w:rPr>
                <w:rFonts w:ascii="Arial Narrow" w:hAnsi="Arial Narrow"/>
                <w:b/>
                <w:sz w:val="20"/>
                <w:szCs w:val="20"/>
              </w:rPr>
            </w:pPr>
            <w:r w:rsidRPr="0049396B">
              <w:rPr>
                <w:rFonts w:ascii="Arial Narrow" w:hAnsi="Arial Narrow"/>
                <w:b/>
                <w:sz w:val="20"/>
                <w:szCs w:val="20"/>
              </w:rPr>
              <w:t>Outcome</w:t>
            </w:r>
          </w:p>
        </w:tc>
      </w:tr>
      <w:tr w:rsidR="00F572A3" w:rsidRPr="0049396B" w14:paraId="1CC72969" w14:textId="77777777" w:rsidTr="00EB254E">
        <w:tc>
          <w:tcPr>
            <w:tcW w:w="1178" w:type="pct"/>
            <w:tcBorders>
              <w:bottom w:val="nil"/>
            </w:tcBorders>
          </w:tcPr>
          <w:p w14:paraId="4ACB1C5B" w14:textId="77777777" w:rsidR="00F572A3" w:rsidRPr="0049396B" w:rsidRDefault="00F572A3" w:rsidP="00EB254E">
            <w:pPr>
              <w:rPr>
                <w:rFonts w:ascii="Arial Narrow" w:hAnsi="Arial Narrow"/>
                <w:sz w:val="20"/>
                <w:szCs w:val="20"/>
              </w:rPr>
            </w:pPr>
            <w:r w:rsidRPr="0049396B">
              <w:rPr>
                <w:rFonts w:ascii="Arial Narrow" w:hAnsi="Arial Narrow"/>
                <w:sz w:val="20"/>
                <w:szCs w:val="20"/>
              </w:rPr>
              <w:t xml:space="preserve">No. </w:t>
            </w:r>
            <w:proofErr w:type="spellStart"/>
            <w:r w:rsidRPr="0049396B">
              <w:rPr>
                <w:rFonts w:ascii="Arial Narrow" w:hAnsi="Arial Narrow"/>
                <w:sz w:val="20"/>
                <w:szCs w:val="20"/>
              </w:rPr>
              <w:t>patients</w:t>
            </w:r>
            <w:r w:rsidRPr="0049396B">
              <w:rPr>
                <w:rFonts w:ascii="Arial Narrow" w:hAnsi="Arial Narrow"/>
                <w:sz w:val="20"/>
                <w:szCs w:val="20"/>
                <w:vertAlign w:val="superscript"/>
              </w:rPr>
              <w:t>e</w:t>
            </w:r>
            <w:proofErr w:type="spellEnd"/>
          </w:p>
        </w:tc>
        <w:tc>
          <w:tcPr>
            <w:tcW w:w="471" w:type="pct"/>
            <w:tcBorders>
              <w:bottom w:val="nil"/>
            </w:tcBorders>
            <w:vAlign w:val="center"/>
          </w:tcPr>
          <w:p w14:paraId="6D0BA0F4"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27</w:t>
            </w:r>
          </w:p>
        </w:tc>
        <w:tc>
          <w:tcPr>
            <w:tcW w:w="472" w:type="pct"/>
            <w:tcBorders>
              <w:bottom w:val="nil"/>
            </w:tcBorders>
            <w:vAlign w:val="center"/>
          </w:tcPr>
          <w:p w14:paraId="722A9EEF"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46</w:t>
            </w:r>
          </w:p>
        </w:tc>
        <w:tc>
          <w:tcPr>
            <w:tcW w:w="471" w:type="pct"/>
            <w:tcBorders>
              <w:bottom w:val="nil"/>
            </w:tcBorders>
            <w:vAlign w:val="center"/>
          </w:tcPr>
          <w:p w14:paraId="68201F0C"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bottom w:val="nil"/>
            </w:tcBorders>
            <w:vAlign w:val="center"/>
          </w:tcPr>
          <w:p w14:paraId="335402A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8</w:t>
            </w:r>
          </w:p>
        </w:tc>
        <w:tc>
          <w:tcPr>
            <w:tcW w:w="471" w:type="pct"/>
            <w:tcBorders>
              <w:bottom w:val="nil"/>
            </w:tcBorders>
            <w:vAlign w:val="center"/>
          </w:tcPr>
          <w:p w14:paraId="38F76F3B"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19</w:t>
            </w:r>
          </w:p>
        </w:tc>
        <w:tc>
          <w:tcPr>
            <w:tcW w:w="475" w:type="pct"/>
            <w:tcBorders>
              <w:bottom w:val="nil"/>
            </w:tcBorders>
            <w:vAlign w:val="center"/>
          </w:tcPr>
          <w:p w14:paraId="0772EFBF"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bottom w:val="nil"/>
            </w:tcBorders>
            <w:vAlign w:val="center"/>
          </w:tcPr>
          <w:p w14:paraId="5F64268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10</w:t>
            </w:r>
          </w:p>
        </w:tc>
        <w:tc>
          <w:tcPr>
            <w:tcW w:w="518" w:type="pct"/>
            <w:gridSpan w:val="2"/>
            <w:tcBorders>
              <w:bottom w:val="nil"/>
            </w:tcBorders>
            <w:vAlign w:val="center"/>
          </w:tcPr>
          <w:p w14:paraId="20273FCC"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19</w:t>
            </w:r>
          </w:p>
        </w:tc>
      </w:tr>
      <w:tr w:rsidR="00F572A3" w:rsidRPr="0049396B" w14:paraId="3EBEFCCC" w14:textId="77777777" w:rsidTr="00EB254E">
        <w:tc>
          <w:tcPr>
            <w:tcW w:w="1178" w:type="pct"/>
            <w:tcBorders>
              <w:top w:val="nil"/>
              <w:bottom w:val="nil"/>
            </w:tcBorders>
          </w:tcPr>
          <w:p w14:paraId="1F8C72BE" w14:textId="20D70864" w:rsidR="00F572A3" w:rsidRPr="0049396B" w:rsidRDefault="00F572A3" w:rsidP="00EB254E">
            <w:pPr>
              <w:rPr>
                <w:rFonts w:ascii="Arial Narrow" w:hAnsi="Arial Narrow"/>
                <w:sz w:val="20"/>
                <w:szCs w:val="20"/>
              </w:rPr>
            </w:pPr>
            <w:r w:rsidRPr="0049396B">
              <w:rPr>
                <w:rFonts w:ascii="Arial Narrow" w:hAnsi="Arial Narrow"/>
                <w:sz w:val="20"/>
                <w:szCs w:val="20"/>
              </w:rPr>
              <w:t>No. events to cycle 6, n</w:t>
            </w:r>
          </w:p>
        </w:tc>
        <w:tc>
          <w:tcPr>
            <w:tcW w:w="471" w:type="pct"/>
            <w:tcBorders>
              <w:top w:val="nil"/>
              <w:bottom w:val="nil"/>
            </w:tcBorders>
            <w:vAlign w:val="center"/>
          </w:tcPr>
          <w:p w14:paraId="6A1AB57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36</w:t>
            </w:r>
          </w:p>
        </w:tc>
        <w:tc>
          <w:tcPr>
            <w:tcW w:w="472" w:type="pct"/>
            <w:tcBorders>
              <w:top w:val="nil"/>
              <w:bottom w:val="nil"/>
            </w:tcBorders>
            <w:vAlign w:val="center"/>
          </w:tcPr>
          <w:p w14:paraId="1DAFA8C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70</w:t>
            </w:r>
          </w:p>
        </w:tc>
        <w:tc>
          <w:tcPr>
            <w:tcW w:w="471" w:type="pct"/>
            <w:tcBorders>
              <w:top w:val="nil"/>
              <w:bottom w:val="nil"/>
            </w:tcBorders>
            <w:vAlign w:val="center"/>
          </w:tcPr>
          <w:p w14:paraId="76EA0C37"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0BE38FD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9</w:t>
            </w:r>
          </w:p>
        </w:tc>
        <w:tc>
          <w:tcPr>
            <w:tcW w:w="471" w:type="pct"/>
            <w:tcBorders>
              <w:top w:val="nil"/>
              <w:bottom w:val="nil"/>
            </w:tcBorders>
            <w:vAlign w:val="center"/>
          </w:tcPr>
          <w:p w14:paraId="341220AB"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30</w:t>
            </w:r>
          </w:p>
        </w:tc>
        <w:tc>
          <w:tcPr>
            <w:tcW w:w="475" w:type="pct"/>
            <w:tcBorders>
              <w:top w:val="nil"/>
              <w:bottom w:val="nil"/>
            </w:tcBorders>
            <w:vAlign w:val="center"/>
          </w:tcPr>
          <w:p w14:paraId="367C19BC"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51F4246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15</w:t>
            </w:r>
          </w:p>
        </w:tc>
        <w:tc>
          <w:tcPr>
            <w:tcW w:w="518" w:type="pct"/>
            <w:gridSpan w:val="2"/>
            <w:tcBorders>
              <w:top w:val="nil"/>
              <w:bottom w:val="nil"/>
            </w:tcBorders>
            <w:vAlign w:val="center"/>
          </w:tcPr>
          <w:p w14:paraId="1E264F5A"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20</w:t>
            </w:r>
          </w:p>
        </w:tc>
      </w:tr>
      <w:tr w:rsidR="00F572A3" w:rsidRPr="0049396B" w14:paraId="02967431" w14:textId="77777777" w:rsidTr="00EB254E">
        <w:tc>
          <w:tcPr>
            <w:tcW w:w="1178" w:type="pct"/>
            <w:tcBorders>
              <w:top w:val="nil"/>
              <w:bottom w:val="nil"/>
            </w:tcBorders>
          </w:tcPr>
          <w:p w14:paraId="3FF4F46D" w14:textId="77777777" w:rsidR="00F572A3" w:rsidRPr="0049396B" w:rsidRDefault="00F572A3" w:rsidP="00A21488">
            <w:pPr>
              <w:pStyle w:val="ListParagraph"/>
              <w:numPr>
                <w:ilvl w:val="0"/>
                <w:numId w:val="11"/>
              </w:numPr>
              <w:spacing w:after="0"/>
              <w:ind w:left="249" w:hanging="215"/>
              <w:rPr>
                <w:rFonts w:ascii="Arial Narrow" w:hAnsi="Arial Narrow"/>
                <w:sz w:val="20"/>
                <w:szCs w:val="20"/>
              </w:rPr>
            </w:pPr>
            <w:r w:rsidRPr="0049396B">
              <w:rPr>
                <w:rFonts w:ascii="Arial Narrow" w:hAnsi="Arial Narrow"/>
                <w:sz w:val="20"/>
                <w:szCs w:val="20"/>
              </w:rPr>
              <w:t>Death</w:t>
            </w:r>
          </w:p>
        </w:tc>
        <w:tc>
          <w:tcPr>
            <w:tcW w:w="471" w:type="pct"/>
            <w:tcBorders>
              <w:top w:val="nil"/>
              <w:bottom w:val="nil"/>
            </w:tcBorders>
            <w:vAlign w:val="center"/>
          </w:tcPr>
          <w:p w14:paraId="3351DD07"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w:t>
            </w:r>
          </w:p>
        </w:tc>
        <w:tc>
          <w:tcPr>
            <w:tcW w:w="472" w:type="pct"/>
            <w:tcBorders>
              <w:top w:val="nil"/>
              <w:bottom w:val="nil"/>
            </w:tcBorders>
            <w:vAlign w:val="center"/>
          </w:tcPr>
          <w:p w14:paraId="669930CE"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w:t>
            </w:r>
          </w:p>
        </w:tc>
        <w:tc>
          <w:tcPr>
            <w:tcW w:w="471" w:type="pct"/>
            <w:tcBorders>
              <w:top w:val="nil"/>
              <w:bottom w:val="nil"/>
            </w:tcBorders>
            <w:vAlign w:val="center"/>
          </w:tcPr>
          <w:p w14:paraId="1DF231D2"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6F6DF6B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0</w:t>
            </w:r>
          </w:p>
        </w:tc>
        <w:tc>
          <w:tcPr>
            <w:tcW w:w="471" w:type="pct"/>
            <w:tcBorders>
              <w:top w:val="nil"/>
              <w:bottom w:val="nil"/>
            </w:tcBorders>
            <w:vAlign w:val="center"/>
          </w:tcPr>
          <w:p w14:paraId="689FAC5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0</w:t>
            </w:r>
          </w:p>
        </w:tc>
        <w:tc>
          <w:tcPr>
            <w:tcW w:w="475" w:type="pct"/>
            <w:tcBorders>
              <w:top w:val="nil"/>
              <w:bottom w:val="nil"/>
            </w:tcBorders>
            <w:vAlign w:val="center"/>
          </w:tcPr>
          <w:p w14:paraId="50A467CA"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4E2EA1D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w:t>
            </w:r>
          </w:p>
        </w:tc>
        <w:tc>
          <w:tcPr>
            <w:tcW w:w="518" w:type="pct"/>
            <w:gridSpan w:val="2"/>
            <w:tcBorders>
              <w:top w:val="nil"/>
              <w:bottom w:val="nil"/>
            </w:tcBorders>
            <w:vAlign w:val="center"/>
          </w:tcPr>
          <w:p w14:paraId="6E02F5A4"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w:t>
            </w:r>
          </w:p>
        </w:tc>
      </w:tr>
      <w:tr w:rsidR="00F572A3" w:rsidRPr="0049396B" w14:paraId="60EB2DF9" w14:textId="77777777" w:rsidTr="00EB254E">
        <w:tc>
          <w:tcPr>
            <w:tcW w:w="1178" w:type="pct"/>
            <w:tcBorders>
              <w:top w:val="nil"/>
              <w:bottom w:val="nil"/>
            </w:tcBorders>
          </w:tcPr>
          <w:p w14:paraId="60F42695" w14:textId="77777777" w:rsidR="00F572A3" w:rsidRPr="0049396B" w:rsidRDefault="00F572A3" w:rsidP="00A21488">
            <w:pPr>
              <w:pStyle w:val="ListParagraph"/>
              <w:numPr>
                <w:ilvl w:val="0"/>
                <w:numId w:val="11"/>
              </w:numPr>
              <w:spacing w:after="0"/>
              <w:ind w:left="249" w:hanging="215"/>
              <w:rPr>
                <w:rFonts w:ascii="Arial Narrow" w:hAnsi="Arial Narrow"/>
                <w:sz w:val="20"/>
                <w:szCs w:val="20"/>
              </w:rPr>
            </w:pPr>
            <w:r w:rsidRPr="0049396B">
              <w:rPr>
                <w:rFonts w:ascii="Arial Narrow" w:hAnsi="Arial Narrow"/>
                <w:sz w:val="20"/>
                <w:szCs w:val="20"/>
              </w:rPr>
              <w:t>Disability of independent ambulation</w:t>
            </w:r>
          </w:p>
        </w:tc>
        <w:tc>
          <w:tcPr>
            <w:tcW w:w="471" w:type="pct"/>
            <w:tcBorders>
              <w:top w:val="nil"/>
              <w:bottom w:val="nil"/>
            </w:tcBorders>
            <w:vAlign w:val="center"/>
          </w:tcPr>
          <w:p w14:paraId="1179177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23</w:t>
            </w:r>
          </w:p>
        </w:tc>
        <w:tc>
          <w:tcPr>
            <w:tcW w:w="472" w:type="pct"/>
            <w:tcBorders>
              <w:top w:val="nil"/>
              <w:bottom w:val="nil"/>
            </w:tcBorders>
            <w:vAlign w:val="center"/>
          </w:tcPr>
          <w:p w14:paraId="6D86324E"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39</w:t>
            </w:r>
          </w:p>
        </w:tc>
        <w:tc>
          <w:tcPr>
            <w:tcW w:w="471" w:type="pct"/>
            <w:tcBorders>
              <w:top w:val="nil"/>
              <w:bottom w:val="nil"/>
            </w:tcBorders>
            <w:vAlign w:val="center"/>
          </w:tcPr>
          <w:p w14:paraId="5044C0C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78A3DE5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8</w:t>
            </w:r>
          </w:p>
        </w:tc>
        <w:tc>
          <w:tcPr>
            <w:tcW w:w="471" w:type="pct"/>
            <w:tcBorders>
              <w:top w:val="nil"/>
              <w:bottom w:val="nil"/>
            </w:tcBorders>
            <w:vAlign w:val="center"/>
          </w:tcPr>
          <w:p w14:paraId="41969AB5"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18</w:t>
            </w:r>
          </w:p>
        </w:tc>
        <w:tc>
          <w:tcPr>
            <w:tcW w:w="475" w:type="pct"/>
            <w:tcBorders>
              <w:top w:val="nil"/>
              <w:bottom w:val="nil"/>
            </w:tcBorders>
            <w:vAlign w:val="center"/>
          </w:tcPr>
          <w:p w14:paraId="49B9F496"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7DE8E85E"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3</w:t>
            </w:r>
          </w:p>
        </w:tc>
        <w:tc>
          <w:tcPr>
            <w:tcW w:w="518" w:type="pct"/>
            <w:gridSpan w:val="2"/>
            <w:tcBorders>
              <w:top w:val="nil"/>
              <w:bottom w:val="nil"/>
            </w:tcBorders>
            <w:vAlign w:val="center"/>
          </w:tcPr>
          <w:p w14:paraId="6B276218"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w:t>
            </w:r>
          </w:p>
        </w:tc>
      </w:tr>
      <w:tr w:rsidR="00F572A3" w:rsidRPr="0049396B" w14:paraId="57300BB4" w14:textId="77777777" w:rsidTr="00EB254E">
        <w:trPr>
          <w:trHeight w:val="56"/>
        </w:trPr>
        <w:tc>
          <w:tcPr>
            <w:tcW w:w="1178" w:type="pct"/>
            <w:tcBorders>
              <w:top w:val="nil"/>
              <w:bottom w:val="nil"/>
            </w:tcBorders>
            <w:vAlign w:val="center"/>
          </w:tcPr>
          <w:p w14:paraId="394FA204" w14:textId="77777777" w:rsidR="00F572A3" w:rsidRPr="0049396B" w:rsidRDefault="00F572A3" w:rsidP="00A21488">
            <w:pPr>
              <w:pStyle w:val="ListParagraph"/>
              <w:numPr>
                <w:ilvl w:val="0"/>
                <w:numId w:val="11"/>
              </w:numPr>
              <w:spacing w:after="0"/>
              <w:ind w:left="249" w:hanging="215"/>
              <w:rPr>
                <w:rFonts w:ascii="Arial Narrow" w:hAnsi="Arial Narrow"/>
                <w:sz w:val="20"/>
                <w:szCs w:val="20"/>
              </w:rPr>
            </w:pPr>
            <w:r w:rsidRPr="0049396B">
              <w:rPr>
                <w:rFonts w:ascii="Arial Narrow" w:hAnsi="Arial Narrow"/>
                <w:sz w:val="20"/>
                <w:szCs w:val="20"/>
              </w:rPr>
              <w:t>Loss of upper limbs function</w:t>
            </w:r>
          </w:p>
        </w:tc>
        <w:tc>
          <w:tcPr>
            <w:tcW w:w="471" w:type="pct"/>
            <w:tcBorders>
              <w:top w:val="nil"/>
              <w:bottom w:val="nil"/>
            </w:tcBorders>
            <w:vAlign w:val="center"/>
          </w:tcPr>
          <w:p w14:paraId="3F075742"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6</w:t>
            </w:r>
          </w:p>
        </w:tc>
        <w:tc>
          <w:tcPr>
            <w:tcW w:w="472" w:type="pct"/>
            <w:tcBorders>
              <w:top w:val="nil"/>
              <w:bottom w:val="nil"/>
            </w:tcBorders>
            <w:vAlign w:val="center"/>
          </w:tcPr>
          <w:p w14:paraId="17AB56B8"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10</w:t>
            </w:r>
          </w:p>
        </w:tc>
        <w:tc>
          <w:tcPr>
            <w:tcW w:w="471" w:type="pct"/>
            <w:tcBorders>
              <w:top w:val="nil"/>
              <w:bottom w:val="nil"/>
            </w:tcBorders>
            <w:vAlign w:val="center"/>
          </w:tcPr>
          <w:p w14:paraId="232A9F3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352B010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w:t>
            </w:r>
          </w:p>
        </w:tc>
        <w:tc>
          <w:tcPr>
            <w:tcW w:w="471" w:type="pct"/>
            <w:tcBorders>
              <w:top w:val="nil"/>
              <w:bottom w:val="nil"/>
            </w:tcBorders>
            <w:vAlign w:val="center"/>
          </w:tcPr>
          <w:p w14:paraId="4DD37A0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4</w:t>
            </w:r>
          </w:p>
        </w:tc>
        <w:tc>
          <w:tcPr>
            <w:tcW w:w="475" w:type="pct"/>
            <w:tcBorders>
              <w:top w:val="nil"/>
              <w:bottom w:val="nil"/>
            </w:tcBorders>
            <w:vAlign w:val="center"/>
          </w:tcPr>
          <w:p w14:paraId="44FC59FF"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2015591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4</w:t>
            </w:r>
          </w:p>
        </w:tc>
        <w:tc>
          <w:tcPr>
            <w:tcW w:w="518" w:type="pct"/>
            <w:gridSpan w:val="2"/>
            <w:tcBorders>
              <w:top w:val="nil"/>
              <w:bottom w:val="nil"/>
            </w:tcBorders>
            <w:vAlign w:val="center"/>
          </w:tcPr>
          <w:p w14:paraId="6E088054"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6</w:t>
            </w:r>
          </w:p>
        </w:tc>
      </w:tr>
      <w:tr w:rsidR="00F572A3" w:rsidRPr="0049396B" w14:paraId="51BC411B" w14:textId="77777777" w:rsidTr="00EB254E">
        <w:trPr>
          <w:trHeight w:val="56"/>
        </w:trPr>
        <w:tc>
          <w:tcPr>
            <w:tcW w:w="1178" w:type="pct"/>
            <w:tcBorders>
              <w:top w:val="nil"/>
              <w:bottom w:val="nil"/>
            </w:tcBorders>
          </w:tcPr>
          <w:p w14:paraId="693DD586" w14:textId="77777777" w:rsidR="00F572A3" w:rsidRPr="0049396B" w:rsidRDefault="00F572A3" w:rsidP="00A21488">
            <w:pPr>
              <w:pStyle w:val="ListParagraph"/>
              <w:numPr>
                <w:ilvl w:val="0"/>
                <w:numId w:val="11"/>
              </w:numPr>
              <w:spacing w:after="0"/>
              <w:ind w:left="249" w:hanging="215"/>
              <w:rPr>
                <w:rFonts w:ascii="Arial Narrow" w:hAnsi="Arial Narrow"/>
                <w:sz w:val="20"/>
                <w:szCs w:val="20"/>
              </w:rPr>
            </w:pPr>
            <w:r w:rsidRPr="0049396B">
              <w:rPr>
                <w:rFonts w:ascii="Arial Narrow" w:hAnsi="Arial Narrow"/>
                <w:sz w:val="20"/>
                <w:szCs w:val="20"/>
              </w:rPr>
              <w:t>Tracheostomy</w:t>
            </w:r>
          </w:p>
        </w:tc>
        <w:tc>
          <w:tcPr>
            <w:tcW w:w="471" w:type="pct"/>
            <w:tcBorders>
              <w:top w:val="nil"/>
              <w:bottom w:val="nil"/>
            </w:tcBorders>
            <w:vAlign w:val="center"/>
          </w:tcPr>
          <w:p w14:paraId="04356D6B"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w:t>
            </w:r>
          </w:p>
        </w:tc>
        <w:tc>
          <w:tcPr>
            <w:tcW w:w="472" w:type="pct"/>
            <w:tcBorders>
              <w:top w:val="nil"/>
              <w:bottom w:val="nil"/>
            </w:tcBorders>
            <w:vAlign w:val="center"/>
          </w:tcPr>
          <w:p w14:paraId="10B35F64"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5</w:t>
            </w:r>
          </w:p>
        </w:tc>
        <w:tc>
          <w:tcPr>
            <w:tcW w:w="471" w:type="pct"/>
            <w:tcBorders>
              <w:top w:val="nil"/>
              <w:bottom w:val="nil"/>
            </w:tcBorders>
            <w:vAlign w:val="center"/>
          </w:tcPr>
          <w:p w14:paraId="4C5F37AC"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7BE7B21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0</w:t>
            </w:r>
          </w:p>
        </w:tc>
        <w:tc>
          <w:tcPr>
            <w:tcW w:w="471" w:type="pct"/>
            <w:tcBorders>
              <w:top w:val="nil"/>
              <w:bottom w:val="nil"/>
            </w:tcBorders>
            <w:vAlign w:val="center"/>
          </w:tcPr>
          <w:p w14:paraId="02A8698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w:t>
            </w:r>
          </w:p>
        </w:tc>
        <w:tc>
          <w:tcPr>
            <w:tcW w:w="475" w:type="pct"/>
            <w:tcBorders>
              <w:top w:val="nil"/>
              <w:bottom w:val="nil"/>
            </w:tcBorders>
          </w:tcPr>
          <w:p w14:paraId="11E486F5"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071A199C"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w:t>
            </w:r>
          </w:p>
        </w:tc>
        <w:tc>
          <w:tcPr>
            <w:tcW w:w="518" w:type="pct"/>
            <w:gridSpan w:val="2"/>
            <w:tcBorders>
              <w:top w:val="nil"/>
              <w:bottom w:val="nil"/>
            </w:tcBorders>
            <w:vAlign w:val="center"/>
          </w:tcPr>
          <w:p w14:paraId="0F552D6C"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0</w:t>
            </w:r>
          </w:p>
        </w:tc>
      </w:tr>
      <w:tr w:rsidR="00F572A3" w:rsidRPr="0049396B" w14:paraId="2752E322" w14:textId="77777777" w:rsidTr="00EB254E">
        <w:tc>
          <w:tcPr>
            <w:tcW w:w="1178" w:type="pct"/>
            <w:tcBorders>
              <w:top w:val="nil"/>
              <w:bottom w:val="nil"/>
            </w:tcBorders>
          </w:tcPr>
          <w:p w14:paraId="3E1A7D7A" w14:textId="77777777" w:rsidR="00F572A3" w:rsidRPr="0049396B" w:rsidRDefault="00F572A3" w:rsidP="00A21488">
            <w:pPr>
              <w:pStyle w:val="ListParagraph"/>
              <w:numPr>
                <w:ilvl w:val="0"/>
                <w:numId w:val="11"/>
              </w:numPr>
              <w:spacing w:after="0"/>
              <w:ind w:left="249" w:hanging="215"/>
              <w:rPr>
                <w:rFonts w:ascii="Arial Narrow" w:hAnsi="Arial Narrow"/>
                <w:sz w:val="20"/>
                <w:szCs w:val="20"/>
              </w:rPr>
            </w:pPr>
            <w:r w:rsidRPr="0049396B">
              <w:rPr>
                <w:rFonts w:ascii="Arial Narrow" w:hAnsi="Arial Narrow"/>
                <w:sz w:val="20"/>
                <w:szCs w:val="20"/>
              </w:rPr>
              <w:t>Use of respirator</w:t>
            </w:r>
          </w:p>
        </w:tc>
        <w:tc>
          <w:tcPr>
            <w:tcW w:w="471" w:type="pct"/>
            <w:tcBorders>
              <w:top w:val="nil"/>
              <w:bottom w:val="nil"/>
            </w:tcBorders>
            <w:vAlign w:val="center"/>
          </w:tcPr>
          <w:p w14:paraId="194C94E7"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w:t>
            </w:r>
          </w:p>
        </w:tc>
        <w:tc>
          <w:tcPr>
            <w:tcW w:w="472" w:type="pct"/>
            <w:tcBorders>
              <w:top w:val="nil"/>
              <w:bottom w:val="nil"/>
            </w:tcBorders>
            <w:vAlign w:val="center"/>
          </w:tcPr>
          <w:p w14:paraId="29F924C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4</w:t>
            </w:r>
          </w:p>
        </w:tc>
        <w:tc>
          <w:tcPr>
            <w:tcW w:w="471" w:type="pct"/>
            <w:tcBorders>
              <w:top w:val="nil"/>
              <w:bottom w:val="nil"/>
            </w:tcBorders>
            <w:vAlign w:val="center"/>
          </w:tcPr>
          <w:p w14:paraId="5603DADA"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6CEFB5C2"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0</w:t>
            </w:r>
          </w:p>
        </w:tc>
        <w:tc>
          <w:tcPr>
            <w:tcW w:w="471" w:type="pct"/>
            <w:tcBorders>
              <w:top w:val="nil"/>
              <w:bottom w:val="nil"/>
            </w:tcBorders>
            <w:vAlign w:val="center"/>
          </w:tcPr>
          <w:p w14:paraId="431CC824"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0</w:t>
            </w:r>
          </w:p>
        </w:tc>
        <w:tc>
          <w:tcPr>
            <w:tcW w:w="475" w:type="pct"/>
            <w:tcBorders>
              <w:top w:val="nil"/>
              <w:bottom w:val="nil"/>
            </w:tcBorders>
          </w:tcPr>
          <w:p w14:paraId="4236DFE0"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4E37633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0</w:t>
            </w:r>
          </w:p>
        </w:tc>
        <w:tc>
          <w:tcPr>
            <w:tcW w:w="518" w:type="pct"/>
            <w:gridSpan w:val="2"/>
            <w:tcBorders>
              <w:top w:val="nil"/>
              <w:bottom w:val="nil"/>
            </w:tcBorders>
            <w:vAlign w:val="center"/>
          </w:tcPr>
          <w:p w14:paraId="3DE578AA"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0</w:t>
            </w:r>
          </w:p>
        </w:tc>
      </w:tr>
      <w:tr w:rsidR="00F572A3" w:rsidRPr="0049396B" w14:paraId="2775DDE6" w14:textId="77777777" w:rsidTr="00EB254E">
        <w:tc>
          <w:tcPr>
            <w:tcW w:w="1178" w:type="pct"/>
            <w:tcBorders>
              <w:top w:val="nil"/>
              <w:bottom w:val="nil"/>
            </w:tcBorders>
          </w:tcPr>
          <w:p w14:paraId="31E04CDE" w14:textId="77777777" w:rsidR="00F572A3" w:rsidRPr="0049396B" w:rsidRDefault="00F572A3" w:rsidP="00A21488">
            <w:pPr>
              <w:pStyle w:val="ListParagraph"/>
              <w:numPr>
                <w:ilvl w:val="0"/>
                <w:numId w:val="11"/>
              </w:numPr>
              <w:spacing w:after="0"/>
              <w:ind w:left="249" w:hanging="215"/>
              <w:rPr>
                <w:rFonts w:ascii="Arial Narrow" w:hAnsi="Arial Narrow"/>
                <w:sz w:val="20"/>
                <w:szCs w:val="20"/>
              </w:rPr>
            </w:pPr>
            <w:r w:rsidRPr="0049396B">
              <w:rPr>
                <w:rFonts w:ascii="Arial Narrow" w:hAnsi="Arial Narrow"/>
                <w:sz w:val="20"/>
                <w:szCs w:val="20"/>
              </w:rPr>
              <w:t>Use of tube feeding</w:t>
            </w:r>
          </w:p>
        </w:tc>
        <w:tc>
          <w:tcPr>
            <w:tcW w:w="471" w:type="pct"/>
            <w:tcBorders>
              <w:top w:val="nil"/>
              <w:bottom w:val="nil"/>
            </w:tcBorders>
            <w:vAlign w:val="center"/>
          </w:tcPr>
          <w:p w14:paraId="04F1BF5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4</w:t>
            </w:r>
          </w:p>
        </w:tc>
        <w:tc>
          <w:tcPr>
            <w:tcW w:w="472" w:type="pct"/>
            <w:tcBorders>
              <w:top w:val="nil"/>
              <w:bottom w:val="nil"/>
            </w:tcBorders>
            <w:vAlign w:val="center"/>
          </w:tcPr>
          <w:p w14:paraId="4946F6A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11</w:t>
            </w:r>
          </w:p>
        </w:tc>
        <w:tc>
          <w:tcPr>
            <w:tcW w:w="471" w:type="pct"/>
            <w:tcBorders>
              <w:top w:val="nil"/>
              <w:bottom w:val="nil"/>
            </w:tcBorders>
            <w:vAlign w:val="center"/>
          </w:tcPr>
          <w:p w14:paraId="427224E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2FFEE53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0</w:t>
            </w:r>
          </w:p>
        </w:tc>
        <w:tc>
          <w:tcPr>
            <w:tcW w:w="471" w:type="pct"/>
            <w:tcBorders>
              <w:top w:val="nil"/>
              <w:bottom w:val="nil"/>
            </w:tcBorders>
            <w:vAlign w:val="center"/>
          </w:tcPr>
          <w:p w14:paraId="60AC88BB"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7</w:t>
            </w:r>
          </w:p>
        </w:tc>
        <w:tc>
          <w:tcPr>
            <w:tcW w:w="475" w:type="pct"/>
            <w:tcBorders>
              <w:top w:val="nil"/>
              <w:bottom w:val="nil"/>
            </w:tcBorders>
          </w:tcPr>
          <w:p w14:paraId="560663A5"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2" w:type="pct"/>
            <w:tcBorders>
              <w:top w:val="nil"/>
              <w:bottom w:val="nil"/>
            </w:tcBorders>
            <w:vAlign w:val="center"/>
          </w:tcPr>
          <w:p w14:paraId="4E29987E"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w:t>
            </w:r>
          </w:p>
        </w:tc>
        <w:tc>
          <w:tcPr>
            <w:tcW w:w="518" w:type="pct"/>
            <w:gridSpan w:val="2"/>
            <w:tcBorders>
              <w:top w:val="nil"/>
              <w:bottom w:val="nil"/>
            </w:tcBorders>
            <w:vAlign w:val="center"/>
          </w:tcPr>
          <w:p w14:paraId="2CCBF4AA"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5</w:t>
            </w:r>
          </w:p>
        </w:tc>
      </w:tr>
      <w:tr w:rsidR="00F572A3" w:rsidRPr="0049396B" w14:paraId="78372C54" w14:textId="77777777" w:rsidTr="00EB254E">
        <w:tc>
          <w:tcPr>
            <w:tcW w:w="1178" w:type="pct"/>
            <w:tcBorders>
              <w:top w:val="nil"/>
            </w:tcBorders>
          </w:tcPr>
          <w:p w14:paraId="6FCE869C" w14:textId="77777777" w:rsidR="00F572A3" w:rsidRPr="0049396B" w:rsidRDefault="00F572A3" w:rsidP="00A21488">
            <w:pPr>
              <w:pStyle w:val="ListParagraph"/>
              <w:numPr>
                <w:ilvl w:val="0"/>
                <w:numId w:val="11"/>
              </w:numPr>
              <w:spacing w:after="0"/>
              <w:ind w:left="249" w:hanging="215"/>
              <w:rPr>
                <w:rFonts w:ascii="Arial Narrow" w:hAnsi="Arial Narrow"/>
                <w:sz w:val="20"/>
                <w:szCs w:val="20"/>
              </w:rPr>
            </w:pPr>
            <w:r w:rsidRPr="0049396B">
              <w:rPr>
                <w:rFonts w:ascii="Arial Narrow" w:hAnsi="Arial Narrow"/>
                <w:sz w:val="20"/>
                <w:szCs w:val="20"/>
              </w:rPr>
              <w:t>Loss of useful speech</w:t>
            </w:r>
          </w:p>
        </w:tc>
        <w:tc>
          <w:tcPr>
            <w:tcW w:w="471" w:type="pct"/>
            <w:tcBorders>
              <w:top w:val="nil"/>
            </w:tcBorders>
            <w:vAlign w:val="center"/>
          </w:tcPr>
          <w:p w14:paraId="610F088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r w:rsidRPr="0049396B">
              <w:rPr>
                <w:rFonts w:ascii="Arial Narrow" w:hAnsi="Arial Narrow"/>
                <w:sz w:val="20"/>
                <w:szCs w:val="20"/>
                <w:vertAlign w:val="superscript"/>
              </w:rPr>
              <w:t>b</w:t>
            </w:r>
          </w:p>
        </w:tc>
        <w:tc>
          <w:tcPr>
            <w:tcW w:w="472" w:type="pct"/>
            <w:tcBorders>
              <w:top w:val="nil"/>
            </w:tcBorders>
            <w:vAlign w:val="center"/>
          </w:tcPr>
          <w:p w14:paraId="18C6243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r w:rsidRPr="0049396B">
              <w:rPr>
                <w:rFonts w:ascii="Arial Narrow" w:hAnsi="Arial Narrow"/>
                <w:sz w:val="20"/>
                <w:szCs w:val="20"/>
                <w:vertAlign w:val="superscript"/>
              </w:rPr>
              <w:t>b</w:t>
            </w:r>
          </w:p>
        </w:tc>
        <w:tc>
          <w:tcPr>
            <w:tcW w:w="471" w:type="pct"/>
            <w:tcBorders>
              <w:top w:val="nil"/>
            </w:tcBorders>
            <w:vAlign w:val="center"/>
          </w:tcPr>
          <w:p w14:paraId="046731CA"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r w:rsidRPr="0049396B">
              <w:rPr>
                <w:rFonts w:ascii="Arial Narrow" w:hAnsi="Arial Narrow"/>
                <w:sz w:val="20"/>
                <w:szCs w:val="20"/>
                <w:vertAlign w:val="superscript"/>
              </w:rPr>
              <w:t>b</w:t>
            </w:r>
          </w:p>
        </w:tc>
        <w:tc>
          <w:tcPr>
            <w:tcW w:w="472" w:type="pct"/>
            <w:tcBorders>
              <w:top w:val="nil"/>
            </w:tcBorders>
            <w:vAlign w:val="center"/>
          </w:tcPr>
          <w:p w14:paraId="05EDB886"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r w:rsidRPr="0049396B">
              <w:rPr>
                <w:rFonts w:ascii="Arial Narrow" w:hAnsi="Arial Narrow"/>
                <w:sz w:val="20"/>
                <w:szCs w:val="20"/>
                <w:vertAlign w:val="superscript"/>
              </w:rPr>
              <w:t>b</w:t>
            </w:r>
          </w:p>
        </w:tc>
        <w:tc>
          <w:tcPr>
            <w:tcW w:w="471" w:type="pct"/>
            <w:tcBorders>
              <w:top w:val="nil"/>
            </w:tcBorders>
            <w:vAlign w:val="center"/>
          </w:tcPr>
          <w:p w14:paraId="0BCCB19E"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r w:rsidRPr="0049396B">
              <w:rPr>
                <w:rFonts w:ascii="Arial Narrow" w:hAnsi="Arial Narrow"/>
                <w:sz w:val="20"/>
                <w:szCs w:val="20"/>
                <w:vertAlign w:val="superscript"/>
              </w:rPr>
              <w:t>b</w:t>
            </w:r>
          </w:p>
        </w:tc>
        <w:tc>
          <w:tcPr>
            <w:tcW w:w="475" w:type="pct"/>
            <w:tcBorders>
              <w:top w:val="nil"/>
            </w:tcBorders>
            <w:vAlign w:val="center"/>
          </w:tcPr>
          <w:p w14:paraId="46C6B212"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r w:rsidRPr="0049396B">
              <w:rPr>
                <w:rFonts w:ascii="Arial Narrow" w:hAnsi="Arial Narrow"/>
                <w:sz w:val="20"/>
                <w:szCs w:val="20"/>
                <w:vertAlign w:val="superscript"/>
              </w:rPr>
              <w:t>b</w:t>
            </w:r>
          </w:p>
        </w:tc>
        <w:tc>
          <w:tcPr>
            <w:tcW w:w="472" w:type="pct"/>
            <w:tcBorders>
              <w:top w:val="nil"/>
            </w:tcBorders>
            <w:vAlign w:val="center"/>
          </w:tcPr>
          <w:p w14:paraId="4FAA34CE"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4</w:t>
            </w:r>
          </w:p>
        </w:tc>
        <w:tc>
          <w:tcPr>
            <w:tcW w:w="518" w:type="pct"/>
            <w:gridSpan w:val="2"/>
            <w:tcBorders>
              <w:top w:val="nil"/>
            </w:tcBorders>
            <w:vAlign w:val="center"/>
          </w:tcPr>
          <w:p w14:paraId="4FB89BA0"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5</w:t>
            </w:r>
          </w:p>
        </w:tc>
      </w:tr>
      <w:tr w:rsidR="00F572A3" w:rsidRPr="0049396B" w14:paraId="5C981FA2" w14:textId="77777777" w:rsidTr="00EB254E">
        <w:tc>
          <w:tcPr>
            <w:tcW w:w="1178" w:type="pct"/>
            <w:vAlign w:val="center"/>
          </w:tcPr>
          <w:p w14:paraId="77AC7F3C" w14:textId="77777777" w:rsidR="00F572A3" w:rsidRPr="0049396B" w:rsidRDefault="00F572A3" w:rsidP="00EB254E">
            <w:pPr>
              <w:jc w:val="left"/>
              <w:rPr>
                <w:rFonts w:ascii="Arial Narrow" w:hAnsi="Arial Narrow"/>
                <w:sz w:val="20"/>
                <w:szCs w:val="20"/>
              </w:rPr>
            </w:pPr>
            <w:r w:rsidRPr="0049396B">
              <w:rPr>
                <w:rFonts w:ascii="Arial Narrow" w:hAnsi="Arial Narrow"/>
                <w:sz w:val="20"/>
                <w:szCs w:val="20"/>
              </w:rPr>
              <w:t>Between-group comparison</w:t>
            </w:r>
          </w:p>
        </w:tc>
        <w:tc>
          <w:tcPr>
            <w:tcW w:w="943" w:type="pct"/>
            <w:gridSpan w:val="2"/>
            <w:vAlign w:val="center"/>
          </w:tcPr>
          <w:p w14:paraId="2F9A1037"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 xml:space="preserve">p=0.556 (log-rank test), </w:t>
            </w:r>
          </w:p>
          <w:p w14:paraId="446CEBB7"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p=0.482 (generalized Wilcoxon test)f</w:t>
            </w:r>
          </w:p>
        </w:tc>
        <w:tc>
          <w:tcPr>
            <w:tcW w:w="471" w:type="pct"/>
            <w:vAlign w:val="center"/>
          </w:tcPr>
          <w:p w14:paraId="219BAE3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p>
        </w:tc>
        <w:tc>
          <w:tcPr>
            <w:tcW w:w="943" w:type="pct"/>
            <w:gridSpan w:val="2"/>
            <w:vAlign w:val="center"/>
          </w:tcPr>
          <w:p w14:paraId="6C781D12"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 xml:space="preserve">p=0.024 (log-rank test), </w:t>
            </w:r>
          </w:p>
          <w:p w14:paraId="57001D3F"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p=0.024 (generalized Wilcoxon test)</w:t>
            </w:r>
            <w:r w:rsidRPr="0049396B">
              <w:rPr>
                <w:rFonts w:ascii="Arial Narrow" w:hAnsi="Arial Narrow"/>
                <w:b/>
                <w:sz w:val="20"/>
                <w:szCs w:val="20"/>
                <w:vertAlign w:val="superscript"/>
              </w:rPr>
              <w:t>f</w:t>
            </w:r>
          </w:p>
        </w:tc>
        <w:tc>
          <w:tcPr>
            <w:tcW w:w="475" w:type="pct"/>
            <w:vAlign w:val="center"/>
          </w:tcPr>
          <w:p w14:paraId="3A6ECE55"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w:t>
            </w:r>
          </w:p>
        </w:tc>
        <w:tc>
          <w:tcPr>
            <w:tcW w:w="990" w:type="pct"/>
            <w:gridSpan w:val="3"/>
            <w:vAlign w:val="center"/>
          </w:tcPr>
          <w:p w14:paraId="47EE618E"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 xml:space="preserve">p=0.019 (log-rank test), </w:t>
            </w:r>
          </w:p>
          <w:p w14:paraId="1F2153CA" w14:textId="77777777" w:rsidR="00F572A3" w:rsidRPr="0049396B" w:rsidRDefault="00F572A3" w:rsidP="00EB254E">
            <w:pPr>
              <w:jc w:val="center"/>
              <w:rPr>
                <w:rFonts w:ascii="Arial Narrow" w:hAnsi="Arial Narrow"/>
                <w:sz w:val="20"/>
                <w:szCs w:val="20"/>
              </w:rPr>
            </w:pPr>
            <w:r w:rsidRPr="0049396B">
              <w:rPr>
                <w:rFonts w:ascii="Arial Narrow" w:hAnsi="Arial Narrow"/>
                <w:b/>
                <w:sz w:val="20"/>
                <w:szCs w:val="20"/>
              </w:rPr>
              <w:t>p=0.035 (generalized Wilcoxon test)</w:t>
            </w:r>
            <w:r w:rsidRPr="0049396B">
              <w:rPr>
                <w:rFonts w:ascii="Arial Narrow" w:hAnsi="Arial Narrow"/>
                <w:b/>
                <w:sz w:val="20"/>
                <w:szCs w:val="20"/>
                <w:vertAlign w:val="superscript"/>
              </w:rPr>
              <w:t>g</w:t>
            </w:r>
          </w:p>
        </w:tc>
      </w:tr>
      <w:tr w:rsidR="00F572A3" w:rsidRPr="0049396B" w14:paraId="1F1BBEF0" w14:textId="77777777" w:rsidTr="00EB254E">
        <w:tc>
          <w:tcPr>
            <w:tcW w:w="5000" w:type="pct"/>
            <w:gridSpan w:val="10"/>
            <w:vAlign w:val="center"/>
          </w:tcPr>
          <w:p w14:paraId="53026CFB" w14:textId="77777777" w:rsidR="00F572A3" w:rsidRPr="0049396B" w:rsidRDefault="00F572A3" w:rsidP="00EB254E">
            <w:pPr>
              <w:jc w:val="left"/>
              <w:rPr>
                <w:rFonts w:ascii="Arial Narrow" w:hAnsi="Arial Narrow"/>
                <w:b/>
                <w:sz w:val="20"/>
                <w:szCs w:val="20"/>
              </w:rPr>
            </w:pPr>
            <w:r w:rsidRPr="0049396B">
              <w:rPr>
                <w:rFonts w:ascii="Arial Narrow" w:hAnsi="Arial Narrow"/>
                <w:b/>
                <w:sz w:val="20"/>
                <w:szCs w:val="20"/>
              </w:rPr>
              <w:t>%FVC:</w:t>
            </w:r>
            <w:r w:rsidRPr="0049396B">
              <w:t xml:space="preserve"> </w:t>
            </w:r>
            <w:r w:rsidRPr="0049396B">
              <w:rPr>
                <w:rFonts w:ascii="Arial Narrow" w:hAnsi="Arial Narrow"/>
                <w:b/>
                <w:sz w:val="20"/>
                <w:szCs w:val="20"/>
              </w:rPr>
              <w:t>changes from baseline in cycle 1 (Study 19) or cycle 7 (Study 17) to end of cycle 12</w:t>
            </w:r>
          </w:p>
        </w:tc>
      </w:tr>
      <w:tr w:rsidR="00F572A3" w:rsidRPr="0049396B" w14:paraId="5775A1FA" w14:textId="77777777" w:rsidTr="00EB254E">
        <w:tc>
          <w:tcPr>
            <w:tcW w:w="1178" w:type="pct"/>
          </w:tcPr>
          <w:p w14:paraId="0678CA4B" w14:textId="77777777" w:rsidR="00F572A3" w:rsidRPr="0049396B" w:rsidRDefault="00F572A3" w:rsidP="00EB254E">
            <w:pPr>
              <w:rPr>
                <w:rFonts w:ascii="Arial Narrow" w:hAnsi="Arial Narrow"/>
                <w:sz w:val="20"/>
                <w:szCs w:val="20"/>
              </w:rPr>
            </w:pPr>
            <w:r w:rsidRPr="0049396B">
              <w:rPr>
                <w:rFonts w:ascii="Arial Narrow" w:hAnsi="Arial Narrow"/>
                <w:sz w:val="20"/>
                <w:szCs w:val="20"/>
              </w:rPr>
              <w:t xml:space="preserve">End cycle 12, LS mean (SE) </w:t>
            </w:r>
          </w:p>
        </w:tc>
        <w:tc>
          <w:tcPr>
            <w:tcW w:w="471" w:type="pct"/>
            <w:vAlign w:val="center"/>
          </w:tcPr>
          <w:p w14:paraId="62F54F3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-13.33 (2.29)</w:t>
            </w:r>
            <w:r w:rsidRPr="0049396B">
              <w:rPr>
                <w:rFonts w:ascii="Arial Narrow" w:hAnsi="Arial Narrow"/>
                <w:sz w:val="20"/>
                <w:szCs w:val="20"/>
                <w:vertAlign w:val="superscript"/>
              </w:rPr>
              <w:t>d</w:t>
            </w:r>
          </w:p>
        </w:tc>
        <w:tc>
          <w:tcPr>
            <w:tcW w:w="472" w:type="pct"/>
            <w:vAlign w:val="center"/>
          </w:tcPr>
          <w:p w14:paraId="77EC3AF4"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1" w:type="pct"/>
            <w:vAlign w:val="center"/>
          </w:tcPr>
          <w:p w14:paraId="3C9EA444"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-10.15 (2.44)</w:t>
            </w:r>
            <w:r w:rsidRPr="0049396B">
              <w:rPr>
                <w:rFonts w:ascii="Arial Narrow" w:hAnsi="Arial Narrow"/>
                <w:sz w:val="20"/>
                <w:szCs w:val="20"/>
                <w:vertAlign w:val="superscript"/>
              </w:rPr>
              <w:t>d</w:t>
            </w:r>
          </w:p>
        </w:tc>
        <w:tc>
          <w:tcPr>
            <w:tcW w:w="472" w:type="pct"/>
            <w:vAlign w:val="center"/>
          </w:tcPr>
          <w:p w14:paraId="2D10A7D6"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-11.85 (3.36)</w:t>
            </w:r>
            <w:r w:rsidRPr="0049396B">
              <w:rPr>
                <w:rFonts w:ascii="Arial Narrow" w:hAnsi="Arial Narrow"/>
                <w:sz w:val="20"/>
                <w:szCs w:val="20"/>
                <w:vertAlign w:val="superscript"/>
              </w:rPr>
              <w:t>d</w:t>
            </w:r>
          </w:p>
        </w:tc>
        <w:tc>
          <w:tcPr>
            <w:tcW w:w="471" w:type="pct"/>
            <w:vAlign w:val="center"/>
          </w:tcPr>
          <w:p w14:paraId="73037C2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5" w:type="pct"/>
            <w:vAlign w:val="center"/>
          </w:tcPr>
          <w:p w14:paraId="67BDF17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-9.94 (4.50)</w:t>
            </w:r>
            <w:r w:rsidRPr="0049396B">
              <w:rPr>
                <w:rFonts w:ascii="Arial Narrow" w:hAnsi="Arial Narrow"/>
                <w:sz w:val="20"/>
                <w:szCs w:val="20"/>
                <w:vertAlign w:val="superscript"/>
              </w:rPr>
              <w:t>d</w:t>
            </w:r>
          </w:p>
        </w:tc>
        <w:tc>
          <w:tcPr>
            <w:tcW w:w="472" w:type="pct"/>
            <w:vAlign w:val="center"/>
          </w:tcPr>
          <w:p w14:paraId="7CE4C588"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-18.68 (18.96)</w:t>
            </w:r>
            <w:r w:rsidRPr="0049396B">
              <w:rPr>
                <w:rFonts w:ascii="Arial Narrow" w:hAnsi="Arial Narrow"/>
                <w:sz w:val="20"/>
                <w:szCs w:val="20"/>
                <w:vertAlign w:val="superscript"/>
              </w:rPr>
              <w:t>c</w:t>
            </w:r>
          </w:p>
        </w:tc>
        <w:tc>
          <w:tcPr>
            <w:tcW w:w="518" w:type="pct"/>
            <w:gridSpan w:val="2"/>
            <w:vAlign w:val="center"/>
          </w:tcPr>
          <w:p w14:paraId="6F7ADCC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-28.21 (22.55)</w:t>
            </w:r>
            <w:r w:rsidRPr="0049396B">
              <w:rPr>
                <w:rFonts w:ascii="Arial Narrow" w:hAnsi="Arial Narrow"/>
                <w:sz w:val="20"/>
                <w:szCs w:val="20"/>
                <w:vertAlign w:val="superscript"/>
              </w:rPr>
              <w:t>c</w:t>
            </w:r>
          </w:p>
        </w:tc>
      </w:tr>
      <w:tr w:rsidR="00F572A3" w:rsidRPr="0049396B" w14:paraId="6D09E3E6" w14:textId="77777777" w:rsidTr="00EB254E">
        <w:tc>
          <w:tcPr>
            <w:tcW w:w="1178" w:type="pct"/>
          </w:tcPr>
          <w:p w14:paraId="56D3D740" w14:textId="77777777" w:rsidR="00F572A3" w:rsidRPr="0049396B" w:rsidRDefault="00F572A3" w:rsidP="00EB254E">
            <w:pPr>
              <w:ind w:left="170"/>
              <w:rPr>
                <w:rFonts w:ascii="Arial Narrow" w:hAnsi="Arial Narrow"/>
                <w:sz w:val="20"/>
                <w:szCs w:val="20"/>
              </w:rPr>
            </w:pPr>
            <w:r w:rsidRPr="0049396B">
              <w:rPr>
                <w:rFonts w:ascii="Arial Narrow" w:hAnsi="Arial Narrow"/>
                <w:sz w:val="20"/>
                <w:szCs w:val="20"/>
              </w:rPr>
              <w:t>Difference (95%CI) v PBO</w:t>
            </w:r>
          </w:p>
        </w:tc>
        <w:tc>
          <w:tcPr>
            <w:tcW w:w="1414" w:type="pct"/>
            <w:gridSpan w:val="3"/>
            <w:vAlign w:val="center"/>
          </w:tcPr>
          <w:p w14:paraId="17F58D84"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-3.17 (-9.32, 2.97)</w:t>
            </w:r>
            <w:r w:rsidRPr="0049396B">
              <w:rPr>
                <w:rFonts w:ascii="Arial Narrow" w:hAnsi="Arial Narrow"/>
                <w:sz w:val="20"/>
                <w:szCs w:val="20"/>
                <w:vertAlign w:val="superscript"/>
              </w:rPr>
              <w:t>d</w:t>
            </w:r>
          </w:p>
        </w:tc>
        <w:tc>
          <w:tcPr>
            <w:tcW w:w="1418" w:type="pct"/>
            <w:gridSpan w:val="3"/>
            <w:vAlign w:val="center"/>
          </w:tcPr>
          <w:p w14:paraId="4242BD92"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-1.91 (-11.83, 8.00)</w:t>
            </w:r>
            <w:r w:rsidRPr="0049396B">
              <w:rPr>
                <w:rFonts w:ascii="Arial Narrow" w:hAnsi="Arial Narrow"/>
                <w:sz w:val="20"/>
                <w:szCs w:val="20"/>
                <w:vertAlign w:val="superscript"/>
              </w:rPr>
              <w:t>d</w:t>
            </w:r>
          </w:p>
        </w:tc>
        <w:tc>
          <w:tcPr>
            <w:tcW w:w="990" w:type="pct"/>
            <w:gridSpan w:val="3"/>
            <w:vAlign w:val="center"/>
          </w:tcPr>
          <w:p w14:paraId="156F61DC" w14:textId="77777777" w:rsidR="00F572A3" w:rsidRPr="0049396B" w:rsidRDefault="00F572A3" w:rsidP="00EB254E">
            <w:pPr>
              <w:jc w:val="center"/>
              <w:rPr>
                <w:rFonts w:ascii="Arial Narrow" w:hAnsi="Arial Narrow"/>
                <w:sz w:val="20"/>
                <w:szCs w:val="20"/>
              </w:rPr>
            </w:pPr>
            <w:r w:rsidRPr="0049396B">
              <w:rPr>
                <w:rFonts w:ascii="Arial Narrow" w:hAnsi="Arial Narrow"/>
                <w:b/>
                <w:sz w:val="20"/>
                <w:szCs w:val="20"/>
              </w:rPr>
              <w:t>9.53 (2.55, 16.51)^</w:t>
            </w:r>
          </w:p>
        </w:tc>
      </w:tr>
      <w:tr w:rsidR="00F572A3" w:rsidRPr="0049396B" w14:paraId="4CC881AB" w14:textId="77777777" w:rsidTr="00EB254E">
        <w:tc>
          <w:tcPr>
            <w:tcW w:w="5000" w:type="pct"/>
            <w:gridSpan w:val="10"/>
            <w:vAlign w:val="center"/>
          </w:tcPr>
          <w:p w14:paraId="2F78EA7D" w14:textId="77777777" w:rsidR="00F572A3" w:rsidRPr="0049396B" w:rsidRDefault="00F572A3" w:rsidP="00EB254E">
            <w:pPr>
              <w:jc w:val="left"/>
              <w:rPr>
                <w:rFonts w:ascii="Arial Narrow" w:hAnsi="Arial Narrow"/>
                <w:b/>
                <w:sz w:val="20"/>
                <w:szCs w:val="20"/>
              </w:rPr>
            </w:pPr>
            <w:r w:rsidRPr="0049396B">
              <w:rPr>
                <w:rFonts w:ascii="Arial Narrow" w:hAnsi="Arial Narrow"/>
                <w:b/>
                <w:sz w:val="20"/>
                <w:szCs w:val="20"/>
              </w:rPr>
              <w:t>Modified Norris Scale score: changes from baseline in cycle 1 (Study 19) or cycle 7 (Study 17) to end of cycle 12</w:t>
            </w:r>
          </w:p>
        </w:tc>
      </w:tr>
      <w:tr w:rsidR="00F572A3" w:rsidRPr="0049396B" w14:paraId="0E835774" w14:textId="77777777" w:rsidTr="00EB254E">
        <w:tc>
          <w:tcPr>
            <w:tcW w:w="1178" w:type="pct"/>
          </w:tcPr>
          <w:p w14:paraId="4323692B" w14:textId="77777777" w:rsidR="00F572A3" w:rsidRPr="0049396B" w:rsidRDefault="00F572A3" w:rsidP="00EB254E">
            <w:pPr>
              <w:rPr>
                <w:rFonts w:ascii="Arial Narrow" w:hAnsi="Arial Narrow"/>
                <w:sz w:val="20"/>
                <w:szCs w:val="20"/>
              </w:rPr>
            </w:pPr>
            <w:r w:rsidRPr="0049396B">
              <w:rPr>
                <w:rFonts w:ascii="Arial Narrow" w:hAnsi="Arial Narrow"/>
                <w:sz w:val="20"/>
                <w:szCs w:val="20"/>
              </w:rPr>
              <w:t xml:space="preserve">End cycle 12, LS mean (SE) </w:t>
            </w:r>
          </w:p>
        </w:tc>
        <w:tc>
          <w:tcPr>
            <w:tcW w:w="471" w:type="pct"/>
            <w:vAlign w:val="center"/>
          </w:tcPr>
          <w:p w14:paraId="40866D9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-10.84 (1.68)</w:t>
            </w:r>
            <w:r w:rsidRPr="0049396B">
              <w:rPr>
                <w:rFonts w:ascii="Arial Narrow" w:hAnsi="Arial Narrow"/>
                <w:sz w:val="20"/>
                <w:szCs w:val="20"/>
                <w:vertAlign w:val="superscript"/>
              </w:rPr>
              <w:t>d</w:t>
            </w:r>
          </w:p>
        </w:tc>
        <w:tc>
          <w:tcPr>
            <w:tcW w:w="472" w:type="pct"/>
            <w:vAlign w:val="center"/>
          </w:tcPr>
          <w:p w14:paraId="0027F575"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1" w:type="pct"/>
            <w:vAlign w:val="center"/>
          </w:tcPr>
          <w:p w14:paraId="18003FAE"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-14.02 (1.76)</w:t>
            </w:r>
            <w:r w:rsidRPr="0049396B">
              <w:rPr>
                <w:rFonts w:ascii="Arial Narrow" w:hAnsi="Arial Narrow"/>
                <w:sz w:val="20"/>
                <w:szCs w:val="20"/>
                <w:vertAlign w:val="superscript"/>
              </w:rPr>
              <w:t>d</w:t>
            </w:r>
          </w:p>
        </w:tc>
        <w:tc>
          <w:tcPr>
            <w:tcW w:w="472" w:type="pct"/>
            <w:vAlign w:val="center"/>
          </w:tcPr>
          <w:p w14:paraId="5C97B633"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-11.19 (2.45)</w:t>
            </w:r>
            <w:r w:rsidRPr="0049396B">
              <w:rPr>
                <w:rFonts w:ascii="Arial Narrow" w:hAnsi="Arial Narrow"/>
                <w:sz w:val="20"/>
                <w:szCs w:val="20"/>
                <w:vertAlign w:val="superscript"/>
              </w:rPr>
              <w:t>d</w:t>
            </w:r>
          </w:p>
        </w:tc>
        <w:tc>
          <w:tcPr>
            <w:tcW w:w="471" w:type="pct"/>
            <w:vAlign w:val="center"/>
          </w:tcPr>
          <w:p w14:paraId="4335AF6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5" w:type="pct"/>
            <w:vAlign w:val="center"/>
          </w:tcPr>
          <w:p w14:paraId="7D95FB05"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-19.20 (3.22)</w:t>
            </w:r>
            <w:r w:rsidRPr="0049396B">
              <w:rPr>
                <w:rFonts w:ascii="Arial Narrow" w:hAnsi="Arial Narrow"/>
                <w:sz w:val="20"/>
                <w:szCs w:val="20"/>
                <w:vertAlign w:val="superscript"/>
              </w:rPr>
              <w:t>d</w:t>
            </w:r>
          </w:p>
        </w:tc>
        <w:tc>
          <w:tcPr>
            <w:tcW w:w="472" w:type="pct"/>
            <w:vAlign w:val="center"/>
          </w:tcPr>
          <w:p w14:paraId="7DCBE666"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-20.4 (15.5)</w:t>
            </w:r>
            <w:r w:rsidRPr="0049396B">
              <w:rPr>
                <w:rFonts w:ascii="Arial Narrow" w:hAnsi="Arial Narrow"/>
                <w:sz w:val="20"/>
                <w:szCs w:val="20"/>
                <w:vertAlign w:val="superscript"/>
              </w:rPr>
              <w:t>c</w:t>
            </w:r>
          </w:p>
        </w:tc>
        <w:tc>
          <w:tcPr>
            <w:tcW w:w="518" w:type="pct"/>
            <w:gridSpan w:val="2"/>
            <w:vAlign w:val="center"/>
          </w:tcPr>
          <w:p w14:paraId="1252D35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-30.0 (21.6)</w:t>
            </w:r>
            <w:r w:rsidRPr="0049396B">
              <w:rPr>
                <w:rFonts w:ascii="Arial Narrow" w:hAnsi="Arial Narrow"/>
                <w:sz w:val="20"/>
                <w:szCs w:val="20"/>
                <w:vertAlign w:val="superscript"/>
              </w:rPr>
              <w:t>c</w:t>
            </w:r>
          </w:p>
        </w:tc>
      </w:tr>
      <w:tr w:rsidR="00F572A3" w:rsidRPr="0049396B" w14:paraId="7A48E890" w14:textId="77777777" w:rsidTr="00EB254E">
        <w:tc>
          <w:tcPr>
            <w:tcW w:w="1178" w:type="pct"/>
          </w:tcPr>
          <w:p w14:paraId="5FBEA740" w14:textId="77777777" w:rsidR="00F572A3" w:rsidRPr="0049396B" w:rsidRDefault="00F572A3" w:rsidP="00EB254E">
            <w:pPr>
              <w:ind w:left="170"/>
              <w:rPr>
                <w:rFonts w:ascii="Arial Narrow" w:hAnsi="Arial Narrow"/>
                <w:sz w:val="20"/>
                <w:szCs w:val="20"/>
              </w:rPr>
            </w:pPr>
            <w:r w:rsidRPr="0049396B">
              <w:rPr>
                <w:rFonts w:ascii="Arial Narrow" w:hAnsi="Arial Narrow"/>
                <w:sz w:val="20"/>
                <w:szCs w:val="20"/>
              </w:rPr>
              <w:t>Difference (95%CI) v PBO</w:t>
            </w:r>
          </w:p>
        </w:tc>
        <w:tc>
          <w:tcPr>
            <w:tcW w:w="1414" w:type="pct"/>
            <w:gridSpan w:val="3"/>
            <w:vAlign w:val="center"/>
          </w:tcPr>
          <w:p w14:paraId="30231F3D"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3.19 (-1.32, 7.69)</w:t>
            </w:r>
            <w:r w:rsidRPr="0049396B">
              <w:rPr>
                <w:rFonts w:ascii="Arial Narrow" w:hAnsi="Arial Narrow"/>
                <w:sz w:val="20"/>
                <w:szCs w:val="20"/>
                <w:vertAlign w:val="superscript"/>
              </w:rPr>
              <w:t>d</w:t>
            </w:r>
          </w:p>
        </w:tc>
        <w:tc>
          <w:tcPr>
            <w:tcW w:w="1418" w:type="pct"/>
            <w:gridSpan w:val="3"/>
            <w:vAlign w:val="center"/>
          </w:tcPr>
          <w:p w14:paraId="4E722A98" w14:textId="77777777" w:rsidR="00F572A3" w:rsidRPr="0049396B" w:rsidRDefault="00F572A3" w:rsidP="00EB254E">
            <w:pPr>
              <w:jc w:val="center"/>
              <w:rPr>
                <w:rFonts w:ascii="Arial Narrow" w:hAnsi="Arial Narrow"/>
                <w:sz w:val="20"/>
                <w:szCs w:val="20"/>
              </w:rPr>
            </w:pPr>
            <w:r w:rsidRPr="0049396B">
              <w:rPr>
                <w:rFonts w:ascii="Arial Narrow" w:hAnsi="Arial Narrow"/>
                <w:b/>
                <w:sz w:val="20"/>
                <w:szCs w:val="20"/>
              </w:rPr>
              <w:t>8.01 (0.73, 15.29)</w:t>
            </w:r>
            <w:r w:rsidRPr="0049396B">
              <w:rPr>
                <w:rFonts w:ascii="Arial Narrow" w:hAnsi="Arial Narrow"/>
                <w:b/>
                <w:sz w:val="20"/>
                <w:szCs w:val="20"/>
                <w:vertAlign w:val="superscript"/>
              </w:rPr>
              <w:t>d</w:t>
            </w:r>
          </w:p>
        </w:tc>
        <w:tc>
          <w:tcPr>
            <w:tcW w:w="990" w:type="pct"/>
            <w:gridSpan w:val="3"/>
            <w:vAlign w:val="center"/>
          </w:tcPr>
          <w:p w14:paraId="0CD8F558" w14:textId="77777777" w:rsidR="00F572A3" w:rsidRPr="0049396B" w:rsidRDefault="00F572A3" w:rsidP="00EB254E">
            <w:pPr>
              <w:jc w:val="center"/>
              <w:rPr>
                <w:rFonts w:ascii="Arial Narrow" w:hAnsi="Arial Narrow"/>
                <w:b/>
                <w:sz w:val="20"/>
                <w:szCs w:val="20"/>
              </w:rPr>
            </w:pPr>
            <w:r w:rsidRPr="0049396B">
              <w:rPr>
                <w:rFonts w:ascii="Arial Narrow" w:hAnsi="Arial Narrow"/>
                <w:b/>
                <w:sz w:val="20"/>
                <w:szCs w:val="20"/>
              </w:rPr>
              <w:t>9.60 (3.30, 15.90)^</w:t>
            </w:r>
          </w:p>
        </w:tc>
      </w:tr>
      <w:tr w:rsidR="00F572A3" w:rsidRPr="0049396B" w14:paraId="05E6D472" w14:textId="77777777" w:rsidTr="00EB254E">
        <w:tc>
          <w:tcPr>
            <w:tcW w:w="5000" w:type="pct"/>
            <w:gridSpan w:val="10"/>
            <w:vAlign w:val="center"/>
          </w:tcPr>
          <w:p w14:paraId="5A0ED3F9" w14:textId="77777777" w:rsidR="00F572A3" w:rsidRPr="0049396B" w:rsidRDefault="00F572A3" w:rsidP="00EB254E">
            <w:pPr>
              <w:jc w:val="left"/>
              <w:rPr>
                <w:rFonts w:ascii="Arial Narrow" w:hAnsi="Arial Narrow"/>
                <w:b/>
                <w:sz w:val="20"/>
                <w:szCs w:val="20"/>
              </w:rPr>
            </w:pPr>
            <w:r w:rsidRPr="0049396B">
              <w:rPr>
                <w:rFonts w:ascii="Arial Narrow" w:hAnsi="Arial Narrow"/>
                <w:b/>
                <w:sz w:val="20"/>
                <w:szCs w:val="20"/>
              </w:rPr>
              <w:t>ALSAQ-40:</w:t>
            </w:r>
            <w:r w:rsidRPr="0049396B">
              <w:t xml:space="preserve"> </w:t>
            </w:r>
            <w:r w:rsidRPr="0049396B">
              <w:rPr>
                <w:rFonts w:ascii="Arial Narrow" w:hAnsi="Arial Narrow"/>
                <w:b/>
                <w:sz w:val="20"/>
                <w:szCs w:val="20"/>
              </w:rPr>
              <w:t>changes from baseline in cycle 1 (Study 19) or cycle 7 (Study 17) to end of cycle 12</w:t>
            </w:r>
          </w:p>
        </w:tc>
      </w:tr>
      <w:tr w:rsidR="00F572A3" w:rsidRPr="0049396B" w14:paraId="6886E144" w14:textId="77777777" w:rsidTr="00EB254E">
        <w:tc>
          <w:tcPr>
            <w:tcW w:w="1178" w:type="pct"/>
          </w:tcPr>
          <w:p w14:paraId="0370DCDB" w14:textId="77777777" w:rsidR="00F572A3" w:rsidRPr="0049396B" w:rsidRDefault="00F572A3" w:rsidP="00EB254E">
            <w:pPr>
              <w:rPr>
                <w:rFonts w:ascii="Arial Narrow" w:hAnsi="Arial Narrow"/>
                <w:sz w:val="20"/>
                <w:szCs w:val="20"/>
              </w:rPr>
            </w:pPr>
            <w:r w:rsidRPr="0049396B">
              <w:rPr>
                <w:rFonts w:ascii="Arial Narrow" w:hAnsi="Arial Narrow"/>
                <w:sz w:val="20"/>
                <w:szCs w:val="20"/>
              </w:rPr>
              <w:t xml:space="preserve">End cycle 12, LS mean (SE) </w:t>
            </w:r>
          </w:p>
        </w:tc>
        <w:tc>
          <w:tcPr>
            <w:tcW w:w="471" w:type="pct"/>
            <w:vAlign w:val="center"/>
          </w:tcPr>
          <w:p w14:paraId="1BD55CF5"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13.54 (2.89)</w:t>
            </w:r>
            <w:r w:rsidRPr="0049396B">
              <w:rPr>
                <w:rFonts w:ascii="Arial Narrow" w:hAnsi="Arial Narrow"/>
                <w:sz w:val="20"/>
                <w:szCs w:val="20"/>
                <w:vertAlign w:val="superscript"/>
              </w:rPr>
              <w:t>d</w:t>
            </w:r>
          </w:p>
        </w:tc>
        <w:tc>
          <w:tcPr>
            <w:tcW w:w="472" w:type="pct"/>
            <w:vAlign w:val="center"/>
          </w:tcPr>
          <w:p w14:paraId="635BDA9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1" w:type="pct"/>
            <w:vAlign w:val="center"/>
          </w:tcPr>
          <w:p w14:paraId="55DE173E"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18.99 (3.03)</w:t>
            </w:r>
            <w:r w:rsidRPr="0049396B">
              <w:rPr>
                <w:rFonts w:ascii="Arial Narrow" w:hAnsi="Arial Narrow"/>
                <w:sz w:val="20"/>
                <w:szCs w:val="20"/>
                <w:vertAlign w:val="superscript"/>
              </w:rPr>
              <w:t>d</w:t>
            </w:r>
          </w:p>
        </w:tc>
        <w:tc>
          <w:tcPr>
            <w:tcW w:w="472" w:type="pct"/>
            <w:vAlign w:val="center"/>
          </w:tcPr>
          <w:p w14:paraId="442E826F"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14.80 (4.63)</w:t>
            </w:r>
            <w:r w:rsidRPr="0049396B">
              <w:rPr>
                <w:rFonts w:ascii="Arial Narrow" w:hAnsi="Arial Narrow"/>
                <w:sz w:val="20"/>
                <w:szCs w:val="20"/>
                <w:vertAlign w:val="superscript"/>
              </w:rPr>
              <w:t>d</w:t>
            </w:r>
          </w:p>
        </w:tc>
        <w:tc>
          <w:tcPr>
            <w:tcW w:w="471" w:type="pct"/>
            <w:vAlign w:val="center"/>
          </w:tcPr>
          <w:p w14:paraId="474EBF28"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NR</w:t>
            </w:r>
          </w:p>
        </w:tc>
        <w:tc>
          <w:tcPr>
            <w:tcW w:w="475" w:type="pct"/>
            <w:vAlign w:val="center"/>
          </w:tcPr>
          <w:p w14:paraId="33082B69"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17.64 (6.08)</w:t>
            </w:r>
            <w:r w:rsidRPr="0049396B">
              <w:rPr>
                <w:rFonts w:ascii="Arial Narrow" w:hAnsi="Arial Narrow"/>
                <w:sz w:val="20"/>
                <w:szCs w:val="20"/>
                <w:vertAlign w:val="superscript"/>
              </w:rPr>
              <w:t>d</w:t>
            </w:r>
          </w:p>
        </w:tc>
        <w:tc>
          <w:tcPr>
            <w:tcW w:w="472" w:type="pct"/>
            <w:vAlign w:val="center"/>
          </w:tcPr>
          <w:p w14:paraId="5B7638BB"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29.9 (22.2)</w:t>
            </w:r>
            <w:r w:rsidRPr="0049396B">
              <w:rPr>
                <w:rFonts w:ascii="Arial Narrow" w:hAnsi="Arial Narrow"/>
                <w:sz w:val="20"/>
                <w:szCs w:val="20"/>
                <w:vertAlign w:val="superscript"/>
              </w:rPr>
              <w:t>c</w:t>
            </w:r>
          </w:p>
        </w:tc>
        <w:tc>
          <w:tcPr>
            <w:tcW w:w="518" w:type="pct"/>
            <w:gridSpan w:val="2"/>
            <w:vAlign w:val="center"/>
          </w:tcPr>
          <w:p w14:paraId="616B32C0"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39.5 (21.6)</w:t>
            </w:r>
            <w:r w:rsidRPr="0049396B">
              <w:rPr>
                <w:rFonts w:ascii="Arial Narrow" w:hAnsi="Arial Narrow"/>
                <w:sz w:val="20"/>
                <w:szCs w:val="20"/>
                <w:vertAlign w:val="superscript"/>
              </w:rPr>
              <w:t>c</w:t>
            </w:r>
          </w:p>
        </w:tc>
      </w:tr>
      <w:tr w:rsidR="00F572A3" w:rsidRPr="0049396B" w14:paraId="580C104F" w14:textId="77777777" w:rsidTr="00EB254E">
        <w:tc>
          <w:tcPr>
            <w:tcW w:w="1178" w:type="pct"/>
          </w:tcPr>
          <w:p w14:paraId="197CCEAA" w14:textId="77777777" w:rsidR="00F572A3" w:rsidRPr="0049396B" w:rsidRDefault="00F572A3" w:rsidP="00EB254E">
            <w:pPr>
              <w:ind w:left="170"/>
              <w:rPr>
                <w:rFonts w:ascii="Arial Narrow" w:hAnsi="Arial Narrow"/>
                <w:sz w:val="20"/>
                <w:szCs w:val="20"/>
              </w:rPr>
            </w:pPr>
            <w:r w:rsidRPr="0049396B">
              <w:rPr>
                <w:rFonts w:ascii="Arial Narrow" w:hAnsi="Arial Narrow"/>
                <w:sz w:val="20"/>
                <w:szCs w:val="20"/>
              </w:rPr>
              <w:t>Difference (95%CI) v PBO</w:t>
            </w:r>
          </w:p>
        </w:tc>
        <w:tc>
          <w:tcPr>
            <w:tcW w:w="1414" w:type="pct"/>
            <w:gridSpan w:val="3"/>
            <w:vAlign w:val="center"/>
          </w:tcPr>
          <w:p w14:paraId="641104E1"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-5.45 (-13.19, 2.29)</w:t>
            </w:r>
            <w:r w:rsidRPr="0049396B">
              <w:rPr>
                <w:rFonts w:ascii="Arial Narrow" w:hAnsi="Arial Narrow"/>
                <w:sz w:val="20"/>
                <w:szCs w:val="20"/>
                <w:vertAlign w:val="superscript"/>
              </w:rPr>
              <w:t>d</w:t>
            </w:r>
          </w:p>
        </w:tc>
        <w:tc>
          <w:tcPr>
            <w:tcW w:w="1418" w:type="pct"/>
            <w:gridSpan w:val="3"/>
            <w:vAlign w:val="center"/>
          </w:tcPr>
          <w:p w14:paraId="7BF5239F" w14:textId="77777777" w:rsidR="00F572A3" w:rsidRPr="0049396B" w:rsidRDefault="00F572A3" w:rsidP="00EB254E">
            <w:pPr>
              <w:jc w:val="center"/>
              <w:rPr>
                <w:rFonts w:ascii="Arial Narrow" w:hAnsi="Arial Narrow"/>
                <w:sz w:val="20"/>
                <w:szCs w:val="20"/>
              </w:rPr>
            </w:pPr>
            <w:r w:rsidRPr="0049396B">
              <w:rPr>
                <w:rFonts w:ascii="Arial Narrow" w:hAnsi="Arial Narrow"/>
                <w:sz w:val="20"/>
                <w:szCs w:val="20"/>
              </w:rPr>
              <w:t>-2.84 (-16.61, 10.93)</w:t>
            </w:r>
            <w:r w:rsidRPr="0049396B">
              <w:rPr>
                <w:rFonts w:ascii="Arial Narrow" w:hAnsi="Arial Narrow"/>
                <w:sz w:val="20"/>
                <w:szCs w:val="20"/>
                <w:vertAlign w:val="superscript"/>
              </w:rPr>
              <w:t>d</w:t>
            </w:r>
          </w:p>
        </w:tc>
        <w:tc>
          <w:tcPr>
            <w:tcW w:w="990" w:type="pct"/>
            <w:gridSpan w:val="3"/>
            <w:vAlign w:val="center"/>
          </w:tcPr>
          <w:p w14:paraId="06647C95" w14:textId="77777777" w:rsidR="00F572A3" w:rsidRPr="0049396B" w:rsidRDefault="00F572A3" w:rsidP="00EB254E">
            <w:pPr>
              <w:jc w:val="center"/>
              <w:rPr>
                <w:rFonts w:ascii="Arial Narrow" w:hAnsi="Arial Narrow"/>
                <w:sz w:val="20"/>
                <w:szCs w:val="20"/>
              </w:rPr>
            </w:pPr>
            <w:r w:rsidRPr="0049396B">
              <w:rPr>
                <w:rFonts w:ascii="Arial Narrow" w:hAnsi="Arial Narrow"/>
                <w:b/>
                <w:sz w:val="20"/>
                <w:szCs w:val="20"/>
              </w:rPr>
              <w:t>-9.60 (-16.93, -2.27)^</w:t>
            </w:r>
          </w:p>
        </w:tc>
      </w:tr>
    </w:tbl>
    <w:p w14:paraId="61DA78AB"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Source: Table 2-39, p110, Table 2-45, p124, of the submission, Table 11.4.1.2-8, p166, Table 11.4.1.2-11, p172, Table 11.4.1.2-12, p174 of Mitsubishi 2016 – Study 19 CSR, Table 3, The Writing Group (Study 17) 2017, Table 4, Takahashi 2017.</w:t>
      </w:r>
    </w:p>
    <w:p w14:paraId="15542D63" w14:textId="77777777" w:rsidR="00F572A3" w:rsidRPr="0049396B" w:rsidRDefault="00F572A3" w:rsidP="00F572A3">
      <w:pPr>
        <w:rPr>
          <w:rFonts w:ascii="Arial Narrow" w:hAnsi="Arial Narrow"/>
          <w:sz w:val="18"/>
          <w:szCs w:val="18"/>
        </w:rPr>
      </w:pPr>
      <w:r w:rsidRPr="0049396B">
        <w:rPr>
          <w:rFonts w:ascii="Arial Narrow" w:hAnsi="Arial Narrow"/>
          <w:bCs/>
          <w:sz w:val="18"/>
          <w:szCs w:val="18"/>
        </w:rPr>
        <w:t>Bold</w:t>
      </w:r>
      <w:r w:rsidRPr="0049396B">
        <w:rPr>
          <w:rFonts w:ascii="Arial Narrow" w:hAnsi="Arial Narrow"/>
          <w:sz w:val="18"/>
          <w:szCs w:val="18"/>
        </w:rPr>
        <w:t xml:space="preserve"> text indicates statistical significance.</w:t>
      </w:r>
    </w:p>
    <w:p w14:paraId="595DECB4"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ALS=amyotrophic lateral sclerosis; ALSAQ-40=ALS Assessment Questionnaire; ALSFRS-R=ALS functional rating scale – revised; ANCOVA=analysis of covariance (using factors in randomisation dynamic allocation as covariates); ANOVA=analysis of variance; CI=confidence interval; dpEESP2y=definite probably efficacy expected sub-population with ALS onset &lt;2 years; EDA=edaravone; FVC=forced vital capacity; ITT=intention to treat; LOCF=last observation carried forward; LS=least squares; PBO=placebo;</w:t>
      </w:r>
    </w:p>
    <w:p w14:paraId="034EA902"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Note: dpEESP2y defined as patients with a diagnosis of ‘definite’ or ‘probable’ ALS and within two years of initial ALS symptom onset in efficacy expected subpopulation (FVC ≥80% and ALSFRS-R ≥2 on all individual items).</w:t>
      </w:r>
    </w:p>
    <w:p w14:paraId="7BB66F9D"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w:t>
      </w:r>
      <w:r w:rsidRPr="0049396B">
        <w:rPr>
          <w:rFonts w:ascii="Arial Narrow" w:hAnsi="Arial Narrow"/>
          <w:sz w:val="18"/>
          <w:szCs w:val="18"/>
        </w:rPr>
        <w:tab/>
        <w:t>Evaluated during the evaluation using RevMan v5.4.1.</w:t>
      </w:r>
    </w:p>
    <w:p w14:paraId="20E4DB97"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w:t>
      </w:r>
      <w:r w:rsidRPr="0049396B">
        <w:rPr>
          <w:rFonts w:ascii="Arial Narrow" w:hAnsi="Arial Narrow"/>
          <w:sz w:val="18"/>
          <w:szCs w:val="18"/>
        </w:rPr>
        <w:tab/>
        <w:t>post hoc analysis.</w:t>
      </w:r>
    </w:p>
    <w:p w14:paraId="06C8FC83" w14:textId="77777777" w:rsidR="00F572A3" w:rsidRPr="0049396B" w:rsidRDefault="00F572A3" w:rsidP="00F572A3">
      <w:pPr>
        <w:ind w:left="170" w:hanging="170"/>
        <w:rPr>
          <w:rFonts w:ascii="Arial Narrow" w:hAnsi="Arial Narrow"/>
          <w:sz w:val="18"/>
          <w:szCs w:val="18"/>
        </w:rPr>
      </w:pPr>
      <w:r w:rsidRPr="0049396B">
        <w:rPr>
          <w:rFonts w:ascii="Arial Narrow" w:hAnsi="Arial Narrow"/>
          <w:sz w:val="18"/>
          <w:szCs w:val="18"/>
        </w:rPr>
        <w:t>a</w:t>
      </w:r>
      <w:r w:rsidRPr="0049396B">
        <w:rPr>
          <w:rFonts w:ascii="Arial Narrow" w:hAnsi="Arial Narrow"/>
          <w:sz w:val="18"/>
          <w:szCs w:val="18"/>
        </w:rPr>
        <w:tab/>
        <w:t>ANCOVA LOCF analysis for patients who completed Cycle 9. Factors used in the dynamic randomisation for each study were used as fixed effects in the ANCOVA.</w:t>
      </w:r>
    </w:p>
    <w:p w14:paraId="678BDA18"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b</w:t>
      </w:r>
      <w:r w:rsidRPr="0049396B">
        <w:rPr>
          <w:rFonts w:ascii="Arial Narrow" w:hAnsi="Arial Narrow"/>
          <w:sz w:val="18"/>
          <w:szCs w:val="18"/>
        </w:rPr>
        <w:tab/>
        <w:t>‘Loss of useful speech’ was not included as an event in Study 16.</w:t>
      </w:r>
    </w:p>
    <w:p w14:paraId="7B3AC6DF"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c</w:t>
      </w:r>
      <w:r w:rsidRPr="0049396B">
        <w:rPr>
          <w:rFonts w:ascii="Arial Narrow" w:hAnsi="Arial Narrow"/>
          <w:sz w:val="18"/>
          <w:szCs w:val="18"/>
        </w:rPr>
        <w:tab/>
        <w:t>Reported as summary statistics for mean (SD) change from baseline in cycle 1 at end of cycle 12.</w:t>
      </w:r>
    </w:p>
    <w:p w14:paraId="18EC5864" w14:textId="77777777" w:rsidR="00F572A3" w:rsidRPr="0049396B" w:rsidRDefault="00F572A3" w:rsidP="00F572A3">
      <w:pPr>
        <w:ind w:left="170" w:hanging="170"/>
        <w:rPr>
          <w:rFonts w:ascii="Arial Narrow" w:hAnsi="Arial Narrow"/>
          <w:sz w:val="18"/>
          <w:szCs w:val="18"/>
        </w:rPr>
      </w:pPr>
      <w:r w:rsidRPr="0049396B">
        <w:rPr>
          <w:rFonts w:ascii="Arial Narrow" w:hAnsi="Arial Narrow"/>
          <w:sz w:val="18"/>
          <w:szCs w:val="18"/>
        </w:rPr>
        <w:lastRenderedPageBreak/>
        <w:t>d</w:t>
      </w:r>
      <w:r w:rsidRPr="0049396B">
        <w:rPr>
          <w:rFonts w:ascii="Arial Narrow" w:hAnsi="Arial Narrow"/>
          <w:sz w:val="18"/>
          <w:szCs w:val="18"/>
        </w:rPr>
        <w:tab/>
        <w:t>Reported as change from baseline in cycle 7 to the end of cycle 12 (or discontinuation, LOCF). LOCF used for patients who completed cycle 9 (patients who reached 249 day from baseline in cycle 1). Inter-group difference in LS mean change reported only for EDA-EDA vs EDA-PBO group.</w:t>
      </w:r>
    </w:p>
    <w:p w14:paraId="3E07C613" w14:textId="77777777" w:rsidR="00F572A3" w:rsidRPr="0049396B" w:rsidRDefault="00F572A3" w:rsidP="00F572A3">
      <w:pPr>
        <w:ind w:left="170" w:hanging="170"/>
        <w:rPr>
          <w:rFonts w:ascii="Arial Narrow" w:hAnsi="Arial Narrow"/>
          <w:sz w:val="18"/>
          <w:szCs w:val="18"/>
        </w:rPr>
      </w:pPr>
      <w:r w:rsidRPr="0049396B">
        <w:rPr>
          <w:rFonts w:ascii="Arial Narrow" w:hAnsi="Arial Narrow"/>
          <w:sz w:val="18"/>
          <w:szCs w:val="18"/>
        </w:rPr>
        <w:t>e</w:t>
      </w:r>
      <w:r w:rsidRPr="0049396B">
        <w:rPr>
          <w:rFonts w:ascii="Arial Narrow" w:hAnsi="Arial Narrow"/>
          <w:sz w:val="18"/>
          <w:szCs w:val="18"/>
        </w:rPr>
        <w:tab/>
        <w:t>Patients with multiple events occurred are counted only once under the event that first occurred.</w:t>
      </w:r>
    </w:p>
    <w:p w14:paraId="4B46A742" w14:textId="77777777" w:rsidR="00F572A3" w:rsidRPr="0049396B" w:rsidRDefault="00F572A3" w:rsidP="00F572A3">
      <w:pPr>
        <w:ind w:left="170" w:hanging="170"/>
        <w:rPr>
          <w:rFonts w:ascii="Arial Narrow" w:hAnsi="Arial Narrow"/>
          <w:sz w:val="18"/>
          <w:szCs w:val="18"/>
        </w:rPr>
      </w:pPr>
      <w:r w:rsidRPr="0049396B">
        <w:rPr>
          <w:rFonts w:ascii="Arial Narrow" w:hAnsi="Arial Narrow"/>
          <w:sz w:val="18"/>
          <w:szCs w:val="18"/>
        </w:rPr>
        <w:t>f</w:t>
      </w:r>
      <w:r w:rsidRPr="0049396B">
        <w:rPr>
          <w:rFonts w:ascii="Arial Narrow" w:hAnsi="Arial Narrow"/>
          <w:sz w:val="18"/>
          <w:szCs w:val="18"/>
        </w:rPr>
        <w:tab/>
        <w:t>Analysis of time to death or specified state of disease progression used the stratified log-rank test and stratified generalised Wilcoxon test with change in ALSFRS-R score during the pre-observation period as stratification factor (other discontinuations were censored).</w:t>
      </w:r>
    </w:p>
    <w:p w14:paraId="708B7F71" w14:textId="77777777" w:rsidR="00F572A3" w:rsidRPr="0049396B" w:rsidRDefault="00F572A3" w:rsidP="000D2EDC">
      <w:pPr>
        <w:spacing w:after="120"/>
        <w:ind w:left="170" w:hanging="170"/>
        <w:rPr>
          <w:rFonts w:ascii="Arial Narrow" w:hAnsi="Arial Narrow"/>
          <w:sz w:val="18"/>
          <w:szCs w:val="18"/>
        </w:rPr>
      </w:pPr>
      <w:r w:rsidRPr="0049396B">
        <w:rPr>
          <w:rFonts w:ascii="Arial Narrow" w:hAnsi="Arial Narrow"/>
          <w:sz w:val="18"/>
          <w:szCs w:val="18"/>
        </w:rPr>
        <w:t>g</w:t>
      </w:r>
      <w:r w:rsidRPr="0049396B">
        <w:rPr>
          <w:rFonts w:ascii="Arial Narrow" w:hAnsi="Arial Narrow"/>
          <w:sz w:val="18"/>
          <w:szCs w:val="18"/>
        </w:rPr>
        <w:tab/>
        <w:t>Analysis of time to death or specified state of disease progression included Kaplan-Meier plot, log-rank test and generalised Wilcoxon test. The censoring date was date of the end of observation for patients without an event (for patients who did not participate in extension period, it was end of cycle 6; for patients who completed extension period, it was end of cycle 12; and for patients who discontinued, at 2 weeks after the last dose). The analysis was performed for events that occurred during cycles 1-12.</w:t>
      </w:r>
    </w:p>
    <w:p w14:paraId="07132CEC" w14:textId="760BC509" w:rsidR="00F572A3" w:rsidRPr="0049396B" w:rsidRDefault="00F572A3" w:rsidP="00F572A3">
      <w:pPr>
        <w:pStyle w:val="3-BodyText"/>
        <w:rPr>
          <w:iCs/>
        </w:rPr>
      </w:pPr>
      <w:r w:rsidRPr="00A10D6F">
        <w:rPr>
          <w:b/>
          <w:bCs/>
          <w:iCs/>
        </w:rPr>
        <w:t>ALSFRS-R score:</w:t>
      </w:r>
      <w:r w:rsidRPr="0049396B">
        <w:rPr>
          <w:iCs/>
        </w:rPr>
        <w:t xml:space="preserve"> For dpEESP2y patients in Study 16/17 (post hoc subgroup) and Study 19 (ITT population), there was a smaller decline from baseline in ALSFRS-R score for patients randomised to edaravone compared to placebo at cycle 6 and maintained to cycle 12. The submission described the rate of decline in the ALSFRS-R score at cycle 6 of 40% in post hoc Study 16 and 33% in Study 19 as clinically meaningful based on MCID of &gt;20% reduced rate of decline on ALSFRS-R score. </w:t>
      </w:r>
      <w:r w:rsidR="00E000C3" w:rsidRPr="0049396B">
        <w:t>The ESC noted that for the change in ALSFRS-R score, the difference between patients treated with edaravone and placebo was small</w:t>
      </w:r>
      <w:r w:rsidR="00F613D6" w:rsidRPr="0049396B">
        <w:t xml:space="preserve"> (2.49 in Study 19)</w:t>
      </w:r>
      <w:r w:rsidR="00E000C3" w:rsidRPr="0049396B">
        <w:t>. Based on the minimally important difference reported in a clinical cohort study of 3.24 points (Fournier 2023</w:t>
      </w:r>
      <w:r w:rsidR="00E000C3" w:rsidRPr="0049396B">
        <w:rPr>
          <w:rStyle w:val="FootnoteReference"/>
        </w:rPr>
        <w:footnoteReference w:id="17"/>
      </w:r>
      <w:r w:rsidR="00E000C3" w:rsidRPr="0049396B">
        <w:t>), the ESC considered that the difference may not be clinically significant.</w:t>
      </w:r>
      <w:r w:rsidR="008500DF" w:rsidRPr="0049396B">
        <w:t xml:space="preserve"> The </w:t>
      </w:r>
      <w:r w:rsidR="00F25574">
        <w:t>p</w:t>
      </w:r>
      <w:r w:rsidR="008500DF" w:rsidRPr="0049396B">
        <w:t>re-PBAC response argued that the cohort in Fournier (2023) was very different from the trial population and therefore the MCID was not applicable to Study 19</w:t>
      </w:r>
      <w:r w:rsidR="0049396B">
        <w:t xml:space="preserve">. </w:t>
      </w:r>
      <w:r w:rsidRPr="0049396B">
        <w:rPr>
          <w:iCs/>
        </w:rPr>
        <w:t xml:space="preserve">In the extension Study 17, the slopes of time-dependent change in ALSFRS-R (per cycle) between cycles 7-12 showed a separation between EDA-EDA and EDA-PBO indicating that the rate of decline in ALSFRS-R was maintained with ongoing treatment of edaravone. Patients </w:t>
      </w:r>
      <w:r w:rsidR="00E000C3" w:rsidRPr="0049396B">
        <w:rPr>
          <w:iCs/>
        </w:rPr>
        <w:t xml:space="preserve">who </w:t>
      </w:r>
      <w:r w:rsidRPr="0049396B">
        <w:rPr>
          <w:iCs/>
        </w:rPr>
        <w:t>switched to PBO-EDA also showed a small improvement in</w:t>
      </w:r>
      <w:r w:rsidR="001F5955" w:rsidRPr="0049396B">
        <w:rPr>
          <w:iCs/>
        </w:rPr>
        <w:t xml:space="preserve"> the rate of decline in</w:t>
      </w:r>
      <w:r w:rsidRPr="0049396B">
        <w:rPr>
          <w:iCs/>
        </w:rPr>
        <w:t xml:space="preserve"> ALSFRS-R score from cycle 7 to cycle 12, indicating that earlier initiation of edaravone resulted in greater improvement (smaller decline) in ALSFRS-R. In the broader ITT population of Study 16/17, there was no difference between edaravone and placebo in the change in ALSFRS-R score from baseline to cycle 6 or cycle 12.</w:t>
      </w:r>
      <w:r w:rsidR="00E000C3" w:rsidRPr="0049396B">
        <w:rPr>
          <w:iCs/>
        </w:rPr>
        <w:t xml:space="preserve"> </w:t>
      </w:r>
    </w:p>
    <w:p w14:paraId="05AF09EB" w14:textId="2C553F2C" w:rsidR="00F572A3" w:rsidRPr="0049396B" w:rsidRDefault="00F572A3" w:rsidP="00F572A3">
      <w:pPr>
        <w:pStyle w:val="3-BodyText"/>
        <w:rPr>
          <w:iCs/>
        </w:rPr>
      </w:pPr>
      <w:r w:rsidRPr="00A10D6F">
        <w:rPr>
          <w:b/>
          <w:bCs/>
          <w:iCs/>
        </w:rPr>
        <w:t>Time to death or certain disease progression:</w:t>
      </w:r>
      <w:r w:rsidRPr="0049396B">
        <w:rPr>
          <w:iCs/>
        </w:rPr>
        <w:t xml:space="preserve"> Across the trials, there was no survival benefit demonstrated for edaravone compared to placebo at any time point and the number of deaths were </w:t>
      </w:r>
      <w:r w:rsidR="00E0690D" w:rsidRPr="0049396B">
        <w:rPr>
          <w:iCs/>
        </w:rPr>
        <w:t>zero</w:t>
      </w:r>
      <w:r w:rsidRPr="0049396B">
        <w:rPr>
          <w:iCs/>
        </w:rPr>
        <w:t xml:space="preserve"> or low. For the outcome time to death or specified state of disease progression, the results only favoured edaravone in dpEESP2y patients in Study 16/17 (post hoc subgroup) and Study 19 (ITT population) at the end of cycle 12, with ‘disability of independent ambulation’ being the most frequent event. This result should be interpreted with caution, however, given Study 19 extension period was open-label and the post hoc analysis of Study 16 included small patient numbers. Further, the time to death and specified state of disease progression included tracheostomy use as an event of interest, however, invasive ventilation (tracheostomy) is not commonly used (&lt;0.1%) in Australia.</w:t>
      </w:r>
      <w:r w:rsidR="002B09D6" w:rsidRPr="0049396B">
        <w:rPr>
          <w:iCs/>
        </w:rPr>
        <w:t xml:space="preserve"> The PSCR noted that it was </w:t>
      </w:r>
      <w:r w:rsidR="002B09D6" w:rsidRPr="0049396B">
        <w:rPr>
          <w:iCs/>
        </w:rPr>
        <w:lastRenderedPageBreak/>
        <w:t>not feasible to demonstrate a treatment difference in survival in the 24-week RCT period as patients enrolled in the trial were recently diagnosed</w:t>
      </w:r>
      <w:r w:rsidR="0078178E" w:rsidRPr="0049396B">
        <w:rPr>
          <w:iCs/>
        </w:rPr>
        <w:t>,</w:t>
      </w:r>
      <w:r w:rsidR="002B09D6" w:rsidRPr="0049396B">
        <w:rPr>
          <w:iCs/>
        </w:rPr>
        <w:t xml:space="preserve"> with a high level of function.</w:t>
      </w:r>
    </w:p>
    <w:p w14:paraId="271C27FB" w14:textId="77777777" w:rsidR="00F572A3" w:rsidRPr="0049396B" w:rsidRDefault="00F572A3" w:rsidP="00F572A3">
      <w:pPr>
        <w:pStyle w:val="3-BodyText"/>
        <w:rPr>
          <w:iCs/>
        </w:rPr>
      </w:pPr>
      <w:r w:rsidRPr="00A10D6F">
        <w:rPr>
          <w:b/>
          <w:bCs/>
          <w:iCs/>
        </w:rPr>
        <w:t>Other outcomes:</w:t>
      </w:r>
      <w:r w:rsidRPr="0049396B">
        <w:rPr>
          <w:iCs/>
        </w:rPr>
        <w:t xml:space="preserve"> For dpEESP2y patients enrolled in Study 16/17 and Study 19, the results also generally favoured edaravone compared to placebo across other outcomes (%FVC, Modified Norris Scale score and patient reported quality of life on ALSAQ-40). In the broader ITT population of Study 16, there was no difference between edaravone and placebo for these outcomes. There was no adjustment for multiplicity applied to the secondary outcomes.</w:t>
      </w:r>
    </w:p>
    <w:p w14:paraId="7E369714" w14:textId="79C54175" w:rsidR="00F572A3" w:rsidRPr="0049396B" w:rsidRDefault="00F572A3" w:rsidP="00F572A3">
      <w:pPr>
        <w:pStyle w:val="3-BodyText"/>
        <w:rPr>
          <w:iCs/>
        </w:rPr>
      </w:pPr>
      <w:r w:rsidRPr="0049396B">
        <w:rPr>
          <w:iCs/>
        </w:rPr>
        <w:t xml:space="preserve">Additional results from </w:t>
      </w:r>
      <w:proofErr w:type="spellStart"/>
      <w:r w:rsidRPr="0049396B">
        <w:rPr>
          <w:iCs/>
        </w:rPr>
        <w:t>Samadhiya</w:t>
      </w:r>
      <w:proofErr w:type="spellEnd"/>
      <w:r w:rsidRPr="0049396B">
        <w:rPr>
          <w:iCs/>
        </w:rPr>
        <w:t xml:space="preserve"> 2022 in patients (with definite and probable ALS, FVC≥80%, disease duration ≤2 years, </w:t>
      </w:r>
      <w:r w:rsidR="0051699C" w:rsidRPr="0049396B">
        <w:rPr>
          <w:iCs/>
        </w:rPr>
        <w:t xml:space="preserve">average Japanese ALS severity score 1.8), consistent with the definition for dpEESP2y, showed </w:t>
      </w:r>
      <w:r w:rsidRPr="0049396B">
        <w:rPr>
          <w:iCs/>
        </w:rPr>
        <w:t xml:space="preserve">that there was no difference between combination therapy with edaravone plus </w:t>
      </w:r>
      <w:proofErr w:type="spellStart"/>
      <w:r w:rsidRPr="0049396B">
        <w:rPr>
          <w:iCs/>
        </w:rPr>
        <w:t>riluzole</w:t>
      </w:r>
      <w:proofErr w:type="spellEnd"/>
      <w:r w:rsidRPr="0049396B">
        <w:rPr>
          <w:iCs/>
        </w:rPr>
        <w:t xml:space="preserve"> compared to </w:t>
      </w:r>
      <w:proofErr w:type="spellStart"/>
      <w:r w:rsidRPr="0049396B">
        <w:rPr>
          <w:iCs/>
        </w:rPr>
        <w:t>riluzole</w:t>
      </w:r>
      <w:proofErr w:type="spellEnd"/>
      <w:r w:rsidRPr="0049396B">
        <w:rPr>
          <w:iCs/>
        </w:rPr>
        <w:t xml:space="preserve"> only in ALSFRS-R domain scores, except for salivation item in the bulbar domain (p=0.018) for the first 6 months. In the later part of the study between 6 and 12 months when both groups received </w:t>
      </w:r>
      <w:proofErr w:type="spellStart"/>
      <w:r w:rsidRPr="0049396B">
        <w:rPr>
          <w:iCs/>
        </w:rPr>
        <w:t>riluzole</w:t>
      </w:r>
      <w:proofErr w:type="spellEnd"/>
      <w:r w:rsidRPr="0049396B">
        <w:rPr>
          <w:iCs/>
        </w:rPr>
        <w:t xml:space="preserve">, there was </w:t>
      </w:r>
      <w:r w:rsidR="00026EB1" w:rsidRPr="0049396B">
        <w:rPr>
          <w:iCs/>
        </w:rPr>
        <w:t>no difference</w:t>
      </w:r>
      <w:r w:rsidRPr="0049396B">
        <w:rPr>
          <w:iCs/>
        </w:rPr>
        <w:t xml:space="preserve"> in ALSFRS-R</w:t>
      </w:r>
      <w:r w:rsidR="00026EB1" w:rsidRPr="0049396B">
        <w:rPr>
          <w:iCs/>
        </w:rPr>
        <w:t xml:space="preserve"> decline</w:t>
      </w:r>
      <w:r w:rsidRPr="0049396B">
        <w:rPr>
          <w:iCs/>
        </w:rPr>
        <w:t xml:space="preserve"> between groups. In Study 19, patients treated with edaravone showed statistically significant change in ALSFRS-R score by domain for the bulbar and limb components, but not for the respiratory component, compared to placebo at the end of cycle 6. </w:t>
      </w:r>
      <w:proofErr w:type="spellStart"/>
      <w:r w:rsidRPr="0049396B">
        <w:rPr>
          <w:iCs/>
        </w:rPr>
        <w:t>Samadhiya</w:t>
      </w:r>
      <w:proofErr w:type="spellEnd"/>
      <w:r w:rsidRPr="0049396B">
        <w:rPr>
          <w:iCs/>
        </w:rPr>
        <w:t xml:space="preserve"> 2022 also showed no difference between groups in the </w:t>
      </w:r>
      <w:bookmarkStart w:id="43" w:name="_Hlk144709764"/>
      <w:r w:rsidRPr="0049396B">
        <w:rPr>
          <w:iCs/>
        </w:rPr>
        <w:t xml:space="preserve">modified </w:t>
      </w:r>
      <w:r w:rsidR="00401F9E" w:rsidRPr="0049396B">
        <w:rPr>
          <w:iCs/>
        </w:rPr>
        <w:t>Rankin</w:t>
      </w:r>
      <w:r w:rsidRPr="0049396B">
        <w:rPr>
          <w:iCs/>
        </w:rPr>
        <w:t xml:space="preserve"> scale (functional disability) and average Japanese ALS severity score at 6 months and 12 months. Further, there was no difference in </w:t>
      </w:r>
      <w:bookmarkEnd w:id="43"/>
      <w:r w:rsidRPr="0049396B">
        <w:rPr>
          <w:iCs/>
        </w:rPr>
        <w:t xml:space="preserve">progressive decline in serum creatine levels over 12 months, which was used as surrogate biomarker for disease progression and functional disability. However, patients treated with combination therapy of edaravone plus </w:t>
      </w:r>
      <w:proofErr w:type="spellStart"/>
      <w:r w:rsidRPr="0049396B">
        <w:rPr>
          <w:iCs/>
        </w:rPr>
        <w:t>riluzole</w:t>
      </w:r>
      <w:proofErr w:type="spellEnd"/>
      <w:r w:rsidRPr="0049396B">
        <w:rPr>
          <w:iCs/>
        </w:rPr>
        <w:t xml:space="preserve"> had less decline in serum creatinine levels in the first 6 months of therapy of 0.08 (range 0.77-0.69) than in the later 6 months when patients were on </w:t>
      </w:r>
      <w:proofErr w:type="spellStart"/>
      <w:r w:rsidRPr="0049396B">
        <w:rPr>
          <w:iCs/>
        </w:rPr>
        <w:t>riluzole</w:t>
      </w:r>
      <w:proofErr w:type="spellEnd"/>
      <w:r w:rsidRPr="0049396B">
        <w:rPr>
          <w:iCs/>
        </w:rPr>
        <w:t xml:space="preserve"> 0.13 (0.69 to 0.56), compared to consistent decline in the </w:t>
      </w:r>
      <w:proofErr w:type="spellStart"/>
      <w:r w:rsidRPr="0049396B">
        <w:rPr>
          <w:iCs/>
        </w:rPr>
        <w:t>riluzole</w:t>
      </w:r>
      <w:proofErr w:type="spellEnd"/>
      <w:r w:rsidRPr="0049396B">
        <w:rPr>
          <w:iCs/>
        </w:rPr>
        <w:t xml:space="preserve"> only group (0.09 in the first 6 months and 0.08 in the later 6 months).</w:t>
      </w:r>
    </w:p>
    <w:p w14:paraId="0F4EE4BD" w14:textId="77777777" w:rsidR="00F572A3" w:rsidRPr="00A10D6F" w:rsidRDefault="00F572A3" w:rsidP="00F572A3">
      <w:pPr>
        <w:pStyle w:val="3-BodyText"/>
        <w:numPr>
          <w:ilvl w:val="0"/>
          <w:numId w:val="0"/>
        </w:numPr>
        <w:ind w:left="720" w:hanging="720"/>
        <w:outlineLvl w:val="2"/>
        <w:rPr>
          <w:b/>
          <w:bCs/>
        </w:rPr>
      </w:pPr>
      <w:r w:rsidRPr="00A10D6F">
        <w:rPr>
          <w:b/>
          <w:bCs/>
        </w:rPr>
        <w:t>King’s stage progression mapped from ALSFRS-R data in Study 19</w:t>
      </w:r>
    </w:p>
    <w:p w14:paraId="60A9CD8C" w14:textId="72E188CE" w:rsidR="00F572A3" w:rsidRPr="0049396B" w:rsidRDefault="00F572A3" w:rsidP="00F572A3">
      <w:pPr>
        <w:pStyle w:val="3-BodyText"/>
        <w:rPr>
          <w:iCs/>
        </w:rPr>
      </w:pPr>
      <w:bookmarkStart w:id="44" w:name="_Hlk144673521"/>
      <w:r w:rsidRPr="0049396B">
        <w:t xml:space="preserve">For the modelled economic evaluation, the submission relied on a post hoc analysis of Study 19 data by Al Chalabi 2021. The authors used a mapping algorithm developed by Balendra 2014 to derive King’s stage from ALSFRS-R scores at available time points, and compared time to King’s stage progression across the comparison groups. </w:t>
      </w:r>
      <w:r w:rsidRPr="0049396B">
        <w:rPr>
          <w:iCs/>
        </w:rPr>
        <w:t xml:space="preserve">The authors concluded that patients in </w:t>
      </w:r>
      <w:r w:rsidR="00D97C41" w:rsidRPr="0049396B">
        <w:rPr>
          <w:iCs/>
        </w:rPr>
        <w:t xml:space="preserve">the </w:t>
      </w:r>
      <w:r w:rsidRPr="0049396B">
        <w:rPr>
          <w:iCs/>
        </w:rPr>
        <w:t>placebo group experienced a shorter time to progression in King’s stage compared to</w:t>
      </w:r>
      <w:r w:rsidR="00D97C41" w:rsidRPr="0049396B">
        <w:rPr>
          <w:iCs/>
        </w:rPr>
        <w:t xml:space="preserve"> the</w:t>
      </w:r>
      <w:r w:rsidRPr="0049396B">
        <w:rPr>
          <w:iCs/>
        </w:rPr>
        <w:t xml:space="preserve"> edaravone group, however, the difference between groups was not statistically significant (log-rank test, p=0.103). The same analysis by King’s stage (</w:t>
      </w:r>
      <w:r w:rsidR="00060798" w:rsidRPr="0049396B">
        <w:rPr>
          <w:iCs/>
        </w:rPr>
        <w:fldChar w:fldCharType="begin" w:fldLock="1"/>
      </w:r>
      <w:r w:rsidR="00060798" w:rsidRPr="0049396B">
        <w:rPr>
          <w:iCs/>
        </w:rPr>
        <w:instrText xml:space="preserve"> REF _Ref144727627 \h </w:instrText>
      </w:r>
      <w:r w:rsidR="00060798" w:rsidRPr="0049396B">
        <w:rPr>
          <w:iCs/>
        </w:rPr>
      </w:r>
      <w:r w:rsidR="00060798" w:rsidRPr="0049396B">
        <w:rPr>
          <w:iCs/>
        </w:rPr>
        <w:fldChar w:fldCharType="separate"/>
      </w:r>
      <w:r w:rsidR="00060798" w:rsidRPr="0049396B">
        <w:t>Figure 1</w:t>
      </w:r>
      <w:r w:rsidR="00060798" w:rsidRPr="0049396B">
        <w:rPr>
          <w:iCs/>
        </w:rPr>
        <w:fldChar w:fldCharType="end"/>
      </w:r>
      <w:r w:rsidRPr="0049396B">
        <w:rPr>
          <w:iCs/>
        </w:rPr>
        <w:t>) appeared to show the most pronounced effect in slowing the transition from stage 1 to stage 2, and there may also have been an effect in slowing the transition from stage 2 to stage 3 but this was less well pronounced.</w:t>
      </w:r>
      <w:r w:rsidRPr="0049396B">
        <w:t xml:space="preserve"> </w:t>
      </w:r>
      <w:r w:rsidRPr="0049396B">
        <w:rPr>
          <w:iCs/>
        </w:rPr>
        <w:t xml:space="preserve">As time zero in the analysis represented the time patients entered the health state, the estimated treatment effects for stage 1 reflected treatment naïve patients, whereas stage 2 onwards included both treatment naïve </w:t>
      </w:r>
      <w:r w:rsidRPr="0049396B">
        <w:rPr>
          <w:iCs/>
        </w:rPr>
        <w:lastRenderedPageBreak/>
        <w:t>and treatment experienced patients (i.e. patients who had already progressed from an earlier stage)</w:t>
      </w:r>
      <w:bookmarkEnd w:id="44"/>
      <w:r w:rsidRPr="0049396B">
        <w:rPr>
          <w:iCs/>
        </w:rPr>
        <w:t>.</w:t>
      </w:r>
      <w:r w:rsidR="00F613D6" w:rsidRPr="0049396B">
        <w:rPr>
          <w:iCs/>
        </w:rPr>
        <w:t xml:space="preserve"> The ESC noted there was a small number of patients informing the KM curves for some of these analyses.</w:t>
      </w:r>
    </w:p>
    <w:p w14:paraId="6D3F581C" w14:textId="4FE26064" w:rsidR="00F572A3" w:rsidRPr="0049396B" w:rsidRDefault="00F572A3" w:rsidP="00F572A3">
      <w:pPr>
        <w:pStyle w:val="Caption"/>
        <w:rPr>
          <w:szCs w:val="20"/>
        </w:rPr>
      </w:pPr>
      <w:bookmarkStart w:id="45" w:name="_Ref144727627"/>
      <w:bookmarkStart w:id="46" w:name="_Ref144727576"/>
      <w:r w:rsidRPr="0049396B">
        <w:t xml:space="preserve">Figure </w:t>
      </w:r>
      <w:r w:rsidR="001C0AB9">
        <w:fldChar w:fldCharType="begin" w:fldLock="1"/>
      </w:r>
      <w:r w:rsidR="001C0AB9">
        <w:instrText xml:space="preserve"> SEQ Figure \* ARABIC </w:instrText>
      </w:r>
      <w:r w:rsidR="001C0AB9">
        <w:fldChar w:fldCharType="separate"/>
      </w:r>
      <w:r w:rsidR="00041148" w:rsidRPr="0049396B">
        <w:t>1</w:t>
      </w:r>
      <w:r w:rsidR="001C0AB9">
        <w:fldChar w:fldCharType="end"/>
      </w:r>
      <w:bookmarkEnd w:id="45"/>
      <w:r w:rsidRPr="0049396B">
        <w:t>:</w:t>
      </w:r>
      <w:r w:rsidRPr="0049396B">
        <w:rPr>
          <w:szCs w:val="20"/>
        </w:rPr>
        <w:t xml:space="preserve"> Kaplan-Meier for patients remaining in King’s Stage 1-4 in Study 19 (24-week double-blind treatment period).</w:t>
      </w:r>
      <w:bookmarkEnd w:id="46"/>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F572A3" w:rsidRPr="0049396B" w14:paraId="26190427" w14:textId="77777777" w:rsidTr="00EB254E">
        <w:trPr>
          <w:jc w:val="center"/>
        </w:trPr>
        <w:tc>
          <w:tcPr>
            <w:tcW w:w="4508" w:type="dxa"/>
            <w:vAlign w:val="center"/>
          </w:tcPr>
          <w:p w14:paraId="32242BB9" w14:textId="77777777" w:rsidR="00F572A3" w:rsidRPr="0049396B" w:rsidRDefault="00F572A3" w:rsidP="00EB254E">
            <w:pPr>
              <w:keepNext/>
              <w:jc w:val="left"/>
              <w:rPr>
                <w:rFonts w:ascii="Arial Narrow" w:hAnsi="Arial Narrow"/>
                <w:b/>
              </w:rPr>
            </w:pPr>
            <w:r w:rsidRPr="0049396B">
              <w:rPr>
                <w:rFonts w:ascii="Arial Narrow" w:hAnsi="Arial Narrow"/>
                <w:b/>
                <w:sz w:val="20"/>
                <w:szCs w:val="20"/>
              </w:rPr>
              <w:t>[A] King’s Stage 1</w:t>
            </w:r>
          </w:p>
        </w:tc>
        <w:tc>
          <w:tcPr>
            <w:tcW w:w="4508" w:type="dxa"/>
            <w:vAlign w:val="center"/>
          </w:tcPr>
          <w:p w14:paraId="30AE344C" w14:textId="77777777" w:rsidR="00F572A3" w:rsidRPr="0049396B" w:rsidRDefault="00F572A3" w:rsidP="00EB254E">
            <w:pPr>
              <w:keepNext/>
              <w:jc w:val="left"/>
              <w:rPr>
                <w:rFonts w:ascii="Arial Narrow" w:hAnsi="Arial Narrow"/>
                <w:b/>
              </w:rPr>
            </w:pPr>
            <w:r w:rsidRPr="0049396B">
              <w:rPr>
                <w:rFonts w:ascii="Arial Narrow" w:hAnsi="Arial Narrow"/>
                <w:b/>
                <w:sz w:val="20"/>
                <w:szCs w:val="20"/>
              </w:rPr>
              <w:t>[B] King’s Stage 2</w:t>
            </w:r>
          </w:p>
        </w:tc>
      </w:tr>
      <w:tr w:rsidR="00F572A3" w:rsidRPr="0049396B" w14:paraId="23073B91" w14:textId="77777777" w:rsidTr="00EB254E">
        <w:trPr>
          <w:jc w:val="center"/>
        </w:trPr>
        <w:tc>
          <w:tcPr>
            <w:tcW w:w="4508" w:type="dxa"/>
            <w:vAlign w:val="center"/>
          </w:tcPr>
          <w:p w14:paraId="28C11D04" w14:textId="77777777" w:rsidR="00F572A3" w:rsidRPr="0049396B" w:rsidRDefault="00F572A3" w:rsidP="00EB254E">
            <w:pPr>
              <w:keepNext/>
              <w:jc w:val="center"/>
            </w:pPr>
            <w:r w:rsidRPr="0049396B">
              <w:rPr>
                <w:noProof/>
                <w:lang w:eastAsia="zh-CN"/>
              </w:rPr>
              <w:drawing>
                <wp:inline distT="0" distB="0" distL="0" distR="0" wp14:anchorId="0A43870B" wp14:editId="5BA05902">
                  <wp:extent cx="2790000" cy="2028835"/>
                  <wp:effectExtent l="0" t="0" r="0" b="0"/>
                  <wp:docPr id="16494145" name="Picture 1649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0000" cy="2028835"/>
                          </a:xfrm>
                          <a:prstGeom prst="rect">
                            <a:avLst/>
                          </a:prstGeom>
                          <a:noFill/>
                        </pic:spPr>
                      </pic:pic>
                    </a:graphicData>
                  </a:graphic>
                </wp:inline>
              </w:drawing>
            </w:r>
          </w:p>
        </w:tc>
        <w:tc>
          <w:tcPr>
            <w:tcW w:w="4508" w:type="dxa"/>
            <w:vAlign w:val="center"/>
          </w:tcPr>
          <w:p w14:paraId="1382FBEC" w14:textId="77777777" w:rsidR="00F572A3" w:rsidRPr="0049396B" w:rsidRDefault="00F572A3" w:rsidP="00EB254E">
            <w:pPr>
              <w:keepNext/>
              <w:jc w:val="center"/>
            </w:pPr>
            <w:r w:rsidRPr="0049396B">
              <w:rPr>
                <w:noProof/>
                <w:lang w:eastAsia="zh-CN"/>
              </w:rPr>
              <w:drawing>
                <wp:inline distT="0" distB="0" distL="0" distR="0" wp14:anchorId="31837B6B" wp14:editId="1C227B9C">
                  <wp:extent cx="2790000" cy="20288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000" cy="2028835"/>
                          </a:xfrm>
                          <a:prstGeom prst="rect">
                            <a:avLst/>
                          </a:prstGeom>
                          <a:noFill/>
                        </pic:spPr>
                      </pic:pic>
                    </a:graphicData>
                  </a:graphic>
                </wp:inline>
              </w:drawing>
            </w:r>
          </w:p>
        </w:tc>
      </w:tr>
      <w:tr w:rsidR="00F572A3" w:rsidRPr="0049396B" w14:paraId="57824015" w14:textId="77777777" w:rsidTr="00EB254E">
        <w:trPr>
          <w:jc w:val="center"/>
        </w:trPr>
        <w:tc>
          <w:tcPr>
            <w:tcW w:w="4508" w:type="dxa"/>
            <w:vAlign w:val="center"/>
          </w:tcPr>
          <w:p w14:paraId="6784F14E" w14:textId="77777777" w:rsidR="00F572A3" w:rsidRPr="0049396B" w:rsidRDefault="00F572A3" w:rsidP="00EB254E">
            <w:pPr>
              <w:keepNext/>
              <w:jc w:val="left"/>
              <w:rPr>
                <w:rFonts w:ascii="Arial Narrow" w:hAnsi="Arial Narrow"/>
                <w:b/>
              </w:rPr>
            </w:pPr>
            <w:r w:rsidRPr="0049396B">
              <w:rPr>
                <w:rFonts w:ascii="Arial Narrow" w:hAnsi="Arial Narrow"/>
                <w:b/>
                <w:sz w:val="20"/>
                <w:szCs w:val="20"/>
              </w:rPr>
              <w:t>[C] King’s Stage 3</w:t>
            </w:r>
          </w:p>
        </w:tc>
        <w:tc>
          <w:tcPr>
            <w:tcW w:w="4508" w:type="dxa"/>
            <w:vAlign w:val="center"/>
          </w:tcPr>
          <w:p w14:paraId="722A300C" w14:textId="77777777" w:rsidR="00F572A3" w:rsidRPr="0049396B" w:rsidRDefault="00F572A3" w:rsidP="00EB254E">
            <w:pPr>
              <w:keepNext/>
              <w:jc w:val="left"/>
              <w:rPr>
                <w:rFonts w:ascii="Arial Narrow" w:hAnsi="Arial Narrow"/>
                <w:b/>
              </w:rPr>
            </w:pPr>
            <w:r w:rsidRPr="0049396B">
              <w:rPr>
                <w:rFonts w:ascii="Arial Narrow" w:hAnsi="Arial Narrow"/>
                <w:b/>
                <w:sz w:val="20"/>
                <w:szCs w:val="20"/>
              </w:rPr>
              <w:t>[D] King’s Stage 4</w:t>
            </w:r>
          </w:p>
        </w:tc>
      </w:tr>
      <w:tr w:rsidR="00F572A3" w:rsidRPr="0049396B" w14:paraId="6D4877B9" w14:textId="77777777" w:rsidTr="00EB254E">
        <w:trPr>
          <w:jc w:val="center"/>
        </w:trPr>
        <w:tc>
          <w:tcPr>
            <w:tcW w:w="4508" w:type="dxa"/>
            <w:vAlign w:val="center"/>
          </w:tcPr>
          <w:p w14:paraId="3AE14C0E" w14:textId="77777777" w:rsidR="00F572A3" w:rsidRPr="0049396B" w:rsidRDefault="00F572A3" w:rsidP="00EB254E">
            <w:pPr>
              <w:keepNext/>
              <w:jc w:val="center"/>
            </w:pPr>
            <w:r w:rsidRPr="0049396B">
              <w:rPr>
                <w:noProof/>
                <w:lang w:eastAsia="zh-CN"/>
              </w:rPr>
              <w:drawing>
                <wp:inline distT="0" distB="0" distL="0" distR="0" wp14:anchorId="71ECCAF0" wp14:editId="24324D07">
                  <wp:extent cx="2790000" cy="2028835"/>
                  <wp:effectExtent l="0" t="0" r="0" b="0"/>
                  <wp:docPr id="16494146" name="Picture 1649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0000" cy="2028835"/>
                          </a:xfrm>
                          <a:prstGeom prst="rect">
                            <a:avLst/>
                          </a:prstGeom>
                          <a:noFill/>
                        </pic:spPr>
                      </pic:pic>
                    </a:graphicData>
                  </a:graphic>
                </wp:inline>
              </w:drawing>
            </w:r>
          </w:p>
        </w:tc>
        <w:tc>
          <w:tcPr>
            <w:tcW w:w="4508" w:type="dxa"/>
            <w:vAlign w:val="center"/>
          </w:tcPr>
          <w:p w14:paraId="702F9A89" w14:textId="77777777" w:rsidR="00F572A3" w:rsidRPr="0049396B" w:rsidRDefault="00F572A3" w:rsidP="00EB254E">
            <w:pPr>
              <w:keepNext/>
              <w:jc w:val="center"/>
            </w:pPr>
            <w:r w:rsidRPr="0049396B">
              <w:rPr>
                <w:noProof/>
                <w:lang w:eastAsia="zh-CN"/>
              </w:rPr>
              <w:drawing>
                <wp:inline distT="0" distB="0" distL="0" distR="0" wp14:anchorId="38C1D87D" wp14:editId="7F9B102B">
                  <wp:extent cx="2790000" cy="20288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0000" cy="2028835"/>
                          </a:xfrm>
                          <a:prstGeom prst="rect">
                            <a:avLst/>
                          </a:prstGeom>
                          <a:noFill/>
                        </pic:spPr>
                      </pic:pic>
                    </a:graphicData>
                  </a:graphic>
                </wp:inline>
              </w:drawing>
            </w:r>
          </w:p>
        </w:tc>
      </w:tr>
    </w:tbl>
    <w:p w14:paraId="1025DB16" w14:textId="60AF3E76" w:rsidR="00F572A3" w:rsidRPr="0049396B" w:rsidRDefault="00F572A3" w:rsidP="00F572A3">
      <w:pPr>
        <w:rPr>
          <w:rFonts w:ascii="Arial Narrow" w:hAnsi="Arial Narrow"/>
          <w:sz w:val="18"/>
          <w:szCs w:val="18"/>
        </w:rPr>
      </w:pPr>
      <w:r w:rsidRPr="0049396B">
        <w:rPr>
          <w:rFonts w:ascii="Arial Narrow" w:hAnsi="Arial Narrow"/>
          <w:sz w:val="18"/>
          <w:szCs w:val="18"/>
        </w:rPr>
        <w:t xml:space="preserve">Source: constructed during the evaluation using data provided by the </w:t>
      </w:r>
      <w:r w:rsidR="00A37686" w:rsidRPr="0049396B">
        <w:rPr>
          <w:rFonts w:ascii="Arial Narrow" w:hAnsi="Arial Narrow"/>
          <w:sz w:val="18"/>
          <w:szCs w:val="18"/>
        </w:rPr>
        <w:t>sponsor</w:t>
      </w:r>
      <w:r w:rsidRPr="0049396B">
        <w:rPr>
          <w:rFonts w:ascii="Arial Narrow" w:hAnsi="Arial Narrow"/>
          <w:sz w:val="18"/>
          <w:szCs w:val="18"/>
        </w:rPr>
        <w:t xml:space="preserve"> in Excel workbook ‘Al-Chalabi 2021 pseudo IPD.xlsx’ and Stata code reported in Stata log file ‘Al Chalabi 2021 analysis.pdf’.</w:t>
      </w:r>
    </w:p>
    <w:p w14:paraId="17529D9B"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HR=hazard ratio; NA=not applicable;</w:t>
      </w:r>
    </w:p>
    <w:p w14:paraId="57750924"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 xml:space="preserve">Notes: </w:t>
      </w:r>
    </w:p>
    <w:p w14:paraId="3FEC8F02" w14:textId="77777777" w:rsidR="00F572A3" w:rsidRPr="0049396B" w:rsidRDefault="00F572A3" w:rsidP="00F572A3">
      <w:pPr>
        <w:ind w:left="165" w:hanging="165"/>
        <w:rPr>
          <w:rFonts w:ascii="Arial Narrow" w:hAnsi="Arial Narrow"/>
          <w:sz w:val="18"/>
          <w:szCs w:val="18"/>
        </w:rPr>
      </w:pPr>
      <w:r w:rsidRPr="0049396B">
        <w:rPr>
          <w:rFonts w:ascii="Arial Narrow" w:hAnsi="Arial Narrow"/>
          <w:sz w:val="18"/>
          <w:szCs w:val="18"/>
        </w:rPr>
        <w:t>i)</w:t>
      </w:r>
      <w:r w:rsidRPr="0049396B">
        <w:rPr>
          <w:rFonts w:ascii="Arial Narrow" w:hAnsi="Arial Narrow"/>
          <w:sz w:val="18"/>
          <w:szCs w:val="18"/>
        </w:rPr>
        <w:tab/>
        <w:t>All analyses are for time points during the 24-week double-blind treatment period. The number of patients at risk is listed under the graph at each time point for each treatment group.</w:t>
      </w:r>
    </w:p>
    <w:p w14:paraId="71370CE6" w14:textId="77777777" w:rsidR="00F572A3" w:rsidRPr="0049396B" w:rsidRDefault="00F572A3" w:rsidP="00F572A3">
      <w:pPr>
        <w:rPr>
          <w:rFonts w:ascii="Arial Narrow" w:hAnsi="Arial Narrow"/>
          <w:sz w:val="18"/>
          <w:szCs w:val="18"/>
        </w:rPr>
      </w:pPr>
      <w:r w:rsidRPr="0049396B">
        <w:rPr>
          <w:rFonts w:ascii="Arial Narrow" w:hAnsi="Arial Narrow"/>
          <w:sz w:val="18"/>
          <w:szCs w:val="18"/>
        </w:rPr>
        <w:t>ii)</w:t>
      </w:r>
      <w:r w:rsidRPr="0049396B">
        <w:rPr>
          <w:rFonts w:ascii="Arial Narrow" w:hAnsi="Arial Narrow"/>
          <w:sz w:val="18"/>
          <w:szCs w:val="18"/>
        </w:rPr>
        <w:tab/>
        <w:t>HR calculated during the evaluation using data from Al Chalabi 2021. HR&lt;1 favoured edaravone.</w:t>
      </w:r>
    </w:p>
    <w:p w14:paraId="67F6D734" w14:textId="77777777" w:rsidR="00F572A3" w:rsidRPr="0049396B" w:rsidRDefault="00F572A3" w:rsidP="00F572A3">
      <w:pPr>
        <w:spacing w:after="120"/>
        <w:ind w:left="165" w:hanging="165"/>
        <w:rPr>
          <w:rFonts w:ascii="Arial Narrow" w:hAnsi="Arial Narrow"/>
          <w:sz w:val="18"/>
          <w:szCs w:val="18"/>
        </w:rPr>
      </w:pPr>
      <w:r w:rsidRPr="0049396B">
        <w:rPr>
          <w:rFonts w:ascii="Arial Narrow" w:hAnsi="Arial Narrow"/>
          <w:sz w:val="18"/>
          <w:szCs w:val="18"/>
        </w:rPr>
        <w:t>iii)</w:t>
      </w:r>
      <w:r w:rsidRPr="0049396B">
        <w:rPr>
          <w:rFonts w:ascii="Arial Narrow" w:hAnsi="Arial Narrow"/>
          <w:sz w:val="18"/>
          <w:szCs w:val="18"/>
        </w:rPr>
        <w:tab/>
        <w:t>Horizontal axis corresponds to time when patients enter the King’s clinical stage. For example, Week 0 could correspond to baseline for patients who start in stages 1 and some patients in stages 2 to 3 but not for patients in stage 4, as none of the patients enrolled in Study 19 were mapped to stage 4 at baseline.</w:t>
      </w:r>
    </w:p>
    <w:p w14:paraId="495EF109" w14:textId="53822EC1" w:rsidR="00F572A3" w:rsidRPr="0049396B" w:rsidRDefault="00F572A3" w:rsidP="00F572A3">
      <w:pPr>
        <w:pStyle w:val="3-BodyText"/>
        <w:rPr>
          <w:iCs/>
        </w:rPr>
      </w:pPr>
      <w:bookmarkStart w:id="47" w:name="_Hlk144673923"/>
      <w:r w:rsidRPr="0049396B">
        <w:rPr>
          <w:iCs/>
        </w:rPr>
        <w:t>The mapping algorithm developed by Balendra 2014 appears to be widely used in th</w:t>
      </w:r>
      <w:r w:rsidR="00BB692F" w:rsidRPr="0049396B">
        <w:rPr>
          <w:iCs/>
        </w:rPr>
        <w:t xml:space="preserve">e </w:t>
      </w:r>
      <w:r w:rsidRPr="0049396B">
        <w:rPr>
          <w:iCs/>
        </w:rPr>
        <w:t>literature</w:t>
      </w:r>
      <w:r w:rsidR="00BB692F" w:rsidRPr="0049396B">
        <w:rPr>
          <w:iCs/>
        </w:rPr>
        <w:t xml:space="preserve"> for ALS</w:t>
      </w:r>
      <w:r w:rsidRPr="0049396B">
        <w:rPr>
          <w:iCs/>
        </w:rPr>
        <w:t xml:space="preserve">, but there are limitations which should be acknowledged. The authors compared the algorithm to the actual King’s stage based on the clinical history of 52 patients with 103 total observations, with 4 observations recorded in stage 4a and 7 in stage 4b. Although Balendra 2014 reported acceptable statistical results on the intraclass correlation, Bland-Altman and Spearman’s rank correlation coefficient tests, there was a high proportion of discrepancies reported from the algorithm in </w:t>
      </w:r>
      <w:r w:rsidRPr="0049396B">
        <w:rPr>
          <w:iCs/>
        </w:rPr>
        <w:lastRenderedPageBreak/>
        <w:t>stages 1-3 (9.1-45.2% depending on stage). In general, while the algorithm appeared to identify patients in stages 4a and 4b well, it was likely to underestimate the number of patients in stage 2. Further validation of the algorithm has not occurred since the original Balendra 2014 publication.</w:t>
      </w:r>
      <w:bookmarkEnd w:id="47"/>
    </w:p>
    <w:p w14:paraId="5A51C19B" w14:textId="77777777" w:rsidR="00F572A3" w:rsidRPr="00A10D6F" w:rsidRDefault="00F572A3" w:rsidP="00F572A3">
      <w:pPr>
        <w:pStyle w:val="3-BodyText"/>
        <w:numPr>
          <w:ilvl w:val="0"/>
          <w:numId w:val="0"/>
        </w:numPr>
        <w:ind w:left="720" w:hanging="720"/>
        <w:outlineLvl w:val="2"/>
        <w:rPr>
          <w:b/>
          <w:bCs/>
        </w:rPr>
      </w:pPr>
      <w:r w:rsidRPr="00A10D6F">
        <w:rPr>
          <w:b/>
          <w:bCs/>
        </w:rPr>
        <w:t>Real-world evidence on survival</w:t>
      </w:r>
    </w:p>
    <w:p w14:paraId="0D7D4143" w14:textId="2587F371" w:rsidR="00F572A3" w:rsidRPr="0049396B" w:rsidRDefault="00F572A3" w:rsidP="00F572A3">
      <w:pPr>
        <w:pStyle w:val="3-BodyText"/>
      </w:pPr>
      <w:r w:rsidRPr="0049396B">
        <w:t xml:space="preserve">To calibrate survival in the modelled economic evaluation, the submission used the results of a real-world study by Brooks 2022. This study conducted </w:t>
      </w:r>
      <w:r w:rsidR="000A3FD9" w:rsidRPr="0049396B">
        <w:t xml:space="preserve">a </w:t>
      </w:r>
      <w:r w:rsidRPr="0049396B">
        <w:t xml:space="preserve">retrospective ‘exploratory’ analysis of a US administrative claims database (Optum’s </w:t>
      </w:r>
      <w:proofErr w:type="spellStart"/>
      <w:r w:rsidRPr="0049396B">
        <w:t>Clinformatics</w:t>
      </w:r>
      <w:proofErr w:type="spellEnd"/>
      <w:r w:rsidRPr="0049396B">
        <w:t xml:space="preserve"> Data Mart), comparing survival of ALS patients treated with edaravone (N=318) to propensity score matched (one to one) contemporaneous untreated patients (N=318). The study defined time-zero as the date of first edaravone for treated patients (between 8 August 2017 to 31 March 2020) and the date edaravone became ‘available’ for untreated controls (8 August 2017). To identify the untreated control patients, the study matched treated and untreated controls at time zero using available baseline characteristics - age, race, region, sex, insurance, history of cardiovascular disease, history of </w:t>
      </w:r>
      <w:proofErr w:type="spellStart"/>
      <w:r w:rsidRPr="0049396B">
        <w:t>riluzole</w:t>
      </w:r>
      <w:proofErr w:type="spellEnd"/>
      <w:r w:rsidRPr="0049396B">
        <w:t xml:space="preserve"> use and five pre-index surrogate markers for disease severity (gastro</w:t>
      </w:r>
      <w:r w:rsidR="00A37686" w:rsidRPr="0049396B">
        <w:t>s</w:t>
      </w:r>
      <w:r w:rsidRPr="0049396B">
        <w:t xml:space="preserve">tomy tube placement, artificial nutrition, non-invasive ventilation, all-cause hospitalisation and disease duration). The results found median overall survival time was 29.5 months with edaravone versus 23.5 months without (HR = 0.73, 95%CI: 0.59-0.91), presented in </w:t>
      </w:r>
      <w:r w:rsidRPr="0049396B">
        <w:fldChar w:fldCharType="begin" w:fldLock="1"/>
      </w:r>
      <w:r w:rsidRPr="0049396B">
        <w:instrText xml:space="preserve"> REF _Ref144727630 \h </w:instrText>
      </w:r>
      <w:r w:rsidRPr="0049396B">
        <w:fldChar w:fldCharType="separate"/>
      </w:r>
      <w:r w:rsidR="00041148" w:rsidRPr="0049396B">
        <w:t>Figure 2</w:t>
      </w:r>
      <w:r w:rsidRPr="0049396B">
        <w:fldChar w:fldCharType="end"/>
      </w:r>
      <w:r w:rsidRPr="0049396B">
        <w:t>.</w:t>
      </w:r>
    </w:p>
    <w:p w14:paraId="193D54AD" w14:textId="1BE243C8" w:rsidR="00F572A3" w:rsidRPr="0049396B" w:rsidRDefault="00F572A3" w:rsidP="0068547D">
      <w:pPr>
        <w:pStyle w:val="TableFigureHeading"/>
        <w:rPr>
          <w:rStyle w:val="CommentReference"/>
          <w:b/>
          <w:szCs w:val="24"/>
        </w:rPr>
      </w:pPr>
      <w:bookmarkStart w:id="48" w:name="_Ref144727630"/>
      <w:r w:rsidRPr="0049396B">
        <w:t xml:space="preserve">Figure </w:t>
      </w:r>
      <w:r w:rsidR="001C0AB9">
        <w:fldChar w:fldCharType="begin" w:fldLock="1"/>
      </w:r>
      <w:r w:rsidR="001C0AB9">
        <w:instrText xml:space="preserve"> SEQ Figure \* ARABIC </w:instrText>
      </w:r>
      <w:r w:rsidR="001C0AB9">
        <w:fldChar w:fldCharType="separate"/>
      </w:r>
      <w:r w:rsidR="00041148" w:rsidRPr="0049396B">
        <w:t>2</w:t>
      </w:r>
      <w:r w:rsidR="001C0AB9">
        <w:fldChar w:fldCharType="end"/>
      </w:r>
      <w:bookmarkEnd w:id="48"/>
      <w:r w:rsidRPr="0049396B">
        <w:t xml:space="preserve">: </w:t>
      </w:r>
      <w:r w:rsidRPr="0049396B">
        <w:rPr>
          <w:rStyle w:val="CommentReference"/>
          <w:b/>
          <w:szCs w:val="24"/>
        </w:rPr>
        <w:t xml:space="preserve">Overall survival analysis reported in Brooks 2022. </w:t>
      </w:r>
    </w:p>
    <w:p w14:paraId="60E62033" w14:textId="77777777" w:rsidR="00F572A3" w:rsidRPr="0049396B" w:rsidRDefault="00F572A3" w:rsidP="00F572A3">
      <w:r w:rsidRPr="0049396B">
        <w:rPr>
          <w:noProof/>
          <w:lang w:eastAsia="zh-CN"/>
        </w:rPr>
        <w:drawing>
          <wp:inline distT="0" distB="0" distL="0" distR="0" wp14:anchorId="7AC83CE0" wp14:editId="6ED455EF">
            <wp:extent cx="3540557" cy="2578053"/>
            <wp:effectExtent l="0" t="0" r="317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44492" cy="2580918"/>
                    </a:xfrm>
                    <a:prstGeom prst="rect">
                      <a:avLst/>
                    </a:prstGeom>
                  </pic:spPr>
                </pic:pic>
              </a:graphicData>
            </a:graphic>
          </wp:inline>
        </w:drawing>
      </w:r>
    </w:p>
    <w:p w14:paraId="5B24990E" w14:textId="667BA74C" w:rsidR="00F572A3" w:rsidRPr="0049396B" w:rsidRDefault="00F572A3" w:rsidP="009B4DB9">
      <w:pPr>
        <w:spacing w:after="120"/>
      </w:pPr>
      <w:r w:rsidRPr="0049396B">
        <w:rPr>
          <w:rFonts w:ascii="Arial Narrow" w:hAnsi="Arial Narrow"/>
          <w:sz w:val="18"/>
          <w:szCs w:val="18"/>
        </w:rPr>
        <w:t>Source: Figure 4, Brooks 2022.</w:t>
      </w:r>
    </w:p>
    <w:p w14:paraId="26108E39" w14:textId="44488E3C" w:rsidR="00F572A3" w:rsidRPr="0049396B" w:rsidRDefault="00F572A3" w:rsidP="00F572A3">
      <w:pPr>
        <w:pStyle w:val="3-BodyText"/>
        <w:rPr>
          <w:iCs/>
        </w:rPr>
      </w:pPr>
      <w:bookmarkStart w:id="49" w:name="_Ref151624337"/>
      <w:r w:rsidRPr="0049396B">
        <w:rPr>
          <w:iCs/>
        </w:rPr>
        <w:t xml:space="preserve">Overall, </w:t>
      </w:r>
      <w:r w:rsidR="0078178E" w:rsidRPr="0049396B">
        <w:rPr>
          <w:iCs/>
        </w:rPr>
        <w:t xml:space="preserve">the evaluation considered </w:t>
      </w:r>
      <w:r w:rsidRPr="0049396B">
        <w:rPr>
          <w:iCs/>
        </w:rPr>
        <w:t xml:space="preserve">the analysis presented in Brooks 2022 </w:t>
      </w:r>
      <w:r w:rsidR="0078178E" w:rsidRPr="0049396B">
        <w:rPr>
          <w:iCs/>
        </w:rPr>
        <w:t xml:space="preserve">had </w:t>
      </w:r>
      <w:r w:rsidRPr="0049396B">
        <w:rPr>
          <w:iCs/>
        </w:rPr>
        <w:t xml:space="preserve">a high risk of bias, and the design of the study (i.e. how control patients were identified) likely overestimated any survival benefit with </w:t>
      </w:r>
      <w:r w:rsidR="00350640" w:rsidRPr="0049396B">
        <w:rPr>
          <w:iCs/>
        </w:rPr>
        <w:t>edaravone</w:t>
      </w:r>
      <w:r w:rsidRPr="0049396B">
        <w:rPr>
          <w:iCs/>
        </w:rPr>
        <w:t xml:space="preserve">. The first issue is that the administrative database did not include disease severity (i.e. ALSFRS-R score) and the broadly defined (binary) surrogates for severity used for matching were considered weak particularly for early disease. The second issue is that unobserved variables in the dataset likely explain why contemporaneous controls did not receive treatment </w:t>
      </w:r>
      <w:r w:rsidRPr="0049396B">
        <w:rPr>
          <w:iCs/>
        </w:rPr>
        <w:lastRenderedPageBreak/>
        <w:t>compared to treated patients (e.g. patients with more severe disease less likely to be treated), and could potentially explain the difference in survival (e.g. patients with more severe disease more likely to die sooner). The third issue is that the assumed single date time-zero for identifying control patients (as opposed to using a date range for treatment patients), corresponding to the date edaravone became available on the market, would likely identify more ‘prevalent’ untreated patients closer to death, than ‘incident’ untreated patients that for some random-like reason did not receive treatment. Together, these design factors would likely lead to treatment selection bias favouring edaravone. For example, in the Kaplan-Meier plot (</w:t>
      </w:r>
      <w:r w:rsidR="00401F9E" w:rsidRPr="0049396B">
        <w:rPr>
          <w:iCs/>
        </w:rPr>
        <w:fldChar w:fldCharType="begin" w:fldLock="1"/>
      </w:r>
      <w:r w:rsidR="00401F9E" w:rsidRPr="0049396B">
        <w:rPr>
          <w:iCs/>
        </w:rPr>
        <w:instrText xml:space="preserve"> REF _Ref144727630 \h </w:instrText>
      </w:r>
      <w:r w:rsidR="00401F9E" w:rsidRPr="0049396B">
        <w:rPr>
          <w:iCs/>
        </w:rPr>
      </w:r>
      <w:r w:rsidR="00401F9E" w:rsidRPr="0049396B">
        <w:rPr>
          <w:iCs/>
        </w:rPr>
        <w:fldChar w:fldCharType="separate"/>
      </w:r>
      <w:r w:rsidR="00401F9E" w:rsidRPr="0049396B">
        <w:t>Figure 2</w:t>
      </w:r>
      <w:r w:rsidR="00401F9E" w:rsidRPr="0049396B">
        <w:rPr>
          <w:iCs/>
        </w:rPr>
        <w:fldChar w:fldCharType="end"/>
      </w:r>
      <w:r w:rsidRPr="0049396B">
        <w:rPr>
          <w:iCs/>
        </w:rPr>
        <w:t>), there were very few deaths in the treated arm at 6 months compared to ~20% of patients dying in the control arm. As the RCT evidence showed very few deaths in both the treated and control arms at 6 months, there is a lack of face validity that the control arm in Brooks 2022 can act as a reasonable counterfactual for treated patients.</w:t>
      </w:r>
      <w:bookmarkEnd w:id="49"/>
    </w:p>
    <w:p w14:paraId="1BD1DEFB" w14:textId="5D654F6D" w:rsidR="002B1EC7" w:rsidRPr="0049396B" w:rsidRDefault="002B1EC7" w:rsidP="00F572A3">
      <w:pPr>
        <w:pStyle w:val="3-BodyText"/>
        <w:rPr>
          <w:iCs/>
        </w:rPr>
      </w:pPr>
      <w:r w:rsidRPr="0049396B">
        <w:rPr>
          <w:iCs/>
        </w:rPr>
        <w:t xml:space="preserve">The PSCR stated that matching was appropriately used to account for the different start definitions used (disease duration) and differences in disease/symptom severity and that given that disease severity was matched in the analysis this is not an unexplained variable impacting whether patients used edaravone (or not), and therefore survival. </w:t>
      </w:r>
    </w:p>
    <w:p w14:paraId="642CD5E7" w14:textId="5C4CD548" w:rsidR="00F572A3" w:rsidRPr="0049396B" w:rsidRDefault="00F572A3" w:rsidP="00F572A3">
      <w:pPr>
        <w:pStyle w:val="3-BodyText"/>
        <w:rPr>
          <w:iCs/>
        </w:rPr>
      </w:pPr>
      <w:r w:rsidRPr="0049396B">
        <w:rPr>
          <w:iCs/>
        </w:rPr>
        <w:t xml:space="preserve">The submission did not provide any justification for selecting the real-world analysis by Brooks 2022, and appeared to ignore the results of several other real-world studies (with the exception of Okada 2018). An independent search conducted during the evaluation identified a recent systematic review and meta-analysis by </w:t>
      </w:r>
      <w:proofErr w:type="spellStart"/>
      <w:r w:rsidRPr="0049396B">
        <w:rPr>
          <w:iCs/>
        </w:rPr>
        <w:t>Nourelden</w:t>
      </w:r>
      <w:proofErr w:type="spellEnd"/>
      <w:r w:rsidRPr="0049396B">
        <w:rPr>
          <w:iCs/>
        </w:rPr>
        <w:t xml:space="preserve"> 2023 that included survival outcomes of edaravone based on data from four RCTs and six real-world studies (including Brooks 2022, Okada 2018, </w:t>
      </w:r>
      <w:proofErr w:type="spellStart"/>
      <w:r w:rsidRPr="0049396B">
        <w:rPr>
          <w:iCs/>
        </w:rPr>
        <w:t>Lunetta</w:t>
      </w:r>
      <w:proofErr w:type="spellEnd"/>
      <w:r w:rsidRPr="0049396B">
        <w:rPr>
          <w:iCs/>
        </w:rPr>
        <w:t xml:space="preserve"> 2020, Vu 2020, </w:t>
      </w:r>
      <w:proofErr w:type="spellStart"/>
      <w:r w:rsidRPr="0049396B">
        <w:rPr>
          <w:iCs/>
        </w:rPr>
        <w:t>Houzen</w:t>
      </w:r>
      <w:proofErr w:type="spellEnd"/>
      <w:r w:rsidRPr="0049396B">
        <w:rPr>
          <w:iCs/>
        </w:rPr>
        <w:t xml:space="preserve"> 2021, </w:t>
      </w:r>
      <w:proofErr w:type="spellStart"/>
      <w:r w:rsidRPr="0049396B">
        <w:rPr>
          <w:iCs/>
        </w:rPr>
        <w:t>Witzel</w:t>
      </w:r>
      <w:proofErr w:type="spellEnd"/>
      <w:r w:rsidRPr="0049396B">
        <w:rPr>
          <w:iCs/>
        </w:rPr>
        <w:t xml:space="preserve"> 2022). </w:t>
      </w:r>
      <w:bookmarkStart w:id="50" w:name="_Hlk144721316"/>
      <w:r w:rsidRPr="0049396B">
        <w:rPr>
          <w:iCs/>
        </w:rPr>
        <w:t xml:space="preserve">This meta-analysis did find some survival benefit for edaravone versus SOC from 18 months, but the authors did not appear to control for population characteristics or methodology of the studies. Only three of the studies included in the meta-analysis reported a survival benefit with edaravone (Brooks 2022, Okada 2018, </w:t>
      </w:r>
      <w:proofErr w:type="spellStart"/>
      <w:r w:rsidRPr="0049396B">
        <w:rPr>
          <w:iCs/>
        </w:rPr>
        <w:t>Houzen</w:t>
      </w:r>
      <w:proofErr w:type="spellEnd"/>
      <w:r w:rsidRPr="0049396B">
        <w:rPr>
          <w:iCs/>
        </w:rPr>
        <w:t xml:space="preserve"> 2021). Across the real-world studies, the </w:t>
      </w:r>
      <w:r w:rsidR="00E53030" w:rsidRPr="0049396B">
        <w:rPr>
          <w:iCs/>
        </w:rPr>
        <w:t xml:space="preserve">evaluation considered the </w:t>
      </w:r>
      <w:r w:rsidRPr="0049396B">
        <w:rPr>
          <w:iCs/>
        </w:rPr>
        <w:t xml:space="preserve">analysis by </w:t>
      </w:r>
      <w:proofErr w:type="spellStart"/>
      <w:r w:rsidRPr="0049396B">
        <w:rPr>
          <w:iCs/>
        </w:rPr>
        <w:t>Witzel</w:t>
      </w:r>
      <w:proofErr w:type="spellEnd"/>
      <w:r w:rsidRPr="0049396B">
        <w:rPr>
          <w:iCs/>
        </w:rPr>
        <w:t xml:space="preserve"> 2022 likely used the least biased approach and found no difference in survival.</w:t>
      </w:r>
      <w:bookmarkEnd w:id="50"/>
      <w:r w:rsidR="00E53030" w:rsidRPr="0049396B">
        <w:rPr>
          <w:iCs/>
        </w:rPr>
        <w:t xml:space="preserve"> The PSCR disagreed</w:t>
      </w:r>
      <w:r w:rsidR="00E0690D" w:rsidRPr="0049396B">
        <w:rPr>
          <w:iCs/>
        </w:rPr>
        <w:t xml:space="preserve"> with the evaluation</w:t>
      </w:r>
      <w:r w:rsidR="00E53030" w:rsidRPr="0049396B">
        <w:rPr>
          <w:iCs/>
        </w:rPr>
        <w:t xml:space="preserve">, noting that this study was smaller, had limited follow-up, did not include contemporaneous controls, and the matching process accounted for fewer potential confounders. In addition, patients were not identified as being ambulatory and not all patients had preserved respiratory function, maximum disease duration of 2 years and the minority of patients had ≥2 points for each item of the ALSFRS-R. </w:t>
      </w:r>
    </w:p>
    <w:p w14:paraId="7C4B0314" w14:textId="0D8446D1" w:rsidR="0011758A" w:rsidRPr="0049396B" w:rsidRDefault="0011758A" w:rsidP="00F572A3">
      <w:pPr>
        <w:pStyle w:val="3-BodyText"/>
        <w:rPr>
          <w:iCs/>
        </w:rPr>
      </w:pPr>
      <w:r w:rsidRPr="0049396B">
        <w:rPr>
          <w:iCs/>
        </w:rPr>
        <w:t>The ESC considered that the use of Brooks 2022 was selective, particularly as there was limited information about ALS disease staging and as its findings were inconsistent with the primary clinical trial evidence.</w:t>
      </w:r>
    </w:p>
    <w:p w14:paraId="2716FDC6" w14:textId="77777777" w:rsidR="00F572A3" w:rsidRPr="0049396B" w:rsidRDefault="00F572A3" w:rsidP="00F572A3">
      <w:pPr>
        <w:pStyle w:val="4-SubsectionHeading"/>
      </w:pPr>
      <w:bookmarkStart w:id="51" w:name="_Toc22897642"/>
      <w:bookmarkStart w:id="52" w:name="_Toc145493778"/>
      <w:r w:rsidRPr="0049396B">
        <w:lastRenderedPageBreak/>
        <w:t>Comparative harms</w:t>
      </w:r>
      <w:bookmarkEnd w:id="51"/>
      <w:bookmarkEnd w:id="52"/>
    </w:p>
    <w:p w14:paraId="38125C43" w14:textId="6E448C77" w:rsidR="00F572A3" w:rsidRPr="0049396B" w:rsidRDefault="00F572A3" w:rsidP="00F572A3">
      <w:pPr>
        <w:pStyle w:val="3-BodyText"/>
      </w:pPr>
      <w:r w:rsidRPr="0049396B">
        <w:fldChar w:fldCharType="begin" w:fldLock="1"/>
      </w:r>
      <w:r w:rsidRPr="0049396B">
        <w:instrText xml:space="preserve"> REF _Ref144727674 \h </w:instrText>
      </w:r>
      <w:r w:rsidRPr="0049396B">
        <w:fldChar w:fldCharType="separate"/>
      </w:r>
      <w:r w:rsidR="00041148" w:rsidRPr="0049396B">
        <w:t>Table 7</w:t>
      </w:r>
      <w:r w:rsidRPr="0049396B">
        <w:fldChar w:fldCharType="end"/>
      </w:r>
      <w:r w:rsidRPr="0049396B">
        <w:t xml:space="preserve"> summarises the key safety outcomes from Study 16 and Study 19 to cycle 6.</w:t>
      </w:r>
    </w:p>
    <w:p w14:paraId="336A4D2F" w14:textId="3A28B0A6" w:rsidR="00F572A3" w:rsidRPr="0049396B" w:rsidRDefault="00F572A3" w:rsidP="00401F9E">
      <w:pPr>
        <w:pStyle w:val="Caption"/>
        <w:jc w:val="left"/>
      </w:pPr>
      <w:bookmarkStart w:id="53" w:name="_Ref144727674"/>
      <w:bookmarkStart w:id="54" w:name="_Ref144727668"/>
      <w:r w:rsidRPr="0049396B">
        <w:t xml:space="preserve">Table </w:t>
      </w:r>
      <w:r w:rsidR="001C0AB9">
        <w:fldChar w:fldCharType="begin" w:fldLock="1"/>
      </w:r>
      <w:r w:rsidR="001C0AB9">
        <w:instrText xml:space="preserve"> SEQ Table \* ARABIC </w:instrText>
      </w:r>
      <w:r w:rsidR="001C0AB9">
        <w:fldChar w:fldCharType="separate"/>
      </w:r>
      <w:r w:rsidR="00B41026" w:rsidRPr="0049396B">
        <w:t>7</w:t>
      </w:r>
      <w:r w:rsidR="001C0AB9">
        <w:fldChar w:fldCharType="end"/>
      </w:r>
      <w:bookmarkEnd w:id="53"/>
      <w:r w:rsidRPr="0049396B">
        <w:t>: Summary of key adverse events in the double-blind period of Study 16 and Study 19</w:t>
      </w:r>
      <w:bookmarkEnd w:id="5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830"/>
        <w:gridCol w:w="1418"/>
        <w:gridCol w:w="1417"/>
        <w:gridCol w:w="1560"/>
        <w:gridCol w:w="1792"/>
      </w:tblGrid>
      <w:tr w:rsidR="00F572A3" w:rsidRPr="0049396B" w14:paraId="1B081972" w14:textId="77777777" w:rsidTr="00EB254E">
        <w:trPr>
          <w:cantSplit/>
        </w:trPr>
        <w:tc>
          <w:tcPr>
            <w:tcW w:w="2830" w:type="dxa"/>
            <w:vAlign w:val="center"/>
          </w:tcPr>
          <w:p w14:paraId="101FCB8F" w14:textId="77777777" w:rsidR="00F572A3" w:rsidRPr="0049396B" w:rsidRDefault="00F572A3" w:rsidP="00401F9E">
            <w:pPr>
              <w:pStyle w:val="In-tableHeading"/>
              <w:rPr>
                <w:lang w:val="en-AU"/>
              </w:rPr>
            </w:pPr>
            <w:r w:rsidRPr="0049396B">
              <w:rPr>
                <w:lang w:val="en-AU"/>
              </w:rPr>
              <w:t>Trial ID</w:t>
            </w:r>
          </w:p>
        </w:tc>
        <w:tc>
          <w:tcPr>
            <w:tcW w:w="1418" w:type="dxa"/>
            <w:vAlign w:val="center"/>
          </w:tcPr>
          <w:p w14:paraId="2ED0EB5E" w14:textId="77777777" w:rsidR="00F572A3" w:rsidRPr="0049396B" w:rsidRDefault="00F572A3" w:rsidP="00401F9E">
            <w:pPr>
              <w:pStyle w:val="In-tableHeading"/>
              <w:jc w:val="center"/>
              <w:rPr>
                <w:lang w:val="en-AU"/>
              </w:rPr>
            </w:pPr>
            <w:r w:rsidRPr="0049396B">
              <w:rPr>
                <w:lang w:val="en-AU"/>
              </w:rPr>
              <w:t>Edaravone</w:t>
            </w:r>
          </w:p>
          <w:p w14:paraId="1FE23464" w14:textId="77777777" w:rsidR="00F572A3" w:rsidRPr="0049396B" w:rsidRDefault="00F572A3" w:rsidP="00401F9E">
            <w:pPr>
              <w:pStyle w:val="In-tableHeading"/>
              <w:jc w:val="center"/>
              <w:rPr>
                <w:lang w:val="en-AU"/>
              </w:rPr>
            </w:pPr>
            <w:r w:rsidRPr="0049396B">
              <w:rPr>
                <w:lang w:val="en-AU"/>
              </w:rPr>
              <w:t>n/N (%)</w:t>
            </w:r>
          </w:p>
        </w:tc>
        <w:tc>
          <w:tcPr>
            <w:tcW w:w="1417" w:type="dxa"/>
            <w:vAlign w:val="center"/>
          </w:tcPr>
          <w:p w14:paraId="44009F7E" w14:textId="77777777" w:rsidR="00F572A3" w:rsidRPr="0049396B" w:rsidRDefault="00F572A3" w:rsidP="00401F9E">
            <w:pPr>
              <w:pStyle w:val="In-tableHeading"/>
              <w:jc w:val="center"/>
              <w:rPr>
                <w:lang w:val="en-AU"/>
              </w:rPr>
            </w:pPr>
            <w:r w:rsidRPr="0049396B">
              <w:rPr>
                <w:lang w:val="en-AU"/>
              </w:rPr>
              <w:t>Placebo</w:t>
            </w:r>
          </w:p>
          <w:p w14:paraId="66F38355" w14:textId="77777777" w:rsidR="00F572A3" w:rsidRPr="0049396B" w:rsidRDefault="00F572A3" w:rsidP="00401F9E">
            <w:pPr>
              <w:pStyle w:val="In-tableHeading"/>
              <w:jc w:val="center"/>
              <w:rPr>
                <w:lang w:val="en-AU"/>
              </w:rPr>
            </w:pPr>
            <w:r w:rsidRPr="0049396B">
              <w:rPr>
                <w:lang w:val="en-AU"/>
              </w:rPr>
              <w:t>n/N (%)</w:t>
            </w:r>
          </w:p>
        </w:tc>
        <w:tc>
          <w:tcPr>
            <w:tcW w:w="1560" w:type="dxa"/>
            <w:vAlign w:val="center"/>
          </w:tcPr>
          <w:p w14:paraId="27023690" w14:textId="77777777" w:rsidR="00F572A3" w:rsidRPr="0049396B" w:rsidRDefault="00F572A3" w:rsidP="00401F9E">
            <w:pPr>
              <w:pStyle w:val="In-tableHeading"/>
              <w:jc w:val="center"/>
              <w:rPr>
                <w:lang w:val="en-AU"/>
              </w:rPr>
            </w:pPr>
            <w:r w:rsidRPr="0049396B">
              <w:rPr>
                <w:lang w:val="en-AU"/>
              </w:rPr>
              <w:t>RR (95% CI)</w:t>
            </w:r>
          </w:p>
        </w:tc>
        <w:tc>
          <w:tcPr>
            <w:tcW w:w="1792" w:type="dxa"/>
            <w:vAlign w:val="center"/>
          </w:tcPr>
          <w:p w14:paraId="1AF3EE42" w14:textId="77777777" w:rsidR="00F572A3" w:rsidRPr="0049396B" w:rsidRDefault="00F572A3" w:rsidP="00401F9E">
            <w:pPr>
              <w:pStyle w:val="In-tableHeading"/>
              <w:jc w:val="center"/>
              <w:rPr>
                <w:lang w:val="en-AU"/>
              </w:rPr>
            </w:pPr>
            <w:r w:rsidRPr="0049396B">
              <w:rPr>
                <w:lang w:val="en-AU"/>
              </w:rPr>
              <w:t>RD (95% CI)</w:t>
            </w:r>
          </w:p>
        </w:tc>
      </w:tr>
      <w:tr w:rsidR="00F572A3" w:rsidRPr="0049396B" w14:paraId="3AA3EF75" w14:textId="77777777" w:rsidTr="00EB254E">
        <w:trPr>
          <w:cantSplit/>
        </w:trPr>
        <w:tc>
          <w:tcPr>
            <w:tcW w:w="9017" w:type="dxa"/>
            <w:gridSpan w:val="5"/>
          </w:tcPr>
          <w:p w14:paraId="20C4D81F" w14:textId="77777777" w:rsidR="00F572A3" w:rsidRPr="0049396B" w:rsidRDefault="00F572A3" w:rsidP="00401F9E">
            <w:pPr>
              <w:pStyle w:val="TableText0"/>
              <w:rPr>
                <w:b/>
              </w:rPr>
            </w:pPr>
            <w:r w:rsidRPr="0049396B">
              <w:rPr>
                <w:b/>
              </w:rPr>
              <w:t>Study 16 (ITT) to cycle 6</w:t>
            </w:r>
          </w:p>
        </w:tc>
      </w:tr>
      <w:tr w:rsidR="00F572A3" w:rsidRPr="0049396B" w14:paraId="2CD8BA08" w14:textId="77777777" w:rsidTr="00EB254E">
        <w:trPr>
          <w:cantSplit/>
        </w:trPr>
        <w:tc>
          <w:tcPr>
            <w:tcW w:w="2830" w:type="dxa"/>
            <w:vAlign w:val="center"/>
          </w:tcPr>
          <w:p w14:paraId="3E263F4F" w14:textId="77777777" w:rsidR="00F572A3" w:rsidRPr="0049396B" w:rsidRDefault="00F572A3" w:rsidP="00401F9E">
            <w:pPr>
              <w:pStyle w:val="TableText0"/>
            </w:pPr>
            <w:r w:rsidRPr="0049396B">
              <w:t>≥1 AEs</w:t>
            </w:r>
          </w:p>
        </w:tc>
        <w:tc>
          <w:tcPr>
            <w:tcW w:w="1418" w:type="dxa"/>
            <w:vAlign w:val="center"/>
          </w:tcPr>
          <w:p w14:paraId="5C579170" w14:textId="77777777" w:rsidR="00F572A3" w:rsidRPr="0049396B" w:rsidRDefault="00F572A3" w:rsidP="00401F9E">
            <w:pPr>
              <w:pStyle w:val="TableText0"/>
              <w:jc w:val="center"/>
            </w:pPr>
            <w:r w:rsidRPr="0049396B">
              <w:t>91/102 (89.2)</w:t>
            </w:r>
          </w:p>
        </w:tc>
        <w:tc>
          <w:tcPr>
            <w:tcW w:w="1417" w:type="dxa"/>
            <w:vAlign w:val="center"/>
          </w:tcPr>
          <w:p w14:paraId="26736A6D" w14:textId="77777777" w:rsidR="00F572A3" w:rsidRPr="0049396B" w:rsidRDefault="00F572A3" w:rsidP="00401F9E">
            <w:pPr>
              <w:pStyle w:val="TableText0"/>
              <w:jc w:val="center"/>
            </w:pPr>
            <w:r w:rsidRPr="0049396B">
              <w:t>92/104 (88.5)</w:t>
            </w:r>
          </w:p>
        </w:tc>
        <w:tc>
          <w:tcPr>
            <w:tcW w:w="1560" w:type="dxa"/>
            <w:vAlign w:val="center"/>
          </w:tcPr>
          <w:p w14:paraId="34C6B14A" w14:textId="77777777" w:rsidR="00F572A3" w:rsidRPr="0049396B" w:rsidRDefault="00F572A3" w:rsidP="00401F9E">
            <w:pPr>
              <w:pStyle w:val="TableText0"/>
              <w:jc w:val="center"/>
            </w:pPr>
            <w:r w:rsidRPr="0049396B">
              <w:t>1.01 (0.92, 1.11)</w:t>
            </w:r>
          </w:p>
        </w:tc>
        <w:tc>
          <w:tcPr>
            <w:tcW w:w="1792" w:type="dxa"/>
            <w:vAlign w:val="center"/>
          </w:tcPr>
          <w:p w14:paraId="458C279E" w14:textId="77777777" w:rsidR="00F572A3" w:rsidRPr="0049396B" w:rsidRDefault="00F572A3" w:rsidP="00401F9E">
            <w:pPr>
              <w:pStyle w:val="TableText0"/>
              <w:jc w:val="center"/>
            </w:pPr>
            <w:r w:rsidRPr="0049396B">
              <w:t>0.01 (-0.08, 0.09)</w:t>
            </w:r>
          </w:p>
        </w:tc>
      </w:tr>
      <w:tr w:rsidR="00F572A3" w:rsidRPr="0049396B" w14:paraId="55A64C60" w14:textId="77777777" w:rsidTr="00EB254E">
        <w:trPr>
          <w:cantSplit/>
        </w:trPr>
        <w:tc>
          <w:tcPr>
            <w:tcW w:w="2830" w:type="dxa"/>
            <w:vAlign w:val="center"/>
          </w:tcPr>
          <w:p w14:paraId="11659263" w14:textId="77777777" w:rsidR="00F572A3" w:rsidRPr="0049396B" w:rsidRDefault="00F572A3" w:rsidP="00401F9E">
            <w:pPr>
              <w:pStyle w:val="TableText0"/>
            </w:pPr>
            <w:r w:rsidRPr="0049396B">
              <w:t>AE leading to discontinuation</w:t>
            </w:r>
          </w:p>
        </w:tc>
        <w:tc>
          <w:tcPr>
            <w:tcW w:w="1418" w:type="dxa"/>
            <w:vAlign w:val="center"/>
          </w:tcPr>
          <w:p w14:paraId="00AD8C67" w14:textId="77777777" w:rsidR="00F572A3" w:rsidRPr="0049396B" w:rsidRDefault="00F572A3" w:rsidP="00401F9E">
            <w:pPr>
              <w:pStyle w:val="TableText0"/>
              <w:jc w:val="center"/>
            </w:pPr>
            <w:r w:rsidRPr="0049396B">
              <w:t>3/102 (2.9)</w:t>
            </w:r>
          </w:p>
        </w:tc>
        <w:tc>
          <w:tcPr>
            <w:tcW w:w="1417" w:type="dxa"/>
            <w:vAlign w:val="center"/>
          </w:tcPr>
          <w:p w14:paraId="1CEFF3E2" w14:textId="77777777" w:rsidR="00F572A3" w:rsidRPr="0049396B" w:rsidRDefault="00F572A3" w:rsidP="00401F9E">
            <w:pPr>
              <w:pStyle w:val="TableText0"/>
              <w:jc w:val="center"/>
            </w:pPr>
            <w:r w:rsidRPr="0049396B">
              <w:t>8/104 (7.7)</w:t>
            </w:r>
            <w:r w:rsidRPr="0049396B">
              <w:rPr>
                <w:vertAlign w:val="superscript"/>
              </w:rPr>
              <w:t>a</w:t>
            </w:r>
          </w:p>
        </w:tc>
        <w:tc>
          <w:tcPr>
            <w:tcW w:w="1560" w:type="dxa"/>
            <w:vAlign w:val="center"/>
          </w:tcPr>
          <w:p w14:paraId="3C6BDBE0" w14:textId="77777777" w:rsidR="00F572A3" w:rsidRPr="0049396B" w:rsidRDefault="00F572A3" w:rsidP="00401F9E">
            <w:pPr>
              <w:pStyle w:val="TableText0"/>
              <w:jc w:val="center"/>
            </w:pPr>
            <w:r w:rsidRPr="0049396B">
              <w:t>0.38 (0.10, 1.40)</w:t>
            </w:r>
          </w:p>
        </w:tc>
        <w:tc>
          <w:tcPr>
            <w:tcW w:w="1792" w:type="dxa"/>
            <w:vAlign w:val="center"/>
          </w:tcPr>
          <w:p w14:paraId="10DEFD40" w14:textId="77777777" w:rsidR="00F572A3" w:rsidRPr="0049396B" w:rsidRDefault="00F572A3" w:rsidP="00401F9E">
            <w:pPr>
              <w:pStyle w:val="TableText0"/>
              <w:jc w:val="center"/>
            </w:pPr>
            <w:r w:rsidRPr="0049396B">
              <w:t>-0.05 (-0.11, 0.01)</w:t>
            </w:r>
          </w:p>
        </w:tc>
      </w:tr>
      <w:tr w:rsidR="00F572A3" w:rsidRPr="0049396B" w14:paraId="5862283A" w14:textId="77777777" w:rsidTr="00EB254E">
        <w:trPr>
          <w:cantSplit/>
        </w:trPr>
        <w:tc>
          <w:tcPr>
            <w:tcW w:w="2830" w:type="dxa"/>
            <w:vAlign w:val="center"/>
          </w:tcPr>
          <w:p w14:paraId="67CCEDB1" w14:textId="77777777" w:rsidR="00F572A3" w:rsidRPr="0049396B" w:rsidRDefault="00F572A3" w:rsidP="00401F9E">
            <w:pPr>
              <w:pStyle w:val="TableText0"/>
            </w:pPr>
            <w:r w:rsidRPr="0049396B">
              <w:t>≥1 SAE</w:t>
            </w:r>
          </w:p>
        </w:tc>
        <w:tc>
          <w:tcPr>
            <w:tcW w:w="1418" w:type="dxa"/>
            <w:vAlign w:val="center"/>
          </w:tcPr>
          <w:p w14:paraId="3BC791F1" w14:textId="77777777" w:rsidR="00F572A3" w:rsidRPr="0049396B" w:rsidRDefault="00F572A3" w:rsidP="00401F9E">
            <w:pPr>
              <w:pStyle w:val="TableText0"/>
              <w:jc w:val="center"/>
            </w:pPr>
            <w:r w:rsidRPr="0049396B">
              <w:t>18/102 (17.6)</w:t>
            </w:r>
          </w:p>
        </w:tc>
        <w:tc>
          <w:tcPr>
            <w:tcW w:w="1417" w:type="dxa"/>
            <w:vAlign w:val="center"/>
          </w:tcPr>
          <w:p w14:paraId="7236A0F1" w14:textId="77777777" w:rsidR="00F572A3" w:rsidRPr="0049396B" w:rsidRDefault="00F572A3" w:rsidP="00401F9E">
            <w:pPr>
              <w:pStyle w:val="TableText0"/>
              <w:jc w:val="center"/>
            </w:pPr>
            <w:r w:rsidRPr="0049396B">
              <w:t>24/104 (23.1)</w:t>
            </w:r>
          </w:p>
        </w:tc>
        <w:tc>
          <w:tcPr>
            <w:tcW w:w="1560" w:type="dxa"/>
            <w:vAlign w:val="center"/>
          </w:tcPr>
          <w:p w14:paraId="34C927F3" w14:textId="77777777" w:rsidR="00F572A3" w:rsidRPr="0049396B" w:rsidRDefault="00F572A3" w:rsidP="00401F9E">
            <w:pPr>
              <w:pStyle w:val="TableText0"/>
              <w:jc w:val="center"/>
            </w:pPr>
            <w:r w:rsidRPr="0049396B">
              <w:t>0.76 (0.44, 1.32)</w:t>
            </w:r>
          </w:p>
        </w:tc>
        <w:tc>
          <w:tcPr>
            <w:tcW w:w="1792" w:type="dxa"/>
            <w:vAlign w:val="center"/>
          </w:tcPr>
          <w:p w14:paraId="240E6C6C" w14:textId="77777777" w:rsidR="00F572A3" w:rsidRPr="0049396B" w:rsidRDefault="00F572A3" w:rsidP="00401F9E">
            <w:pPr>
              <w:pStyle w:val="TableText0"/>
              <w:jc w:val="center"/>
            </w:pPr>
            <w:r w:rsidRPr="0049396B">
              <w:t>-0.05 (-0.16, 0.06)</w:t>
            </w:r>
          </w:p>
        </w:tc>
      </w:tr>
      <w:tr w:rsidR="00F572A3" w:rsidRPr="0049396B" w14:paraId="12353BA3" w14:textId="77777777" w:rsidTr="00EB254E">
        <w:trPr>
          <w:cantSplit/>
        </w:trPr>
        <w:tc>
          <w:tcPr>
            <w:tcW w:w="2830" w:type="dxa"/>
            <w:vAlign w:val="center"/>
          </w:tcPr>
          <w:p w14:paraId="48AE0D5D" w14:textId="77777777" w:rsidR="00F572A3" w:rsidRPr="0049396B" w:rsidRDefault="00F572A3" w:rsidP="00401F9E">
            <w:pPr>
              <w:pStyle w:val="TableText0"/>
            </w:pPr>
            <w:r w:rsidRPr="0049396B">
              <w:t>Deaths</w:t>
            </w:r>
          </w:p>
        </w:tc>
        <w:tc>
          <w:tcPr>
            <w:tcW w:w="1418" w:type="dxa"/>
            <w:vAlign w:val="center"/>
          </w:tcPr>
          <w:p w14:paraId="58438FE3" w14:textId="77777777" w:rsidR="00F572A3" w:rsidRPr="0049396B" w:rsidRDefault="00F572A3" w:rsidP="00401F9E">
            <w:pPr>
              <w:pStyle w:val="TableText0"/>
              <w:jc w:val="center"/>
            </w:pPr>
            <w:r w:rsidRPr="0049396B">
              <w:t>3/102 (2.9)</w:t>
            </w:r>
            <w:r w:rsidRPr="0049396B">
              <w:rPr>
                <w:vertAlign w:val="superscript"/>
              </w:rPr>
              <w:t>b</w:t>
            </w:r>
          </w:p>
        </w:tc>
        <w:tc>
          <w:tcPr>
            <w:tcW w:w="1417" w:type="dxa"/>
            <w:vAlign w:val="center"/>
          </w:tcPr>
          <w:p w14:paraId="32F3CEE8" w14:textId="77777777" w:rsidR="00F572A3" w:rsidRPr="0049396B" w:rsidRDefault="00F572A3" w:rsidP="00401F9E">
            <w:pPr>
              <w:pStyle w:val="TableText0"/>
              <w:jc w:val="center"/>
            </w:pPr>
            <w:r w:rsidRPr="0049396B">
              <w:t>2/104 (1.9)</w:t>
            </w:r>
          </w:p>
        </w:tc>
        <w:tc>
          <w:tcPr>
            <w:tcW w:w="1560" w:type="dxa"/>
            <w:vAlign w:val="center"/>
          </w:tcPr>
          <w:p w14:paraId="4E557325" w14:textId="77777777" w:rsidR="00F572A3" w:rsidRPr="0049396B" w:rsidRDefault="00F572A3" w:rsidP="00401F9E">
            <w:pPr>
              <w:pStyle w:val="TableText0"/>
              <w:jc w:val="center"/>
            </w:pPr>
            <w:r w:rsidRPr="0049396B">
              <w:t>1.53 (0.26, 8.96)</w:t>
            </w:r>
          </w:p>
        </w:tc>
        <w:tc>
          <w:tcPr>
            <w:tcW w:w="1792" w:type="dxa"/>
            <w:vAlign w:val="center"/>
          </w:tcPr>
          <w:p w14:paraId="3F2F3C9D" w14:textId="77777777" w:rsidR="00F572A3" w:rsidRPr="0049396B" w:rsidRDefault="00F572A3" w:rsidP="00401F9E">
            <w:pPr>
              <w:pStyle w:val="TableText0"/>
              <w:jc w:val="center"/>
            </w:pPr>
            <w:r w:rsidRPr="0049396B">
              <w:t>0.01 (-0.03, 0.05)</w:t>
            </w:r>
          </w:p>
        </w:tc>
      </w:tr>
      <w:tr w:rsidR="00F572A3" w:rsidRPr="0049396B" w14:paraId="2ED2488D" w14:textId="77777777" w:rsidTr="00EB254E">
        <w:trPr>
          <w:cantSplit/>
        </w:trPr>
        <w:tc>
          <w:tcPr>
            <w:tcW w:w="2830" w:type="dxa"/>
            <w:vAlign w:val="center"/>
          </w:tcPr>
          <w:p w14:paraId="1F3DA592" w14:textId="77777777" w:rsidR="00F572A3" w:rsidRPr="0049396B" w:rsidRDefault="00F572A3" w:rsidP="00401F9E">
            <w:pPr>
              <w:pStyle w:val="TableText0"/>
            </w:pPr>
            <w:r w:rsidRPr="0049396B">
              <w:t>Adverse drug reactions</w:t>
            </w:r>
          </w:p>
        </w:tc>
        <w:tc>
          <w:tcPr>
            <w:tcW w:w="1418" w:type="dxa"/>
            <w:vAlign w:val="center"/>
          </w:tcPr>
          <w:p w14:paraId="1B05A536" w14:textId="77777777" w:rsidR="00F572A3" w:rsidRPr="0049396B" w:rsidRDefault="00F572A3" w:rsidP="00401F9E">
            <w:pPr>
              <w:pStyle w:val="TableText0"/>
              <w:jc w:val="center"/>
            </w:pPr>
            <w:r w:rsidRPr="0049396B">
              <w:t>14/102 (13.7)</w:t>
            </w:r>
          </w:p>
        </w:tc>
        <w:tc>
          <w:tcPr>
            <w:tcW w:w="1417" w:type="dxa"/>
            <w:vAlign w:val="center"/>
          </w:tcPr>
          <w:p w14:paraId="429FD3EC" w14:textId="77777777" w:rsidR="00F572A3" w:rsidRPr="0049396B" w:rsidRDefault="00F572A3" w:rsidP="00401F9E">
            <w:pPr>
              <w:pStyle w:val="TableText0"/>
              <w:jc w:val="center"/>
            </w:pPr>
            <w:r w:rsidRPr="0049396B">
              <w:t>20/104 (19.2)</w:t>
            </w:r>
          </w:p>
        </w:tc>
        <w:tc>
          <w:tcPr>
            <w:tcW w:w="1560" w:type="dxa"/>
            <w:vAlign w:val="center"/>
          </w:tcPr>
          <w:p w14:paraId="0891CD45" w14:textId="77777777" w:rsidR="00F572A3" w:rsidRPr="0049396B" w:rsidRDefault="00F572A3" w:rsidP="00401F9E">
            <w:pPr>
              <w:pStyle w:val="TableText0"/>
              <w:jc w:val="center"/>
            </w:pPr>
            <w:r w:rsidRPr="0049396B">
              <w:t>0.71 (0.38, 1.33)</w:t>
            </w:r>
          </w:p>
        </w:tc>
        <w:tc>
          <w:tcPr>
            <w:tcW w:w="1792" w:type="dxa"/>
            <w:vAlign w:val="center"/>
          </w:tcPr>
          <w:p w14:paraId="5C7C7CF2" w14:textId="77777777" w:rsidR="00F572A3" w:rsidRPr="0049396B" w:rsidRDefault="00F572A3" w:rsidP="00401F9E">
            <w:pPr>
              <w:pStyle w:val="TableText0"/>
              <w:jc w:val="center"/>
            </w:pPr>
            <w:r w:rsidRPr="0049396B">
              <w:t>-0.06 (-0.16, 0.05)</w:t>
            </w:r>
          </w:p>
        </w:tc>
      </w:tr>
      <w:tr w:rsidR="00F572A3" w:rsidRPr="0049396B" w14:paraId="17DB6B94" w14:textId="77777777" w:rsidTr="00EB254E">
        <w:trPr>
          <w:cantSplit/>
        </w:trPr>
        <w:tc>
          <w:tcPr>
            <w:tcW w:w="2830" w:type="dxa"/>
            <w:vAlign w:val="center"/>
          </w:tcPr>
          <w:p w14:paraId="54360DA2" w14:textId="77777777" w:rsidR="00F572A3" w:rsidRPr="0049396B" w:rsidRDefault="00F572A3" w:rsidP="00401F9E">
            <w:pPr>
              <w:pStyle w:val="TableText0"/>
            </w:pPr>
            <w:r w:rsidRPr="0049396B">
              <w:t>Infusion site reaction</w:t>
            </w:r>
          </w:p>
        </w:tc>
        <w:tc>
          <w:tcPr>
            <w:tcW w:w="1418" w:type="dxa"/>
            <w:vAlign w:val="center"/>
          </w:tcPr>
          <w:p w14:paraId="38B5D379" w14:textId="77777777" w:rsidR="00F572A3" w:rsidRPr="0049396B" w:rsidRDefault="00F572A3" w:rsidP="00401F9E">
            <w:pPr>
              <w:pStyle w:val="TableText0"/>
              <w:jc w:val="center"/>
            </w:pPr>
            <w:r w:rsidRPr="0049396B">
              <w:t>1/102 (1.0)</w:t>
            </w:r>
          </w:p>
        </w:tc>
        <w:tc>
          <w:tcPr>
            <w:tcW w:w="1417" w:type="dxa"/>
            <w:vAlign w:val="center"/>
          </w:tcPr>
          <w:p w14:paraId="327E97B5" w14:textId="77777777" w:rsidR="00F572A3" w:rsidRPr="0049396B" w:rsidRDefault="00F572A3" w:rsidP="00401F9E">
            <w:pPr>
              <w:pStyle w:val="TableText0"/>
              <w:jc w:val="center"/>
            </w:pPr>
            <w:r w:rsidRPr="0049396B">
              <w:t>0</w:t>
            </w:r>
          </w:p>
        </w:tc>
        <w:tc>
          <w:tcPr>
            <w:tcW w:w="1560" w:type="dxa"/>
            <w:vAlign w:val="center"/>
          </w:tcPr>
          <w:p w14:paraId="3D8ED0EC" w14:textId="77777777" w:rsidR="00F572A3" w:rsidRPr="0049396B" w:rsidRDefault="00F572A3" w:rsidP="00401F9E">
            <w:pPr>
              <w:pStyle w:val="TableText0"/>
              <w:jc w:val="center"/>
            </w:pPr>
            <w:r w:rsidRPr="0049396B">
              <w:t>3.06 (0.13, 74.21)</w:t>
            </w:r>
          </w:p>
        </w:tc>
        <w:tc>
          <w:tcPr>
            <w:tcW w:w="1792" w:type="dxa"/>
            <w:vAlign w:val="center"/>
          </w:tcPr>
          <w:p w14:paraId="2AF1C33B" w14:textId="77777777" w:rsidR="00F572A3" w:rsidRPr="0049396B" w:rsidRDefault="00F572A3" w:rsidP="00401F9E">
            <w:pPr>
              <w:pStyle w:val="TableText0"/>
              <w:jc w:val="center"/>
            </w:pPr>
            <w:r w:rsidRPr="0049396B">
              <w:t>0.01 (-0.02, 0.04)</w:t>
            </w:r>
          </w:p>
        </w:tc>
      </w:tr>
      <w:tr w:rsidR="00F572A3" w:rsidRPr="0049396B" w14:paraId="33AFCDB6" w14:textId="77777777" w:rsidTr="00EB254E">
        <w:trPr>
          <w:cantSplit/>
        </w:trPr>
        <w:tc>
          <w:tcPr>
            <w:tcW w:w="9017" w:type="dxa"/>
            <w:gridSpan w:val="5"/>
          </w:tcPr>
          <w:p w14:paraId="57BAC8A2" w14:textId="77777777" w:rsidR="00F572A3" w:rsidRPr="0049396B" w:rsidRDefault="00F572A3" w:rsidP="00401F9E">
            <w:pPr>
              <w:pStyle w:val="TableText0"/>
              <w:rPr>
                <w:b/>
              </w:rPr>
            </w:pPr>
            <w:r w:rsidRPr="0049396B">
              <w:rPr>
                <w:b/>
              </w:rPr>
              <w:t>Study 16 dpEESP2y (post hoc) to cycle 6</w:t>
            </w:r>
          </w:p>
        </w:tc>
      </w:tr>
      <w:tr w:rsidR="00F572A3" w:rsidRPr="0049396B" w14:paraId="1170BBE2" w14:textId="77777777" w:rsidTr="00EB254E">
        <w:trPr>
          <w:cantSplit/>
        </w:trPr>
        <w:tc>
          <w:tcPr>
            <w:tcW w:w="2830" w:type="dxa"/>
            <w:vAlign w:val="center"/>
          </w:tcPr>
          <w:p w14:paraId="7A73974E" w14:textId="77777777" w:rsidR="00F572A3" w:rsidRPr="0049396B" w:rsidRDefault="00F572A3" w:rsidP="00401F9E">
            <w:pPr>
              <w:pStyle w:val="TableText0"/>
            </w:pPr>
            <w:r w:rsidRPr="0049396B">
              <w:t>≥1 AEs</w:t>
            </w:r>
          </w:p>
        </w:tc>
        <w:tc>
          <w:tcPr>
            <w:tcW w:w="1418" w:type="dxa"/>
            <w:vAlign w:val="center"/>
          </w:tcPr>
          <w:p w14:paraId="3F808385" w14:textId="77777777" w:rsidR="00F572A3" w:rsidRPr="0049396B" w:rsidRDefault="00F572A3" w:rsidP="00401F9E">
            <w:pPr>
              <w:pStyle w:val="TableText0"/>
              <w:jc w:val="center"/>
            </w:pPr>
            <w:r w:rsidRPr="0049396B">
              <w:t>36/40 (90.0)</w:t>
            </w:r>
          </w:p>
        </w:tc>
        <w:tc>
          <w:tcPr>
            <w:tcW w:w="1417" w:type="dxa"/>
            <w:vAlign w:val="center"/>
          </w:tcPr>
          <w:p w14:paraId="40426CA5" w14:textId="77777777" w:rsidR="00F572A3" w:rsidRPr="0049396B" w:rsidRDefault="00F572A3" w:rsidP="00401F9E">
            <w:pPr>
              <w:pStyle w:val="TableText0"/>
              <w:jc w:val="center"/>
            </w:pPr>
            <w:r w:rsidRPr="0049396B">
              <w:t>30/32 (93.8)</w:t>
            </w:r>
          </w:p>
        </w:tc>
        <w:tc>
          <w:tcPr>
            <w:tcW w:w="1560" w:type="dxa"/>
            <w:vAlign w:val="center"/>
          </w:tcPr>
          <w:p w14:paraId="4F4EBBEC" w14:textId="77777777" w:rsidR="00F572A3" w:rsidRPr="0049396B" w:rsidRDefault="00F572A3" w:rsidP="00401F9E">
            <w:pPr>
              <w:pStyle w:val="TableText0"/>
              <w:jc w:val="center"/>
            </w:pPr>
            <w:r w:rsidRPr="0049396B">
              <w:t>0.96 (0.84, 1.10]</w:t>
            </w:r>
          </w:p>
        </w:tc>
        <w:tc>
          <w:tcPr>
            <w:tcW w:w="1792" w:type="dxa"/>
            <w:vAlign w:val="center"/>
          </w:tcPr>
          <w:p w14:paraId="1A8C3F9A" w14:textId="77777777" w:rsidR="00F572A3" w:rsidRPr="0049396B" w:rsidRDefault="00F572A3" w:rsidP="00401F9E">
            <w:pPr>
              <w:pStyle w:val="TableText0"/>
              <w:jc w:val="center"/>
            </w:pPr>
            <w:r w:rsidRPr="0049396B">
              <w:t>-0.04 (-0.16, 0.09)</w:t>
            </w:r>
          </w:p>
        </w:tc>
      </w:tr>
      <w:tr w:rsidR="00F572A3" w:rsidRPr="0049396B" w14:paraId="0A4A50C9" w14:textId="77777777" w:rsidTr="00EB254E">
        <w:trPr>
          <w:cantSplit/>
        </w:trPr>
        <w:tc>
          <w:tcPr>
            <w:tcW w:w="2830" w:type="dxa"/>
            <w:vAlign w:val="center"/>
          </w:tcPr>
          <w:p w14:paraId="2CE484C6" w14:textId="77777777" w:rsidR="00F572A3" w:rsidRPr="0049396B" w:rsidRDefault="00F572A3" w:rsidP="00401F9E">
            <w:pPr>
              <w:pStyle w:val="TableText0"/>
            </w:pPr>
            <w:r w:rsidRPr="0049396B">
              <w:t>AE leading to discontinuation</w:t>
            </w:r>
          </w:p>
        </w:tc>
        <w:tc>
          <w:tcPr>
            <w:tcW w:w="1418" w:type="dxa"/>
            <w:vAlign w:val="center"/>
          </w:tcPr>
          <w:p w14:paraId="55C67832" w14:textId="77777777" w:rsidR="00F572A3" w:rsidRPr="0049396B" w:rsidRDefault="00F572A3" w:rsidP="00401F9E">
            <w:pPr>
              <w:pStyle w:val="TableText0"/>
              <w:jc w:val="center"/>
            </w:pPr>
            <w:r w:rsidRPr="0049396B">
              <w:t>NR</w:t>
            </w:r>
          </w:p>
        </w:tc>
        <w:tc>
          <w:tcPr>
            <w:tcW w:w="1417" w:type="dxa"/>
            <w:vAlign w:val="center"/>
          </w:tcPr>
          <w:p w14:paraId="39FDEEF4" w14:textId="77777777" w:rsidR="00F572A3" w:rsidRPr="0049396B" w:rsidRDefault="00F572A3" w:rsidP="00401F9E">
            <w:pPr>
              <w:pStyle w:val="TableText0"/>
              <w:jc w:val="center"/>
            </w:pPr>
            <w:r w:rsidRPr="0049396B">
              <w:t>NR</w:t>
            </w:r>
          </w:p>
        </w:tc>
        <w:tc>
          <w:tcPr>
            <w:tcW w:w="1560" w:type="dxa"/>
            <w:vAlign w:val="center"/>
          </w:tcPr>
          <w:p w14:paraId="5DC4E9D8" w14:textId="77777777" w:rsidR="00F572A3" w:rsidRPr="0049396B" w:rsidRDefault="00F572A3" w:rsidP="00401F9E">
            <w:pPr>
              <w:pStyle w:val="TableText0"/>
              <w:jc w:val="center"/>
            </w:pPr>
            <w:r w:rsidRPr="0049396B">
              <w:t>-</w:t>
            </w:r>
          </w:p>
        </w:tc>
        <w:tc>
          <w:tcPr>
            <w:tcW w:w="1792" w:type="dxa"/>
            <w:vAlign w:val="center"/>
          </w:tcPr>
          <w:p w14:paraId="664BF030" w14:textId="77777777" w:rsidR="00F572A3" w:rsidRPr="0049396B" w:rsidRDefault="00F572A3" w:rsidP="00401F9E">
            <w:pPr>
              <w:pStyle w:val="TableText0"/>
              <w:jc w:val="center"/>
            </w:pPr>
            <w:r w:rsidRPr="0049396B">
              <w:t>-</w:t>
            </w:r>
          </w:p>
        </w:tc>
      </w:tr>
      <w:tr w:rsidR="00F572A3" w:rsidRPr="0049396B" w14:paraId="47A95866" w14:textId="77777777" w:rsidTr="00EB254E">
        <w:trPr>
          <w:cantSplit/>
        </w:trPr>
        <w:tc>
          <w:tcPr>
            <w:tcW w:w="2830" w:type="dxa"/>
            <w:vAlign w:val="center"/>
          </w:tcPr>
          <w:p w14:paraId="6009DF59" w14:textId="77777777" w:rsidR="00F572A3" w:rsidRPr="0049396B" w:rsidRDefault="00F572A3" w:rsidP="00401F9E">
            <w:pPr>
              <w:pStyle w:val="TableText0"/>
            </w:pPr>
            <w:r w:rsidRPr="0049396B">
              <w:t>≥1 SAE</w:t>
            </w:r>
          </w:p>
        </w:tc>
        <w:tc>
          <w:tcPr>
            <w:tcW w:w="1418" w:type="dxa"/>
            <w:vAlign w:val="center"/>
          </w:tcPr>
          <w:p w14:paraId="75CA393D" w14:textId="77777777" w:rsidR="00F572A3" w:rsidRPr="0049396B" w:rsidRDefault="00F572A3" w:rsidP="00401F9E">
            <w:pPr>
              <w:pStyle w:val="TableText0"/>
              <w:jc w:val="center"/>
            </w:pPr>
            <w:r w:rsidRPr="0049396B">
              <w:t>1/40 (2.5)</w:t>
            </w:r>
          </w:p>
        </w:tc>
        <w:tc>
          <w:tcPr>
            <w:tcW w:w="1417" w:type="dxa"/>
            <w:vAlign w:val="center"/>
          </w:tcPr>
          <w:p w14:paraId="6A02C62E" w14:textId="77777777" w:rsidR="00F572A3" w:rsidRPr="0049396B" w:rsidRDefault="00F572A3" w:rsidP="00401F9E">
            <w:pPr>
              <w:pStyle w:val="TableText0"/>
              <w:jc w:val="center"/>
            </w:pPr>
            <w:r w:rsidRPr="0049396B">
              <w:t>8/32 (25.0)</w:t>
            </w:r>
          </w:p>
        </w:tc>
        <w:tc>
          <w:tcPr>
            <w:tcW w:w="1560" w:type="dxa"/>
            <w:vAlign w:val="center"/>
          </w:tcPr>
          <w:p w14:paraId="0779B7A5" w14:textId="77777777" w:rsidR="00F572A3" w:rsidRPr="0049396B" w:rsidRDefault="00F572A3" w:rsidP="00401F9E">
            <w:pPr>
              <w:pStyle w:val="TableText0"/>
              <w:jc w:val="center"/>
              <w:rPr>
                <w:b/>
              </w:rPr>
            </w:pPr>
            <w:r w:rsidRPr="0049396B">
              <w:rPr>
                <w:b/>
              </w:rPr>
              <w:t>0.10 (0.01, 0.76]</w:t>
            </w:r>
          </w:p>
        </w:tc>
        <w:tc>
          <w:tcPr>
            <w:tcW w:w="1792" w:type="dxa"/>
            <w:vAlign w:val="center"/>
          </w:tcPr>
          <w:p w14:paraId="6386DBC1" w14:textId="77777777" w:rsidR="00F572A3" w:rsidRPr="0049396B" w:rsidRDefault="00F572A3" w:rsidP="00401F9E">
            <w:pPr>
              <w:pStyle w:val="TableText0"/>
              <w:jc w:val="center"/>
              <w:rPr>
                <w:b/>
              </w:rPr>
            </w:pPr>
            <w:r w:rsidRPr="0049396B">
              <w:rPr>
                <w:b/>
              </w:rPr>
              <w:t>-0.23 (-0.38, -0.07)</w:t>
            </w:r>
          </w:p>
        </w:tc>
      </w:tr>
      <w:tr w:rsidR="00F572A3" w:rsidRPr="0049396B" w14:paraId="70E11B2D" w14:textId="77777777" w:rsidTr="00EB254E">
        <w:trPr>
          <w:cantSplit/>
        </w:trPr>
        <w:tc>
          <w:tcPr>
            <w:tcW w:w="2830" w:type="dxa"/>
            <w:vAlign w:val="center"/>
          </w:tcPr>
          <w:p w14:paraId="46B1205D" w14:textId="77777777" w:rsidR="00F572A3" w:rsidRPr="0049396B" w:rsidRDefault="00F572A3" w:rsidP="00401F9E">
            <w:pPr>
              <w:pStyle w:val="TableText0"/>
            </w:pPr>
            <w:r w:rsidRPr="0049396B">
              <w:t>Deaths</w:t>
            </w:r>
          </w:p>
        </w:tc>
        <w:tc>
          <w:tcPr>
            <w:tcW w:w="1418" w:type="dxa"/>
            <w:vAlign w:val="center"/>
          </w:tcPr>
          <w:p w14:paraId="14336B6D" w14:textId="77777777" w:rsidR="00F572A3" w:rsidRPr="0049396B" w:rsidRDefault="00F572A3" w:rsidP="00401F9E">
            <w:pPr>
              <w:pStyle w:val="TableText0"/>
              <w:jc w:val="center"/>
            </w:pPr>
            <w:r w:rsidRPr="0049396B">
              <w:t>0</w:t>
            </w:r>
          </w:p>
        </w:tc>
        <w:tc>
          <w:tcPr>
            <w:tcW w:w="1417" w:type="dxa"/>
            <w:vAlign w:val="center"/>
          </w:tcPr>
          <w:p w14:paraId="13ACEDB2" w14:textId="77777777" w:rsidR="00F572A3" w:rsidRPr="0049396B" w:rsidRDefault="00F572A3" w:rsidP="00401F9E">
            <w:pPr>
              <w:pStyle w:val="TableText0"/>
              <w:jc w:val="center"/>
            </w:pPr>
            <w:r w:rsidRPr="0049396B">
              <w:t>0</w:t>
            </w:r>
          </w:p>
        </w:tc>
        <w:tc>
          <w:tcPr>
            <w:tcW w:w="1560" w:type="dxa"/>
            <w:vAlign w:val="center"/>
          </w:tcPr>
          <w:p w14:paraId="6C2788DF" w14:textId="77777777" w:rsidR="00F572A3" w:rsidRPr="0049396B" w:rsidRDefault="00F572A3" w:rsidP="00401F9E">
            <w:pPr>
              <w:pStyle w:val="TableText0"/>
              <w:jc w:val="center"/>
            </w:pPr>
            <w:r w:rsidRPr="0049396B">
              <w:t>NE</w:t>
            </w:r>
          </w:p>
        </w:tc>
        <w:tc>
          <w:tcPr>
            <w:tcW w:w="1792" w:type="dxa"/>
            <w:vAlign w:val="center"/>
          </w:tcPr>
          <w:p w14:paraId="43BAD097" w14:textId="77777777" w:rsidR="00F572A3" w:rsidRPr="0049396B" w:rsidRDefault="00F572A3" w:rsidP="00401F9E">
            <w:pPr>
              <w:pStyle w:val="TableText0"/>
              <w:jc w:val="center"/>
            </w:pPr>
            <w:r w:rsidRPr="0049396B">
              <w:t>NE</w:t>
            </w:r>
          </w:p>
        </w:tc>
      </w:tr>
      <w:tr w:rsidR="00F572A3" w:rsidRPr="0049396B" w14:paraId="440E8459" w14:textId="77777777" w:rsidTr="00EB254E">
        <w:trPr>
          <w:cantSplit/>
        </w:trPr>
        <w:tc>
          <w:tcPr>
            <w:tcW w:w="2830" w:type="dxa"/>
            <w:vAlign w:val="center"/>
          </w:tcPr>
          <w:p w14:paraId="06DC83E3" w14:textId="77777777" w:rsidR="00F572A3" w:rsidRPr="0049396B" w:rsidRDefault="00F572A3" w:rsidP="00401F9E">
            <w:pPr>
              <w:pStyle w:val="TableText0"/>
            </w:pPr>
            <w:r w:rsidRPr="0049396B">
              <w:t>Adverse drug reactions</w:t>
            </w:r>
          </w:p>
        </w:tc>
        <w:tc>
          <w:tcPr>
            <w:tcW w:w="1418" w:type="dxa"/>
            <w:vAlign w:val="center"/>
          </w:tcPr>
          <w:p w14:paraId="54BC5CBA" w14:textId="77777777" w:rsidR="00F572A3" w:rsidRPr="0049396B" w:rsidRDefault="00F572A3" w:rsidP="00401F9E">
            <w:pPr>
              <w:pStyle w:val="TableText0"/>
              <w:jc w:val="center"/>
            </w:pPr>
            <w:r w:rsidRPr="0049396B">
              <w:t>4/40 (10.0)</w:t>
            </w:r>
          </w:p>
        </w:tc>
        <w:tc>
          <w:tcPr>
            <w:tcW w:w="1417" w:type="dxa"/>
            <w:vAlign w:val="center"/>
          </w:tcPr>
          <w:p w14:paraId="593E2D6D" w14:textId="77777777" w:rsidR="00F572A3" w:rsidRPr="0049396B" w:rsidRDefault="00F572A3" w:rsidP="00401F9E">
            <w:pPr>
              <w:pStyle w:val="TableText0"/>
              <w:jc w:val="center"/>
            </w:pPr>
            <w:r w:rsidRPr="0049396B">
              <w:t>9/32 (28.1)</w:t>
            </w:r>
          </w:p>
        </w:tc>
        <w:tc>
          <w:tcPr>
            <w:tcW w:w="1560" w:type="dxa"/>
            <w:vAlign w:val="center"/>
          </w:tcPr>
          <w:p w14:paraId="416190FB" w14:textId="77777777" w:rsidR="00F572A3" w:rsidRPr="0049396B" w:rsidRDefault="00F572A3" w:rsidP="00401F9E">
            <w:pPr>
              <w:pStyle w:val="TableText0"/>
              <w:jc w:val="center"/>
            </w:pPr>
            <w:r w:rsidRPr="0049396B">
              <w:t>0.36 (0.12, 1.05]</w:t>
            </w:r>
          </w:p>
        </w:tc>
        <w:tc>
          <w:tcPr>
            <w:tcW w:w="1792" w:type="dxa"/>
            <w:vAlign w:val="center"/>
          </w:tcPr>
          <w:p w14:paraId="5703B39D" w14:textId="77777777" w:rsidR="00F572A3" w:rsidRPr="0049396B" w:rsidRDefault="00F572A3" w:rsidP="00401F9E">
            <w:pPr>
              <w:pStyle w:val="TableText0"/>
              <w:jc w:val="center"/>
              <w:rPr>
                <w:b/>
              </w:rPr>
            </w:pPr>
            <w:r w:rsidRPr="0049396B">
              <w:rPr>
                <w:b/>
              </w:rPr>
              <w:t>-0.18 (-0.36, 0.00)</w:t>
            </w:r>
          </w:p>
        </w:tc>
      </w:tr>
      <w:tr w:rsidR="00F572A3" w:rsidRPr="0049396B" w14:paraId="7879AA33" w14:textId="77777777" w:rsidTr="00EB254E">
        <w:trPr>
          <w:cantSplit/>
        </w:trPr>
        <w:tc>
          <w:tcPr>
            <w:tcW w:w="9017" w:type="dxa"/>
            <w:gridSpan w:val="5"/>
            <w:vAlign w:val="center"/>
          </w:tcPr>
          <w:p w14:paraId="7BF81CE6" w14:textId="77777777" w:rsidR="00F572A3" w:rsidRPr="0049396B" w:rsidRDefault="00F572A3" w:rsidP="00401F9E">
            <w:pPr>
              <w:pStyle w:val="TableText0"/>
              <w:rPr>
                <w:b/>
              </w:rPr>
            </w:pPr>
            <w:r w:rsidRPr="0049396B">
              <w:rPr>
                <w:b/>
              </w:rPr>
              <w:t>Study 19 dpEESP2y (ITT) to cycle 6</w:t>
            </w:r>
          </w:p>
        </w:tc>
      </w:tr>
      <w:tr w:rsidR="00F572A3" w:rsidRPr="0049396B" w14:paraId="1BD79DF4" w14:textId="77777777" w:rsidTr="00EB254E">
        <w:trPr>
          <w:cantSplit/>
        </w:trPr>
        <w:tc>
          <w:tcPr>
            <w:tcW w:w="2830" w:type="dxa"/>
            <w:vAlign w:val="center"/>
          </w:tcPr>
          <w:p w14:paraId="6E835019" w14:textId="77777777" w:rsidR="00F572A3" w:rsidRPr="0049396B" w:rsidRDefault="00F572A3" w:rsidP="00401F9E">
            <w:pPr>
              <w:pStyle w:val="TableText0"/>
            </w:pPr>
            <w:r w:rsidRPr="0049396B">
              <w:t>≥1 AEs</w:t>
            </w:r>
          </w:p>
        </w:tc>
        <w:tc>
          <w:tcPr>
            <w:tcW w:w="1418" w:type="dxa"/>
            <w:vAlign w:val="center"/>
          </w:tcPr>
          <w:p w14:paraId="3EA4CCBD" w14:textId="77777777" w:rsidR="00F572A3" w:rsidRPr="0049396B" w:rsidRDefault="00F572A3" w:rsidP="00401F9E">
            <w:pPr>
              <w:pStyle w:val="TableText0"/>
              <w:jc w:val="center"/>
            </w:pPr>
            <w:r w:rsidRPr="0049396B">
              <w:t>58/69 (84.1)</w:t>
            </w:r>
          </w:p>
        </w:tc>
        <w:tc>
          <w:tcPr>
            <w:tcW w:w="1417" w:type="dxa"/>
            <w:vAlign w:val="center"/>
          </w:tcPr>
          <w:p w14:paraId="534F39AA" w14:textId="77777777" w:rsidR="00F572A3" w:rsidRPr="0049396B" w:rsidRDefault="00F572A3" w:rsidP="00401F9E">
            <w:pPr>
              <w:pStyle w:val="TableText0"/>
              <w:jc w:val="center"/>
            </w:pPr>
            <w:r w:rsidRPr="0049396B">
              <w:t>57/68 (83.8)</w:t>
            </w:r>
          </w:p>
        </w:tc>
        <w:tc>
          <w:tcPr>
            <w:tcW w:w="1560" w:type="dxa"/>
            <w:vAlign w:val="center"/>
          </w:tcPr>
          <w:p w14:paraId="216401C8" w14:textId="77777777" w:rsidR="00F572A3" w:rsidRPr="0049396B" w:rsidRDefault="00F572A3" w:rsidP="00401F9E">
            <w:pPr>
              <w:pStyle w:val="TableText0"/>
              <w:jc w:val="center"/>
            </w:pPr>
            <w:r w:rsidRPr="0049396B">
              <w:t>1.00 (0.87, 1.16]</w:t>
            </w:r>
          </w:p>
        </w:tc>
        <w:tc>
          <w:tcPr>
            <w:tcW w:w="1792" w:type="dxa"/>
            <w:vAlign w:val="center"/>
          </w:tcPr>
          <w:p w14:paraId="14A51307" w14:textId="77777777" w:rsidR="00F572A3" w:rsidRPr="0049396B" w:rsidRDefault="00F572A3" w:rsidP="00401F9E">
            <w:pPr>
              <w:pStyle w:val="TableText0"/>
              <w:jc w:val="center"/>
            </w:pPr>
            <w:r w:rsidRPr="0049396B">
              <w:t>0.00 (-0.12, 0.13)</w:t>
            </w:r>
          </w:p>
        </w:tc>
      </w:tr>
      <w:tr w:rsidR="00F572A3" w:rsidRPr="0049396B" w14:paraId="1EA6FEF0" w14:textId="77777777" w:rsidTr="00EB254E">
        <w:trPr>
          <w:cantSplit/>
        </w:trPr>
        <w:tc>
          <w:tcPr>
            <w:tcW w:w="2830" w:type="dxa"/>
            <w:vAlign w:val="center"/>
          </w:tcPr>
          <w:p w14:paraId="39D36C23" w14:textId="77777777" w:rsidR="00F572A3" w:rsidRPr="0049396B" w:rsidRDefault="00F572A3" w:rsidP="00401F9E">
            <w:pPr>
              <w:pStyle w:val="TableText0"/>
            </w:pPr>
            <w:r w:rsidRPr="0049396B">
              <w:t>AE leading to discontinuation</w:t>
            </w:r>
          </w:p>
        </w:tc>
        <w:tc>
          <w:tcPr>
            <w:tcW w:w="1418" w:type="dxa"/>
            <w:vAlign w:val="center"/>
          </w:tcPr>
          <w:p w14:paraId="7EE85407" w14:textId="77777777" w:rsidR="00F572A3" w:rsidRPr="0049396B" w:rsidRDefault="00F572A3" w:rsidP="00401F9E">
            <w:pPr>
              <w:pStyle w:val="TableText0"/>
              <w:jc w:val="center"/>
            </w:pPr>
            <w:r w:rsidRPr="0049396B">
              <w:t>1/69 (1.4)</w:t>
            </w:r>
          </w:p>
        </w:tc>
        <w:tc>
          <w:tcPr>
            <w:tcW w:w="1417" w:type="dxa"/>
            <w:vAlign w:val="center"/>
          </w:tcPr>
          <w:p w14:paraId="31EC7E2A" w14:textId="77777777" w:rsidR="00F572A3" w:rsidRPr="0049396B" w:rsidRDefault="00F572A3" w:rsidP="00401F9E">
            <w:pPr>
              <w:pStyle w:val="TableText0"/>
              <w:jc w:val="center"/>
            </w:pPr>
            <w:r w:rsidRPr="0049396B">
              <w:t>4/68 (5.9)</w:t>
            </w:r>
          </w:p>
        </w:tc>
        <w:tc>
          <w:tcPr>
            <w:tcW w:w="1560" w:type="dxa"/>
            <w:vAlign w:val="center"/>
          </w:tcPr>
          <w:p w14:paraId="58B0E135" w14:textId="77777777" w:rsidR="00F572A3" w:rsidRPr="0049396B" w:rsidRDefault="00F572A3" w:rsidP="00401F9E">
            <w:pPr>
              <w:pStyle w:val="TableText0"/>
              <w:jc w:val="center"/>
            </w:pPr>
            <w:r w:rsidRPr="0049396B">
              <w:t>0.25 (0.03, 2.15]</w:t>
            </w:r>
          </w:p>
        </w:tc>
        <w:tc>
          <w:tcPr>
            <w:tcW w:w="1792" w:type="dxa"/>
            <w:vAlign w:val="center"/>
          </w:tcPr>
          <w:p w14:paraId="14BC80D4" w14:textId="77777777" w:rsidR="00F572A3" w:rsidRPr="0049396B" w:rsidRDefault="00F572A3" w:rsidP="00401F9E">
            <w:pPr>
              <w:pStyle w:val="TableText0"/>
              <w:jc w:val="center"/>
            </w:pPr>
            <w:r w:rsidRPr="0049396B">
              <w:t>-0.04 (-0.11, 0.02)</w:t>
            </w:r>
          </w:p>
        </w:tc>
      </w:tr>
      <w:tr w:rsidR="00F572A3" w:rsidRPr="0049396B" w14:paraId="2E7639D6" w14:textId="77777777" w:rsidTr="00EB254E">
        <w:trPr>
          <w:cantSplit/>
        </w:trPr>
        <w:tc>
          <w:tcPr>
            <w:tcW w:w="2830" w:type="dxa"/>
            <w:vAlign w:val="center"/>
          </w:tcPr>
          <w:p w14:paraId="078F0054" w14:textId="77777777" w:rsidR="00F572A3" w:rsidRPr="0049396B" w:rsidRDefault="00F572A3" w:rsidP="00401F9E">
            <w:pPr>
              <w:pStyle w:val="TableText0"/>
            </w:pPr>
            <w:r w:rsidRPr="0049396B">
              <w:t>≥1 SAE</w:t>
            </w:r>
          </w:p>
        </w:tc>
        <w:tc>
          <w:tcPr>
            <w:tcW w:w="1418" w:type="dxa"/>
            <w:vAlign w:val="center"/>
          </w:tcPr>
          <w:p w14:paraId="140C4067" w14:textId="77777777" w:rsidR="00F572A3" w:rsidRPr="0049396B" w:rsidRDefault="00F572A3" w:rsidP="00401F9E">
            <w:pPr>
              <w:pStyle w:val="TableText0"/>
              <w:jc w:val="center"/>
            </w:pPr>
            <w:r w:rsidRPr="0049396B">
              <w:t>11/69 (15.9)</w:t>
            </w:r>
          </w:p>
        </w:tc>
        <w:tc>
          <w:tcPr>
            <w:tcW w:w="1417" w:type="dxa"/>
            <w:vAlign w:val="center"/>
          </w:tcPr>
          <w:p w14:paraId="350F7780" w14:textId="77777777" w:rsidR="00F572A3" w:rsidRPr="0049396B" w:rsidRDefault="00F572A3" w:rsidP="00401F9E">
            <w:pPr>
              <w:pStyle w:val="TableText0"/>
              <w:jc w:val="center"/>
            </w:pPr>
            <w:r w:rsidRPr="0049396B">
              <w:t>16/68 (23.5)</w:t>
            </w:r>
          </w:p>
        </w:tc>
        <w:tc>
          <w:tcPr>
            <w:tcW w:w="1560" w:type="dxa"/>
            <w:vAlign w:val="center"/>
          </w:tcPr>
          <w:p w14:paraId="2D68394D" w14:textId="77777777" w:rsidR="00F572A3" w:rsidRPr="0049396B" w:rsidRDefault="00F572A3" w:rsidP="00401F9E">
            <w:pPr>
              <w:pStyle w:val="TableText0"/>
              <w:jc w:val="center"/>
            </w:pPr>
            <w:r w:rsidRPr="0049396B">
              <w:t>0.68 (0.34, 1.35]</w:t>
            </w:r>
          </w:p>
        </w:tc>
        <w:tc>
          <w:tcPr>
            <w:tcW w:w="1792" w:type="dxa"/>
            <w:vAlign w:val="center"/>
          </w:tcPr>
          <w:p w14:paraId="126B039C" w14:textId="77777777" w:rsidR="00F572A3" w:rsidRPr="0049396B" w:rsidRDefault="00F572A3" w:rsidP="00401F9E">
            <w:pPr>
              <w:pStyle w:val="TableText0"/>
              <w:jc w:val="center"/>
            </w:pPr>
            <w:r w:rsidRPr="0049396B">
              <w:t>-0.08 (-0.21, 0.06)</w:t>
            </w:r>
          </w:p>
        </w:tc>
      </w:tr>
      <w:tr w:rsidR="00F572A3" w:rsidRPr="0049396B" w14:paraId="27101D1A" w14:textId="77777777" w:rsidTr="00EB254E">
        <w:trPr>
          <w:cantSplit/>
        </w:trPr>
        <w:tc>
          <w:tcPr>
            <w:tcW w:w="2830" w:type="dxa"/>
            <w:vAlign w:val="center"/>
          </w:tcPr>
          <w:p w14:paraId="08958922" w14:textId="77777777" w:rsidR="00F572A3" w:rsidRPr="0049396B" w:rsidRDefault="00F572A3" w:rsidP="00401F9E">
            <w:pPr>
              <w:pStyle w:val="TableText0"/>
            </w:pPr>
            <w:r w:rsidRPr="0049396B">
              <w:t>Deaths</w:t>
            </w:r>
          </w:p>
        </w:tc>
        <w:tc>
          <w:tcPr>
            <w:tcW w:w="1418" w:type="dxa"/>
            <w:vAlign w:val="center"/>
          </w:tcPr>
          <w:p w14:paraId="6BBA8E47" w14:textId="77777777" w:rsidR="00F572A3" w:rsidRPr="0049396B" w:rsidRDefault="00F572A3" w:rsidP="00401F9E">
            <w:pPr>
              <w:pStyle w:val="TableText0"/>
              <w:jc w:val="center"/>
            </w:pPr>
            <w:r w:rsidRPr="0049396B">
              <w:t>0</w:t>
            </w:r>
          </w:p>
        </w:tc>
        <w:tc>
          <w:tcPr>
            <w:tcW w:w="1417" w:type="dxa"/>
            <w:vAlign w:val="center"/>
          </w:tcPr>
          <w:p w14:paraId="6EF12B15" w14:textId="77777777" w:rsidR="00F572A3" w:rsidRPr="0049396B" w:rsidRDefault="00F572A3" w:rsidP="00401F9E">
            <w:pPr>
              <w:pStyle w:val="TableText0"/>
              <w:jc w:val="center"/>
            </w:pPr>
            <w:r w:rsidRPr="0049396B">
              <w:t>0</w:t>
            </w:r>
          </w:p>
        </w:tc>
        <w:tc>
          <w:tcPr>
            <w:tcW w:w="1560" w:type="dxa"/>
            <w:vAlign w:val="center"/>
          </w:tcPr>
          <w:p w14:paraId="350EB70C" w14:textId="77777777" w:rsidR="00F572A3" w:rsidRPr="0049396B" w:rsidRDefault="00F572A3" w:rsidP="00401F9E">
            <w:pPr>
              <w:pStyle w:val="TableText0"/>
              <w:jc w:val="center"/>
            </w:pPr>
            <w:r w:rsidRPr="0049396B">
              <w:t>NE</w:t>
            </w:r>
          </w:p>
        </w:tc>
        <w:tc>
          <w:tcPr>
            <w:tcW w:w="1792" w:type="dxa"/>
            <w:vAlign w:val="center"/>
          </w:tcPr>
          <w:p w14:paraId="109108ED" w14:textId="77777777" w:rsidR="00F572A3" w:rsidRPr="0049396B" w:rsidRDefault="00F572A3" w:rsidP="00401F9E">
            <w:pPr>
              <w:pStyle w:val="TableText0"/>
              <w:jc w:val="center"/>
            </w:pPr>
            <w:r w:rsidRPr="0049396B">
              <w:t>NE</w:t>
            </w:r>
          </w:p>
        </w:tc>
      </w:tr>
      <w:tr w:rsidR="00F572A3" w:rsidRPr="0049396B" w14:paraId="43BFC881" w14:textId="77777777" w:rsidTr="00EB254E">
        <w:trPr>
          <w:cantSplit/>
        </w:trPr>
        <w:tc>
          <w:tcPr>
            <w:tcW w:w="2830" w:type="dxa"/>
            <w:vAlign w:val="center"/>
          </w:tcPr>
          <w:p w14:paraId="30394058" w14:textId="77777777" w:rsidR="00F572A3" w:rsidRPr="0049396B" w:rsidRDefault="00F572A3" w:rsidP="00401F9E">
            <w:pPr>
              <w:pStyle w:val="TableText0"/>
            </w:pPr>
            <w:r w:rsidRPr="0049396B">
              <w:t>Adverse drug reactions</w:t>
            </w:r>
          </w:p>
        </w:tc>
        <w:tc>
          <w:tcPr>
            <w:tcW w:w="1418" w:type="dxa"/>
            <w:vAlign w:val="center"/>
          </w:tcPr>
          <w:p w14:paraId="1F6637E7" w14:textId="77777777" w:rsidR="00F572A3" w:rsidRPr="0049396B" w:rsidRDefault="00F572A3" w:rsidP="00401F9E">
            <w:pPr>
              <w:pStyle w:val="TableText0"/>
              <w:jc w:val="center"/>
            </w:pPr>
            <w:r w:rsidRPr="0049396B">
              <w:t>2/69 (2.9)</w:t>
            </w:r>
          </w:p>
        </w:tc>
        <w:tc>
          <w:tcPr>
            <w:tcW w:w="1417" w:type="dxa"/>
            <w:vAlign w:val="center"/>
          </w:tcPr>
          <w:p w14:paraId="2F7B5AC8" w14:textId="77777777" w:rsidR="00F572A3" w:rsidRPr="0049396B" w:rsidRDefault="00F572A3" w:rsidP="00401F9E">
            <w:pPr>
              <w:pStyle w:val="TableText0"/>
              <w:jc w:val="center"/>
            </w:pPr>
            <w:r w:rsidRPr="0049396B">
              <w:t>5/68 (7.4)</w:t>
            </w:r>
          </w:p>
        </w:tc>
        <w:tc>
          <w:tcPr>
            <w:tcW w:w="1560" w:type="dxa"/>
            <w:vAlign w:val="center"/>
          </w:tcPr>
          <w:p w14:paraId="2A567789" w14:textId="77777777" w:rsidR="00F572A3" w:rsidRPr="0049396B" w:rsidRDefault="00F572A3" w:rsidP="00401F9E">
            <w:pPr>
              <w:pStyle w:val="TableText0"/>
              <w:jc w:val="center"/>
            </w:pPr>
            <w:r w:rsidRPr="0049396B">
              <w:t>0.39 (0.08, 1.96)</w:t>
            </w:r>
          </w:p>
        </w:tc>
        <w:tc>
          <w:tcPr>
            <w:tcW w:w="1792" w:type="dxa"/>
            <w:vAlign w:val="center"/>
          </w:tcPr>
          <w:p w14:paraId="5234842E" w14:textId="77777777" w:rsidR="00F572A3" w:rsidRPr="0049396B" w:rsidRDefault="00F572A3" w:rsidP="00401F9E">
            <w:pPr>
              <w:pStyle w:val="TableText0"/>
              <w:jc w:val="center"/>
            </w:pPr>
            <w:r w:rsidRPr="0049396B">
              <w:t>-0.04 (-0.12, 0.03)</w:t>
            </w:r>
          </w:p>
        </w:tc>
      </w:tr>
      <w:tr w:rsidR="00F572A3" w:rsidRPr="0049396B" w14:paraId="089EF55A" w14:textId="77777777" w:rsidTr="00EB254E">
        <w:trPr>
          <w:cantSplit/>
        </w:trPr>
        <w:tc>
          <w:tcPr>
            <w:tcW w:w="2830" w:type="dxa"/>
            <w:vAlign w:val="center"/>
          </w:tcPr>
          <w:p w14:paraId="2F7BD701" w14:textId="77777777" w:rsidR="00F572A3" w:rsidRPr="0049396B" w:rsidRDefault="00F572A3" w:rsidP="00401F9E">
            <w:pPr>
              <w:pStyle w:val="TableText0"/>
            </w:pPr>
            <w:r w:rsidRPr="0049396B">
              <w:t xml:space="preserve">Injection site </w:t>
            </w:r>
            <w:proofErr w:type="spellStart"/>
            <w:r w:rsidRPr="0049396B">
              <w:t>reaction</w:t>
            </w:r>
            <w:r w:rsidRPr="0049396B">
              <w:rPr>
                <w:vertAlign w:val="superscript"/>
              </w:rPr>
              <w:t>c</w:t>
            </w:r>
            <w:proofErr w:type="spellEnd"/>
            <w:r w:rsidRPr="0049396B">
              <w:t xml:space="preserve"> </w:t>
            </w:r>
          </w:p>
        </w:tc>
        <w:tc>
          <w:tcPr>
            <w:tcW w:w="1418" w:type="dxa"/>
            <w:vAlign w:val="center"/>
          </w:tcPr>
          <w:p w14:paraId="3CF4088C" w14:textId="77777777" w:rsidR="00F572A3" w:rsidRPr="0049396B" w:rsidRDefault="00F572A3" w:rsidP="00401F9E">
            <w:pPr>
              <w:pStyle w:val="TableText0"/>
              <w:jc w:val="center"/>
            </w:pPr>
            <w:r w:rsidRPr="0049396B">
              <w:t>3/68 (4.4)</w:t>
            </w:r>
          </w:p>
        </w:tc>
        <w:tc>
          <w:tcPr>
            <w:tcW w:w="1417" w:type="dxa"/>
            <w:vAlign w:val="center"/>
          </w:tcPr>
          <w:p w14:paraId="78F8ABC3" w14:textId="77777777" w:rsidR="00F572A3" w:rsidRPr="0049396B" w:rsidRDefault="00F572A3" w:rsidP="00401F9E">
            <w:pPr>
              <w:pStyle w:val="TableText0"/>
              <w:jc w:val="center"/>
            </w:pPr>
            <w:r w:rsidRPr="0049396B">
              <w:t>0</w:t>
            </w:r>
          </w:p>
        </w:tc>
        <w:tc>
          <w:tcPr>
            <w:tcW w:w="1560" w:type="dxa"/>
            <w:vAlign w:val="center"/>
          </w:tcPr>
          <w:p w14:paraId="76E24DEC" w14:textId="77777777" w:rsidR="00F572A3" w:rsidRPr="0049396B" w:rsidRDefault="00F572A3" w:rsidP="00401F9E">
            <w:pPr>
              <w:pStyle w:val="TableText0"/>
              <w:jc w:val="center"/>
            </w:pPr>
            <w:r w:rsidRPr="0049396B">
              <w:t>6.90 (0.36, 131.10)</w:t>
            </w:r>
          </w:p>
        </w:tc>
        <w:tc>
          <w:tcPr>
            <w:tcW w:w="1792" w:type="dxa"/>
            <w:vAlign w:val="center"/>
          </w:tcPr>
          <w:p w14:paraId="62D46120" w14:textId="77777777" w:rsidR="00F572A3" w:rsidRPr="0049396B" w:rsidRDefault="00F572A3" w:rsidP="00401F9E">
            <w:pPr>
              <w:pStyle w:val="TableText0"/>
              <w:jc w:val="center"/>
            </w:pPr>
            <w:r w:rsidRPr="0049396B">
              <w:t>0.04 (-0.01, 0.10)</w:t>
            </w:r>
          </w:p>
        </w:tc>
      </w:tr>
      <w:tr w:rsidR="00F572A3" w:rsidRPr="0049396B" w14:paraId="3F97FCCA" w14:textId="77777777" w:rsidTr="00EB254E">
        <w:trPr>
          <w:cantSplit/>
        </w:trPr>
        <w:tc>
          <w:tcPr>
            <w:tcW w:w="2830" w:type="dxa"/>
            <w:vAlign w:val="center"/>
          </w:tcPr>
          <w:p w14:paraId="55372050" w14:textId="77777777" w:rsidR="00F572A3" w:rsidRPr="0049396B" w:rsidRDefault="00F572A3" w:rsidP="00401F9E">
            <w:pPr>
              <w:pStyle w:val="TableText0"/>
            </w:pPr>
            <w:r w:rsidRPr="0049396B">
              <w:t xml:space="preserve">Infusion site </w:t>
            </w:r>
            <w:proofErr w:type="spellStart"/>
            <w:r w:rsidRPr="0049396B">
              <w:t>reaction</w:t>
            </w:r>
            <w:r w:rsidRPr="0049396B">
              <w:rPr>
                <w:vertAlign w:val="superscript"/>
              </w:rPr>
              <w:t>d</w:t>
            </w:r>
            <w:proofErr w:type="spellEnd"/>
          </w:p>
        </w:tc>
        <w:tc>
          <w:tcPr>
            <w:tcW w:w="1418" w:type="dxa"/>
            <w:vAlign w:val="center"/>
          </w:tcPr>
          <w:p w14:paraId="3EDF73C1" w14:textId="77777777" w:rsidR="00F572A3" w:rsidRPr="0049396B" w:rsidRDefault="00F572A3" w:rsidP="00401F9E">
            <w:pPr>
              <w:pStyle w:val="TableText0"/>
              <w:jc w:val="center"/>
            </w:pPr>
            <w:r w:rsidRPr="0049396B">
              <w:t>6/69 (8.7)</w:t>
            </w:r>
          </w:p>
        </w:tc>
        <w:tc>
          <w:tcPr>
            <w:tcW w:w="1417" w:type="dxa"/>
            <w:vAlign w:val="center"/>
          </w:tcPr>
          <w:p w14:paraId="1D689306" w14:textId="77777777" w:rsidR="00F572A3" w:rsidRPr="0049396B" w:rsidRDefault="00F572A3" w:rsidP="00401F9E">
            <w:pPr>
              <w:pStyle w:val="TableText0"/>
              <w:jc w:val="center"/>
            </w:pPr>
            <w:r w:rsidRPr="0049396B">
              <w:t>7/68 (10.3)</w:t>
            </w:r>
          </w:p>
        </w:tc>
        <w:tc>
          <w:tcPr>
            <w:tcW w:w="1560" w:type="dxa"/>
            <w:vAlign w:val="center"/>
          </w:tcPr>
          <w:p w14:paraId="4FDD13D6" w14:textId="77777777" w:rsidR="00F572A3" w:rsidRPr="0049396B" w:rsidRDefault="00F572A3" w:rsidP="00401F9E">
            <w:pPr>
              <w:pStyle w:val="TableText0"/>
              <w:jc w:val="center"/>
            </w:pPr>
            <w:r w:rsidRPr="0049396B">
              <w:t>0.84 (0.30, 2.38)</w:t>
            </w:r>
          </w:p>
        </w:tc>
        <w:tc>
          <w:tcPr>
            <w:tcW w:w="1792" w:type="dxa"/>
            <w:vAlign w:val="center"/>
          </w:tcPr>
          <w:p w14:paraId="6F4EDD98" w14:textId="77777777" w:rsidR="00F572A3" w:rsidRPr="0049396B" w:rsidRDefault="00F572A3" w:rsidP="00401F9E">
            <w:pPr>
              <w:pStyle w:val="TableText0"/>
              <w:jc w:val="center"/>
            </w:pPr>
            <w:r w:rsidRPr="0049396B">
              <w:t>-0.02 (-0.11, 0.08)</w:t>
            </w:r>
          </w:p>
        </w:tc>
      </w:tr>
    </w:tbl>
    <w:p w14:paraId="44C9B2DD" w14:textId="77777777" w:rsidR="00F572A3" w:rsidRPr="0049396B" w:rsidRDefault="00F572A3" w:rsidP="00F572A3">
      <w:pPr>
        <w:pStyle w:val="FooterTableFigure"/>
        <w:spacing w:after="0"/>
        <w:rPr>
          <w:sz w:val="20"/>
        </w:rPr>
      </w:pPr>
      <w:r w:rsidRPr="0049396B">
        <w:t>Source: Tables 2-46 and 2-47, p132 of the submission.</w:t>
      </w:r>
    </w:p>
    <w:p w14:paraId="08DFAE31" w14:textId="77777777" w:rsidR="00F572A3" w:rsidRPr="0049396B" w:rsidRDefault="00F572A3" w:rsidP="00F572A3">
      <w:pPr>
        <w:rPr>
          <w:rFonts w:ascii="Arial Narrow" w:hAnsi="Arial Narrow"/>
          <w:sz w:val="18"/>
          <w:szCs w:val="18"/>
        </w:rPr>
      </w:pPr>
      <w:r w:rsidRPr="0049396B">
        <w:rPr>
          <w:rFonts w:ascii="Arial Narrow" w:hAnsi="Arial Narrow"/>
          <w:bCs/>
          <w:sz w:val="18"/>
          <w:szCs w:val="18"/>
        </w:rPr>
        <w:t>Bold</w:t>
      </w:r>
      <w:r w:rsidRPr="0049396B">
        <w:rPr>
          <w:rFonts w:ascii="Arial Narrow" w:hAnsi="Arial Narrow"/>
          <w:sz w:val="18"/>
          <w:szCs w:val="18"/>
        </w:rPr>
        <w:t xml:space="preserve"> text indicates statistical significance.</w:t>
      </w:r>
    </w:p>
    <w:p w14:paraId="082A427B" w14:textId="77777777" w:rsidR="00F572A3" w:rsidRPr="0049396B" w:rsidRDefault="00F572A3" w:rsidP="00F572A3">
      <w:pPr>
        <w:pStyle w:val="FooterTableFigure"/>
        <w:rPr>
          <w:rFonts w:eastAsia="Calibri"/>
        </w:rPr>
      </w:pPr>
      <w:r w:rsidRPr="0049396B">
        <w:rPr>
          <w:rFonts w:eastAsia="Calibri"/>
        </w:rPr>
        <w:t>AE=adverse event; CI=confidence interval; ITT=intention to treat; n=number of participants reporting data; N=total participants in group; NE=not estimable; RD=risk difference; RR=relative risk;</w:t>
      </w:r>
    </w:p>
    <w:p w14:paraId="58451065" w14:textId="77777777" w:rsidR="00F572A3" w:rsidRPr="0049396B" w:rsidRDefault="00F572A3" w:rsidP="00F572A3">
      <w:pPr>
        <w:pStyle w:val="FooterTableFigure"/>
        <w:ind w:left="165" w:hanging="165"/>
        <w:rPr>
          <w:vertAlign w:val="superscript"/>
        </w:rPr>
      </w:pPr>
      <w:r w:rsidRPr="0049396B">
        <w:t>a</w:t>
      </w:r>
      <w:r w:rsidRPr="0049396B">
        <w:rPr>
          <w:vertAlign w:val="superscript"/>
        </w:rPr>
        <w:tab/>
      </w:r>
      <w:r w:rsidRPr="0049396B">
        <w:t>Study 16 CSR reported for the safety population 8/104 patients had AEs that required treatment discontinuation in placebo group. The submission reported 6/104 patients with treatment discontinuation in placebo described as ‘experienced an AE and it was difficult to continue the study’ in the efficacy full analysis set (FAS).</w:t>
      </w:r>
    </w:p>
    <w:p w14:paraId="6C92D6DE" w14:textId="77777777" w:rsidR="00F572A3" w:rsidRPr="0049396B" w:rsidRDefault="00F572A3" w:rsidP="00F572A3">
      <w:pPr>
        <w:pStyle w:val="FooterTableFigure"/>
        <w:ind w:left="165" w:hanging="165"/>
      </w:pPr>
      <w:r w:rsidRPr="0049396B">
        <w:t>b</w:t>
      </w:r>
      <w:r w:rsidRPr="0049396B">
        <w:rPr>
          <w:vertAlign w:val="superscript"/>
        </w:rPr>
        <w:tab/>
      </w:r>
      <w:r w:rsidRPr="0049396B">
        <w:t>Study 16 CSR and publication (Abe 2014) reported for the safety population there were 3/102 deaths in the edaravone group (2 cases of respiratory disorder and 1 respiratory failure). The submission reported 2 deaths in the edaravone group (N=101) based on events of death or specified state of disease progression in the secondary outcome for the efficacy analysis set, which excluded 1 patient who was diagnosed with a different disease.</w:t>
      </w:r>
    </w:p>
    <w:p w14:paraId="5849FD3B" w14:textId="77777777" w:rsidR="00F572A3" w:rsidRPr="0049396B" w:rsidRDefault="00F572A3" w:rsidP="00F572A3">
      <w:pPr>
        <w:pStyle w:val="FooterTableFigure"/>
        <w:rPr>
          <w:szCs w:val="18"/>
        </w:rPr>
      </w:pPr>
      <w:r w:rsidRPr="0049396B">
        <w:rPr>
          <w:szCs w:val="18"/>
        </w:rPr>
        <w:t>c</w:t>
      </w:r>
      <w:r w:rsidRPr="0049396B">
        <w:rPr>
          <w:szCs w:val="18"/>
        </w:rPr>
        <w:tab/>
        <w:t>Included injection site rash and injection site reaction.</w:t>
      </w:r>
    </w:p>
    <w:p w14:paraId="2984A091" w14:textId="77777777" w:rsidR="00F572A3" w:rsidRPr="0049396B" w:rsidRDefault="00F572A3" w:rsidP="00F572A3">
      <w:pPr>
        <w:pStyle w:val="FooterTableFigure"/>
        <w:rPr>
          <w:szCs w:val="18"/>
        </w:rPr>
      </w:pPr>
      <w:r w:rsidRPr="0049396B">
        <w:rPr>
          <w:szCs w:val="18"/>
        </w:rPr>
        <w:t>d</w:t>
      </w:r>
      <w:r w:rsidRPr="0049396B">
        <w:rPr>
          <w:szCs w:val="18"/>
        </w:rPr>
        <w:tab/>
        <w:t>Included injection site erythema, injection site pain, injection site swelling and injection site phlebitis.</w:t>
      </w:r>
    </w:p>
    <w:p w14:paraId="6010B63D" w14:textId="77777777" w:rsidR="00F572A3" w:rsidRPr="0049396B" w:rsidRDefault="00F572A3" w:rsidP="00F572A3">
      <w:pPr>
        <w:pStyle w:val="3-BodyText"/>
        <w:rPr>
          <w:iCs/>
        </w:rPr>
      </w:pPr>
      <w:r w:rsidRPr="0049396B">
        <w:rPr>
          <w:iCs/>
        </w:rPr>
        <w:t>The incidence of AEs, drug-related AEs and serious AEs were similar between edaravone and placebo groups to the end of cycle 6 in Study 16 and Study 19. The most frequently reported AEs included constipation, contusion, dysphagia, gait disturbance, nasopharyngitis. The majority of AEs were of mild severity. There were fewer discontinuations due to AEs and adverse drug reactions in the edaravone group compared to placebo. In the total patient population of Study 16, there were 3 deaths due to AEs in the edaravone group (2 respiratory disorder and 1 respiratory failure) and 2 deaths in the placebo group (respiratory failure). However, in the dpEESP2y population from post hoc Study 16 and Study 19 no deaths were reported.</w:t>
      </w:r>
    </w:p>
    <w:p w14:paraId="7C2C1AA6" w14:textId="3235B248" w:rsidR="00F572A3" w:rsidRPr="0049396B" w:rsidRDefault="00F572A3" w:rsidP="00F572A3">
      <w:pPr>
        <w:pStyle w:val="3-BodyText"/>
        <w:rPr>
          <w:iCs/>
        </w:rPr>
      </w:pPr>
      <w:r w:rsidRPr="0049396B">
        <w:rPr>
          <w:iCs/>
        </w:rPr>
        <w:lastRenderedPageBreak/>
        <w:t>Safety outcomes in the extension of Study 19 (open-label) and Study 17 from cycles 7-12 were generally consistent with the double-blind period to cycle 6. In Study 17, there w</w:t>
      </w:r>
      <w:r w:rsidR="00B4260B" w:rsidRPr="0049396B">
        <w:rPr>
          <w:iCs/>
        </w:rPr>
        <w:t>ere</w:t>
      </w:r>
      <w:r w:rsidRPr="0049396B">
        <w:rPr>
          <w:iCs/>
        </w:rPr>
        <w:t xml:space="preserve"> significantly more serious AEs in EDA-EDA group compared to EDA-PBO (p=0.034; 52.1% (25/48) vs 28.9% (13/45)). The majority of serious AEs were considered attributable to ALS progression. Patients receiving edaravone in the extension studies (EDA-EDA and PBO-EDA) also reported more adverse drug reactions than EDA-PBO. Both extension studies reported AEs leading to death. In Study 19 there were 6 patients who experienced AEs leading to death to cycle 12: 2 deaths in EDA-EDA (respiratory disorder and respiratory failure), 4 deaths in PBO-EDA (respiratory disorder, pneumonia aspiration, respiratory failure and stress cardiomyopathy). Safety data for the dpEESP2y subgroup in Study 17 was not reported.</w:t>
      </w:r>
    </w:p>
    <w:p w14:paraId="43074000" w14:textId="2AE39BE7" w:rsidR="00F572A3" w:rsidRPr="0049396B" w:rsidRDefault="00F572A3" w:rsidP="00F572A3">
      <w:pPr>
        <w:pStyle w:val="3-BodyText"/>
        <w:rPr>
          <w:iCs/>
        </w:rPr>
      </w:pPr>
      <w:r w:rsidRPr="0049396B">
        <w:rPr>
          <w:iCs/>
        </w:rPr>
        <w:t xml:space="preserve">While the safety data showed similar infusion/injection site reactions between groups, these safety results reflected trial conditions where patients were administered sham infusions in the placebo arm. In clinical practice however, additional infusion reactions are to be expected for edaravone versus </w:t>
      </w:r>
      <w:r w:rsidR="00496E26" w:rsidRPr="0049396B">
        <w:rPr>
          <w:iCs/>
        </w:rPr>
        <w:t>SOC only</w:t>
      </w:r>
      <w:r w:rsidRPr="0049396B">
        <w:rPr>
          <w:iCs/>
        </w:rPr>
        <w:t>.</w:t>
      </w:r>
    </w:p>
    <w:p w14:paraId="082F16D8" w14:textId="77777777" w:rsidR="00F572A3" w:rsidRPr="0049396B" w:rsidRDefault="00F572A3" w:rsidP="00F572A3">
      <w:pPr>
        <w:pStyle w:val="4-SubsectionHeading"/>
      </w:pPr>
      <w:bookmarkStart w:id="55" w:name="_Toc22897643"/>
      <w:bookmarkStart w:id="56" w:name="_Toc145493779"/>
      <w:r w:rsidRPr="0049396B">
        <w:t>Benefits/harms</w:t>
      </w:r>
      <w:bookmarkEnd w:id="55"/>
      <w:bookmarkEnd w:id="56"/>
    </w:p>
    <w:p w14:paraId="118C23F4" w14:textId="6B1375A8" w:rsidR="00F572A3" w:rsidRPr="0049396B" w:rsidRDefault="00F572A3" w:rsidP="00F572A3">
      <w:pPr>
        <w:pStyle w:val="3-BodyText"/>
      </w:pPr>
      <w:r w:rsidRPr="0049396B">
        <w:t xml:space="preserve">The comparative benefits and harms for edaravone versus placebo in patients with ALS can be drawn from </w:t>
      </w:r>
      <w:r w:rsidR="00401F9E" w:rsidRPr="0049396B">
        <w:fldChar w:fldCharType="begin" w:fldLock="1"/>
      </w:r>
      <w:r w:rsidR="00401F9E" w:rsidRPr="0049396B">
        <w:instrText xml:space="preserve"> REF _Ref144727434 \h </w:instrText>
      </w:r>
      <w:r w:rsidR="00401F9E" w:rsidRPr="0049396B">
        <w:fldChar w:fldCharType="separate"/>
      </w:r>
      <w:r w:rsidR="00401F9E" w:rsidRPr="0049396B">
        <w:t>Table 5</w:t>
      </w:r>
      <w:r w:rsidR="00401F9E" w:rsidRPr="0049396B">
        <w:fldChar w:fldCharType="end"/>
      </w:r>
      <w:r w:rsidRPr="0049396B">
        <w:t xml:space="preserve"> and </w:t>
      </w:r>
      <w:r w:rsidR="00401F9E" w:rsidRPr="0049396B">
        <w:fldChar w:fldCharType="begin" w:fldLock="1"/>
      </w:r>
      <w:r w:rsidR="00401F9E" w:rsidRPr="0049396B">
        <w:instrText xml:space="preserve"> REF _Ref144727674 \h </w:instrText>
      </w:r>
      <w:r w:rsidR="00401F9E" w:rsidRPr="0049396B">
        <w:fldChar w:fldCharType="separate"/>
      </w:r>
      <w:r w:rsidR="00401F9E" w:rsidRPr="0049396B">
        <w:t>Table 7</w:t>
      </w:r>
      <w:r w:rsidR="00401F9E" w:rsidRPr="0049396B">
        <w:fldChar w:fldCharType="end"/>
      </w:r>
      <w:r w:rsidRPr="0049396B">
        <w:t xml:space="preserve"> above. On the basis of direct evidence in Study 19, the comparison of edaravone and placebo resulted in:</w:t>
      </w:r>
    </w:p>
    <w:p w14:paraId="484C060E" w14:textId="4085D6A6" w:rsidR="00F572A3" w:rsidRPr="0049396B" w:rsidRDefault="00F572A3" w:rsidP="00A21488">
      <w:pPr>
        <w:pStyle w:val="3-BodyText"/>
        <w:numPr>
          <w:ilvl w:val="0"/>
          <w:numId w:val="8"/>
        </w:numPr>
        <w:rPr>
          <w:i/>
        </w:rPr>
      </w:pPr>
      <w:r w:rsidRPr="0049396B">
        <w:t xml:space="preserve">Approximately a 33% </w:t>
      </w:r>
      <w:r w:rsidR="00672C61" w:rsidRPr="0049396B">
        <w:t xml:space="preserve">reduction </w:t>
      </w:r>
      <w:r w:rsidRPr="0049396B">
        <w:t xml:space="preserve">in the rate of decline </w:t>
      </w:r>
      <w:r w:rsidR="00026EB1" w:rsidRPr="0049396B">
        <w:t xml:space="preserve">(i.e. a slower decline) </w:t>
      </w:r>
      <w:r w:rsidRPr="0049396B">
        <w:t xml:space="preserve">of the ALSFRS-R score </w:t>
      </w:r>
      <w:r w:rsidR="000A3FD9" w:rsidRPr="0049396B">
        <w:t xml:space="preserve">(reflecting motor impairment and functional deterioration in ALS) </w:t>
      </w:r>
      <w:r w:rsidRPr="0049396B">
        <w:t xml:space="preserve">over a 24-week period (an absolute difference in the ALSFRS-R score of 2.49 points). </w:t>
      </w:r>
      <w:r w:rsidR="00BC7B08" w:rsidRPr="0049396B">
        <w:t>A</w:t>
      </w:r>
      <w:r w:rsidRPr="0049396B">
        <w:t xml:space="preserve">n improvement in the rate of decline of the ALSFRS-R score &gt;20% was </w:t>
      </w:r>
      <w:r w:rsidR="00BC7B08" w:rsidRPr="0049396B">
        <w:t xml:space="preserve">considered </w:t>
      </w:r>
      <w:r w:rsidRPr="0049396B">
        <w:t>clinically meaningful</w:t>
      </w:r>
      <w:r w:rsidRPr="0049396B">
        <w:rPr>
          <w:i/>
        </w:rPr>
        <w:t>.</w:t>
      </w:r>
    </w:p>
    <w:p w14:paraId="27912CB1" w14:textId="7AB4C75E" w:rsidR="00F572A3" w:rsidRPr="0049396B" w:rsidRDefault="00F572A3" w:rsidP="00A21488">
      <w:pPr>
        <w:pStyle w:val="3-BodyText"/>
        <w:numPr>
          <w:ilvl w:val="0"/>
          <w:numId w:val="8"/>
        </w:numPr>
        <w:rPr>
          <w:i/>
        </w:rPr>
      </w:pPr>
      <w:r w:rsidRPr="0049396B">
        <w:t xml:space="preserve">Approximately a 34% </w:t>
      </w:r>
      <w:r w:rsidR="00026EB1" w:rsidRPr="0049396B">
        <w:t xml:space="preserve">reduction </w:t>
      </w:r>
      <w:r w:rsidRPr="0049396B">
        <w:t>in the rate of decline</w:t>
      </w:r>
      <w:r w:rsidR="00026EB1" w:rsidRPr="0049396B">
        <w:t xml:space="preserve"> (i.e. a slower decline)</w:t>
      </w:r>
      <w:r w:rsidRPr="0049396B">
        <w:t xml:space="preserve"> of the ALSAQ-40 score </w:t>
      </w:r>
      <w:r w:rsidR="003C0077" w:rsidRPr="0049396B">
        <w:t xml:space="preserve">(reflecting patient-reported health status) </w:t>
      </w:r>
      <w:r w:rsidRPr="0049396B">
        <w:t>over a 24-week period (an absolute difference in the ALSAQ-40 score of -8.79). The submission did not indicate what difference in ALSAQ-40 score was considered to be clinically meaningful.</w:t>
      </w:r>
    </w:p>
    <w:p w14:paraId="076C4178" w14:textId="045161E1" w:rsidR="00F572A3" w:rsidRPr="0049396B" w:rsidRDefault="00F572A3" w:rsidP="00A21488">
      <w:pPr>
        <w:pStyle w:val="3-BodyText"/>
        <w:numPr>
          <w:ilvl w:val="0"/>
          <w:numId w:val="8"/>
        </w:numPr>
        <w:rPr>
          <w:i/>
        </w:rPr>
      </w:pPr>
      <w:r w:rsidRPr="0049396B">
        <w:t xml:space="preserve">Approximately a 24% </w:t>
      </w:r>
      <w:r w:rsidR="00026EB1" w:rsidRPr="0049396B">
        <w:t xml:space="preserve">reduction </w:t>
      </w:r>
      <w:r w:rsidRPr="0049396B">
        <w:t xml:space="preserve">in the rate of decline </w:t>
      </w:r>
      <w:r w:rsidR="00026EB1" w:rsidRPr="0049396B">
        <w:t xml:space="preserve">(i.e. a slower decline) </w:t>
      </w:r>
      <w:r w:rsidRPr="0049396B">
        <w:t xml:space="preserve">in Modified Norris Scale score </w:t>
      </w:r>
      <w:r w:rsidR="003C0077" w:rsidRPr="0049396B">
        <w:t xml:space="preserve">(reflecting extremity and bulbar function) </w:t>
      </w:r>
      <w:r w:rsidRPr="0049396B">
        <w:t>over a 24-week period (an absolute difference in the Modified Norris Scale score of 4.89). The submission did not indicate what difference in Modified Norris Scale score was considered to be clinically meaningful.</w:t>
      </w:r>
    </w:p>
    <w:p w14:paraId="5F1850CA" w14:textId="1AAC32A4" w:rsidR="00F572A3" w:rsidRPr="0049396B" w:rsidRDefault="00F572A3" w:rsidP="00A21488">
      <w:pPr>
        <w:pStyle w:val="3-BodyText"/>
        <w:numPr>
          <w:ilvl w:val="0"/>
          <w:numId w:val="8"/>
        </w:numPr>
      </w:pPr>
      <w:r w:rsidRPr="0049396B">
        <w:t xml:space="preserve">Approximately 9 of every 100 patients treated with edaravone experienced an infusion site reaction over a 24-week period. </w:t>
      </w:r>
    </w:p>
    <w:p w14:paraId="42E03810" w14:textId="77777777" w:rsidR="00F572A3" w:rsidRPr="0049396B" w:rsidRDefault="00F572A3" w:rsidP="00F572A3">
      <w:pPr>
        <w:pStyle w:val="4-SubsectionHeading"/>
      </w:pPr>
      <w:bookmarkStart w:id="57" w:name="_Toc22897644"/>
      <w:bookmarkStart w:id="58" w:name="_Toc145493780"/>
      <w:r w:rsidRPr="0049396B">
        <w:lastRenderedPageBreak/>
        <w:t>Clinical claim</w:t>
      </w:r>
      <w:bookmarkEnd w:id="57"/>
      <w:bookmarkEnd w:id="58"/>
    </w:p>
    <w:p w14:paraId="2ED3A01F" w14:textId="77777777" w:rsidR="00F572A3" w:rsidRPr="0049396B" w:rsidRDefault="00F572A3" w:rsidP="00F572A3">
      <w:pPr>
        <w:pStyle w:val="3-BodyText"/>
      </w:pPr>
      <w:r w:rsidRPr="0049396B">
        <w:t>The submission described edaravone as superior in terms of effectiveness and non-inferior in terms of safety compared to placebo in patients with Grades 1 and 2 ALS diagnosed as definite or probable ALS, within 2 years of initial ALS symptom onset, FVC ≥80%, ALSFRS ≥2 all items (i.e. dpEESP2y subgroup in the trials).</w:t>
      </w:r>
    </w:p>
    <w:p w14:paraId="07B284BB" w14:textId="77777777" w:rsidR="00F572A3" w:rsidRPr="0049396B" w:rsidRDefault="00F572A3" w:rsidP="00F572A3">
      <w:pPr>
        <w:pStyle w:val="3-BodyText"/>
        <w:rPr>
          <w:iCs/>
        </w:rPr>
      </w:pPr>
      <w:r w:rsidRPr="0049396B">
        <w:rPr>
          <w:iCs/>
        </w:rPr>
        <w:t>The clinical evidence for the effectiveness of edaravone was uncertain and requires consideration due to:</w:t>
      </w:r>
    </w:p>
    <w:p w14:paraId="669AA7A3" w14:textId="3047D92A" w:rsidR="00F572A3" w:rsidRPr="0049396B" w:rsidRDefault="00F572A3" w:rsidP="00A21488">
      <w:pPr>
        <w:pStyle w:val="ListParagraph"/>
        <w:numPr>
          <w:ilvl w:val="0"/>
          <w:numId w:val="10"/>
        </w:numPr>
        <w:rPr>
          <w:iCs/>
        </w:rPr>
      </w:pPr>
      <w:r w:rsidRPr="0049396B">
        <w:rPr>
          <w:iCs/>
          <w:u w:val="single"/>
        </w:rPr>
        <w:t>Uncertain clinical benefit:</w:t>
      </w:r>
      <w:r w:rsidRPr="0049396B">
        <w:rPr>
          <w:iCs/>
        </w:rPr>
        <w:t xml:space="preserve"> In dpEESP2y patients enrolled in Study 16 and Study 19, there was statistically significant improvement from baseline in ALSFRS-R score and some secondary outcomes favouring edaravone after 24 weeks of treatment, but there was no difference in overall survival or time to death or certain disease progression. Though based on very small patient numbers, the results for similar patients enrolled in </w:t>
      </w:r>
      <w:proofErr w:type="spellStart"/>
      <w:r w:rsidRPr="0049396B">
        <w:rPr>
          <w:iCs/>
        </w:rPr>
        <w:t>Samadhiya</w:t>
      </w:r>
      <w:proofErr w:type="spellEnd"/>
      <w:r w:rsidRPr="0049396B">
        <w:rPr>
          <w:iCs/>
        </w:rPr>
        <w:t xml:space="preserve"> 2022 also showed no difference in ALSFRS-R item scores with the exception of one item (salivation). There </w:t>
      </w:r>
      <w:r w:rsidR="00BF2BCD" w:rsidRPr="0049396B">
        <w:rPr>
          <w:iCs/>
        </w:rPr>
        <w:t xml:space="preserve">were </w:t>
      </w:r>
      <w:r w:rsidRPr="0049396B">
        <w:rPr>
          <w:iCs/>
        </w:rPr>
        <w:t>no reliable long-term data presented in the submission.</w:t>
      </w:r>
    </w:p>
    <w:p w14:paraId="561E10C6" w14:textId="6EEE53F0" w:rsidR="00F572A3" w:rsidRPr="0049396B" w:rsidRDefault="00F572A3" w:rsidP="00A21488">
      <w:pPr>
        <w:pStyle w:val="ListParagraph"/>
        <w:numPr>
          <w:ilvl w:val="0"/>
          <w:numId w:val="10"/>
        </w:numPr>
        <w:rPr>
          <w:iCs/>
        </w:rPr>
      </w:pPr>
      <w:r w:rsidRPr="0049396B">
        <w:rPr>
          <w:iCs/>
          <w:u w:val="single"/>
        </w:rPr>
        <w:t>Uncertain patient subgroup:</w:t>
      </w:r>
      <w:r w:rsidRPr="0049396B">
        <w:rPr>
          <w:iCs/>
        </w:rPr>
        <w:t xml:space="preserve"> The estimated treatment benefit with edaravone in the trial evidence was based on dpEESP2y patients in Japan, whereas the </w:t>
      </w:r>
      <w:r w:rsidR="00BC7B08" w:rsidRPr="0049396B">
        <w:rPr>
          <w:iCs/>
        </w:rPr>
        <w:t xml:space="preserve">proposed </w:t>
      </w:r>
      <w:r w:rsidRPr="0049396B">
        <w:rPr>
          <w:iCs/>
        </w:rPr>
        <w:t>PBS eligibility criteria would likely provide access to a broader population with more severe disease. The clinical evidence presented in the submission showed that any benefit with edaravone was likely specific to the dpEESP2y population, and there was no evidence presented to inform the clinical benefit in all patients potentially eligible for treatment on the PBS</w:t>
      </w:r>
      <w:r w:rsidR="00712051" w:rsidRPr="0049396B">
        <w:rPr>
          <w:iCs/>
        </w:rPr>
        <w:t xml:space="preserve">, </w:t>
      </w:r>
      <w:r w:rsidRPr="0049396B">
        <w:rPr>
          <w:iCs/>
        </w:rPr>
        <w:t>or any difference in treatment effect between Japanese and non-Japanese ALS patients.</w:t>
      </w:r>
    </w:p>
    <w:p w14:paraId="5A765FBC" w14:textId="590F0A46" w:rsidR="00F572A3" w:rsidRPr="0049396B" w:rsidRDefault="00F572A3" w:rsidP="00F572A3">
      <w:pPr>
        <w:pStyle w:val="3-BodyText"/>
        <w:rPr>
          <w:iCs/>
        </w:rPr>
      </w:pPr>
      <w:r w:rsidRPr="0049396B">
        <w:rPr>
          <w:iCs/>
        </w:rPr>
        <w:t xml:space="preserve">The incidence of AEs was generally similar between edaravone and placebo to end of cycle 6, however in Study 19 extension 6 patients (2 in EDA-EDA and 4 in PBO-EDA) experienced AEs leading to death to cycle 12. While the safety data showed similar infusion/injection site reactions between groups, these safety results reflected trial conditions where patients were administered sham infusions in the placebo arm. In clinical practice however, additional infusion reactions are to be expected for edaravone versus placebo. </w:t>
      </w:r>
      <w:r w:rsidR="00772DDB" w:rsidRPr="0049396B">
        <w:rPr>
          <w:iCs/>
        </w:rPr>
        <w:t>The ESC considered it would be</w:t>
      </w:r>
      <w:r w:rsidRPr="0049396B">
        <w:rPr>
          <w:iCs/>
        </w:rPr>
        <w:t xml:space="preserve"> more appropriate to claim inferior but manageable safety.</w:t>
      </w:r>
    </w:p>
    <w:p w14:paraId="6974A251" w14:textId="3688FB98" w:rsidR="00DF6726" w:rsidRPr="0049396B" w:rsidRDefault="00DF6726" w:rsidP="00DF6726">
      <w:pPr>
        <w:widowControl w:val="0"/>
        <w:numPr>
          <w:ilvl w:val="1"/>
          <w:numId w:val="1"/>
        </w:numPr>
        <w:spacing w:after="120"/>
        <w:rPr>
          <w:rFonts w:asciiTheme="minorHAnsi" w:hAnsiTheme="minorHAnsi"/>
          <w:snapToGrid w:val="0"/>
          <w:szCs w:val="20"/>
        </w:rPr>
      </w:pPr>
      <w:bookmarkStart w:id="59" w:name="_Hlk76376200"/>
      <w:r w:rsidRPr="0049396B">
        <w:rPr>
          <w:rFonts w:asciiTheme="minorHAnsi" w:hAnsiTheme="minorHAnsi"/>
          <w:iCs/>
          <w:snapToGrid w:val="0"/>
        </w:rPr>
        <w:t>The</w:t>
      </w:r>
      <w:r w:rsidRPr="0049396B">
        <w:rPr>
          <w:rFonts w:asciiTheme="minorHAnsi" w:hAnsiTheme="minorHAnsi"/>
          <w:snapToGrid w:val="0"/>
          <w:szCs w:val="20"/>
        </w:rPr>
        <w:t xml:space="preserve"> PBAC considered that the claim of superior comparative effectiveness was reasonable</w:t>
      </w:r>
      <w:r w:rsidR="00E37283" w:rsidRPr="0049396B">
        <w:rPr>
          <w:rFonts w:asciiTheme="minorHAnsi" w:hAnsiTheme="minorHAnsi"/>
          <w:snapToGrid w:val="0"/>
          <w:szCs w:val="20"/>
        </w:rPr>
        <w:t>, for the population that reflects patients enrolled in Study 19 (</w:t>
      </w:r>
      <w:r w:rsidR="00E37283" w:rsidRPr="0049396B">
        <w:t>Grades 1 and 2 ALS diagnosed as definite or probable ALS, within 2 years of initial ALS symptom onset, FVC ≥80%, ALSFRS ≥2 all items). The PBAC considered that comparative effectiveness in a broader population had not been demonstrated and the clinical evidence indicated that there may be no treatment benefit in patients with more advanced disease</w:t>
      </w:r>
      <w:r w:rsidRPr="0049396B">
        <w:rPr>
          <w:rFonts w:asciiTheme="minorHAnsi" w:hAnsiTheme="minorHAnsi"/>
          <w:snapToGrid w:val="0"/>
          <w:szCs w:val="20"/>
        </w:rPr>
        <w:t>.</w:t>
      </w:r>
    </w:p>
    <w:p w14:paraId="3A83E49A" w14:textId="017ADC57" w:rsidR="00DF6726" w:rsidRPr="0049396B" w:rsidRDefault="00DF6726" w:rsidP="00DF6726">
      <w:pPr>
        <w:widowControl w:val="0"/>
        <w:numPr>
          <w:ilvl w:val="1"/>
          <w:numId w:val="1"/>
        </w:numPr>
        <w:spacing w:after="120"/>
        <w:rPr>
          <w:rFonts w:asciiTheme="minorHAnsi" w:hAnsiTheme="minorHAnsi"/>
          <w:snapToGrid w:val="0"/>
          <w:szCs w:val="20"/>
        </w:rPr>
      </w:pPr>
      <w:r w:rsidRPr="0049396B">
        <w:rPr>
          <w:rFonts w:asciiTheme="minorHAnsi" w:hAnsiTheme="minorHAnsi"/>
          <w:snapToGrid w:val="0"/>
          <w:szCs w:val="20"/>
        </w:rPr>
        <w:t>The PBAC considered that the claim of non-inferior comparative safety was not adequately supported by the data</w:t>
      </w:r>
      <w:r w:rsidR="00E37283" w:rsidRPr="0049396B">
        <w:rPr>
          <w:rFonts w:asciiTheme="minorHAnsi" w:hAnsiTheme="minorHAnsi"/>
          <w:snapToGrid w:val="0"/>
          <w:szCs w:val="20"/>
        </w:rPr>
        <w:t xml:space="preserve"> and a claim of inferior safety would be reasonable</w:t>
      </w:r>
      <w:r w:rsidRPr="0049396B">
        <w:rPr>
          <w:rFonts w:asciiTheme="minorHAnsi" w:hAnsiTheme="minorHAnsi"/>
          <w:snapToGrid w:val="0"/>
          <w:szCs w:val="20"/>
        </w:rPr>
        <w:t>.</w:t>
      </w:r>
    </w:p>
    <w:p w14:paraId="0169D93F" w14:textId="77777777" w:rsidR="007E20FB" w:rsidRPr="0049396B" w:rsidRDefault="007E20FB" w:rsidP="007E20FB">
      <w:pPr>
        <w:pStyle w:val="4-SubsectionHeading"/>
      </w:pPr>
      <w:bookmarkStart w:id="60" w:name="_Toc145493781"/>
      <w:bookmarkEnd w:id="59"/>
      <w:r w:rsidRPr="0049396B">
        <w:lastRenderedPageBreak/>
        <w:t>Economic analysis</w:t>
      </w:r>
      <w:bookmarkEnd w:id="1"/>
      <w:bookmarkEnd w:id="2"/>
      <w:bookmarkEnd w:id="60"/>
      <w:r w:rsidRPr="0049396B">
        <w:t xml:space="preserve"> </w:t>
      </w:r>
    </w:p>
    <w:p w14:paraId="54BFF5D7" w14:textId="2FCB5303" w:rsidR="007E20FB" w:rsidRPr="0049396B" w:rsidRDefault="007E20FB" w:rsidP="007E20FB">
      <w:pPr>
        <w:pStyle w:val="3-BodyText"/>
        <w:rPr>
          <w:b/>
          <w:bCs/>
        </w:rPr>
      </w:pPr>
      <w:r w:rsidRPr="0049396B">
        <w:t xml:space="preserve">The submission presented a modelled cost-utility analysis comparing edaravone plus SOC (edaravone arm) to SOC alone (SOC arm), where SOC could be </w:t>
      </w:r>
      <w:r w:rsidR="00E37283" w:rsidRPr="0049396B">
        <w:t xml:space="preserve">used </w:t>
      </w:r>
      <w:r w:rsidRPr="0049396B">
        <w:t xml:space="preserve">with or without </w:t>
      </w:r>
      <w:proofErr w:type="spellStart"/>
      <w:r w:rsidRPr="0049396B">
        <w:t>riluzole</w:t>
      </w:r>
      <w:proofErr w:type="spellEnd"/>
      <w:r w:rsidRPr="0049396B">
        <w:t xml:space="preserve">. </w:t>
      </w:r>
      <w:r w:rsidRPr="0049396B" w:rsidDel="00D677F3">
        <w:t xml:space="preserve">The </w:t>
      </w:r>
      <w:r w:rsidR="00746E1A" w:rsidRPr="0049396B" w:rsidDel="00D677F3">
        <w:t xml:space="preserve">modelled </w:t>
      </w:r>
      <w:r w:rsidRPr="0049396B" w:rsidDel="00D677F3">
        <w:t xml:space="preserve">SOC arm was based on published transition probabilities from combined trial and observational data in the PRO-ACT registry (Thakore 2018). </w:t>
      </w:r>
      <w:r w:rsidRPr="0049396B">
        <w:t xml:space="preserve">The effectiveness of the edaravone arm was based on a post hoc analysis of Study 19 data (Al-Chalabi 2021) and a real-world analysis of US claims data (Brooks 2022). </w:t>
      </w:r>
    </w:p>
    <w:p w14:paraId="63471C89" w14:textId="77777777" w:rsidR="007E20FB" w:rsidRPr="0049396B" w:rsidRDefault="007E20FB" w:rsidP="007E20FB">
      <w:pPr>
        <w:pStyle w:val="3-BodyText"/>
      </w:pPr>
      <w:r w:rsidRPr="0049396B">
        <w:t>Key components of the model are summarised in the following table.</w:t>
      </w:r>
    </w:p>
    <w:p w14:paraId="3A1E9A7F" w14:textId="68A59846" w:rsidR="007E20FB" w:rsidRPr="0049396B" w:rsidRDefault="007E20FB" w:rsidP="00401F9E">
      <w:pPr>
        <w:pStyle w:val="TableFigureHeading"/>
        <w:rPr>
          <w:rStyle w:val="CommentReference"/>
          <w:b/>
          <w:szCs w:val="24"/>
        </w:rPr>
      </w:pPr>
      <w:r w:rsidRPr="0049396B">
        <w:t xml:space="preserve">Table </w:t>
      </w:r>
      <w:r w:rsidR="001C0AB9">
        <w:fldChar w:fldCharType="begin" w:fldLock="1"/>
      </w:r>
      <w:r w:rsidR="001C0AB9">
        <w:instrText xml:space="preserve"> SEQ Table \* ARABIC </w:instrText>
      </w:r>
      <w:r w:rsidR="001C0AB9">
        <w:fldChar w:fldCharType="separate"/>
      </w:r>
      <w:r w:rsidR="00B41026" w:rsidRPr="0049396B">
        <w:t>8</w:t>
      </w:r>
      <w:r w:rsidR="001C0AB9">
        <w:fldChar w:fldCharType="end"/>
      </w:r>
      <w:r w:rsidRPr="0049396B">
        <w:t>:</w:t>
      </w:r>
      <w:r w:rsidRPr="0049396B">
        <w:rPr>
          <w:rStyle w:val="CommentReference"/>
          <w:b/>
          <w:szCs w:val="24"/>
        </w:rPr>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7E20FB" w:rsidRPr="0049396B" w14:paraId="1641C287" w14:textId="77777777" w:rsidTr="00B676F6">
        <w:trPr>
          <w:tblHeader/>
        </w:trPr>
        <w:tc>
          <w:tcPr>
            <w:tcW w:w="784" w:type="pct"/>
            <w:shd w:val="clear" w:color="auto" w:fill="auto"/>
            <w:vAlign w:val="center"/>
          </w:tcPr>
          <w:p w14:paraId="4319D51A" w14:textId="77777777" w:rsidR="007E20FB" w:rsidRPr="0049396B" w:rsidRDefault="007E20FB" w:rsidP="00401F9E">
            <w:pPr>
              <w:pStyle w:val="In-tableHeading"/>
              <w:rPr>
                <w:lang w:val="en-AU"/>
              </w:rPr>
            </w:pPr>
            <w:r w:rsidRPr="0049396B">
              <w:rPr>
                <w:lang w:val="en-AU"/>
              </w:rPr>
              <w:t>Component</w:t>
            </w:r>
          </w:p>
        </w:tc>
        <w:tc>
          <w:tcPr>
            <w:tcW w:w="4216" w:type="pct"/>
            <w:shd w:val="clear" w:color="auto" w:fill="auto"/>
            <w:vAlign w:val="center"/>
          </w:tcPr>
          <w:p w14:paraId="51110D8D" w14:textId="77777777" w:rsidR="007E20FB" w:rsidRPr="0049396B" w:rsidRDefault="007E20FB" w:rsidP="00401F9E">
            <w:pPr>
              <w:pStyle w:val="In-tableHeading"/>
              <w:rPr>
                <w:lang w:val="en-AU"/>
              </w:rPr>
            </w:pPr>
            <w:r w:rsidRPr="0049396B">
              <w:rPr>
                <w:lang w:val="en-AU"/>
              </w:rPr>
              <w:t>Summary</w:t>
            </w:r>
          </w:p>
        </w:tc>
      </w:tr>
      <w:tr w:rsidR="007E20FB" w:rsidRPr="0049396B" w14:paraId="3FDAB732" w14:textId="77777777" w:rsidTr="00B676F6">
        <w:tc>
          <w:tcPr>
            <w:tcW w:w="784" w:type="pct"/>
            <w:shd w:val="clear" w:color="auto" w:fill="auto"/>
            <w:vAlign w:val="center"/>
          </w:tcPr>
          <w:p w14:paraId="73D06286" w14:textId="77777777" w:rsidR="007E20FB" w:rsidRPr="0049396B" w:rsidRDefault="007E20FB" w:rsidP="00401F9E">
            <w:pPr>
              <w:pStyle w:val="TableText0"/>
            </w:pPr>
            <w:r w:rsidRPr="0049396B">
              <w:t>Treatments</w:t>
            </w:r>
          </w:p>
        </w:tc>
        <w:tc>
          <w:tcPr>
            <w:tcW w:w="4216" w:type="pct"/>
            <w:shd w:val="clear" w:color="auto" w:fill="auto"/>
            <w:vAlign w:val="center"/>
          </w:tcPr>
          <w:p w14:paraId="1C609256" w14:textId="77777777" w:rsidR="007E20FB" w:rsidRPr="0049396B" w:rsidRDefault="007E20FB" w:rsidP="00401F9E">
            <w:pPr>
              <w:pStyle w:val="TableText0"/>
            </w:pPr>
            <w:r w:rsidRPr="0049396B">
              <w:t xml:space="preserve">Edaravone plus SOC with/without </w:t>
            </w:r>
            <w:proofErr w:type="spellStart"/>
            <w:r w:rsidRPr="0049396B">
              <w:t>riluzole</w:t>
            </w:r>
            <w:proofErr w:type="spellEnd"/>
            <w:r w:rsidRPr="0049396B">
              <w:t xml:space="preserve"> vs SOC with/without </w:t>
            </w:r>
            <w:proofErr w:type="spellStart"/>
            <w:r w:rsidRPr="0049396B">
              <w:t>riluzole</w:t>
            </w:r>
            <w:proofErr w:type="spellEnd"/>
          </w:p>
        </w:tc>
      </w:tr>
      <w:tr w:rsidR="007E20FB" w:rsidRPr="0049396B" w14:paraId="58181C06" w14:textId="77777777" w:rsidTr="00B676F6">
        <w:tc>
          <w:tcPr>
            <w:tcW w:w="784" w:type="pct"/>
            <w:shd w:val="clear" w:color="auto" w:fill="auto"/>
            <w:vAlign w:val="center"/>
          </w:tcPr>
          <w:p w14:paraId="44B2DDB8" w14:textId="77777777" w:rsidR="007E20FB" w:rsidRPr="0049396B" w:rsidRDefault="007E20FB" w:rsidP="00401F9E">
            <w:pPr>
              <w:pStyle w:val="TableText0"/>
            </w:pPr>
            <w:r w:rsidRPr="0049396B">
              <w:t>Time horizon</w:t>
            </w:r>
          </w:p>
        </w:tc>
        <w:tc>
          <w:tcPr>
            <w:tcW w:w="4216" w:type="pct"/>
            <w:shd w:val="clear" w:color="auto" w:fill="auto"/>
            <w:vAlign w:val="center"/>
          </w:tcPr>
          <w:p w14:paraId="1CF0AC8B" w14:textId="6163B9CA" w:rsidR="007E20FB" w:rsidRPr="0049396B" w:rsidRDefault="007E20FB" w:rsidP="00401F9E">
            <w:pPr>
              <w:pStyle w:val="TableText0"/>
            </w:pPr>
            <w:r w:rsidRPr="0049396B">
              <w:t xml:space="preserve">10 years in the model base case vs. 24 weeks in Study 19, 3 years in Brooks 2022 and 2 years in Thakore 2018. While average survival for ALS is expected to be 3-5 years, a proportion of patients are expected to have longer survival </w:t>
            </w:r>
            <w:r w:rsidR="00746E1A" w:rsidRPr="0049396B">
              <w:t xml:space="preserve">and </w:t>
            </w:r>
            <w:r w:rsidRPr="0049396B">
              <w:t xml:space="preserve">live to 10 years. However, all the studies informing the model are </w:t>
            </w:r>
            <w:r w:rsidR="00D3015F" w:rsidRPr="0049396B">
              <w:t>based on</w:t>
            </w:r>
            <w:r w:rsidRPr="0049396B">
              <w:t xml:space="preserve"> data of a maximum of 3 years. Furthermore, the mean survival benefit for edaravone estimated by extrapolating Brooks 2022 was estimated from a 20-year time horizon, inconsistent with the modelled time horizon.</w:t>
            </w:r>
          </w:p>
        </w:tc>
      </w:tr>
      <w:tr w:rsidR="007E20FB" w:rsidRPr="0049396B" w14:paraId="66AB688D" w14:textId="77777777" w:rsidTr="00B676F6">
        <w:tc>
          <w:tcPr>
            <w:tcW w:w="784" w:type="pct"/>
            <w:shd w:val="clear" w:color="auto" w:fill="auto"/>
            <w:vAlign w:val="center"/>
          </w:tcPr>
          <w:p w14:paraId="2FF7EF9E" w14:textId="77777777" w:rsidR="007E20FB" w:rsidRPr="0049396B" w:rsidRDefault="007E20FB" w:rsidP="00401F9E">
            <w:pPr>
              <w:pStyle w:val="TableText0"/>
            </w:pPr>
            <w:r w:rsidRPr="0049396B">
              <w:t>Outcomes</w:t>
            </w:r>
          </w:p>
        </w:tc>
        <w:tc>
          <w:tcPr>
            <w:tcW w:w="4216" w:type="pct"/>
            <w:shd w:val="clear" w:color="auto" w:fill="auto"/>
            <w:vAlign w:val="center"/>
          </w:tcPr>
          <w:p w14:paraId="55B04748" w14:textId="77777777" w:rsidR="007E20FB" w:rsidRPr="0049396B" w:rsidRDefault="007E20FB" w:rsidP="00401F9E">
            <w:pPr>
              <w:pStyle w:val="TableText0"/>
            </w:pPr>
            <w:r w:rsidRPr="0049396B">
              <w:t>Life years gained, quality-adjusted life years.</w:t>
            </w:r>
          </w:p>
        </w:tc>
      </w:tr>
      <w:tr w:rsidR="007E20FB" w:rsidRPr="0049396B" w14:paraId="1AC7AD25" w14:textId="77777777" w:rsidTr="00B676F6">
        <w:tc>
          <w:tcPr>
            <w:tcW w:w="784" w:type="pct"/>
            <w:shd w:val="clear" w:color="auto" w:fill="auto"/>
            <w:vAlign w:val="center"/>
          </w:tcPr>
          <w:p w14:paraId="58D6C96E" w14:textId="77777777" w:rsidR="007E20FB" w:rsidRPr="0049396B" w:rsidRDefault="007E20FB" w:rsidP="00401F9E">
            <w:pPr>
              <w:pStyle w:val="TableText0"/>
            </w:pPr>
            <w:r w:rsidRPr="0049396B">
              <w:t>Methods used to generate results</w:t>
            </w:r>
          </w:p>
        </w:tc>
        <w:tc>
          <w:tcPr>
            <w:tcW w:w="4216" w:type="pct"/>
            <w:shd w:val="clear" w:color="auto" w:fill="auto"/>
          </w:tcPr>
          <w:p w14:paraId="42FA637E" w14:textId="77777777" w:rsidR="007E20FB" w:rsidRPr="0049396B" w:rsidRDefault="007E20FB" w:rsidP="00401F9E">
            <w:pPr>
              <w:pStyle w:val="TableText0"/>
            </w:pPr>
            <w:r w:rsidRPr="0049396B">
              <w:t>Markov cohort model. The model assumed constant transition probabilities across the patient’s lifetime, based on data up to a maximum of 3 years, which may not be appropriate.</w:t>
            </w:r>
          </w:p>
        </w:tc>
      </w:tr>
      <w:tr w:rsidR="007E20FB" w:rsidRPr="0049396B" w14:paraId="6DF4882F" w14:textId="77777777" w:rsidTr="00B676F6">
        <w:tc>
          <w:tcPr>
            <w:tcW w:w="784" w:type="pct"/>
            <w:shd w:val="clear" w:color="auto" w:fill="auto"/>
            <w:vAlign w:val="center"/>
          </w:tcPr>
          <w:p w14:paraId="794A2C25" w14:textId="77777777" w:rsidR="007E20FB" w:rsidRPr="0049396B" w:rsidRDefault="007E20FB" w:rsidP="00EB254E">
            <w:pPr>
              <w:pStyle w:val="TableText0"/>
            </w:pPr>
            <w:r w:rsidRPr="0049396B">
              <w:t>Health states</w:t>
            </w:r>
          </w:p>
        </w:tc>
        <w:tc>
          <w:tcPr>
            <w:tcW w:w="4216" w:type="pct"/>
            <w:shd w:val="clear" w:color="auto" w:fill="auto"/>
            <w:vAlign w:val="center"/>
          </w:tcPr>
          <w:p w14:paraId="2D8C8120" w14:textId="77777777" w:rsidR="007E20FB" w:rsidRPr="0049396B" w:rsidRDefault="007E20FB" w:rsidP="00EB254E">
            <w:pPr>
              <w:pStyle w:val="TableText0"/>
            </w:pPr>
            <w:r w:rsidRPr="0049396B">
              <w:t>The health states in the model were:</w:t>
            </w:r>
          </w:p>
          <w:p w14:paraId="024281DE" w14:textId="77777777" w:rsidR="007E20FB" w:rsidRPr="0049396B" w:rsidRDefault="007E20FB" w:rsidP="00EB254E">
            <w:pPr>
              <w:pStyle w:val="TableText0"/>
            </w:pPr>
            <w:r w:rsidRPr="0049396B">
              <w:t>King’s stage 1, King’s stage 2, King’s stage 3, King’s stage 4a, King’s stage 4b, Death.</w:t>
            </w:r>
          </w:p>
          <w:p w14:paraId="4C7CE1F0" w14:textId="5562F7CE" w:rsidR="007E20FB" w:rsidRPr="0049396B" w:rsidRDefault="007E20FB" w:rsidP="00EB254E">
            <w:pPr>
              <w:pStyle w:val="TableText0"/>
            </w:pPr>
            <w:r w:rsidRPr="0049396B">
              <w:t>King’s staging was not included in the proposed restriction and patients in Study 19 were not enrolled based on King’s staging. Instead</w:t>
            </w:r>
            <w:r w:rsidR="00744F28" w:rsidRPr="0049396B">
              <w:t>,</w:t>
            </w:r>
            <w:r w:rsidRPr="0049396B">
              <w:t xml:space="preserve"> in a post hoc analysis by Al Chalabi 2021, ALSFRS-R scores in Study 19 were mapped to King’s staging, using the algorithm presented in Balendra 2014. </w:t>
            </w:r>
          </w:p>
        </w:tc>
      </w:tr>
      <w:tr w:rsidR="007E20FB" w:rsidRPr="0049396B" w14:paraId="2BE1E63A" w14:textId="77777777" w:rsidTr="00B676F6">
        <w:tc>
          <w:tcPr>
            <w:tcW w:w="784" w:type="pct"/>
            <w:shd w:val="clear" w:color="auto" w:fill="auto"/>
            <w:vAlign w:val="center"/>
          </w:tcPr>
          <w:p w14:paraId="5919554E" w14:textId="77777777" w:rsidR="007E20FB" w:rsidRPr="0049396B" w:rsidRDefault="007E20FB" w:rsidP="00EB254E">
            <w:pPr>
              <w:pStyle w:val="TableText0"/>
              <w:keepNext w:val="0"/>
            </w:pPr>
            <w:r w:rsidRPr="0049396B">
              <w:t>Cycle length</w:t>
            </w:r>
          </w:p>
        </w:tc>
        <w:tc>
          <w:tcPr>
            <w:tcW w:w="4216" w:type="pct"/>
            <w:shd w:val="clear" w:color="auto" w:fill="auto"/>
            <w:vAlign w:val="center"/>
          </w:tcPr>
          <w:p w14:paraId="3BEA7045" w14:textId="77777777" w:rsidR="007E20FB" w:rsidRPr="0049396B" w:rsidRDefault="007E20FB" w:rsidP="00EB254E">
            <w:pPr>
              <w:pStyle w:val="TableText0"/>
              <w:keepNext w:val="0"/>
            </w:pPr>
            <w:r w:rsidRPr="0049396B">
              <w:t>3 months</w:t>
            </w:r>
          </w:p>
        </w:tc>
      </w:tr>
      <w:tr w:rsidR="007E20FB" w:rsidRPr="0049396B" w14:paraId="452E33E9" w14:textId="77777777" w:rsidTr="00B676F6">
        <w:trPr>
          <w:trHeight w:val="68"/>
        </w:trPr>
        <w:tc>
          <w:tcPr>
            <w:tcW w:w="784" w:type="pct"/>
            <w:vMerge w:val="restart"/>
            <w:shd w:val="clear" w:color="auto" w:fill="auto"/>
            <w:vAlign w:val="center"/>
          </w:tcPr>
          <w:p w14:paraId="144A0CC6" w14:textId="77777777" w:rsidR="007E20FB" w:rsidRPr="0049396B" w:rsidRDefault="007E20FB" w:rsidP="00EB254E">
            <w:pPr>
              <w:pStyle w:val="TableText0"/>
              <w:keepNext w:val="0"/>
            </w:pPr>
            <w:r w:rsidRPr="0049396B">
              <w:t>Transition probabilities</w:t>
            </w:r>
          </w:p>
        </w:tc>
        <w:tc>
          <w:tcPr>
            <w:tcW w:w="4216" w:type="pct"/>
            <w:shd w:val="clear" w:color="auto" w:fill="auto"/>
            <w:vAlign w:val="center"/>
          </w:tcPr>
          <w:p w14:paraId="77D8C944" w14:textId="77777777" w:rsidR="007E20FB" w:rsidRPr="0049396B" w:rsidRDefault="007E20FB" w:rsidP="00EB254E">
            <w:pPr>
              <w:pStyle w:val="TableText0"/>
              <w:keepNext w:val="0"/>
              <w:keepLines/>
              <w:rPr>
                <w:b/>
              </w:rPr>
            </w:pPr>
            <w:r w:rsidRPr="0049396B">
              <w:rPr>
                <w:b/>
              </w:rPr>
              <w:t>Transition between King’s stage:</w:t>
            </w:r>
          </w:p>
          <w:p w14:paraId="52AE1E87" w14:textId="77777777" w:rsidR="007E20FB" w:rsidRPr="0049396B" w:rsidRDefault="007E20FB" w:rsidP="00EB254E">
            <w:pPr>
              <w:pStyle w:val="TableText0"/>
              <w:keepNext w:val="0"/>
              <w:keepLines/>
            </w:pPr>
            <w:r w:rsidRPr="0049396B">
              <w:rPr>
                <w:u w:val="single"/>
              </w:rPr>
              <w:t>SOC</w:t>
            </w:r>
            <w:r w:rsidRPr="0049396B">
              <w:t>: published transition probabilities from Thakore 2018, based on the PRO-ACT database. The transition probabilities from Thakore 2018 were not well validated against the PRO-ACT data which informed them, overestimating time in each King’s stage.</w:t>
            </w:r>
          </w:p>
          <w:p w14:paraId="7CD5FF60" w14:textId="77777777" w:rsidR="007E20FB" w:rsidRPr="0049396B" w:rsidRDefault="007E20FB" w:rsidP="00EB254E">
            <w:pPr>
              <w:pStyle w:val="TableText0"/>
              <w:keepNext w:val="0"/>
              <w:keepLines/>
            </w:pPr>
          </w:p>
          <w:p w14:paraId="47E81536" w14:textId="613AE0A6" w:rsidR="007E20FB" w:rsidRPr="0049396B" w:rsidRDefault="007E20FB" w:rsidP="00EB254E">
            <w:pPr>
              <w:pStyle w:val="TableText0"/>
              <w:keepNext w:val="0"/>
              <w:keepLines/>
            </w:pPr>
            <w:r w:rsidRPr="0049396B">
              <w:rPr>
                <w:u w:val="single"/>
              </w:rPr>
              <w:t>Edaravone:</w:t>
            </w:r>
            <w:r w:rsidRPr="0049396B">
              <w:t xml:space="preserve"> HRs applied to SOC arm annual rates based on Cox models for each King’s stage estimated from KM data reported in Al-Chalabi 2021. These annual rates were converted back to transition probabilities by adjusting for mortality at each stage. The HR for transition between King’s stage was based on Study 19, but the HRs were highly </w:t>
            </w:r>
            <w:bookmarkStart w:id="61" w:name="_Hlk144727465"/>
            <w:r w:rsidRPr="0049396B">
              <w:t xml:space="preserve">uncertain (all included 1 in their 95% CI), and did not appear to meet proportional hazards criteria. Further, time 0 in Al-Chalabi 2021 was the time at which patients entered each stage. As patients in Study </w:t>
            </w:r>
            <w:bookmarkEnd w:id="61"/>
            <w:r w:rsidRPr="0049396B">
              <w:t xml:space="preserve">19 at baseline could be in any of stages 1-3, and some transitioned during the trial, the time to progression for stages 2 and 3 estimated in Al-Chalabi 2021 were based on both treatment naïve and previously treated patients. In comparison, the model assumed all patients in stages 2 and 3 were previously treated with edaravone, as all patients entered the model in stage 1. </w:t>
            </w:r>
            <w:r w:rsidR="00A10D6F" w:rsidRPr="0049396B">
              <w:t>Therefore,</w:t>
            </w:r>
            <w:r w:rsidRPr="0049396B">
              <w:t xml:space="preserve"> the cohort of previously treated patients in the model </w:t>
            </w:r>
            <w:r w:rsidR="00D3015F" w:rsidRPr="0049396B">
              <w:t xml:space="preserve">was </w:t>
            </w:r>
            <w:r w:rsidRPr="0049396B">
              <w:t>assumed to accrue the same benefit as the mix of treatment naive and previously treated patients in Study 19, and therefore the effect for edaravone in stages 2 and 3 may be overestimated.</w:t>
            </w:r>
          </w:p>
          <w:p w14:paraId="3BA03D1B" w14:textId="77777777" w:rsidR="006A53AB" w:rsidRPr="0049396B" w:rsidRDefault="006A53AB" w:rsidP="006A53AB">
            <w:pPr>
              <w:pStyle w:val="TableText0"/>
              <w:keepNext w:val="0"/>
            </w:pPr>
            <w:r w:rsidRPr="0049396B">
              <w:t xml:space="preserve">HR stage 1: 0.654 </w:t>
            </w:r>
          </w:p>
          <w:p w14:paraId="0D551B2A" w14:textId="77777777" w:rsidR="006A53AB" w:rsidRPr="0049396B" w:rsidRDefault="006A53AB" w:rsidP="006A53AB">
            <w:pPr>
              <w:pStyle w:val="TableText0"/>
              <w:keepNext w:val="0"/>
            </w:pPr>
            <w:r w:rsidRPr="0049396B">
              <w:t xml:space="preserve">HR stage 2: 0.696 </w:t>
            </w:r>
          </w:p>
          <w:p w14:paraId="14FFD262" w14:textId="77777777" w:rsidR="006A53AB" w:rsidRPr="0049396B" w:rsidRDefault="006A53AB" w:rsidP="006A53AB">
            <w:pPr>
              <w:pStyle w:val="TableText0"/>
              <w:keepNext w:val="0"/>
            </w:pPr>
            <w:r w:rsidRPr="0049396B">
              <w:t xml:space="preserve">HR stage 3: 0.584 </w:t>
            </w:r>
          </w:p>
          <w:p w14:paraId="38B2FA04" w14:textId="5947CB88" w:rsidR="006A53AB" w:rsidRPr="0049396B" w:rsidRDefault="006A53AB" w:rsidP="000D2EDC">
            <w:pPr>
              <w:pStyle w:val="TableText0"/>
              <w:keepNext w:val="0"/>
            </w:pPr>
            <w:r w:rsidRPr="0049396B">
              <w:t xml:space="preserve">HR stage 4a: 1.000 </w:t>
            </w:r>
          </w:p>
        </w:tc>
      </w:tr>
      <w:tr w:rsidR="007E20FB" w:rsidRPr="0049396B" w14:paraId="3ED0789B" w14:textId="77777777" w:rsidTr="00B676F6">
        <w:trPr>
          <w:trHeight w:val="68"/>
        </w:trPr>
        <w:tc>
          <w:tcPr>
            <w:tcW w:w="784" w:type="pct"/>
            <w:vMerge/>
            <w:shd w:val="clear" w:color="auto" w:fill="auto"/>
            <w:vAlign w:val="center"/>
          </w:tcPr>
          <w:p w14:paraId="188A3DED" w14:textId="77777777" w:rsidR="007E20FB" w:rsidRPr="0049396B" w:rsidRDefault="007E20FB" w:rsidP="00EB254E">
            <w:pPr>
              <w:pStyle w:val="TableText0"/>
              <w:keepNext w:val="0"/>
            </w:pPr>
          </w:p>
        </w:tc>
        <w:tc>
          <w:tcPr>
            <w:tcW w:w="4216" w:type="pct"/>
            <w:shd w:val="clear" w:color="auto" w:fill="auto"/>
            <w:vAlign w:val="center"/>
          </w:tcPr>
          <w:p w14:paraId="0A765D21" w14:textId="77777777" w:rsidR="007E20FB" w:rsidRPr="0049396B" w:rsidRDefault="007E20FB" w:rsidP="000D2EDC">
            <w:pPr>
              <w:pStyle w:val="TableText0"/>
              <w:keepLines/>
              <w:rPr>
                <w:b/>
              </w:rPr>
            </w:pPr>
            <w:r w:rsidRPr="0049396B">
              <w:rPr>
                <w:b/>
              </w:rPr>
              <w:t>OS</w:t>
            </w:r>
          </w:p>
          <w:p w14:paraId="79DF7F05" w14:textId="77777777" w:rsidR="007E20FB" w:rsidRPr="0049396B" w:rsidRDefault="007E20FB" w:rsidP="00EB254E">
            <w:pPr>
              <w:pStyle w:val="TableText0"/>
              <w:keepNext w:val="0"/>
              <w:keepLines/>
            </w:pPr>
            <w:r w:rsidRPr="0049396B">
              <w:rPr>
                <w:u w:val="single"/>
              </w:rPr>
              <w:t>SOC:</w:t>
            </w:r>
            <w:r w:rsidRPr="0049396B">
              <w:t xml:space="preserve"> published transition probabilities from Thakore 2018 for each King’s stage, based on the PRO-ACT database. The transition probabilities from Thakore 2018 were not well validated against the PRO-ACT data which informed them, overestimating survival.</w:t>
            </w:r>
          </w:p>
          <w:p w14:paraId="0E18E053" w14:textId="77777777" w:rsidR="007E20FB" w:rsidRPr="0049396B" w:rsidRDefault="007E20FB" w:rsidP="00EB254E">
            <w:pPr>
              <w:pStyle w:val="TableText0"/>
              <w:keepNext w:val="0"/>
              <w:keepLines/>
            </w:pPr>
          </w:p>
          <w:p w14:paraId="6B628D37" w14:textId="5CE15C70" w:rsidR="007E20FB" w:rsidRPr="0049396B" w:rsidRDefault="007E20FB" w:rsidP="00EB254E">
            <w:pPr>
              <w:pStyle w:val="TableText0"/>
              <w:keepNext w:val="0"/>
              <w:keepLines/>
            </w:pPr>
            <w:r w:rsidRPr="0049396B">
              <w:rPr>
                <w:u w:val="single"/>
              </w:rPr>
              <w:t>Edaravone:</w:t>
            </w:r>
            <w:r w:rsidRPr="0049396B">
              <w:t xml:space="preserve"> </w:t>
            </w:r>
            <w:r w:rsidR="00A60A7B">
              <w:t xml:space="preserve">a </w:t>
            </w:r>
            <w:r w:rsidRPr="0049396B">
              <w:t xml:space="preserve">mortality calibration adjustment </w:t>
            </w:r>
            <w:r w:rsidR="00A60A7B">
              <w:t>was</w:t>
            </w:r>
            <w:r w:rsidRPr="0049396B">
              <w:t xml:space="preserve"> applied to the SOC arm based on expected mean survival difference estimated from Brooks 2022</w:t>
            </w:r>
            <w:r w:rsidR="00A60A7B">
              <w:t>,</w:t>
            </w:r>
            <w:r w:rsidRPr="0049396B">
              <w:t xml:space="preserve"> extrapolated with independent generalised gamma curves to 20 years applied to a 10-year time horizon. Studies 16, 18 and 19 demonstrated no survival benefit for edaravone over SOC, and there were methodological concerns with Brooks 2022. Other observational data and matched studies showed mixed evidence of survival benefit for edaravone over SOC.</w:t>
            </w:r>
          </w:p>
        </w:tc>
      </w:tr>
      <w:tr w:rsidR="007E20FB" w:rsidRPr="0049396B" w14:paraId="41C6A495" w14:textId="77777777" w:rsidTr="00B676F6">
        <w:trPr>
          <w:trHeight w:val="68"/>
        </w:trPr>
        <w:tc>
          <w:tcPr>
            <w:tcW w:w="784" w:type="pct"/>
            <w:vMerge/>
            <w:shd w:val="clear" w:color="auto" w:fill="auto"/>
            <w:vAlign w:val="center"/>
          </w:tcPr>
          <w:p w14:paraId="5EAFB570" w14:textId="77777777" w:rsidR="007E20FB" w:rsidRPr="0049396B" w:rsidRDefault="007E20FB" w:rsidP="00EB254E">
            <w:pPr>
              <w:pStyle w:val="TableText0"/>
            </w:pPr>
          </w:p>
        </w:tc>
        <w:tc>
          <w:tcPr>
            <w:tcW w:w="4216" w:type="pct"/>
            <w:shd w:val="clear" w:color="auto" w:fill="auto"/>
            <w:vAlign w:val="center"/>
          </w:tcPr>
          <w:p w14:paraId="15D06F71" w14:textId="77777777" w:rsidR="007E20FB" w:rsidRPr="0049396B" w:rsidRDefault="007E20FB" w:rsidP="00EB254E">
            <w:pPr>
              <w:pStyle w:val="TableText0"/>
              <w:keepNext w:val="0"/>
              <w:keepLines/>
              <w:rPr>
                <w:b/>
              </w:rPr>
            </w:pPr>
            <w:r w:rsidRPr="0049396B">
              <w:rPr>
                <w:b/>
              </w:rPr>
              <w:t>TTD</w:t>
            </w:r>
          </w:p>
          <w:p w14:paraId="78500F26" w14:textId="77777777" w:rsidR="007E20FB" w:rsidRPr="0049396B" w:rsidRDefault="007E20FB" w:rsidP="00EB254E">
            <w:pPr>
              <w:pStyle w:val="TableText0"/>
              <w:keepNext w:val="0"/>
              <w:keepLines/>
            </w:pPr>
            <w:r w:rsidRPr="0049396B">
              <w:t xml:space="preserve">85% patients assumed to receive </w:t>
            </w:r>
            <w:proofErr w:type="spellStart"/>
            <w:r w:rsidRPr="0049396B">
              <w:t>riluzole</w:t>
            </w:r>
            <w:proofErr w:type="spellEnd"/>
            <w:r w:rsidRPr="0049396B">
              <w:t xml:space="preserve"> in stages 1-3 in </w:t>
            </w:r>
            <w:r w:rsidRPr="0049396B">
              <w:rPr>
                <w:u w:val="single"/>
              </w:rPr>
              <w:t>both SOC and edaravone arms</w:t>
            </w:r>
            <w:r w:rsidRPr="0049396B">
              <w:t xml:space="preserve">. </w:t>
            </w:r>
            <w:proofErr w:type="spellStart"/>
            <w:r w:rsidRPr="0049396B">
              <w:t>Riluzole</w:t>
            </w:r>
            <w:proofErr w:type="spellEnd"/>
            <w:r w:rsidRPr="0049396B">
              <w:t xml:space="preserve"> use was higher in Study 19 (91%).</w:t>
            </w:r>
          </w:p>
          <w:p w14:paraId="3262217D" w14:textId="77777777" w:rsidR="007E20FB" w:rsidRPr="0049396B" w:rsidRDefault="007E20FB" w:rsidP="00EB254E">
            <w:pPr>
              <w:pStyle w:val="TableText0"/>
              <w:keepNext w:val="0"/>
              <w:keepLines/>
            </w:pPr>
          </w:p>
          <w:p w14:paraId="79AB7579" w14:textId="4CA41F29" w:rsidR="007E20FB" w:rsidRPr="0049396B" w:rsidRDefault="007E20FB" w:rsidP="00EB254E">
            <w:pPr>
              <w:pStyle w:val="TableText0"/>
              <w:keepNext w:val="0"/>
              <w:keepLines/>
            </w:pPr>
            <w:r w:rsidRPr="0049396B">
              <w:t xml:space="preserve">Patients in the edaravone arm also received </w:t>
            </w:r>
            <w:r w:rsidRPr="0049396B">
              <w:rPr>
                <w:u w:val="single"/>
              </w:rPr>
              <w:t>edaravone</w:t>
            </w:r>
            <w:r w:rsidRPr="0049396B">
              <w:t xml:space="preserve"> in stages 1-3, but were assumed to have a discontinuation rate of 30% each model cycle (based on median duration of 9 months from Brooks 2022). Treatment discontinuation in Study 19 was low, and in observational studies, average time on edaravone ranged from 8-27</w:t>
            </w:r>
            <w:r w:rsidR="00357506" w:rsidRPr="0049396B">
              <w:t xml:space="preserve"> </w:t>
            </w:r>
            <w:r w:rsidRPr="0049396B">
              <w:t>months, suggesting the duration in Brooks 2022 could be an underestimate.</w:t>
            </w:r>
          </w:p>
        </w:tc>
      </w:tr>
      <w:tr w:rsidR="007E20FB" w:rsidRPr="0049396B" w14:paraId="3B9D9FBB" w14:textId="77777777" w:rsidTr="00B676F6">
        <w:tc>
          <w:tcPr>
            <w:tcW w:w="784" w:type="pct"/>
            <w:shd w:val="clear" w:color="auto" w:fill="auto"/>
            <w:vAlign w:val="center"/>
          </w:tcPr>
          <w:p w14:paraId="7CA4CB41" w14:textId="77777777" w:rsidR="007E20FB" w:rsidRPr="0049396B" w:rsidRDefault="007E20FB" w:rsidP="00EB254E">
            <w:pPr>
              <w:pStyle w:val="TableText0"/>
              <w:keepNext w:val="0"/>
            </w:pPr>
            <w:r w:rsidRPr="0049396B">
              <w:t>Health related quality of life</w:t>
            </w:r>
          </w:p>
        </w:tc>
        <w:tc>
          <w:tcPr>
            <w:tcW w:w="4216" w:type="pct"/>
            <w:shd w:val="clear" w:color="auto" w:fill="auto"/>
            <w:vAlign w:val="center"/>
          </w:tcPr>
          <w:p w14:paraId="591688BA" w14:textId="291C8D98" w:rsidR="007E20FB" w:rsidRPr="0049396B" w:rsidRDefault="007E20FB" w:rsidP="00EB254E">
            <w:pPr>
              <w:pStyle w:val="TableText0"/>
              <w:keepNext w:val="0"/>
            </w:pPr>
            <w:r w:rsidRPr="0049396B">
              <w:t>Age based general population utility for Australia (McCaffrey 2016) minus the following disutilities in each health state (based on ALS health state utilities in Thakore 2020 subtracted from US population utility in Janssen 2018). At the end of the modelled time horizon (patients aged 70.3 years) the estimated utilities in each stage were: stage 1</w:t>
            </w:r>
            <w:r w:rsidR="006E70B2" w:rsidRPr="0049396B">
              <w:t xml:space="preserve"> -</w:t>
            </w:r>
            <w:r w:rsidRPr="0049396B">
              <w:t xml:space="preserve"> 0.841, stage 2</w:t>
            </w:r>
            <w:r w:rsidR="006E70B2" w:rsidRPr="0049396B">
              <w:t xml:space="preserve"> -</w:t>
            </w:r>
            <w:r w:rsidRPr="0049396B">
              <w:t xml:space="preserve"> 0.768, stage 3</w:t>
            </w:r>
            <w:r w:rsidR="006E70B2" w:rsidRPr="0049396B">
              <w:t xml:space="preserve"> -</w:t>
            </w:r>
            <w:r w:rsidRPr="0049396B">
              <w:t xml:space="preserve"> 0.667, stage 4a</w:t>
            </w:r>
            <w:r w:rsidR="006E70B2" w:rsidRPr="0049396B">
              <w:t xml:space="preserve"> -</w:t>
            </w:r>
            <w:r w:rsidRPr="0049396B">
              <w:t xml:space="preserve"> 0.681, stage 4b</w:t>
            </w:r>
            <w:r w:rsidR="006E70B2" w:rsidRPr="0049396B">
              <w:t xml:space="preserve"> -</w:t>
            </w:r>
            <w:r w:rsidRPr="0049396B">
              <w:t xml:space="preserve"> 0.606.</w:t>
            </w:r>
          </w:p>
          <w:p w14:paraId="50883B2F" w14:textId="77777777" w:rsidR="007E20FB" w:rsidRPr="0049396B" w:rsidRDefault="007E20FB" w:rsidP="00EB254E">
            <w:pPr>
              <w:pStyle w:val="TableText0"/>
              <w:keepNext w:val="0"/>
            </w:pPr>
          </w:p>
          <w:p w14:paraId="15535E55" w14:textId="77777777" w:rsidR="007E20FB" w:rsidRPr="0049396B" w:rsidRDefault="007E20FB" w:rsidP="00EB254E">
            <w:pPr>
              <w:pStyle w:val="In-tableHeading"/>
              <w:keepNext w:val="0"/>
              <w:rPr>
                <w:lang w:val="en-AU"/>
              </w:rPr>
            </w:pPr>
            <w:r w:rsidRPr="0049396B">
              <w:rPr>
                <w:lang w:val="en-AU"/>
              </w:rPr>
              <w:t>Disutilities included in the model</w:t>
            </w:r>
          </w:p>
          <w:tbl>
            <w:tblPr>
              <w:tblStyle w:val="TableGrid"/>
              <w:tblW w:w="0" w:type="auto"/>
              <w:tblLayout w:type="fixed"/>
              <w:tblLook w:val="04A0" w:firstRow="1" w:lastRow="0" w:firstColumn="1" w:lastColumn="0" w:noHBand="0" w:noVBand="1"/>
            </w:tblPr>
            <w:tblGrid>
              <w:gridCol w:w="1608"/>
              <w:gridCol w:w="1608"/>
              <w:gridCol w:w="1608"/>
              <w:gridCol w:w="1609"/>
            </w:tblGrid>
            <w:tr w:rsidR="007E20FB" w:rsidRPr="0049396B" w14:paraId="46AA3B5B" w14:textId="77777777" w:rsidTr="00EB254E">
              <w:tc>
                <w:tcPr>
                  <w:tcW w:w="1608" w:type="dxa"/>
                  <w:vMerge w:val="restart"/>
                  <w:vAlign w:val="center"/>
                </w:tcPr>
                <w:p w14:paraId="3A5697B4" w14:textId="77777777" w:rsidR="007E20FB" w:rsidRPr="0049396B" w:rsidRDefault="007E20FB" w:rsidP="00EB254E">
                  <w:pPr>
                    <w:pStyle w:val="In-tableHeading"/>
                    <w:keepNext w:val="0"/>
                    <w:rPr>
                      <w:lang w:val="en-AU"/>
                    </w:rPr>
                  </w:pPr>
                  <w:r w:rsidRPr="0049396B">
                    <w:rPr>
                      <w:lang w:val="en-AU"/>
                    </w:rPr>
                    <w:t>King’s stage</w:t>
                  </w:r>
                </w:p>
              </w:tc>
              <w:tc>
                <w:tcPr>
                  <w:tcW w:w="4825" w:type="dxa"/>
                  <w:gridSpan w:val="3"/>
                  <w:tcBorders>
                    <w:bottom w:val="nil"/>
                  </w:tcBorders>
                  <w:vAlign w:val="center"/>
                </w:tcPr>
                <w:p w14:paraId="2706B068" w14:textId="77777777" w:rsidR="007E20FB" w:rsidRPr="0049396B" w:rsidRDefault="007E20FB" w:rsidP="00EB254E">
                  <w:pPr>
                    <w:pStyle w:val="In-tableHeading"/>
                    <w:keepNext w:val="0"/>
                    <w:jc w:val="center"/>
                    <w:rPr>
                      <w:lang w:val="en-AU"/>
                    </w:rPr>
                  </w:pPr>
                  <w:r w:rsidRPr="0049396B">
                    <w:rPr>
                      <w:lang w:val="en-AU"/>
                    </w:rPr>
                    <w:t>Disutility based on</w:t>
                  </w:r>
                </w:p>
              </w:tc>
            </w:tr>
            <w:tr w:rsidR="007E20FB" w:rsidRPr="0049396B" w14:paraId="2E874405" w14:textId="77777777" w:rsidTr="00EB254E">
              <w:tc>
                <w:tcPr>
                  <w:tcW w:w="1608" w:type="dxa"/>
                  <w:vMerge/>
                  <w:vAlign w:val="center"/>
                </w:tcPr>
                <w:p w14:paraId="0BB3E708" w14:textId="77777777" w:rsidR="007E20FB" w:rsidRPr="0049396B" w:rsidRDefault="007E20FB" w:rsidP="00EB254E">
                  <w:pPr>
                    <w:pStyle w:val="In-tableHeading"/>
                    <w:keepNext w:val="0"/>
                    <w:jc w:val="center"/>
                    <w:rPr>
                      <w:lang w:val="en-AU"/>
                    </w:rPr>
                  </w:pPr>
                </w:p>
              </w:tc>
              <w:tc>
                <w:tcPr>
                  <w:tcW w:w="1608" w:type="dxa"/>
                  <w:tcBorders>
                    <w:top w:val="nil"/>
                  </w:tcBorders>
                  <w:vAlign w:val="center"/>
                </w:tcPr>
                <w:p w14:paraId="0FB2D0A3" w14:textId="77777777" w:rsidR="007E20FB" w:rsidRPr="0049396B" w:rsidRDefault="007E20FB" w:rsidP="00EB254E">
                  <w:pPr>
                    <w:pStyle w:val="In-tableHeading"/>
                    <w:keepNext w:val="0"/>
                    <w:jc w:val="center"/>
                    <w:rPr>
                      <w:lang w:val="en-AU"/>
                    </w:rPr>
                  </w:pPr>
                  <w:r w:rsidRPr="0049396B">
                    <w:rPr>
                      <w:lang w:val="en-AU"/>
                    </w:rPr>
                    <w:t>Thakore 2020</w:t>
                  </w:r>
                </w:p>
                <w:p w14:paraId="59FAAF91" w14:textId="77777777" w:rsidR="007E20FB" w:rsidRPr="0049396B" w:rsidRDefault="007E20FB" w:rsidP="00EB254E">
                  <w:pPr>
                    <w:pStyle w:val="In-tableHeading"/>
                    <w:keepNext w:val="0"/>
                    <w:jc w:val="center"/>
                    <w:rPr>
                      <w:lang w:val="en-AU"/>
                    </w:rPr>
                  </w:pPr>
                  <w:r w:rsidRPr="0049396B">
                    <w:rPr>
                      <w:lang w:val="en-AU"/>
                    </w:rPr>
                    <w:t>(base case)</w:t>
                  </w:r>
                </w:p>
              </w:tc>
              <w:tc>
                <w:tcPr>
                  <w:tcW w:w="1608" w:type="dxa"/>
                  <w:tcBorders>
                    <w:top w:val="nil"/>
                  </w:tcBorders>
                  <w:vAlign w:val="center"/>
                </w:tcPr>
                <w:p w14:paraId="012E29EB" w14:textId="77777777" w:rsidR="007E20FB" w:rsidRPr="0049396B" w:rsidRDefault="007E20FB" w:rsidP="00EB254E">
                  <w:pPr>
                    <w:pStyle w:val="In-tableHeading"/>
                    <w:keepNext w:val="0"/>
                    <w:jc w:val="center"/>
                    <w:rPr>
                      <w:lang w:val="en-AU"/>
                    </w:rPr>
                  </w:pPr>
                  <w:r w:rsidRPr="0049396B">
                    <w:rPr>
                      <w:lang w:val="en-AU"/>
                    </w:rPr>
                    <w:t>Moore 2019</w:t>
                  </w:r>
                </w:p>
              </w:tc>
              <w:tc>
                <w:tcPr>
                  <w:tcW w:w="1609" w:type="dxa"/>
                  <w:tcBorders>
                    <w:top w:val="nil"/>
                  </w:tcBorders>
                  <w:vAlign w:val="center"/>
                </w:tcPr>
                <w:p w14:paraId="630AC07C" w14:textId="77777777" w:rsidR="007E20FB" w:rsidRPr="0049396B" w:rsidRDefault="007E20FB" w:rsidP="00EB254E">
                  <w:pPr>
                    <w:pStyle w:val="In-tableHeading"/>
                    <w:keepNext w:val="0"/>
                    <w:jc w:val="center"/>
                    <w:rPr>
                      <w:lang w:val="en-AU"/>
                    </w:rPr>
                  </w:pPr>
                  <w:r w:rsidRPr="0049396B">
                    <w:rPr>
                      <w:lang w:val="en-AU"/>
                    </w:rPr>
                    <w:t>Jones 2014</w:t>
                  </w:r>
                </w:p>
              </w:tc>
            </w:tr>
            <w:tr w:rsidR="007E20FB" w:rsidRPr="0049396B" w14:paraId="6F017C3A" w14:textId="77777777" w:rsidTr="00EB254E">
              <w:tc>
                <w:tcPr>
                  <w:tcW w:w="1608" w:type="dxa"/>
                  <w:vAlign w:val="center"/>
                </w:tcPr>
                <w:p w14:paraId="16493322" w14:textId="77777777" w:rsidR="007E20FB" w:rsidRPr="0049396B" w:rsidRDefault="007E20FB" w:rsidP="00EB254E">
                  <w:pPr>
                    <w:pStyle w:val="TableText0"/>
                    <w:keepNext w:val="0"/>
                  </w:pPr>
                  <w:r w:rsidRPr="0049396B">
                    <w:t>1</w:t>
                  </w:r>
                </w:p>
              </w:tc>
              <w:tc>
                <w:tcPr>
                  <w:tcW w:w="1608" w:type="dxa"/>
                  <w:vAlign w:val="center"/>
                </w:tcPr>
                <w:p w14:paraId="113B657D" w14:textId="77777777" w:rsidR="007E20FB" w:rsidRPr="0049396B" w:rsidRDefault="007E20FB" w:rsidP="00EB254E">
                  <w:pPr>
                    <w:pStyle w:val="TableText0"/>
                    <w:keepNext w:val="0"/>
                    <w:jc w:val="center"/>
                  </w:pPr>
                  <w:r w:rsidRPr="0049396B">
                    <w:t>0.029</w:t>
                  </w:r>
                </w:p>
              </w:tc>
              <w:tc>
                <w:tcPr>
                  <w:tcW w:w="1608" w:type="dxa"/>
                  <w:vAlign w:val="center"/>
                </w:tcPr>
                <w:p w14:paraId="2EB1207D" w14:textId="77777777" w:rsidR="007E20FB" w:rsidRPr="0049396B" w:rsidRDefault="007E20FB" w:rsidP="00EB254E">
                  <w:pPr>
                    <w:pStyle w:val="TableText0"/>
                    <w:keepNext w:val="0"/>
                    <w:jc w:val="center"/>
                  </w:pPr>
                  <w:r w:rsidRPr="0049396B">
                    <w:t>0.028</w:t>
                  </w:r>
                </w:p>
              </w:tc>
              <w:tc>
                <w:tcPr>
                  <w:tcW w:w="1609" w:type="dxa"/>
                  <w:vAlign w:val="center"/>
                </w:tcPr>
                <w:p w14:paraId="5C38181A" w14:textId="77777777" w:rsidR="007E20FB" w:rsidRPr="0049396B" w:rsidRDefault="007E20FB" w:rsidP="00EB254E">
                  <w:pPr>
                    <w:pStyle w:val="TableText0"/>
                    <w:keepNext w:val="0"/>
                    <w:jc w:val="center"/>
                  </w:pPr>
                  <w:r w:rsidRPr="0049396B">
                    <w:t>0.14</w:t>
                  </w:r>
                </w:p>
              </w:tc>
            </w:tr>
            <w:tr w:rsidR="007E20FB" w:rsidRPr="0049396B" w14:paraId="7C51FF26" w14:textId="77777777" w:rsidTr="00EB254E">
              <w:tc>
                <w:tcPr>
                  <w:tcW w:w="1608" w:type="dxa"/>
                  <w:vAlign w:val="center"/>
                </w:tcPr>
                <w:p w14:paraId="2707B4A8" w14:textId="77777777" w:rsidR="007E20FB" w:rsidRPr="0049396B" w:rsidRDefault="007E20FB" w:rsidP="00EB254E">
                  <w:pPr>
                    <w:pStyle w:val="TableText0"/>
                    <w:keepNext w:val="0"/>
                  </w:pPr>
                  <w:r w:rsidRPr="0049396B">
                    <w:t>2</w:t>
                  </w:r>
                </w:p>
              </w:tc>
              <w:tc>
                <w:tcPr>
                  <w:tcW w:w="1608" w:type="dxa"/>
                  <w:vAlign w:val="center"/>
                </w:tcPr>
                <w:p w14:paraId="6DAA66F9" w14:textId="77777777" w:rsidR="007E20FB" w:rsidRPr="0049396B" w:rsidRDefault="007E20FB" w:rsidP="00EB254E">
                  <w:pPr>
                    <w:pStyle w:val="TableText0"/>
                    <w:keepNext w:val="0"/>
                    <w:jc w:val="center"/>
                  </w:pPr>
                  <w:r w:rsidRPr="0049396B">
                    <w:t>0.102</w:t>
                  </w:r>
                </w:p>
              </w:tc>
              <w:tc>
                <w:tcPr>
                  <w:tcW w:w="1608" w:type="dxa"/>
                  <w:vAlign w:val="center"/>
                </w:tcPr>
                <w:p w14:paraId="3D3D4569" w14:textId="77777777" w:rsidR="007E20FB" w:rsidRPr="0049396B" w:rsidRDefault="007E20FB" w:rsidP="00EB254E">
                  <w:pPr>
                    <w:pStyle w:val="TableText0"/>
                    <w:keepNext w:val="0"/>
                    <w:jc w:val="center"/>
                  </w:pPr>
                  <w:r w:rsidRPr="0049396B">
                    <w:t>0.188</w:t>
                  </w:r>
                </w:p>
              </w:tc>
              <w:tc>
                <w:tcPr>
                  <w:tcW w:w="1609" w:type="dxa"/>
                  <w:vAlign w:val="center"/>
                </w:tcPr>
                <w:p w14:paraId="729C96CC" w14:textId="77777777" w:rsidR="007E20FB" w:rsidRPr="0049396B" w:rsidRDefault="007E20FB" w:rsidP="00EB254E">
                  <w:pPr>
                    <w:pStyle w:val="TableText0"/>
                    <w:keepNext w:val="0"/>
                    <w:jc w:val="center"/>
                  </w:pPr>
                  <w:r w:rsidRPr="0049396B">
                    <w:t>0.26</w:t>
                  </w:r>
                </w:p>
              </w:tc>
            </w:tr>
            <w:tr w:rsidR="007E20FB" w:rsidRPr="0049396B" w14:paraId="5B0A5E79" w14:textId="77777777" w:rsidTr="00EB254E">
              <w:tc>
                <w:tcPr>
                  <w:tcW w:w="1608" w:type="dxa"/>
                  <w:vAlign w:val="center"/>
                </w:tcPr>
                <w:p w14:paraId="70B65C7F" w14:textId="77777777" w:rsidR="007E20FB" w:rsidRPr="0049396B" w:rsidRDefault="007E20FB" w:rsidP="00EB254E">
                  <w:pPr>
                    <w:pStyle w:val="TableText0"/>
                    <w:keepNext w:val="0"/>
                  </w:pPr>
                  <w:r w:rsidRPr="0049396B">
                    <w:t>3</w:t>
                  </w:r>
                </w:p>
              </w:tc>
              <w:tc>
                <w:tcPr>
                  <w:tcW w:w="1608" w:type="dxa"/>
                  <w:vAlign w:val="center"/>
                </w:tcPr>
                <w:p w14:paraId="1F07728B" w14:textId="77777777" w:rsidR="007E20FB" w:rsidRPr="0049396B" w:rsidRDefault="007E20FB" w:rsidP="00EB254E">
                  <w:pPr>
                    <w:pStyle w:val="TableText0"/>
                    <w:keepNext w:val="0"/>
                    <w:jc w:val="center"/>
                  </w:pPr>
                  <w:r w:rsidRPr="0049396B">
                    <w:t>0.203</w:t>
                  </w:r>
                </w:p>
              </w:tc>
              <w:tc>
                <w:tcPr>
                  <w:tcW w:w="1608" w:type="dxa"/>
                  <w:vAlign w:val="center"/>
                </w:tcPr>
                <w:p w14:paraId="7BC20274" w14:textId="77777777" w:rsidR="007E20FB" w:rsidRPr="0049396B" w:rsidRDefault="007E20FB" w:rsidP="00EB254E">
                  <w:pPr>
                    <w:pStyle w:val="TableText0"/>
                    <w:keepNext w:val="0"/>
                    <w:jc w:val="center"/>
                  </w:pPr>
                  <w:r w:rsidRPr="0049396B">
                    <w:t>0.258</w:t>
                  </w:r>
                </w:p>
              </w:tc>
              <w:tc>
                <w:tcPr>
                  <w:tcW w:w="1609" w:type="dxa"/>
                  <w:vAlign w:val="center"/>
                </w:tcPr>
                <w:p w14:paraId="5CE512AD" w14:textId="77777777" w:rsidR="007E20FB" w:rsidRPr="0049396B" w:rsidRDefault="007E20FB" w:rsidP="00EB254E">
                  <w:pPr>
                    <w:pStyle w:val="TableText0"/>
                    <w:keepNext w:val="0"/>
                    <w:jc w:val="center"/>
                  </w:pPr>
                  <w:r w:rsidRPr="0049396B">
                    <w:t>0.38</w:t>
                  </w:r>
                </w:p>
              </w:tc>
            </w:tr>
            <w:tr w:rsidR="007E20FB" w:rsidRPr="0049396B" w14:paraId="4A49FEBA" w14:textId="77777777" w:rsidTr="00EB254E">
              <w:tc>
                <w:tcPr>
                  <w:tcW w:w="1608" w:type="dxa"/>
                  <w:vAlign w:val="center"/>
                </w:tcPr>
                <w:p w14:paraId="37D729D0" w14:textId="77777777" w:rsidR="007E20FB" w:rsidRPr="0049396B" w:rsidRDefault="007E20FB" w:rsidP="00EB254E">
                  <w:pPr>
                    <w:pStyle w:val="TableText0"/>
                    <w:keepNext w:val="0"/>
                  </w:pPr>
                  <w:r w:rsidRPr="0049396B">
                    <w:t>4a</w:t>
                  </w:r>
                </w:p>
              </w:tc>
              <w:tc>
                <w:tcPr>
                  <w:tcW w:w="1608" w:type="dxa"/>
                  <w:vAlign w:val="center"/>
                </w:tcPr>
                <w:p w14:paraId="546BF2F1" w14:textId="77777777" w:rsidR="007E20FB" w:rsidRPr="0049396B" w:rsidRDefault="007E20FB" w:rsidP="00EB254E">
                  <w:pPr>
                    <w:pStyle w:val="TableText0"/>
                    <w:keepNext w:val="0"/>
                    <w:jc w:val="center"/>
                  </w:pPr>
                  <w:r w:rsidRPr="0049396B">
                    <w:t>0.189</w:t>
                  </w:r>
                </w:p>
              </w:tc>
              <w:tc>
                <w:tcPr>
                  <w:tcW w:w="1608" w:type="dxa"/>
                  <w:vAlign w:val="center"/>
                </w:tcPr>
                <w:p w14:paraId="4C53F459" w14:textId="77777777" w:rsidR="007E20FB" w:rsidRPr="0049396B" w:rsidRDefault="007E20FB" w:rsidP="00EB254E">
                  <w:pPr>
                    <w:pStyle w:val="TableText0"/>
                    <w:keepNext w:val="0"/>
                    <w:jc w:val="center"/>
                  </w:pPr>
                  <w:r w:rsidRPr="0049396B">
                    <w:t>0.288</w:t>
                  </w:r>
                </w:p>
              </w:tc>
              <w:tc>
                <w:tcPr>
                  <w:tcW w:w="1609" w:type="dxa"/>
                  <w:vAlign w:val="center"/>
                </w:tcPr>
                <w:p w14:paraId="4BD1CA48" w14:textId="77777777" w:rsidR="007E20FB" w:rsidRPr="0049396B" w:rsidRDefault="007E20FB" w:rsidP="00EB254E">
                  <w:pPr>
                    <w:pStyle w:val="TableText0"/>
                    <w:keepNext w:val="0"/>
                    <w:jc w:val="center"/>
                  </w:pPr>
                  <w:r w:rsidRPr="0049396B">
                    <w:t>0.52</w:t>
                  </w:r>
                </w:p>
              </w:tc>
            </w:tr>
            <w:tr w:rsidR="007E20FB" w:rsidRPr="0049396B" w14:paraId="63E04C06" w14:textId="77777777" w:rsidTr="00EB254E">
              <w:tc>
                <w:tcPr>
                  <w:tcW w:w="1608" w:type="dxa"/>
                  <w:vAlign w:val="center"/>
                </w:tcPr>
                <w:p w14:paraId="13BE05DB" w14:textId="77777777" w:rsidR="007E20FB" w:rsidRPr="0049396B" w:rsidRDefault="007E20FB" w:rsidP="00EB254E">
                  <w:pPr>
                    <w:pStyle w:val="TableText0"/>
                    <w:keepNext w:val="0"/>
                  </w:pPr>
                  <w:r w:rsidRPr="0049396B">
                    <w:t>4b</w:t>
                  </w:r>
                </w:p>
              </w:tc>
              <w:tc>
                <w:tcPr>
                  <w:tcW w:w="1608" w:type="dxa"/>
                  <w:vAlign w:val="center"/>
                </w:tcPr>
                <w:p w14:paraId="7BF365B1" w14:textId="77777777" w:rsidR="007E20FB" w:rsidRPr="0049396B" w:rsidRDefault="007E20FB" w:rsidP="00EB254E">
                  <w:pPr>
                    <w:pStyle w:val="TableText0"/>
                    <w:keepNext w:val="0"/>
                    <w:jc w:val="center"/>
                  </w:pPr>
                  <w:r w:rsidRPr="0049396B">
                    <w:t>0.264</w:t>
                  </w:r>
                </w:p>
              </w:tc>
              <w:tc>
                <w:tcPr>
                  <w:tcW w:w="1608" w:type="dxa"/>
                  <w:vAlign w:val="center"/>
                </w:tcPr>
                <w:p w14:paraId="43912DEA" w14:textId="77777777" w:rsidR="007E20FB" w:rsidRPr="0049396B" w:rsidRDefault="007E20FB" w:rsidP="00EB254E">
                  <w:pPr>
                    <w:pStyle w:val="TableText0"/>
                    <w:keepNext w:val="0"/>
                    <w:jc w:val="center"/>
                  </w:pPr>
                  <w:r w:rsidRPr="0049396B">
                    <w:t>0.288</w:t>
                  </w:r>
                </w:p>
              </w:tc>
              <w:tc>
                <w:tcPr>
                  <w:tcW w:w="1609" w:type="dxa"/>
                  <w:vAlign w:val="center"/>
                </w:tcPr>
                <w:p w14:paraId="339B322A" w14:textId="77777777" w:rsidR="007E20FB" w:rsidRPr="0049396B" w:rsidRDefault="007E20FB" w:rsidP="00EB254E">
                  <w:pPr>
                    <w:pStyle w:val="TableText0"/>
                    <w:keepNext w:val="0"/>
                    <w:jc w:val="center"/>
                  </w:pPr>
                  <w:r w:rsidRPr="0049396B">
                    <w:t>0.52</w:t>
                  </w:r>
                </w:p>
              </w:tc>
            </w:tr>
          </w:tbl>
          <w:p w14:paraId="7AA94B5A" w14:textId="77777777" w:rsidR="007E20FB" w:rsidRPr="0049396B" w:rsidRDefault="007E20FB" w:rsidP="00EB254E">
            <w:pPr>
              <w:pStyle w:val="TableText0"/>
              <w:keepNext w:val="0"/>
            </w:pPr>
            <w:r w:rsidRPr="0049396B">
              <w:t>No adverse events were included in the model</w:t>
            </w:r>
          </w:p>
          <w:p w14:paraId="2D3DEC43" w14:textId="13476A53" w:rsidR="007E20FB" w:rsidRPr="0049396B" w:rsidRDefault="007E20FB" w:rsidP="00EB254E">
            <w:pPr>
              <w:pStyle w:val="TableText0"/>
              <w:keepNext w:val="0"/>
            </w:pPr>
            <w:r w:rsidRPr="0049396B">
              <w:t>The submission did not adjust survival for age, and therefore the utility and survival estimates are inconsistent. EQ-5D data from Thakore 2020 was collected from patients in the waiting rooms of their medical appointments, and therefore may not represent patients in worse health. Patients in King’s Stage 4a had better utility than stage 3, which was counter to the assumption that each stage represented a disease progression. Moore 2019 resulted in similar disutilities to Thakore 2020, but data were collected by postal survey, again unlikely to represent patients in worse health. Jones 2014 collected data during an ALS trial (</w:t>
            </w:r>
            <w:proofErr w:type="spellStart"/>
            <w:r w:rsidRPr="0049396B">
              <w:t>LiCALS</w:t>
            </w:r>
            <w:proofErr w:type="spellEnd"/>
            <w:r w:rsidRPr="0049396B">
              <w:t xml:space="preserve">), but had reduced statistical power. All utility sources mapped ALSFRS-R to King’s stage. </w:t>
            </w:r>
          </w:p>
        </w:tc>
      </w:tr>
      <w:tr w:rsidR="007E20FB" w:rsidRPr="0049396B" w14:paraId="5DB73815" w14:textId="77777777" w:rsidTr="00B676F6">
        <w:tc>
          <w:tcPr>
            <w:tcW w:w="784" w:type="pct"/>
            <w:shd w:val="clear" w:color="auto" w:fill="auto"/>
            <w:vAlign w:val="center"/>
          </w:tcPr>
          <w:p w14:paraId="29059729" w14:textId="77777777" w:rsidR="007E20FB" w:rsidRPr="0049396B" w:rsidRDefault="007E20FB" w:rsidP="00EB254E">
            <w:pPr>
              <w:pStyle w:val="TableText0"/>
              <w:rPr>
                <w:highlight w:val="green"/>
              </w:rPr>
            </w:pPr>
            <w:r w:rsidRPr="0049396B">
              <w:lastRenderedPageBreak/>
              <w:t>Resource use</w:t>
            </w:r>
          </w:p>
        </w:tc>
        <w:tc>
          <w:tcPr>
            <w:tcW w:w="4216" w:type="pct"/>
            <w:shd w:val="clear" w:color="auto" w:fill="auto"/>
            <w:vAlign w:val="center"/>
          </w:tcPr>
          <w:p w14:paraId="0DC68BD0" w14:textId="64982D93" w:rsidR="007E20FB" w:rsidRPr="0049396B" w:rsidRDefault="007E20FB" w:rsidP="00EB254E">
            <w:pPr>
              <w:pStyle w:val="TableText0"/>
            </w:pPr>
            <w:r w:rsidRPr="0049396B">
              <w:t>Cost of edaravone was based on the per vial AEMP (</w:t>
            </w:r>
            <w:r w:rsidR="009B4DB9">
              <w:t>$</w:t>
            </w:r>
            <w:r w:rsidR="0015085A" w:rsidRPr="009B4DB9">
              <w:rPr>
                <w:color w:val="000000"/>
                <w:spacing w:val="53"/>
                <w:shd w:val="solid" w:color="000000" w:fill="000000"/>
                <w:fitText w:val="330" w:id="-1032131838"/>
                <w14:textFill>
                  <w14:solidFill>
                    <w14:srgbClr w14:val="000000">
                      <w14:alpha w14:val="100000"/>
                    </w14:srgbClr>
                  </w14:solidFill>
                </w14:textFill>
              </w:rPr>
              <w:t>|||</w:t>
            </w:r>
            <w:r w:rsidR="0015085A" w:rsidRPr="009B4DB9">
              <w:rPr>
                <w:color w:val="000000"/>
                <w:spacing w:val="1"/>
                <w:shd w:val="solid" w:color="000000" w:fill="000000"/>
                <w:fitText w:val="330" w:id="-1032131838"/>
                <w14:textFill>
                  <w14:solidFill>
                    <w14:srgbClr w14:val="000000">
                      <w14:alpha w14:val="100000"/>
                    </w14:srgbClr>
                  </w14:solidFill>
                </w14:textFill>
              </w:rPr>
              <w:t>|</w:t>
            </w:r>
            <w:r w:rsidRPr="0049396B">
              <w:t xml:space="preserve">) dispensing mark-ups based on 100% private patients. In the model, the cost per dose (for all treatment cycles, initiating and continuing) was based on </w:t>
            </w:r>
            <w:r w:rsidR="009B4DB9">
              <w:t>$</w:t>
            </w:r>
            <w:r w:rsidR="0015085A" w:rsidRPr="009B4DB9">
              <w:rPr>
                <w:color w:val="000000"/>
                <w:spacing w:val="49"/>
                <w:shd w:val="solid" w:color="000000" w:fill="000000"/>
                <w:fitText w:val="320" w:id="-1032131837"/>
                <w14:textFill>
                  <w14:solidFill>
                    <w14:srgbClr w14:val="000000">
                      <w14:alpha w14:val="100000"/>
                    </w14:srgbClr>
                  </w14:solidFill>
                </w14:textFill>
              </w:rPr>
              <w:t>|||</w:t>
            </w:r>
            <w:r w:rsidR="0015085A" w:rsidRPr="009B4DB9">
              <w:rPr>
                <w:color w:val="000000"/>
                <w:spacing w:val="3"/>
                <w:shd w:val="solid" w:color="000000" w:fill="000000"/>
                <w:fitText w:val="320" w:id="-1032131837"/>
                <w14:textFill>
                  <w14:solidFill>
                    <w14:srgbClr w14:val="000000">
                      <w14:alpha w14:val="100000"/>
                    </w14:srgbClr>
                  </w14:solidFill>
                </w14:textFill>
              </w:rPr>
              <w:t>|</w:t>
            </w:r>
            <w:r w:rsidRPr="0049396B">
              <w:t xml:space="preserve"> (DPMQ for 20 ampoules) divided by 10 to give </w:t>
            </w:r>
            <w:r w:rsidR="009B4DB9">
              <w:t>$</w:t>
            </w:r>
            <w:r w:rsidR="0015085A" w:rsidRPr="009B4DB9">
              <w:rPr>
                <w:color w:val="000000"/>
                <w:spacing w:val="53"/>
                <w:shd w:val="solid" w:color="000000" w:fill="000000"/>
                <w:fitText w:val="330" w:id="-1032131836"/>
                <w14:textFill>
                  <w14:solidFill>
                    <w14:srgbClr w14:val="000000">
                      <w14:alpha w14:val="100000"/>
                    </w14:srgbClr>
                  </w14:solidFill>
                </w14:textFill>
              </w:rPr>
              <w:t>|||</w:t>
            </w:r>
            <w:r w:rsidR="0015085A" w:rsidRPr="009B4DB9">
              <w:rPr>
                <w:color w:val="000000"/>
                <w:spacing w:val="1"/>
                <w:shd w:val="solid" w:color="000000" w:fill="000000"/>
                <w:fitText w:val="330" w:id="-1032131836"/>
                <w14:textFill>
                  <w14:solidFill>
                    <w14:srgbClr w14:val="000000">
                      <w14:alpha w14:val="100000"/>
                    </w14:srgbClr>
                  </w14:solidFill>
                </w14:textFill>
              </w:rPr>
              <w:t>|</w:t>
            </w:r>
            <w:r w:rsidRPr="0049396B">
              <w:t xml:space="preserve"> per dose of 2 ampoules. The cost of edaravone was uncertain because of the increased preparation fee; the difference between DPMQ based on ampoule AEMP or pack AEMP; and the public/private split. The ICER was not sensitive to any of these uncertainties.</w:t>
            </w:r>
          </w:p>
          <w:p w14:paraId="14EE75A5" w14:textId="77777777" w:rsidR="007E20FB" w:rsidRPr="0049396B" w:rsidRDefault="007E20FB" w:rsidP="00EB254E">
            <w:pPr>
              <w:pStyle w:val="TableText0"/>
            </w:pPr>
          </w:p>
          <w:p w14:paraId="1B23EE92" w14:textId="3946A51D" w:rsidR="007E20FB" w:rsidRPr="0049396B" w:rsidRDefault="007E20FB" w:rsidP="00EB254E">
            <w:pPr>
              <w:pStyle w:val="TableText0"/>
            </w:pPr>
            <w:proofErr w:type="spellStart"/>
            <w:r w:rsidRPr="0049396B">
              <w:t>Riluzole</w:t>
            </w:r>
            <w:proofErr w:type="spellEnd"/>
            <w:r w:rsidRPr="0049396B">
              <w:t xml:space="preserve"> costs were </w:t>
            </w:r>
            <w:r w:rsidRPr="003516AA">
              <w:t>$174.30 for 56x50mg tablets and $244.52</w:t>
            </w:r>
            <w:r w:rsidRPr="0049396B">
              <w:t xml:space="preserve"> for 300ml of 50mg/10ml liquid, slightly less than the current DPMQ for PBS items 8664B and 11662T ($175.15 and $245.37 respectively). 85% of patients in stage 1-3 were assumed to receive </w:t>
            </w:r>
            <w:proofErr w:type="spellStart"/>
            <w:r w:rsidRPr="0049396B">
              <w:t>riluzole</w:t>
            </w:r>
            <w:proofErr w:type="spellEnd"/>
            <w:r w:rsidRPr="0049396B">
              <w:t xml:space="preserve"> at a dose of 100mg per day, with 80% patients assumed to receive tablet form and 5% liquid form of </w:t>
            </w:r>
            <w:proofErr w:type="spellStart"/>
            <w:r w:rsidRPr="0049396B">
              <w:t>riluzole</w:t>
            </w:r>
            <w:proofErr w:type="spellEnd"/>
            <w:r w:rsidRPr="0049396B">
              <w:t xml:space="preserve">, amounting to a total of </w:t>
            </w:r>
            <w:r w:rsidR="009B4DB9">
              <w:t>$</w:t>
            </w:r>
            <w:r w:rsidR="0015085A" w:rsidRPr="009B4DB9">
              <w:rPr>
                <w:color w:val="000000"/>
                <w:spacing w:val="53"/>
                <w:shd w:val="solid" w:color="000000" w:fill="000000"/>
                <w:fitText w:val="330" w:id="-1032131835"/>
                <w14:textFill>
                  <w14:solidFill>
                    <w14:srgbClr w14:val="000000">
                      <w14:alpha w14:val="100000"/>
                    </w14:srgbClr>
                  </w14:solidFill>
                </w14:textFill>
              </w:rPr>
              <w:t>|||</w:t>
            </w:r>
            <w:r w:rsidR="0015085A" w:rsidRPr="009B4DB9">
              <w:rPr>
                <w:color w:val="000000"/>
                <w:spacing w:val="1"/>
                <w:shd w:val="solid" w:color="000000" w:fill="000000"/>
                <w:fitText w:val="330" w:id="-1032131835"/>
                <w14:textFill>
                  <w14:solidFill>
                    <w14:srgbClr w14:val="000000">
                      <w14:alpha w14:val="100000"/>
                    </w14:srgbClr>
                  </w14:solidFill>
                </w14:textFill>
              </w:rPr>
              <w:t>|</w:t>
            </w:r>
            <w:r w:rsidRPr="0049396B">
              <w:t xml:space="preserve"> per month for patients in stage 1-3 in both arms. </w:t>
            </w:r>
            <w:proofErr w:type="spellStart"/>
            <w:r w:rsidRPr="0049396B">
              <w:t>Riluzole</w:t>
            </w:r>
            <w:proofErr w:type="spellEnd"/>
            <w:r w:rsidRPr="0049396B">
              <w:t xml:space="preserve"> costs did not have a significant effect on the ICER.</w:t>
            </w:r>
          </w:p>
          <w:p w14:paraId="4C841049" w14:textId="77777777" w:rsidR="007E20FB" w:rsidRPr="0049396B" w:rsidRDefault="007E20FB" w:rsidP="00EB254E">
            <w:pPr>
              <w:pStyle w:val="TableText0"/>
            </w:pPr>
          </w:p>
          <w:p w14:paraId="017191AC" w14:textId="6ADEE175" w:rsidR="007E20FB" w:rsidRPr="0049396B" w:rsidRDefault="007E20FB" w:rsidP="00EB254E">
            <w:pPr>
              <w:pStyle w:val="TableText0"/>
            </w:pPr>
            <w:r w:rsidRPr="0049396B">
              <w:t>Infusion costs were borne by the sponsor</w:t>
            </w:r>
            <w:r w:rsidR="009713E2" w:rsidRPr="0049396B">
              <w:t xml:space="preserve"> </w:t>
            </w:r>
            <w:r w:rsidRPr="0049396B">
              <w:t>and equalled $0 in the base case. If infusions were costed (</w:t>
            </w:r>
            <w:r w:rsidR="00620637" w:rsidRPr="0049396B">
              <w:t xml:space="preserve">administration via a </w:t>
            </w:r>
            <w:proofErr w:type="spellStart"/>
            <w:r w:rsidR="00620637" w:rsidRPr="0049396B">
              <w:t>portacath</w:t>
            </w:r>
            <w:proofErr w:type="spellEnd"/>
            <w:r w:rsidR="00620637" w:rsidRPr="0049396B">
              <w:t xml:space="preserve">, </w:t>
            </w:r>
            <w:r w:rsidRPr="0049396B">
              <w:t>MBS item 14221</w:t>
            </w:r>
            <w:r w:rsidR="00620637" w:rsidRPr="0049396B">
              <w:t>,</w:t>
            </w:r>
            <w:r w:rsidRPr="0049396B">
              <w:t xml:space="preserve"> $57.50 per infusion), the ICER increased to </w:t>
            </w:r>
            <w:r w:rsidR="00F25574" w:rsidRPr="00F25574">
              <w:t>$95,000 to &lt; $115,000</w:t>
            </w:r>
            <w:r w:rsidR="00F25574">
              <w:t xml:space="preserve"> </w:t>
            </w:r>
            <w:r w:rsidRPr="0049396B">
              <w:t xml:space="preserve">per QALY gained versus </w:t>
            </w:r>
            <w:r w:rsidR="00F25574" w:rsidRPr="00F25574">
              <w:t>$75,000 to &lt; $95,000</w:t>
            </w:r>
            <w:r w:rsidR="00F25574">
              <w:t xml:space="preserve"> </w:t>
            </w:r>
            <w:r w:rsidRPr="0049396B">
              <w:t xml:space="preserve">in the base case. </w:t>
            </w:r>
            <w:r w:rsidR="00F613D6" w:rsidRPr="0049396B">
              <w:t>These costs are likely to be underestimated given the high discontinuation rate applied in the model base case.</w:t>
            </w:r>
          </w:p>
          <w:p w14:paraId="7CEE1C18" w14:textId="77777777" w:rsidR="007E20FB" w:rsidRPr="0049396B" w:rsidRDefault="007E20FB" w:rsidP="00EB254E">
            <w:pPr>
              <w:pStyle w:val="TableText0"/>
            </w:pPr>
          </w:p>
          <w:p w14:paraId="1D8A4CF6" w14:textId="6896B2D1" w:rsidR="007E20FB" w:rsidRPr="0049396B" w:rsidRDefault="007E20FB" w:rsidP="00EB254E">
            <w:pPr>
              <w:pStyle w:val="TableText0"/>
            </w:pPr>
            <w:r w:rsidRPr="0049396B">
              <w:t xml:space="preserve">Total </w:t>
            </w:r>
            <w:r w:rsidRPr="00AB1EAD">
              <w:t xml:space="preserve">health state costs were equal to $1,133 in stage 1, $2,420 in stage 2, $3,012 in stage 3, $5,941 in stage 4a, and $7,298 in stage 4b. These were based on UK postal survey of health state resource use (Moore 2019), the Australian costing study </w:t>
            </w:r>
            <w:proofErr w:type="spellStart"/>
            <w:r w:rsidRPr="00AB1EAD">
              <w:t>Deloittes</w:t>
            </w:r>
            <w:proofErr w:type="spellEnd"/>
            <w:r w:rsidRPr="00AB1EAD">
              <w:t xml:space="preserve"> 2015; and unit costs included</w:t>
            </w:r>
            <w:r w:rsidRPr="0049396B">
              <w:t xml:space="preserve"> MBS item, ambulance Victoria</w:t>
            </w:r>
            <w:r w:rsidR="006E70B2" w:rsidRPr="0049396B">
              <w:t>,</w:t>
            </w:r>
            <w:r w:rsidRPr="0049396B">
              <w:t xml:space="preserve"> and AR-DRG codes. Overall, the model estimated that the annual cost in the SOC arm was $27,152 compared to estimates &gt;$30,000 based on </w:t>
            </w:r>
            <w:proofErr w:type="spellStart"/>
            <w:r w:rsidRPr="0049396B">
              <w:t>Deloittes</w:t>
            </w:r>
            <w:proofErr w:type="spellEnd"/>
            <w:r w:rsidRPr="0049396B">
              <w:t xml:space="preserve"> 2015. As such health state costs may be slightly underestimated compared to costs in practice.</w:t>
            </w:r>
          </w:p>
        </w:tc>
      </w:tr>
    </w:tbl>
    <w:p w14:paraId="58EF58BE" w14:textId="77777777" w:rsidR="007E20FB" w:rsidRPr="0049396B" w:rsidRDefault="007E20FB" w:rsidP="007E20FB">
      <w:pPr>
        <w:pStyle w:val="FooterTableFigure"/>
      </w:pPr>
      <w:r w:rsidRPr="0049396B">
        <w:t>Source: compiled during the evaluation</w:t>
      </w:r>
    </w:p>
    <w:p w14:paraId="712C4610" w14:textId="77777777" w:rsidR="007E20FB" w:rsidRPr="0049396B" w:rsidRDefault="007E20FB" w:rsidP="007E20FB">
      <w:pPr>
        <w:pStyle w:val="FooterTableFigure"/>
      </w:pPr>
      <w:r w:rsidRPr="0049396B">
        <w:t>OS=overall survival, QALY=quality-adjusted life year, TTD=time to treatment discontinuation, HR= hazard ratio, SOC=standard of care, PRO-ACT= Pooled Resource Open-Access ALS Clinical Trials database, ALSFRS-R=Revised Amyotrophic Lateral Sclerosis Functional Rating Scale.</w:t>
      </w:r>
    </w:p>
    <w:p w14:paraId="169B35BD" w14:textId="51CC3945" w:rsidR="007E20FB" w:rsidRPr="0049396B" w:rsidRDefault="007E20FB" w:rsidP="007E20FB">
      <w:pPr>
        <w:pStyle w:val="3-BodyText"/>
        <w:rPr>
          <w:i/>
        </w:rPr>
      </w:pPr>
      <w:r w:rsidRPr="0049396B">
        <w:t>Patients entered the model in King’s stage 1 and each cycle could remain in stage 1 or progress to any of stages 2, 3, 4a or 4b. Progression did not have to be to an adjacent health state (e.g. patients could move from stage 1 to stage 3 without being in stage 2), but patients could not improve (i.e. move from a more advanced disease stage to a less advanced disease stage). The model did not include separate health states for patients on or off treatment. Aside from restricting use to stages 1-3, time on edaravone was modelled independently to the health states.</w:t>
      </w:r>
      <w:r w:rsidRPr="0049396B">
        <w:rPr>
          <w:iCs/>
        </w:rPr>
        <w:t xml:space="preserve"> It is unlikely that in practice all patients will be diagnosed in stage 1, as there is often a significant delay between onset of symptoms and diagnosis.</w:t>
      </w:r>
      <w:r w:rsidR="008E3F21" w:rsidRPr="0049396B">
        <w:rPr>
          <w:iCs/>
        </w:rPr>
        <w:t xml:space="preserve"> Overall</w:t>
      </w:r>
      <w:r w:rsidR="00401F9E" w:rsidRPr="0049396B">
        <w:rPr>
          <w:iCs/>
        </w:rPr>
        <w:t>,</w:t>
      </w:r>
      <w:r w:rsidR="008E3F21" w:rsidRPr="0049396B">
        <w:rPr>
          <w:iCs/>
        </w:rPr>
        <w:t xml:space="preserve"> the ESC considered that this approach was poorly justified by clinical data, and would overestimate the effects of </w:t>
      </w:r>
      <w:r w:rsidR="002608EF" w:rsidRPr="0049396B">
        <w:rPr>
          <w:iCs/>
        </w:rPr>
        <w:t>e</w:t>
      </w:r>
      <w:r w:rsidR="008E3F21" w:rsidRPr="0049396B">
        <w:rPr>
          <w:iCs/>
        </w:rPr>
        <w:t>daravone, as outlined in the following paragraphs.</w:t>
      </w:r>
    </w:p>
    <w:p w14:paraId="5B696076" w14:textId="424CFF7F" w:rsidR="007E20FB" w:rsidRPr="0049396B" w:rsidRDefault="0051699C" w:rsidP="007E20FB">
      <w:pPr>
        <w:pStyle w:val="3-BodyText"/>
        <w:rPr>
          <w:iCs/>
        </w:rPr>
      </w:pPr>
      <w:r w:rsidRPr="0049396B">
        <w:rPr>
          <w:iCs/>
        </w:rPr>
        <w:t xml:space="preserve">The submission contended that the modelled population was the proposed PBS population, however the modelled population was patients diagnosed in stage 1 with prognosis dependent upon input sources that did not match the proposed PBS population. </w:t>
      </w:r>
      <w:r w:rsidR="007E20FB" w:rsidRPr="0049396B">
        <w:rPr>
          <w:iCs/>
        </w:rPr>
        <w:t xml:space="preserve">The populations differed across the input sources, particularly with regards </w:t>
      </w:r>
      <w:r w:rsidR="00763B80" w:rsidRPr="0049396B">
        <w:rPr>
          <w:iCs/>
        </w:rPr>
        <w:t xml:space="preserve">to </w:t>
      </w:r>
      <w:proofErr w:type="spellStart"/>
      <w:r w:rsidR="007E20FB" w:rsidRPr="0049396B">
        <w:rPr>
          <w:iCs/>
        </w:rPr>
        <w:t>riluzole</w:t>
      </w:r>
      <w:proofErr w:type="spellEnd"/>
      <w:r w:rsidR="007E20FB" w:rsidRPr="0049396B">
        <w:rPr>
          <w:iCs/>
        </w:rPr>
        <w:t xml:space="preserve"> use (65.4% in Brooks 2022 to 91% in Study 19), stage at baseline (e.g. for stage 4a and b: 0% Study 19, 25.8% Thakore 2018, 16-23% in Brooks 2022), and disease duration prior to study (0.57 years in Brooks 2022 to 1.42 years in Thakore 2018). In Study 19, patients in stages 2 onwards were a mix of treatment naïve and </w:t>
      </w:r>
      <w:r w:rsidR="007E20FB" w:rsidRPr="0049396B">
        <w:rPr>
          <w:iCs/>
        </w:rPr>
        <w:lastRenderedPageBreak/>
        <w:t>treatment experienced patients, whereas all patients in the model from stage 2 onwards were assumed to be treatment experienced. The input source populations also differed to the Australian population (</w:t>
      </w:r>
      <w:proofErr w:type="spellStart"/>
      <w:r w:rsidR="007E20FB" w:rsidRPr="0049396B">
        <w:rPr>
          <w:iCs/>
        </w:rPr>
        <w:t>Talman</w:t>
      </w:r>
      <w:proofErr w:type="spellEnd"/>
      <w:r w:rsidR="007E20FB" w:rsidRPr="0049396B">
        <w:rPr>
          <w:iCs/>
        </w:rPr>
        <w:t xml:space="preserve"> 2016), with reported bulbar onset rates of 20-23% in Study 19 and Thakore 2018, compared to 34% in the Australian populations. These differences were likely to affect stage progression, mortality and treatment discontinuation rates and meant the model likely did not well represent the population in Study 19 nor the Australian population. </w:t>
      </w:r>
    </w:p>
    <w:p w14:paraId="74A66FAC" w14:textId="6B14C915" w:rsidR="007E20FB" w:rsidRPr="0049396B" w:rsidRDefault="007E20FB" w:rsidP="007E20FB">
      <w:pPr>
        <w:pStyle w:val="3-BodyText"/>
        <w:rPr>
          <w:iCs/>
        </w:rPr>
      </w:pPr>
      <w:bookmarkStart w:id="62" w:name="_Ref148355710"/>
      <w:r w:rsidRPr="0049396B">
        <w:t>King’s stage progression and mortality in the SOC arm were taken from Thakore 2018</w:t>
      </w:r>
      <w:r w:rsidR="0051699C" w:rsidRPr="0049396B">
        <w:t xml:space="preserve"> based on the PRO-ACT database. At the time of Thakore 2018 publication, the PRO-ACT database contained US data on 3,199 patients (29,947 observations) from 23 trials in ALS</w:t>
      </w:r>
      <w:r w:rsidRPr="0049396B">
        <w:t>. The median duration between first and last observations in Thakore 2018 was 12 months, and Thakore 2018 further noted that their model did not predict King’s stage progression or survival well beyond the first year.</w:t>
      </w:r>
      <w:r w:rsidRPr="0049396B">
        <w:rPr>
          <w:i/>
        </w:rPr>
        <w:t xml:space="preserve"> </w:t>
      </w:r>
      <w:r w:rsidRPr="0049396B">
        <w:rPr>
          <w:iCs/>
        </w:rPr>
        <w:t>The transition probabilities in Thakore 2018 also resulted in the most life years being accrued in stage 4b: 1.30 years compared 0.41, 0.40, 0.76 and 0.40 in stages 1, 2, 3 and 4a respectively in the SOC arm. In comparison, Balendra 2015 (UK and Europe trial data), reported that median duration was longest in stage 1 (18.1 months, IQR 12.8–25.6 months) and shortest in stage 4b (3.2 months, IQR 1.6–5.8 months).</w:t>
      </w:r>
      <w:bookmarkEnd w:id="62"/>
    </w:p>
    <w:p w14:paraId="30170D66" w14:textId="13F81673" w:rsidR="007E20FB" w:rsidRPr="0049396B" w:rsidRDefault="007E20FB" w:rsidP="007E20FB">
      <w:pPr>
        <w:pStyle w:val="3-BodyText"/>
        <w:rPr>
          <w:i/>
        </w:rPr>
      </w:pPr>
      <w:r w:rsidRPr="0049396B">
        <w:t>King’s stage progression in the edaravone arm was derived from the post hoc analysis of Study 19 by Al-Chalabi 2021. Although the analysis found no significant difference between edaravone and placebo in terms of King’s stage progression, the submission estimated</w:t>
      </w:r>
      <w:r w:rsidR="00383A94" w:rsidRPr="0049396B">
        <w:t xml:space="preserve"> individual patient</w:t>
      </w:r>
      <w:r w:rsidRPr="0049396B">
        <w:t xml:space="preserve"> data based on </w:t>
      </w:r>
      <w:r w:rsidR="00A37686" w:rsidRPr="0049396B">
        <w:t xml:space="preserve">Kaplan-Meier </w:t>
      </w:r>
      <w:r w:rsidRPr="0049396B">
        <w:t>curves presented in the paper and used these to estimate cox-proportional hazard ratios for progression from stages 1, 2 and 3.</w:t>
      </w:r>
      <w:r w:rsidRPr="0049396B">
        <w:rPr>
          <w:iCs/>
        </w:rPr>
        <w:t xml:space="preserve"> The </w:t>
      </w:r>
      <w:r w:rsidR="00A37686" w:rsidRPr="0049396B">
        <w:rPr>
          <w:iCs/>
        </w:rPr>
        <w:t xml:space="preserve">Kaplan-Meier </w:t>
      </w:r>
      <w:r w:rsidRPr="0049396B">
        <w:rPr>
          <w:iCs/>
        </w:rPr>
        <w:t xml:space="preserve">data from Al-Chalabi 2021, along with predicted survival based on the Cox proportional hazards for Al-Chalabi 2021 and the log-log survival plots are presented in </w:t>
      </w:r>
      <w:r w:rsidRPr="0049396B">
        <w:rPr>
          <w:iCs/>
        </w:rPr>
        <w:fldChar w:fldCharType="begin" w:fldLock="1"/>
      </w:r>
      <w:r w:rsidRPr="0049396B">
        <w:rPr>
          <w:iCs/>
        </w:rPr>
        <w:instrText xml:space="preserve"> REF _Ref144392132 \h  \* MERGEFORMAT </w:instrText>
      </w:r>
      <w:r w:rsidRPr="0049396B">
        <w:rPr>
          <w:iCs/>
        </w:rPr>
      </w:r>
      <w:r w:rsidRPr="0049396B">
        <w:rPr>
          <w:iCs/>
        </w:rPr>
        <w:fldChar w:fldCharType="separate"/>
      </w:r>
      <w:r w:rsidR="00401F9E" w:rsidRPr="0049396B">
        <w:rPr>
          <w:iCs/>
        </w:rPr>
        <w:t>Figure 3</w:t>
      </w:r>
      <w:r w:rsidRPr="0049396B">
        <w:rPr>
          <w:iCs/>
        </w:rPr>
        <w:fldChar w:fldCharType="end"/>
      </w:r>
      <w:r w:rsidRPr="0049396B">
        <w:rPr>
          <w:iCs/>
        </w:rPr>
        <w:t>.</w:t>
      </w:r>
    </w:p>
    <w:p w14:paraId="7F69DBE4" w14:textId="103FB797" w:rsidR="007E20FB" w:rsidRPr="0049396B" w:rsidRDefault="007E20FB" w:rsidP="00401F9E">
      <w:pPr>
        <w:pStyle w:val="TableFigureHeading"/>
      </w:pPr>
      <w:bookmarkStart w:id="63" w:name="_Ref144392132"/>
      <w:bookmarkStart w:id="64" w:name="_Hlk143608274"/>
      <w:r w:rsidRPr="0049396B">
        <w:lastRenderedPageBreak/>
        <w:t xml:space="preserve">Figure </w:t>
      </w:r>
      <w:r w:rsidR="001C0AB9">
        <w:fldChar w:fldCharType="begin" w:fldLock="1"/>
      </w:r>
      <w:r w:rsidR="001C0AB9">
        <w:instrText xml:space="preserve"> SEQ Figure \* ARABIC </w:instrText>
      </w:r>
      <w:r w:rsidR="001C0AB9">
        <w:fldChar w:fldCharType="separate"/>
      </w:r>
      <w:r w:rsidR="00401F9E" w:rsidRPr="0049396B">
        <w:t>3</w:t>
      </w:r>
      <w:r w:rsidR="001C0AB9">
        <w:fldChar w:fldCharType="end"/>
      </w:r>
      <w:bookmarkEnd w:id="63"/>
      <w:r w:rsidRPr="0049396B">
        <w:t>: State progression based on post-hoc analysis of Al-Chalabi 2021</w:t>
      </w:r>
    </w:p>
    <w:tbl>
      <w:tblPr>
        <w:tblStyle w:val="TableGrid"/>
        <w:tblW w:w="5000" w:type="pct"/>
        <w:tblLook w:val="04A0" w:firstRow="1" w:lastRow="0" w:firstColumn="1" w:lastColumn="0" w:noHBand="0" w:noVBand="1"/>
      </w:tblPr>
      <w:tblGrid>
        <w:gridCol w:w="901"/>
        <w:gridCol w:w="4058"/>
        <w:gridCol w:w="4058"/>
      </w:tblGrid>
      <w:tr w:rsidR="007E20FB" w:rsidRPr="0049396B" w14:paraId="00E6CB71" w14:textId="77777777" w:rsidTr="00EB254E">
        <w:trPr>
          <w:tblHeader/>
        </w:trPr>
        <w:tc>
          <w:tcPr>
            <w:tcW w:w="390" w:type="pct"/>
          </w:tcPr>
          <w:p w14:paraId="1B25B1DE" w14:textId="77777777" w:rsidR="007E20FB" w:rsidRPr="0049396B" w:rsidRDefault="007E20FB" w:rsidP="00401F9E">
            <w:pPr>
              <w:pStyle w:val="In-tableHeading"/>
              <w:jc w:val="center"/>
              <w:rPr>
                <w:lang w:val="en-AU"/>
              </w:rPr>
            </w:pPr>
            <w:r w:rsidRPr="0049396B">
              <w:rPr>
                <w:lang w:val="en-AU"/>
              </w:rPr>
              <w:t>Stage</w:t>
            </w:r>
          </w:p>
        </w:tc>
        <w:tc>
          <w:tcPr>
            <w:tcW w:w="2305" w:type="pct"/>
          </w:tcPr>
          <w:p w14:paraId="102544D4" w14:textId="77777777" w:rsidR="007E20FB" w:rsidRPr="0049396B" w:rsidRDefault="007E20FB" w:rsidP="00401F9E">
            <w:pPr>
              <w:pStyle w:val="In-tableHeading"/>
              <w:jc w:val="center"/>
              <w:rPr>
                <w:lang w:val="en-AU"/>
              </w:rPr>
            </w:pPr>
            <w:r w:rsidRPr="0049396B">
              <w:rPr>
                <w:lang w:val="en-AU"/>
              </w:rPr>
              <w:t>Observed KM data vs predicted Cox model</w:t>
            </w:r>
          </w:p>
        </w:tc>
        <w:tc>
          <w:tcPr>
            <w:tcW w:w="2305" w:type="pct"/>
          </w:tcPr>
          <w:p w14:paraId="00CE2ED1" w14:textId="77777777" w:rsidR="007E20FB" w:rsidRPr="0049396B" w:rsidRDefault="007E20FB" w:rsidP="00401F9E">
            <w:pPr>
              <w:pStyle w:val="In-tableHeading"/>
              <w:jc w:val="center"/>
              <w:rPr>
                <w:lang w:val="en-AU"/>
              </w:rPr>
            </w:pPr>
            <w:r w:rsidRPr="0049396B">
              <w:rPr>
                <w:lang w:val="en-AU"/>
              </w:rPr>
              <w:t>Log-log survival plots by treatment arm</w:t>
            </w:r>
          </w:p>
        </w:tc>
      </w:tr>
      <w:tr w:rsidR="007E20FB" w:rsidRPr="0049396B" w14:paraId="4A61E35B" w14:textId="77777777" w:rsidTr="00EB254E">
        <w:trPr>
          <w:cantSplit/>
          <w:trHeight w:val="1134"/>
        </w:trPr>
        <w:tc>
          <w:tcPr>
            <w:tcW w:w="390" w:type="pct"/>
            <w:vAlign w:val="center"/>
          </w:tcPr>
          <w:p w14:paraId="3117546B" w14:textId="77777777" w:rsidR="007E20FB" w:rsidRPr="0049396B" w:rsidRDefault="007E20FB" w:rsidP="00401F9E">
            <w:pPr>
              <w:pStyle w:val="In-tableHeading"/>
              <w:jc w:val="center"/>
              <w:rPr>
                <w:lang w:val="en-AU" w:eastAsia="zh-CN"/>
              </w:rPr>
            </w:pPr>
            <w:r w:rsidRPr="0049396B">
              <w:rPr>
                <w:lang w:val="en-AU" w:eastAsia="zh-CN"/>
              </w:rPr>
              <w:t>1</w:t>
            </w:r>
          </w:p>
          <w:p w14:paraId="670E4BD8" w14:textId="77777777" w:rsidR="007E20FB" w:rsidRPr="0049396B" w:rsidRDefault="007E20FB" w:rsidP="00401F9E">
            <w:pPr>
              <w:pStyle w:val="In-tableHeading"/>
              <w:jc w:val="center"/>
              <w:rPr>
                <w:lang w:val="en-AU" w:eastAsia="zh-CN"/>
              </w:rPr>
            </w:pPr>
            <w:r w:rsidRPr="0049396B">
              <w:rPr>
                <w:lang w:val="en-AU" w:eastAsia="zh-CN"/>
              </w:rPr>
              <w:t>HR=0.65</w:t>
            </w:r>
          </w:p>
          <w:p w14:paraId="2A808D27" w14:textId="77777777" w:rsidR="007E20FB" w:rsidRPr="0049396B" w:rsidRDefault="007E20FB" w:rsidP="00401F9E">
            <w:pPr>
              <w:pStyle w:val="In-tableHeading"/>
              <w:jc w:val="center"/>
              <w:rPr>
                <w:lang w:val="en-AU" w:eastAsia="zh-CN"/>
              </w:rPr>
            </w:pPr>
            <w:r w:rsidRPr="0049396B">
              <w:rPr>
                <w:lang w:val="en-AU" w:eastAsia="zh-CN"/>
              </w:rPr>
              <w:t>95%CI</w:t>
            </w:r>
          </w:p>
          <w:p w14:paraId="20B3CDB6" w14:textId="77777777" w:rsidR="007E20FB" w:rsidRPr="0049396B" w:rsidRDefault="007E20FB" w:rsidP="00401F9E">
            <w:pPr>
              <w:pStyle w:val="In-tableHeading"/>
              <w:jc w:val="center"/>
              <w:rPr>
                <w:lang w:val="en-AU" w:eastAsia="zh-CN"/>
              </w:rPr>
            </w:pPr>
            <w:r w:rsidRPr="0049396B">
              <w:rPr>
                <w:lang w:val="en-AU"/>
              </w:rPr>
              <w:t>0.31,1.38</w:t>
            </w:r>
          </w:p>
        </w:tc>
        <w:tc>
          <w:tcPr>
            <w:tcW w:w="2305" w:type="pct"/>
          </w:tcPr>
          <w:p w14:paraId="2CE78FF7" w14:textId="77777777" w:rsidR="007E20FB" w:rsidRPr="0049396B" w:rsidRDefault="007E20FB" w:rsidP="00401F9E">
            <w:pPr>
              <w:keepNext/>
              <w:jc w:val="center"/>
              <w:rPr>
                <w:lang w:eastAsia="zh-CN"/>
              </w:rPr>
            </w:pPr>
            <w:r w:rsidRPr="0049396B">
              <w:rPr>
                <w:noProof/>
                <w:lang w:eastAsia="zh-CN"/>
              </w:rPr>
              <w:drawing>
                <wp:inline distT="0" distB="0" distL="0" distR="0" wp14:anchorId="58CAB344" wp14:editId="734C2D30">
                  <wp:extent cx="2341245" cy="1701165"/>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41245" cy="1701165"/>
                          </a:xfrm>
                          <a:prstGeom prst="rect">
                            <a:avLst/>
                          </a:prstGeom>
                          <a:noFill/>
                        </pic:spPr>
                      </pic:pic>
                    </a:graphicData>
                  </a:graphic>
                </wp:inline>
              </w:drawing>
            </w:r>
          </w:p>
        </w:tc>
        <w:tc>
          <w:tcPr>
            <w:tcW w:w="2305" w:type="pct"/>
          </w:tcPr>
          <w:p w14:paraId="4A8AD032" w14:textId="77777777" w:rsidR="007E20FB" w:rsidRPr="0049396B" w:rsidRDefault="007E20FB" w:rsidP="00401F9E">
            <w:pPr>
              <w:keepNext/>
              <w:jc w:val="center"/>
            </w:pPr>
            <w:r w:rsidRPr="0049396B">
              <w:rPr>
                <w:noProof/>
                <w:lang w:eastAsia="zh-CN"/>
              </w:rPr>
              <w:drawing>
                <wp:inline distT="0" distB="0" distL="0" distR="0" wp14:anchorId="4C6E8372" wp14:editId="46B593BD">
                  <wp:extent cx="2341245" cy="1701165"/>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41245" cy="1701165"/>
                          </a:xfrm>
                          <a:prstGeom prst="rect">
                            <a:avLst/>
                          </a:prstGeom>
                          <a:noFill/>
                        </pic:spPr>
                      </pic:pic>
                    </a:graphicData>
                  </a:graphic>
                </wp:inline>
              </w:drawing>
            </w:r>
          </w:p>
        </w:tc>
      </w:tr>
      <w:tr w:rsidR="007E20FB" w:rsidRPr="0049396B" w14:paraId="2CDD43AA" w14:textId="77777777" w:rsidTr="00EB254E">
        <w:tc>
          <w:tcPr>
            <w:tcW w:w="390" w:type="pct"/>
            <w:vAlign w:val="center"/>
          </w:tcPr>
          <w:p w14:paraId="285C080E" w14:textId="77777777" w:rsidR="007E20FB" w:rsidRPr="0049396B" w:rsidRDefault="007E20FB" w:rsidP="00401F9E">
            <w:pPr>
              <w:pStyle w:val="In-tableHeading"/>
              <w:jc w:val="center"/>
              <w:rPr>
                <w:lang w:val="en-AU"/>
              </w:rPr>
            </w:pPr>
            <w:r w:rsidRPr="0049396B">
              <w:rPr>
                <w:lang w:val="en-AU"/>
              </w:rPr>
              <w:t>2</w:t>
            </w:r>
          </w:p>
          <w:p w14:paraId="6DADCD6F" w14:textId="77777777" w:rsidR="007E20FB" w:rsidRPr="0049396B" w:rsidRDefault="007E20FB" w:rsidP="00401F9E">
            <w:pPr>
              <w:pStyle w:val="In-tableHeading"/>
              <w:jc w:val="center"/>
              <w:rPr>
                <w:lang w:val="en-AU"/>
              </w:rPr>
            </w:pPr>
            <w:r w:rsidRPr="0049396B">
              <w:rPr>
                <w:lang w:val="en-AU"/>
              </w:rPr>
              <w:t>HR=0.70</w:t>
            </w:r>
          </w:p>
          <w:p w14:paraId="3FAF1F0C" w14:textId="77777777" w:rsidR="007E20FB" w:rsidRPr="0049396B" w:rsidRDefault="007E20FB" w:rsidP="00401F9E">
            <w:pPr>
              <w:pStyle w:val="In-tableHeading"/>
              <w:jc w:val="center"/>
              <w:rPr>
                <w:lang w:val="en-AU"/>
              </w:rPr>
            </w:pPr>
            <w:r w:rsidRPr="0049396B">
              <w:rPr>
                <w:lang w:val="en-AU"/>
              </w:rPr>
              <w:t>95%CI</w:t>
            </w:r>
          </w:p>
          <w:p w14:paraId="3C46F5C9" w14:textId="77777777" w:rsidR="007E20FB" w:rsidRPr="0049396B" w:rsidRDefault="007E20FB" w:rsidP="00401F9E">
            <w:pPr>
              <w:pStyle w:val="In-tableHeading"/>
              <w:jc w:val="center"/>
              <w:rPr>
                <w:lang w:val="en-AU"/>
              </w:rPr>
            </w:pPr>
            <w:r w:rsidRPr="0049396B">
              <w:rPr>
                <w:lang w:val="en-AU"/>
              </w:rPr>
              <w:t>0.37,1.31</w:t>
            </w:r>
          </w:p>
        </w:tc>
        <w:tc>
          <w:tcPr>
            <w:tcW w:w="2305" w:type="pct"/>
          </w:tcPr>
          <w:p w14:paraId="0950057A" w14:textId="77777777" w:rsidR="007E20FB" w:rsidRPr="0049396B" w:rsidRDefault="007E20FB" w:rsidP="00401F9E">
            <w:pPr>
              <w:pStyle w:val="In-tableHeading"/>
              <w:jc w:val="center"/>
              <w:rPr>
                <w:lang w:val="en-AU" w:eastAsia="zh-CN"/>
              </w:rPr>
            </w:pPr>
            <w:r w:rsidRPr="0049396B">
              <w:rPr>
                <w:noProof/>
                <w:lang w:val="en-AU" w:eastAsia="zh-CN"/>
              </w:rPr>
              <w:drawing>
                <wp:inline distT="0" distB="0" distL="0" distR="0" wp14:anchorId="3EF1A602" wp14:editId="577A673A">
                  <wp:extent cx="2341245" cy="1701165"/>
                  <wp:effectExtent l="0" t="0" r="1905" b="0"/>
                  <wp:docPr id="16494112" name="Picture 16494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41245" cy="1701165"/>
                          </a:xfrm>
                          <a:prstGeom prst="rect">
                            <a:avLst/>
                          </a:prstGeom>
                          <a:noFill/>
                        </pic:spPr>
                      </pic:pic>
                    </a:graphicData>
                  </a:graphic>
                </wp:inline>
              </w:drawing>
            </w:r>
          </w:p>
        </w:tc>
        <w:tc>
          <w:tcPr>
            <w:tcW w:w="2305" w:type="pct"/>
          </w:tcPr>
          <w:p w14:paraId="5DEECA8C" w14:textId="77777777" w:rsidR="007E20FB" w:rsidRPr="0049396B" w:rsidRDefault="007E20FB" w:rsidP="00401F9E">
            <w:pPr>
              <w:pStyle w:val="In-tableHeading"/>
              <w:jc w:val="center"/>
              <w:rPr>
                <w:lang w:val="en-AU"/>
              </w:rPr>
            </w:pPr>
            <w:r w:rsidRPr="0049396B">
              <w:rPr>
                <w:noProof/>
                <w:lang w:val="en-AU" w:eastAsia="zh-CN"/>
              </w:rPr>
              <w:drawing>
                <wp:inline distT="0" distB="0" distL="0" distR="0" wp14:anchorId="0DD7075F" wp14:editId="0D427F30">
                  <wp:extent cx="2341245" cy="1701165"/>
                  <wp:effectExtent l="0" t="0" r="1905" b="0"/>
                  <wp:docPr id="16494113" name="Picture 16494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1245" cy="1701165"/>
                          </a:xfrm>
                          <a:prstGeom prst="rect">
                            <a:avLst/>
                          </a:prstGeom>
                          <a:noFill/>
                        </pic:spPr>
                      </pic:pic>
                    </a:graphicData>
                  </a:graphic>
                </wp:inline>
              </w:drawing>
            </w:r>
          </w:p>
        </w:tc>
      </w:tr>
      <w:tr w:rsidR="007E20FB" w:rsidRPr="0049396B" w14:paraId="0A0EC2CA" w14:textId="77777777" w:rsidTr="00EB254E">
        <w:tc>
          <w:tcPr>
            <w:tcW w:w="390" w:type="pct"/>
            <w:vAlign w:val="center"/>
          </w:tcPr>
          <w:p w14:paraId="3F798C53" w14:textId="77777777" w:rsidR="007E20FB" w:rsidRPr="0049396B" w:rsidRDefault="007E20FB" w:rsidP="00401F9E">
            <w:pPr>
              <w:pStyle w:val="In-tableHeading"/>
              <w:jc w:val="center"/>
              <w:rPr>
                <w:lang w:val="en-AU"/>
              </w:rPr>
            </w:pPr>
            <w:r w:rsidRPr="0049396B">
              <w:rPr>
                <w:lang w:val="en-AU"/>
              </w:rPr>
              <w:t>3</w:t>
            </w:r>
          </w:p>
          <w:p w14:paraId="35093581" w14:textId="77777777" w:rsidR="007E20FB" w:rsidRPr="0049396B" w:rsidRDefault="007E20FB" w:rsidP="00401F9E">
            <w:pPr>
              <w:pStyle w:val="In-tableHeading"/>
              <w:jc w:val="center"/>
              <w:rPr>
                <w:lang w:val="en-AU"/>
              </w:rPr>
            </w:pPr>
            <w:r w:rsidRPr="0049396B">
              <w:rPr>
                <w:lang w:val="en-AU"/>
              </w:rPr>
              <w:t>HR=0.58</w:t>
            </w:r>
          </w:p>
          <w:p w14:paraId="3D56582D" w14:textId="77777777" w:rsidR="007E20FB" w:rsidRPr="0049396B" w:rsidRDefault="007E20FB" w:rsidP="00401F9E">
            <w:pPr>
              <w:pStyle w:val="In-tableHeading"/>
              <w:jc w:val="center"/>
              <w:rPr>
                <w:lang w:val="en-AU"/>
              </w:rPr>
            </w:pPr>
            <w:r w:rsidRPr="0049396B">
              <w:rPr>
                <w:lang w:val="en-AU"/>
              </w:rPr>
              <w:t>95%CI</w:t>
            </w:r>
          </w:p>
          <w:p w14:paraId="348186AC" w14:textId="77777777" w:rsidR="007E20FB" w:rsidRPr="0049396B" w:rsidRDefault="007E20FB" w:rsidP="00401F9E">
            <w:pPr>
              <w:pStyle w:val="In-tableHeading"/>
              <w:jc w:val="center"/>
              <w:rPr>
                <w:lang w:val="en-AU"/>
              </w:rPr>
            </w:pPr>
            <w:r w:rsidRPr="0049396B">
              <w:rPr>
                <w:lang w:val="en-AU"/>
              </w:rPr>
              <w:t>0.10,3.52</w:t>
            </w:r>
          </w:p>
        </w:tc>
        <w:tc>
          <w:tcPr>
            <w:tcW w:w="2305" w:type="pct"/>
          </w:tcPr>
          <w:p w14:paraId="68184388" w14:textId="77777777" w:rsidR="007E20FB" w:rsidRPr="0049396B" w:rsidRDefault="007E20FB" w:rsidP="00401F9E">
            <w:pPr>
              <w:pStyle w:val="In-tableHeading"/>
              <w:jc w:val="center"/>
              <w:rPr>
                <w:lang w:val="en-AU" w:eastAsia="zh-CN"/>
              </w:rPr>
            </w:pPr>
            <w:r w:rsidRPr="0049396B">
              <w:rPr>
                <w:noProof/>
                <w:lang w:val="en-AU" w:eastAsia="zh-CN"/>
              </w:rPr>
              <w:drawing>
                <wp:inline distT="0" distB="0" distL="0" distR="0" wp14:anchorId="4B160657" wp14:editId="26FE1066">
                  <wp:extent cx="2341245" cy="1701165"/>
                  <wp:effectExtent l="0" t="0" r="1905" b="0"/>
                  <wp:docPr id="16494114" name="Picture 1649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41245" cy="1701165"/>
                          </a:xfrm>
                          <a:prstGeom prst="rect">
                            <a:avLst/>
                          </a:prstGeom>
                          <a:noFill/>
                        </pic:spPr>
                      </pic:pic>
                    </a:graphicData>
                  </a:graphic>
                </wp:inline>
              </w:drawing>
            </w:r>
          </w:p>
        </w:tc>
        <w:tc>
          <w:tcPr>
            <w:tcW w:w="2305" w:type="pct"/>
          </w:tcPr>
          <w:p w14:paraId="05E3AA73" w14:textId="77777777" w:rsidR="007E20FB" w:rsidRPr="0049396B" w:rsidRDefault="007E20FB" w:rsidP="00401F9E">
            <w:pPr>
              <w:pStyle w:val="In-tableHeading"/>
              <w:jc w:val="center"/>
              <w:rPr>
                <w:lang w:val="en-AU"/>
              </w:rPr>
            </w:pPr>
            <w:r w:rsidRPr="0049396B">
              <w:rPr>
                <w:noProof/>
                <w:lang w:val="en-AU" w:eastAsia="zh-CN"/>
              </w:rPr>
              <w:drawing>
                <wp:inline distT="0" distB="0" distL="0" distR="0" wp14:anchorId="7BC7D5E5" wp14:editId="3C659EEA">
                  <wp:extent cx="2341245" cy="1701165"/>
                  <wp:effectExtent l="0" t="0" r="1905" b="0"/>
                  <wp:docPr id="16494115" name="Picture 1649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41245" cy="1701165"/>
                          </a:xfrm>
                          <a:prstGeom prst="rect">
                            <a:avLst/>
                          </a:prstGeom>
                          <a:noFill/>
                        </pic:spPr>
                      </pic:pic>
                    </a:graphicData>
                  </a:graphic>
                </wp:inline>
              </w:drawing>
            </w:r>
          </w:p>
        </w:tc>
      </w:tr>
    </w:tbl>
    <w:p w14:paraId="73537E05" w14:textId="7B90EA3F" w:rsidR="007E20FB" w:rsidRPr="0049396B" w:rsidRDefault="007E20FB" w:rsidP="007E20FB">
      <w:pPr>
        <w:pStyle w:val="TableFigureFooter"/>
      </w:pPr>
      <w:r w:rsidRPr="0049396B">
        <w:t xml:space="preserve">Source: compiled during the evaluation from data provided by the </w:t>
      </w:r>
      <w:r w:rsidR="00A37686" w:rsidRPr="0049396B">
        <w:t>sponsor</w:t>
      </w:r>
      <w:r w:rsidRPr="0049396B">
        <w:t xml:space="preserve"> in Excel workbook ‘Al-Chalabi 2021 pseudo IPD.xlsx’</w:t>
      </w:r>
    </w:p>
    <w:p w14:paraId="65168052" w14:textId="09CAD740" w:rsidR="007E20FB" w:rsidRPr="0049396B" w:rsidRDefault="007E20FB" w:rsidP="007E20FB">
      <w:pPr>
        <w:pStyle w:val="TableFigureFooter"/>
      </w:pPr>
      <w:r w:rsidRPr="0049396B">
        <w:t>Black lines represent observed KM data. Red lines represent survival predicted by the Cox-proportional hazards model. Confidence limits for the Cox-proportional hazards model not included, but confidence limits overlap for all stages. Time 0 represents the time patients entered the stage, not time at baseline. Patients in stage 2 and 3 who had progressed from earlier stages had maximum &lt;24</w:t>
      </w:r>
      <w:r w:rsidR="00A10D6F">
        <w:t xml:space="preserve"> </w:t>
      </w:r>
      <w:r w:rsidRPr="0049396B">
        <w:t>weeks follow up compared to patients who were stage 2 and 3 at baseline in Study 19 who had maximum 24 weeks of follow up. HR&lt;1 favoured edaravone.</w:t>
      </w:r>
    </w:p>
    <w:bookmarkEnd w:id="64"/>
    <w:p w14:paraId="2B45C965" w14:textId="33DF2D20" w:rsidR="007E20FB" w:rsidRPr="0049396B" w:rsidRDefault="007E20FB" w:rsidP="0051699C">
      <w:pPr>
        <w:pStyle w:val="3-BodyText"/>
        <w:rPr>
          <w:iCs/>
        </w:rPr>
      </w:pPr>
      <w:r w:rsidRPr="0049396B">
        <w:rPr>
          <w:iCs/>
        </w:rPr>
        <w:t xml:space="preserve">Although the clinical evidence presented in the submission showed a smaller rate of decline in ALSFRS-R score with edaravone compared to placebo, the decision to translate this benefit in the model using Al-Chalabi 2021 was poorly justified. The proportional hazards assumption for King’s stage progression did not appear to hold for any stage, though statistically the assumption was not violated, likely due to the high uncertainty in the estimates. Mean hazard ratios generally resulted in inaccurate estimates of the benefit of edaravone compared to SOC for stage progression compared to the observed </w:t>
      </w:r>
      <w:r w:rsidR="00A37686" w:rsidRPr="0049396B">
        <w:rPr>
          <w:iCs/>
        </w:rPr>
        <w:t xml:space="preserve">Kaplan-Meier </w:t>
      </w:r>
      <w:r w:rsidRPr="0049396B">
        <w:rPr>
          <w:iCs/>
        </w:rPr>
        <w:t xml:space="preserve">data. For all stages, the confidence limits for the hazard ratios included 1 and therefore there was no statistically significant difference in stage progression at any stage. In particular, despite the substantial </w:t>
      </w:r>
      <w:r w:rsidRPr="0049396B">
        <w:rPr>
          <w:iCs/>
        </w:rPr>
        <w:lastRenderedPageBreak/>
        <w:t>hazard ratio for stage 3 (0.584), the difference in survival between edaravone and SOC was small both in the observed and predicted curves, and the hazard ratio had very wide confidence limits (95%CI 0.097 to 3.519). Overall, there was high uncertainty in the hazard ratios applied to King’s stage progression, particularly from stage 2 onwards</w:t>
      </w:r>
      <w:r w:rsidR="003029B7" w:rsidRPr="0049396B">
        <w:rPr>
          <w:iCs/>
        </w:rPr>
        <w:t>.</w:t>
      </w:r>
      <w:r w:rsidR="006A53AB" w:rsidRPr="0049396B">
        <w:rPr>
          <w:iCs/>
        </w:rPr>
        <w:t xml:space="preserve"> </w:t>
      </w:r>
      <w:r w:rsidR="001F226F" w:rsidRPr="0049396B">
        <w:rPr>
          <w:iCs/>
        </w:rPr>
        <w:t>The PSCR</w:t>
      </w:r>
      <w:r w:rsidR="00F25574">
        <w:rPr>
          <w:iCs/>
        </w:rPr>
        <w:t xml:space="preserve"> </w:t>
      </w:r>
      <w:r w:rsidR="001F226F" w:rsidRPr="0049396B">
        <w:rPr>
          <w:iCs/>
        </w:rPr>
        <w:t xml:space="preserve">noted </w:t>
      </w:r>
      <w:r w:rsidR="00C82125" w:rsidRPr="0049396B">
        <w:rPr>
          <w:iCs/>
        </w:rPr>
        <w:t xml:space="preserve">that </w:t>
      </w:r>
      <w:r w:rsidR="001F226F" w:rsidRPr="0049396B">
        <w:rPr>
          <w:iCs/>
        </w:rPr>
        <w:t xml:space="preserve">although Study 19 was not designed to detect statistical differences in staging analyses </w:t>
      </w:r>
      <w:r w:rsidR="00C82125" w:rsidRPr="0049396B">
        <w:rPr>
          <w:iCs/>
        </w:rPr>
        <w:t>Kings staging was</w:t>
      </w:r>
      <w:r w:rsidR="001F226F" w:rsidRPr="0049396B">
        <w:rPr>
          <w:iCs/>
        </w:rPr>
        <w:t xml:space="preserve"> considered the best source to inform the edaravone treatment effect in the model. </w:t>
      </w:r>
      <w:r w:rsidR="0011758A" w:rsidRPr="0049396B">
        <w:rPr>
          <w:iCs/>
        </w:rPr>
        <w:t>Nonetheless, t</w:t>
      </w:r>
      <w:r w:rsidR="006A53AB" w:rsidRPr="0049396B">
        <w:rPr>
          <w:iCs/>
        </w:rPr>
        <w:t xml:space="preserve">he ESC considered </w:t>
      </w:r>
      <w:r w:rsidR="0011758A" w:rsidRPr="0049396B">
        <w:rPr>
          <w:iCs/>
        </w:rPr>
        <w:t xml:space="preserve">although </w:t>
      </w:r>
      <w:r w:rsidR="006A53AB" w:rsidRPr="0049396B">
        <w:rPr>
          <w:iCs/>
        </w:rPr>
        <w:t xml:space="preserve">there was some evidence of reduced progression from King’s Stage 1, </w:t>
      </w:r>
      <w:r w:rsidR="0011758A" w:rsidRPr="0049396B">
        <w:rPr>
          <w:iCs/>
        </w:rPr>
        <w:t>there was</w:t>
      </w:r>
      <w:r w:rsidR="006A53AB" w:rsidRPr="0049396B">
        <w:rPr>
          <w:iCs/>
        </w:rPr>
        <w:t xml:space="preserve"> little evidence for the transitions between other King’s Stages, resulting in a high level of uncertainty in the modelled outcomes.</w:t>
      </w:r>
    </w:p>
    <w:p w14:paraId="2F4BE7FB" w14:textId="4CAE5AED" w:rsidR="007E20FB" w:rsidRPr="0049396B" w:rsidRDefault="007E20FB" w:rsidP="007E20FB">
      <w:pPr>
        <w:pStyle w:val="3-BodyText"/>
      </w:pPr>
      <w:r w:rsidRPr="0049396B">
        <w:t xml:space="preserve">The submission calibrated the model assuming an average of 1.37 years of additional survival with edaravone, based on independent generalised gamma functions fit to the Brooks 2022 </w:t>
      </w:r>
      <w:r w:rsidR="00A37686" w:rsidRPr="0049396B">
        <w:t xml:space="preserve">Kaplan-Meier </w:t>
      </w:r>
      <w:r w:rsidRPr="0049396B">
        <w:t>data and extrapolated over 20 years. The independent generalised gamma function w</w:t>
      </w:r>
      <w:r w:rsidR="00936CC1" w:rsidRPr="0049396B">
        <w:t>as</w:t>
      </w:r>
      <w:r w:rsidRPr="0049396B">
        <w:t xml:space="preserve"> chosen as it had the best fit for the edaravone arm and resulted in curves that did not cross (</w:t>
      </w:r>
      <w:r w:rsidR="001C0AB9">
        <w:fldChar w:fldCharType="begin" w:fldLock="1"/>
      </w:r>
      <w:r w:rsidR="001C0AB9">
        <w:instrText xml:space="preserve"> REF _Ref144724302  \* MERGEFORMAT </w:instrText>
      </w:r>
      <w:r w:rsidR="001C0AB9">
        <w:fldChar w:fldCharType="separate"/>
      </w:r>
      <w:r w:rsidR="00401F9E" w:rsidRPr="0049396B">
        <w:t>Figure 4</w:t>
      </w:r>
      <w:r w:rsidR="001C0AB9">
        <w:fldChar w:fldCharType="end"/>
      </w:r>
      <w:r w:rsidRPr="0049396B">
        <w:t>). From this analysis, the submission applied a mortality hazard ratio of 0.665 to every King’s stage, which reduced the likelihood of transitioning out of the current King’s stage each cycle in the edaravone arm in addition to the effect estimated from the stage progression hazard ratios.</w:t>
      </w:r>
    </w:p>
    <w:p w14:paraId="0E0F5C2E" w14:textId="48CC49B8" w:rsidR="007E20FB" w:rsidRPr="0049396B" w:rsidRDefault="007E20FB" w:rsidP="007E20FB">
      <w:pPr>
        <w:pStyle w:val="TableFigureHeading"/>
      </w:pPr>
      <w:bookmarkStart w:id="65" w:name="_Ref144724302"/>
      <w:r w:rsidRPr="0049396B">
        <w:t xml:space="preserve">Figure </w:t>
      </w:r>
      <w:r w:rsidR="001C0AB9">
        <w:fldChar w:fldCharType="begin" w:fldLock="1"/>
      </w:r>
      <w:r w:rsidR="001C0AB9">
        <w:instrText xml:space="preserve"> SEQ Figure \* ARABIC </w:instrText>
      </w:r>
      <w:r w:rsidR="001C0AB9">
        <w:fldChar w:fldCharType="separate"/>
      </w:r>
      <w:r w:rsidR="00401F9E" w:rsidRPr="0049396B">
        <w:t>4</w:t>
      </w:r>
      <w:r w:rsidR="001C0AB9">
        <w:fldChar w:fldCharType="end"/>
      </w:r>
      <w:bookmarkEnd w:id="65"/>
      <w:r w:rsidRPr="0049396B">
        <w:t>: OS extrapolation of Brooks 2022 over 10-year time horizon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7E20FB" w:rsidRPr="0049396B" w14:paraId="32C065FA" w14:textId="77777777" w:rsidTr="00763B80">
        <w:tc>
          <w:tcPr>
            <w:tcW w:w="4508" w:type="dxa"/>
          </w:tcPr>
          <w:p w14:paraId="7E501BEF" w14:textId="77777777" w:rsidR="007E20FB" w:rsidRPr="0049396B" w:rsidRDefault="007E20FB" w:rsidP="00EB254E">
            <w:pPr>
              <w:pStyle w:val="In-tableHeading"/>
              <w:jc w:val="center"/>
              <w:rPr>
                <w:lang w:val="en-AU"/>
              </w:rPr>
            </w:pPr>
            <w:r w:rsidRPr="0049396B">
              <w:rPr>
                <w:lang w:val="en-AU"/>
              </w:rPr>
              <w:t>Independent</w:t>
            </w:r>
          </w:p>
        </w:tc>
        <w:tc>
          <w:tcPr>
            <w:tcW w:w="4509" w:type="dxa"/>
          </w:tcPr>
          <w:p w14:paraId="624CAE1C" w14:textId="77777777" w:rsidR="007E20FB" w:rsidRPr="0049396B" w:rsidRDefault="007E20FB" w:rsidP="00EB254E">
            <w:pPr>
              <w:pStyle w:val="In-tableHeading"/>
              <w:jc w:val="center"/>
              <w:rPr>
                <w:lang w:val="en-AU"/>
              </w:rPr>
            </w:pPr>
            <w:r w:rsidRPr="0049396B">
              <w:rPr>
                <w:lang w:val="en-AU"/>
              </w:rPr>
              <w:t>Joint fit</w:t>
            </w:r>
          </w:p>
        </w:tc>
      </w:tr>
      <w:tr w:rsidR="007E20FB" w:rsidRPr="0049396B" w14:paraId="43103EFD" w14:textId="77777777" w:rsidTr="00763B80">
        <w:tc>
          <w:tcPr>
            <w:tcW w:w="4508" w:type="dxa"/>
          </w:tcPr>
          <w:p w14:paraId="1A1500B0" w14:textId="77777777" w:rsidR="007E20FB" w:rsidRPr="0049396B" w:rsidRDefault="007E20FB" w:rsidP="00EB254E">
            <w:r w:rsidRPr="0049396B">
              <w:rPr>
                <w:noProof/>
                <w:lang w:eastAsia="zh-CN"/>
              </w:rPr>
              <w:drawing>
                <wp:inline distT="0" distB="0" distL="0" distR="0" wp14:anchorId="218E4011" wp14:editId="693C8378">
                  <wp:extent cx="2790000" cy="1822803"/>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c>
          <w:tcPr>
            <w:tcW w:w="4509" w:type="dxa"/>
          </w:tcPr>
          <w:p w14:paraId="32C823C0" w14:textId="77777777" w:rsidR="007E20FB" w:rsidRPr="0049396B" w:rsidRDefault="007E20FB" w:rsidP="00EB254E">
            <w:r w:rsidRPr="0049396B">
              <w:rPr>
                <w:noProof/>
                <w:lang w:eastAsia="zh-CN"/>
              </w:rPr>
              <w:drawing>
                <wp:inline distT="0" distB="0" distL="0" distR="0" wp14:anchorId="518C94BE" wp14:editId="19332A6C">
                  <wp:extent cx="2790000" cy="1822803"/>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r>
    </w:tbl>
    <w:p w14:paraId="614D3943" w14:textId="77777777" w:rsidR="007E20FB" w:rsidRPr="0049396B" w:rsidRDefault="007E20FB" w:rsidP="007E20FB">
      <w:pPr>
        <w:pStyle w:val="TableFigureFooter"/>
      </w:pPr>
      <w:r w:rsidRPr="0049396B">
        <w:t>Source: compiled during the evaluation from data presented in ‘Brooks 2022 pseudo IPD.xlsx’ and Stata log file ‘Brooks 2022 analysis.pdf’</w:t>
      </w:r>
    </w:p>
    <w:p w14:paraId="7F894E5E" w14:textId="68FDEF5D" w:rsidR="001F226F" w:rsidRPr="0049396B" w:rsidRDefault="00AA592F" w:rsidP="007E20FB">
      <w:pPr>
        <w:pStyle w:val="3-BodyText"/>
        <w:rPr>
          <w:iCs/>
        </w:rPr>
      </w:pPr>
      <w:bookmarkStart w:id="66" w:name="_Ref148355716"/>
      <w:r w:rsidRPr="0049396B">
        <w:rPr>
          <w:iCs/>
        </w:rPr>
        <w:t>Application of this survival calibration</w:t>
      </w:r>
      <w:r w:rsidR="007E20FB" w:rsidRPr="0049396B">
        <w:rPr>
          <w:iCs/>
        </w:rPr>
        <w:t xml:space="preserve"> </w:t>
      </w:r>
      <w:r w:rsidRPr="0049396B">
        <w:rPr>
          <w:iCs/>
        </w:rPr>
        <w:t>factor</w:t>
      </w:r>
      <w:r w:rsidR="00C82125" w:rsidRPr="0049396B">
        <w:rPr>
          <w:iCs/>
        </w:rPr>
        <w:t xml:space="preserve"> </w:t>
      </w:r>
      <w:r w:rsidR="007E20FB" w:rsidRPr="0049396B">
        <w:rPr>
          <w:iCs/>
        </w:rPr>
        <w:t xml:space="preserve">was not supported by the evidence presented in the submission. As </w:t>
      </w:r>
      <w:r w:rsidR="00C82125" w:rsidRPr="0049396B">
        <w:rPr>
          <w:iCs/>
        </w:rPr>
        <w:t xml:space="preserve">noted above (paragraph </w:t>
      </w:r>
      <w:r w:rsidR="00C82125" w:rsidRPr="0049396B">
        <w:rPr>
          <w:iCs/>
        </w:rPr>
        <w:fldChar w:fldCharType="begin" w:fldLock="1"/>
      </w:r>
      <w:r w:rsidR="00C82125" w:rsidRPr="0049396B">
        <w:rPr>
          <w:iCs/>
        </w:rPr>
        <w:instrText xml:space="preserve"> REF _Ref151624337 \r \h </w:instrText>
      </w:r>
      <w:r w:rsidR="00C82125" w:rsidRPr="0049396B">
        <w:rPr>
          <w:iCs/>
        </w:rPr>
      </w:r>
      <w:r w:rsidR="00C82125" w:rsidRPr="0049396B">
        <w:rPr>
          <w:iCs/>
        </w:rPr>
        <w:fldChar w:fldCharType="separate"/>
      </w:r>
      <w:r w:rsidR="00C82125" w:rsidRPr="0049396B">
        <w:rPr>
          <w:iCs/>
        </w:rPr>
        <w:t>6.21</w:t>
      </w:r>
      <w:r w:rsidR="00C82125" w:rsidRPr="0049396B">
        <w:rPr>
          <w:iCs/>
        </w:rPr>
        <w:fldChar w:fldCharType="end"/>
      </w:r>
      <w:r w:rsidR="00C82125" w:rsidRPr="0049396B">
        <w:rPr>
          <w:iCs/>
        </w:rPr>
        <w:t>)</w:t>
      </w:r>
      <w:r w:rsidR="007E20FB" w:rsidRPr="0049396B">
        <w:rPr>
          <w:iCs/>
        </w:rPr>
        <w:t xml:space="preserve">, the empirical strategy used in Brooks 2022 was considered highly biased in favour of edaravone. The key trial evidence presented in the submission showed no difference in survival at 48 weeks, and other real-world studies using less biased approaches </w:t>
      </w:r>
      <w:proofErr w:type="gramStart"/>
      <w:r w:rsidR="007E20FB" w:rsidRPr="0049396B">
        <w:rPr>
          <w:iCs/>
        </w:rPr>
        <w:t>found also</w:t>
      </w:r>
      <w:proofErr w:type="gramEnd"/>
      <w:r w:rsidR="007E20FB" w:rsidRPr="0049396B">
        <w:rPr>
          <w:iCs/>
        </w:rPr>
        <w:t xml:space="preserve"> no difference in survival. </w:t>
      </w:r>
      <w:r w:rsidR="00804DFC" w:rsidRPr="0049396B">
        <w:rPr>
          <w:iCs/>
        </w:rPr>
        <w:t xml:space="preserve">The PSCR </w:t>
      </w:r>
      <w:r w:rsidR="00C82125" w:rsidRPr="0049396B">
        <w:rPr>
          <w:iCs/>
        </w:rPr>
        <w:t xml:space="preserve">and </w:t>
      </w:r>
      <w:r w:rsidR="00F25574">
        <w:rPr>
          <w:iCs/>
        </w:rPr>
        <w:t>p</w:t>
      </w:r>
      <w:r w:rsidR="00C82125" w:rsidRPr="0049396B">
        <w:rPr>
          <w:iCs/>
        </w:rPr>
        <w:t xml:space="preserve">re-PBAC response </w:t>
      </w:r>
      <w:r w:rsidR="00804DFC" w:rsidRPr="0049396B">
        <w:rPr>
          <w:iCs/>
        </w:rPr>
        <w:t xml:space="preserve">noted that as Study 19 was in </w:t>
      </w:r>
      <w:r w:rsidR="00EA22A2" w:rsidRPr="0049396B">
        <w:rPr>
          <w:iCs/>
        </w:rPr>
        <w:t>early</w:t>
      </w:r>
      <w:r w:rsidR="00EA22A2" w:rsidRPr="0049396B">
        <w:rPr>
          <w:iCs/>
        </w:rPr>
        <w:noBreakHyphen/>
      </w:r>
      <w:r w:rsidR="00804DFC" w:rsidRPr="0049396B">
        <w:rPr>
          <w:iCs/>
        </w:rPr>
        <w:t>stage ALS patients, where mortality is typically low, the RCT was not long enough to provide meaningful data on longer-term survival outcomes</w:t>
      </w:r>
      <w:r w:rsidR="00C82125" w:rsidRPr="0049396B">
        <w:rPr>
          <w:iCs/>
        </w:rPr>
        <w:t xml:space="preserve"> and real-world data is the only means by which survival can be estimated</w:t>
      </w:r>
      <w:r w:rsidR="00804DFC" w:rsidRPr="0049396B">
        <w:rPr>
          <w:iCs/>
        </w:rPr>
        <w:t xml:space="preserve">. </w:t>
      </w:r>
      <w:r w:rsidR="007E20FB" w:rsidRPr="0049396B">
        <w:rPr>
          <w:iCs/>
        </w:rPr>
        <w:t xml:space="preserve">In addition, the </w:t>
      </w:r>
      <w:r w:rsidR="00EA22A2" w:rsidRPr="0049396B">
        <w:rPr>
          <w:iCs/>
        </w:rPr>
        <w:t xml:space="preserve">evaluation considered the </w:t>
      </w:r>
      <w:r w:rsidR="007E20FB" w:rsidRPr="0049396B">
        <w:rPr>
          <w:iCs/>
        </w:rPr>
        <w:t xml:space="preserve">submission’s justification for selecting the preferred parametric function was flawed (favouring edaravone) and the decision to </w:t>
      </w:r>
      <w:r w:rsidR="007E20FB" w:rsidRPr="0049396B">
        <w:rPr>
          <w:iCs/>
        </w:rPr>
        <w:lastRenderedPageBreak/>
        <w:t xml:space="preserve">apply the survival from a 20-year extrapolation to a 10-year model was inappropriate (favouring edaravone). Without this calibration, the model still estimated 0.52 years of additional survival with edaravone </w:t>
      </w:r>
      <w:r w:rsidR="00F613D6" w:rsidRPr="0049396B">
        <w:rPr>
          <w:iCs/>
        </w:rPr>
        <w:t xml:space="preserve">(0.42 life years undiscounted) </w:t>
      </w:r>
      <w:r w:rsidR="007E20FB" w:rsidRPr="0049396B">
        <w:rPr>
          <w:iCs/>
        </w:rPr>
        <w:t>associated with the estimated slower rate of King’s stage progression.</w:t>
      </w:r>
      <w:r w:rsidR="00350640" w:rsidRPr="0049396B">
        <w:rPr>
          <w:iCs/>
        </w:rPr>
        <w:t xml:space="preserve"> No other economic evaluations of edaravone for ALS included the mortality calibration. CADTH 2019 estimated an additional 0.39 discounted life years for stage 1 patients receiving edaravone and ICER 2022 an additional 0.06 discounted life years for a mixed cohort.</w:t>
      </w:r>
      <w:r w:rsidR="007E20FB" w:rsidRPr="0049396B">
        <w:rPr>
          <w:iCs/>
        </w:rPr>
        <w:t xml:space="preserve"> </w:t>
      </w:r>
      <w:r w:rsidR="001F226F" w:rsidRPr="0049396B">
        <w:rPr>
          <w:iCs/>
        </w:rPr>
        <w:t>The PSCR argued that th</w:t>
      </w:r>
      <w:r w:rsidR="00174D6B" w:rsidRPr="0049396B">
        <w:rPr>
          <w:iCs/>
        </w:rPr>
        <w:t>e CADTH 2019</w:t>
      </w:r>
      <w:r w:rsidR="001F226F" w:rsidRPr="0049396B">
        <w:rPr>
          <w:iCs/>
        </w:rPr>
        <w:t xml:space="preserve"> analysis now lacks face validity given the more recent published real-world evidence showing greater survival benefit.</w:t>
      </w:r>
      <w:bookmarkEnd w:id="66"/>
      <w:r w:rsidR="001F226F" w:rsidRPr="0049396B">
        <w:rPr>
          <w:iCs/>
        </w:rPr>
        <w:t xml:space="preserve"> </w:t>
      </w:r>
    </w:p>
    <w:p w14:paraId="4CB334AD" w14:textId="7B4FAC32" w:rsidR="007E20FB" w:rsidRPr="00AB1EAD" w:rsidRDefault="007E20FB" w:rsidP="007E20FB">
      <w:pPr>
        <w:pStyle w:val="3-BodyText"/>
      </w:pPr>
      <w:r w:rsidRPr="00AB1EAD">
        <w:t>For time on treatment, the submission assumed a discontinuation rate for edaravone of 30% per 3-month model cycle in King’s stage 1 to 3 (100% discontinuation afterwards), corresponding</w:t>
      </w:r>
      <w:r w:rsidR="00174D6B" w:rsidRPr="00AB1EAD">
        <w:t xml:space="preserve"> </w:t>
      </w:r>
      <w:r w:rsidRPr="00AB1EAD">
        <w:t>to a mean (median) time on treatment of 7.2 (9.0) months</w:t>
      </w:r>
      <w:r w:rsidR="00174D6B" w:rsidRPr="00AB1EAD">
        <w:t xml:space="preserve"> (with half cycle correction)</w:t>
      </w:r>
      <w:r w:rsidRPr="00AB1EAD">
        <w:t xml:space="preserve">. The discontinuation rate for edaravone was chosen based on the median time on treatment of 8.6 months in Brooks 2022. For </w:t>
      </w:r>
      <w:proofErr w:type="spellStart"/>
      <w:r w:rsidRPr="00AB1EAD">
        <w:t>riluzole</w:t>
      </w:r>
      <w:proofErr w:type="spellEnd"/>
      <w:r w:rsidRPr="00AB1EAD">
        <w:t xml:space="preserve">, the submission assumed 85% of patients in both arms received </w:t>
      </w:r>
      <w:proofErr w:type="spellStart"/>
      <w:r w:rsidRPr="00AB1EAD">
        <w:t>riluzole</w:t>
      </w:r>
      <w:proofErr w:type="spellEnd"/>
      <w:r w:rsidRPr="00AB1EAD">
        <w:t xml:space="preserve"> and remained on treatment indefinitely (no discontinuation).</w:t>
      </w:r>
    </w:p>
    <w:p w14:paraId="11F8BFBF" w14:textId="2552C084" w:rsidR="007E20FB" w:rsidRPr="00AB1EAD" w:rsidRDefault="006475DB" w:rsidP="006475DB">
      <w:pPr>
        <w:pStyle w:val="3-BodyText"/>
        <w:rPr>
          <w:iCs/>
        </w:rPr>
      </w:pPr>
      <w:r w:rsidRPr="00AB1EAD">
        <w:rPr>
          <w:iCs/>
        </w:rPr>
        <w:t>The evaluation considered that i</w:t>
      </w:r>
      <w:r w:rsidR="007E20FB" w:rsidRPr="00AB1EAD">
        <w:rPr>
          <w:iCs/>
        </w:rPr>
        <w:t>t was likely that time on edaravone in the model (mean 7.2 months) was considerably underestimated given there was a low rate of discontinuation observed in Study 19 and the proposed PBS restriction specifies few stopping criteria. In other real-world studies the average treatment duration with edaravone was up to 27 months, which is similar to the estimate from the model assuming patients only discontinue upon progression to King stage 4a/4b.</w:t>
      </w:r>
      <w:r w:rsidR="00350640" w:rsidRPr="00AB1EAD">
        <w:rPr>
          <w:iCs/>
        </w:rPr>
        <w:t xml:space="preserve"> In addition, the model assigned no edaravone cost to 16.4% of patients in the edaravone arm owing to the high discontinuation rate.</w:t>
      </w:r>
      <w:r w:rsidRPr="00AB1EAD">
        <w:rPr>
          <w:iCs/>
        </w:rPr>
        <w:t xml:space="preserve"> The </w:t>
      </w:r>
      <w:r w:rsidR="00F25574" w:rsidRPr="00AB1EAD">
        <w:rPr>
          <w:iCs/>
        </w:rPr>
        <w:t>p</w:t>
      </w:r>
      <w:r w:rsidRPr="00AB1EAD">
        <w:rPr>
          <w:iCs/>
        </w:rPr>
        <w:t xml:space="preserve">re-PBAC response stated that time on treatment was calibrated to the 8.6 months median treatment duration for edaravone observed in Brooks 2022, to maintain consistency with the source of estimates for overall survival. The </w:t>
      </w:r>
      <w:r w:rsidR="00F25574" w:rsidRPr="00AB1EAD">
        <w:rPr>
          <w:iCs/>
        </w:rPr>
        <w:t>p</w:t>
      </w:r>
      <w:r w:rsidRPr="00AB1EAD">
        <w:rPr>
          <w:iCs/>
        </w:rPr>
        <w:t xml:space="preserve">re-PBAC response further noted that the median estimate of treatment duration from five real-world studies (Brooks 2022, </w:t>
      </w:r>
      <w:proofErr w:type="spellStart"/>
      <w:r w:rsidRPr="00AB1EAD">
        <w:rPr>
          <w:iCs/>
        </w:rPr>
        <w:t>Houzen</w:t>
      </w:r>
      <w:proofErr w:type="spellEnd"/>
      <w:r w:rsidRPr="00AB1EAD">
        <w:rPr>
          <w:iCs/>
        </w:rPr>
        <w:t xml:space="preserve"> 2021, Okada 2018, </w:t>
      </w:r>
      <w:proofErr w:type="spellStart"/>
      <w:r w:rsidRPr="00AB1EAD">
        <w:rPr>
          <w:iCs/>
        </w:rPr>
        <w:t>Witzel</w:t>
      </w:r>
      <w:proofErr w:type="spellEnd"/>
      <w:r w:rsidRPr="00AB1EAD">
        <w:rPr>
          <w:iCs/>
        </w:rPr>
        <w:t xml:space="preserve"> 2022, Vu 2020) is 8.8 months, with a weighted (by study size) average of 9.2 months and four out of the 5 studies producing an estimate of less than 13 months.</w:t>
      </w:r>
    </w:p>
    <w:p w14:paraId="5CB0BC56" w14:textId="277E714C" w:rsidR="007E20FB" w:rsidRPr="0049396B" w:rsidRDefault="007E20FB" w:rsidP="007E20FB">
      <w:pPr>
        <w:pStyle w:val="3-BodyText"/>
        <w:rPr>
          <w:iCs/>
        </w:rPr>
      </w:pPr>
      <w:r w:rsidRPr="0049396B">
        <w:rPr>
          <w:iCs/>
        </w:rPr>
        <w:fldChar w:fldCharType="begin" w:fldLock="1"/>
      </w:r>
      <w:r w:rsidRPr="0049396B">
        <w:rPr>
          <w:iCs/>
        </w:rPr>
        <w:instrText xml:space="preserve"> REF _Ref144296701  \* MERGEFORMAT </w:instrText>
      </w:r>
      <w:r w:rsidRPr="0049396B">
        <w:rPr>
          <w:iCs/>
        </w:rPr>
        <w:fldChar w:fldCharType="separate"/>
      </w:r>
      <w:r w:rsidR="00401F9E" w:rsidRPr="0049396B">
        <w:rPr>
          <w:iCs/>
        </w:rPr>
        <w:t>Figure 5</w:t>
      </w:r>
      <w:r w:rsidRPr="0049396B">
        <w:rPr>
          <w:iCs/>
        </w:rPr>
        <w:fldChar w:fldCharType="end"/>
      </w:r>
      <w:r w:rsidRPr="0049396B">
        <w:rPr>
          <w:iCs/>
        </w:rPr>
        <w:t xml:space="preserve"> presents a comparison between modelled survival and time to treatment discontinuation with edaravone compared to input data sources. The figure highlights that the modelled survival benefit (i.e. the area between curves) was considerably larger than Brooks at 10 years (owing to estimated survival benefit over 20 years being attributed to the 10-year model time horizon), and patients were assumed to discontinue edaravone in the model much quicker than observed in Study 19.</w:t>
      </w:r>
    </w:p>
    <w:p w14:paraId="1A181360" w14:textId="406AAA2C" w:rsidR="00330AA4" w:rsidRPr="0049396B" w:rsidRDefault="00330AA4" w:rsidP="00C56B52">
      <w:pPr>
        <w:pStyle w:val="3-BodyText"/>
        <w:rPr>
          <w:iCs/>
        </w:rPr>
      </w:pPr>
      <w:r w:rsidRPr="0049396B">
        <w:rPr>
          <w:iCs/>
        </w:rPr>
        <w:t>The ESC noted that the survival benefit in Brooks 2022 did not appear to align with the survival benefit in the trials and further, the model appeared to overestimate the survival benefit compared with Brooks 2022. The ESC considered that application of this adjustment for survival in the model was not appropriate and likely to have substantially overestimated the survival benefit for edaravone</w:t>
      </w:r>
      <w:r w:rsidR="0049396B">
        <w:rPr>
          <w:iCs/>
        </w:rPr>
        <w:t xml:space="preserve">. </w:t>
      </w:r>
      <w:r w:rsidR="00E92316" w:rsidRPr="0049396B">
        <w:rPr>
          <w:iCs/>
        </w:rPr>
        <w:t xml:space="preserve">The ESC also noted </w:t>
      </w:r>
      <w:r w:rsidR="00E92316" w:rsidRPr="0049396B">
        <w:rPr>
          <w:iCs/>
        </w:rPr>
        <w:lastRenderedPageBreak/>
        <w:t>that the modelled time on treatment appeared substantially underestimated compared with Study 19 and other real-world studies. In Study 19, over 11 months, 24% of patients discontinued treatment and ESC considered that the assumed discontinuation rate of 30% per 3-month model cycle was not appropriate.</w:t>
      </w:r>
    </w:p>
    <w:p w14:paraId="03361A05" w14:textId="0AE57E5A" w:rsidR="007E20FB" w:rsidRPr="0049396B" w:rsidRDefault="007E20FB" w:rsidP="007E20FB">
      <w:pPr>
        <w:pStyle w:val="TableFigureHeading"/>
      </w:pPr>
      <w:bookmarkStart w:id="67" w:name="_Ref144296701"/>
      <w:r w:rsidRPr="0049396B">
        <w:t xml:space="preserve">Figure </w:t>
      </w:r>
      <w:r w:rsidR="001C0AB9">
        <w:fldChar w:fldCharType="begin" w:fldLock="1"/>
      </w:r>
      <w:r w:rsidR="001C0AB9">
        <w:instrText xml:space="preserve"> SEQ Figure \* ARABIC </w:instrText>
      </w:r>
      <w:r w:rsidR="001C0AB9">
        <w:fldChar w:fldCharType="separate"/>
      </w:r>
      <w:r w:rsidR="00401F9E" w:rsidRPr="0049396B">
        <w:t>5</w:t>
      </w:r>
      <w:r w:rsidR="001C0AB9">
        <w:fldChar w:fldCharType="end"/>
      </w:r>
      <w:bookmarkEnd w:id="67"/>
      <w:r w:rsidRPr="0049396B">
        <w:t>: Comparison of model to input data sources (Brooks 2022 and Study 19).</w:t>
      </w:r>
    </w:p>
    <w:tbl>
      <w:tblPr>
        <w:tblStyle w:val="TableGrid"/>
        <w:tblW w:w="0" w:type="auto"/>
        <w:tblLook w:val="04A0" w:firstRow="1" w:lastRow="0" w:firstColumn="1" w:lastColumn="0" w:noHBand="0" w:noVBand="1"/>
      </w:tblPr>
      <w:tblGrid>
        <w:gridCol w:w="4508"/>
        <w:gridCol w:w="4509"/>
      </w:tblGrid>
      <w:tr w:rsidR="007E20FB" w:rsidRPr="0049396B" w14:paraId="7F01B5D6" w14:textId="77777777" w:rsidTr="00EB254E">
        <w:tc>
          <w:tcPr>
            <w:tcW w:w="4508" w:type="dxa"/>
          </w:tcPr>
          <w:p w14:paraId="4D90DF13" w14:textId="77777777" w:rsidR="007E20FB" w:rsidRPr="0049396B" w:rsidRDefault="007E20FB" w:rsidP="00EB254E">
            <w:pPr>
              <w:pStyle w:val="In-tableHeading"/>
              <w:rPr>
                <w:lang w:val="en-AU"/>
              </w:rPr>
            </w:pPr>
            <w:r w:rsidRPr="0049396B">
              <w:rPr>
                <w:lang w:val="en-AU"/>
              </w:rPr>
              <w:t>a) OS model vs Brooks 2022 (and extrapolation)</w:t>
            </w:r>
          </w:p>
        </w:tc>
        <w:tc>
          <w:tcPr>
            <w:tcW w:w="4509" w:type="dxa"/>
          </w:tcPr>
          <w:p w14:paraId="49CAAAA7" w14:textId="77777777" w:rsidR="007E20FB" w:rsidRPr="0049396B" w:rsidRDefault="007E20FB" w:rsidP="00EB254E">
            <w:pPr>
              <w:pStyle w:val="In-tableHeading"/>
              <w:rPr>
                <w:lang w:val="en-AU"/>
              </w:rPr>
            </w:pPr>
            <w:r w:rsidRPr="0049396B">
              <w:rPr>
                <w:lang w:val="en-AU"/>
              </w:rPr>
              <w:t>b) TTD model vs Study 19</w:t>
            </w:r>
          </w:p>
        </w:tc>
      </w:tr>
      <w:tr w:rsidR="007E20FB" w:rsidRPr="0049396B" w14:paraId="7439CC86" w14:textId="77777777" w:rsidTr="00EB254E">
        <w:tc>
          <w:tcPr>
            <w:tcW w:w="4508" w:type="dxa"/>
          </w:tcPr>
          <w:p w14:paraId="7FA9C587" w14:textId="77777777" w:rsidR="007E20FB" w:rsidRPr="0049396B" w:rsidRDefault="007E20FB" w:rsidP="00EB254E">
            <w:pPr>
              <w:pStyle w:val="In-tableHeading"/>
              <w:rPr>
                <w:lang w:val="en-AU"/>
              </w:rPr>
            </w:pPr>
            <w:r w:rsidRPr="0049396B">
              <w:rPr>
                <w:noProof/>
                <w:lang w:val="en-AU" w:eastAsia="zh-CN"/>
              </w:rPr>
              <w:drawing>
                <wp:inline distT="0" distB="0" distL="0" distR="0" wp14:anchorId="5AEF2C34" wp14:editId="247F9EDC">
                  <wp:extent cx="2790000" cy="1823805"/>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0000" cy="1823805"/>
                          </a:xfrm>
                          <a:prstGeom prst="rect">
                            <a:avLst/>
                          </a:prstGeom>
                          <a:noFill/>
                        </pic:spPr>
                      </pic:pic>
                    </a:graphicData>
                  </a:graphic>
                </wp:inline>
              </w:drawing>
            </w:r>
          </w:p>
        </w:tc>
        <w:tc>
          <w:tcPr>
            <w:tcW w:w="4509" w:type="dxa"/>
          </w:tcPr>
          <w:p w14:paraId="2F0BD6BD" w14:textId="77777777" w:rsidR="007E20FB" w:rsidRPr="0049396B" w:rsidRDefault="007E20FB" w:rsidP="00EB254E">
            <w:pPr>
              <w:pStyle w:val="In-tableHeading"/>
              <w:rPr>
                <w:lang w:val="en-AU"/>
              </w:rPr>
            </w:pPr>
            <w:r w:rsidRPr="0049396B">
              <w:rPr>
                <w:noProof/>
                <w:lang w:val="en-AU" w:eastAsia="zh-CN"/>
              </w:rPr>
              <w:drawing>
                <wp:inline distT="0" distB="0" distL="0" distR="0" wp14:anchorId="4EFE1AD7" wp14:editId="0558776F">
                  <wp:extent cx="2790000" cy="1822803"/>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r>
    </w:tbl>
    <w:p w14:paraId="686835E6" w14:textId="77777777" w:rsidR="007E20FB" w:rsidRPr="0049396B" w:rsidRDefault="007E20FB" w:rsidP="007E20FB">
      <w:pPr>
        <w:pStyle w:val="TableFigureFooter"/>
      </w:pPr>
      <w:r w:rsidRPr="0049396B">
        <w:t xml:space="preserve">Source: compiled during the evaluation from Excel Workbook ‘Edaravone TEVA Section 3 Economic Model Nov 2023.xlsm’ and a) ‘Brooks pseudo IPD.xlsx’ and Stata code from ‘Brooks 2022 analysis.pdf’; b) patient numbers in Tables 11.3.1-2 and 11.3.2-2 of the Study 19 CSR (Mitsubishi 2016 – Study 19 study-body.pdf’ assuming patient numbers commencing in each cycle received treatment in prior cycle. Does not account for dose adjustments. </w:t>
      </w:r>
    </w:p>
    <w:p w14:paraId="00E8B743" w14:textId="625E801C" w:rsidR="007E20FB" w:rsidRPr="0049396B" w:rsidRDefault="007E20FB" w:rsidP="007E20FB">
      <w:pPr>
        <w:pStyle w:val="3-BodyText"/>
        <w:rPr>
          <w:iCs/>
        </w:rPr>
      </w:pPr>
      <w:r w:rsidRPr="0049396B">
        <w:t xml:space="preserve">The submission implemented health state utilities by estimating disutility by King’s stage and applying the disutility to Australian general population utility by age </w:t>
      </w:r>
      <w:bookmarkStart w:id="68" w:name="_Hlk144311582"/>
      <w:r w:rsidRPr="0049396B">
        <w:t>and proportion male (McCaffrey 2016</w:t>
      </w:r>
      <w:r w:rsidRPr="0049396B">
        <w:rPr>
          <w:rStyle w:val="FootnoteReference"/>
        </w:rPr>
        <w:footnoteReference w:id="18"/>
      </w:r>
      <w:r w:rsidRPr="0049396B">
        <w:t>). Disutilities were estimated by subtracting health state utilities for ALS from Thakore 2020 (EQ-5D-3L data in the PRO-ACT database) from US general population utility from Janssen 2018</w:t>
      </w:r>
      <w:r w:rsidRPr="0049396B">
        <w:rPr>
          <w:rStyle w:val="FootnoteReference"/>
        </w:rPr>
        <w:footnoteReference w:id="19"/>
      </w:r>
      <w:bookmarkEnd w:id="68"/>
      <w:r w:rsidR="00350640" w:rsidRPr="0049396B">
        <w:t>.</w:t>
      </w:r>
      <w:r w:rsidRPr="0049396B">
        <w:rPr>
          <w:i/>
        </w:rPr>
        <w:t xml:space="preserve"> </w:t>
      </w:r>
    </w:p>
    <w:p w14:paraId="0DFE307A" w14:textId="42619B8B" w:rsidR="009713E2" w:rsidRPr="0049396B" w:rsidRDefault="006477E5" w:rsidP="007E20FB">
      <w:pPr>
        <w:pStyle w:val="3-BodyText"/>
      </w:pPr>
      <w:bookmarkStart w:id="69" w:name="_Ref148355753"/>
      <w:r w:rsidRPr="0049396B">
        <w:t>The ESC considered that there was a high level of uncertainty associated with the utility values in the model because</w:t>
      </w:r>
      <w:r w:rsidR="009713E2" w:rsidRPr="0049396B">
        <w:t>:</w:t>
      </w:r>
      <w:bookmarkEnd w:id="69"/>
      <w:r w:rsidR="007E20FB" w:rsidRPr="0049396B">
        <w:t xml:space="preserve"> </w:t>
      </w:r>
    </w:p>
    <w:p w14:paraId="2EAEFBB6" w14:textId="1FE50226" w:rsidR="009713E2" w:rsidRPr="0049396B" w:rsidRDefault="00B676F6" w:rsidP="00B676F6">
      <w:pPr>
        <w:pStyle w:val="ListParagraph"/>
        <w:ind w:left="1134"/>
      </w:pPr>
      <w:r w:rsidRPr="0049396B">
        <w:t>U</w:t>
      </w:r>
      <w:r w:rsidR="007E20FB" w:rsidRPr="0049396B">
        <w:t xml:space="preserve">tility varied with age across the model time horizon, but survival did not, which was inconsistent and gave improbable model results. For example, if baseline age was increased in the model, patients accrued the same number of life years as the base case, but fewer QALYs. </w:t>
      </w:r>
    </w:p>
    <w:p w14:paraId="05900708" w14:textId="49CA3F46" w:rsidR="009713E2" w:rsidRPr="0049396B" w:rsidRDefault="00B676F6" w:rsidP="00B676F6">
      <w:pPr>
        <w:pStyle w:val="ListParagraph"/>
        <w:ind w:left="1134"/>
      </w:pPr>
      <w:r w:rsidRPr="0049396B">
        <w:t>T</w:t>
      </w:r>
      <w:r w:rsidR="007E20FB" w:rsidRPr="0049396B">
        <w:t xml:space="preserve">he utility estimates in Thakore 2020 were collected from patients in the waiting rooms of their medical appointments, and therefore may not represent patients with worse health. In particular, Thakore 2020 utilities did not demonstrate a significant reduction in utility </w:t>
      </w:r>
      <w:r w:rsidR="00763B80" w:rsidRPr="0049396B">
        <w:t xml:space="preserve">for </w:t>
      </w:r>
      <w:r w:rsidR="007E20FB" w:rsidRPr="0049396B">
        <w:t xml:space="preserve">later King’s stages, with stage 4a having higher utility than stage 3. </w:t>
      </w:r>
    </w:p>
    <w:p w14:paraId="68B26F1F" w14:textId="2982897C" w:rsidR="009713E2" w:rsidRPr="0049396B" w:rsidRDefault="00B676F6" w:rsidP="00B676F6">
      <w:pPr>
        <w:pStyle w:val="ListParagraph"/>
        <w:ind w:left="1134"/>
      </w:pPr>
      <w:r w:rsidRPr="0049396B">
        <w:lastRenderedPageBreak/>
        <w:t>T</w:t>
      </w:r>
      <w:r w:rsidR="007E20FB" w:rsidRPr="0049396B">
        <w:t xml:space="preserve">he corresponding modelled utilities were higher than reported in other literature. At the end of the modelled time horizon (patients aged 70.3 years) the estimated utilities in each stage were: stage 1 0.841, stage 2 0.768, stage 3 0.667, stage 4a 0.681, stage 4b 0.606. </w:t>
      </w:r>
    </w:p>
    <w:p w14:paraId="7ACB3EBB" w14:textId="0018E1D2" w:rsidR="007E20FB" w:rsidRPr="00F25574" w:rsidRDefault="006475DB" w:rsidP="00F25574">
      <w:pPr>
        <w:pStyle w:val="3-BodyText"/>
        <w:rPr>
          <w:b/>
          <w:bCs/>
        </w:rPr>
      </w:pPr>
      <w:r w:rsidRPr="0049396B">
        <w:t xml:space="preserve">The </w:t>
      </w:r>
      <w:r w:rsidR="00F25574">
        <w:t>p</w:t>
      </w:r>
      <w:r w:rsidRPr="0049396B">
        <w:t xml:space="preserve">re-PBAC response noted that </w:t>
      </w:r>
      <w:r w:rsidR="00851185" w:rsidRPr="0049396B">
        <w:t xml:space="preserve">all utility values derived from patient surveys have the potential for response bias and argued that all values from Thakore (2020) were plausible. </w:t>
      </w:r>
      <w:r w:rsidR="007E20FB" w:rsidRPr="0049396B">
        <w:t xml:space="preserve">The ICER was sensitive to utility source. If higher disutility estimates were incorporated (based on Jones 2014), the ICER increased to </w:t>
      </w:r>
      <w:r w:rsidR="00F25574" w:rsidRPr="00F25574">
        <w:t>$115,000 to &lt; $135,000</w:t>
      </w:r>
      <w:r w:rsidR="00F25574">
        <w:rPr>
          <w:b/>
          <w:bCs/>
        </w:rPr>
        <w:t xml:space="preserve"> </w:t>
      </w:r>
      <w:r w:rsidR="007E20FB" w:rsidRPr="0049396B">
        <w:t xml:space="preserve">per QALY gained, compared to </w:t>
      </w:r>
      <w:r w:rsidR="00F25574" w:rsidRPr="00F25574">
        <w:t>$75,000 to &lt; $95,000</w:t>
      </w:r>
      <w:r w:rsidR="007E20FB" w:rsidRPr="0049396B">
        <w:t xml:space="preserve"> in the base case</w:t>
      </w:r>
      <w:r w:rsidR="00763B80" w:rsidRPr="0049396B">
        <w:t>.</w:t>
      </w:r>
      <w:r w:rsidR="007E20FB" w:rsidRPr="0049396B">
        <w:t xml:space="preserve"> </w:t>
      </w:r>
    </w:p>
    <w:p w14:paraId="62329161" w14:textId="77777777" w:rsidR="007E20FB" w:rsidRPr="0049396B" w:rsidRDefault="007E20FB" w:rsidP="007E20FB">
      <w:pPr>
        <w:pStyle w:val="3-BodyText"/>
      </w:pPr>
      <w:r w:rsidRPr="0049396B">
        <w:t>The model presented health state allocation plots for the edaravone and SOC arms. These have been reproduced during the evaluation with consistent shading in the following figure.</w:t>
      </w:r>
    </w:p>
    <w:p w14:paraId="49002EF3" w14:textId="6CA4C6EC" w:rsidR="007E20FB" w:rsidRPr="0049396B" w:rsidRDefault="007E20FB" w:rsidP="007E20FB">
      <w:pPr>
        <w:pStyle w:val="TableFigureHeading"/>
      </w:pPr>
      <w:r w:rsidRPr="0049396B">
        <w:t xml:space="preserve">Figure </w:t>
      </w:r>
      <w:r w:rsidR="001C0AB9">
        <w:fldChar w:fldCharType="begin" w:fldLock="1"/>
      </w:r>
      <w:r w:rsidR="001C0AB9">
        <w:instrText xml:space="preserve"> SEQ Figure \* ARABIC </w:instrText>
      </w:r>
      <w:r w:rsidR="001C0AB9">
        <w:fldChar w:fldCharType="separate"/>
      </w:r>
      <w:r w:rsidR="00401F9E" w:rsidRPr="0049396B">
        <w:t>6</w:t>
      </w:r>
      <w:r w:rsidR="001C0AB9">
        <w:fldChar w:fldCharType="end"/>
      </w:r>
      <w:r w:rsidRPr="0049396B">
        <w:t>: Health state allocation</w:t>
      </w:r>
    </w:p>
    <w:tbl>
      <w:tblPr>
        <w:tblStyle w:val="TableGrid"/>
        <w:tblW w:w="0" w:type="auto"/>
        <w:tblLook w:val="04A0" w:firstRow="1" w:lastRow="0" w:firstColumn="1" w:lastColumn="0" w:noHBand="0" w:noVBand="1"/>
      </w:tblPr>
      <w:tblGrid>
        <w:gridCol w:w="4508"/>
        <w:gridCol w:w="4509"/>
      </w:tblGrid>
      <w:tr w:rsidR="007E20FB" w:rsidRPr="0049396B" w14:paraId="4F0A3F88" w14:textId="77777777" w:rsidTr="00EB254E">
        <w:tc>
          <w:tcPr>
            <w:tcW w:w="4508" w:type="dxa"/>
            <w:tcBorders>
              <w:bottom w:val="nil"/>
            </w:tcBorders>
          </w:tcPr>
          <w:p w14:paraId="2715EBA8" w14:textId="77777777" w:rsidR="007E20FB" w:rsidRPr="0049396B" w:rsidRDefault="007E20FB" w:rsidP="00EB254E">
            <w:pPr>
              <w:pStyle w:val="In-tableHeading"/>
              <w:jc w:val="center"/>
              <w:rPr>
                <w:lang w:val="en-AU"/>
              </w:rPr>
            </w:pPr>
            <w:r w:rsidRPr="0049396B">
              <w:rPr>
                <w:lang w:val="en-AU"/>
              </w:rPr>
              <w:t>Edaravone</w:t>
            </w:r>
          </w:p>
        </w:tc>
        <w:tc>
          <w:tcPr>
            <w:tcW w:w="4509" w:type="dxa"/>
            <w:tcBorders>
              <w:bottom w:val="nil"/>
            </w:tcBorders>
          </w:tcPr>
          <w:p w14:paraId="0EFE5B89" w14:textId="77777777" w:rsidR="007E20FB" w:rsidRPr="0049396B" w:rsidRDefault="007E20FB" w:rsidP="00EB254E">
            <w:pPr>
              <w:pStyle w:val="In-tableHeading"/>
              <w:jc w:val="center"/>
              <w:rPr>
                <w:lang w:val="en-AU"/>
              </w:rPr>
            </w:pPr>
            <w:r w:rsidRPr="0049396B">
              <w:rPr>
                <w:lang w:val="en-AU"/>
              </w:rPr>
              <w:t>SOC</w:t>
            </w:r>
          </w:p>
        </w:tc>
      </w:tr>
      <w:tr w:rsidR="007E20FB" w:rsidRPr="0049396B" w14:paraId="39AE19D6" w14:textId="77777777" w:rsidTr="00EB254E">
        <w:tc>
          <w:tcPr>
            <w:tcW w:w="4508" w:type="dxa"/>
            <w:tcBorders>
              <w:top w:val="nil"/>
              <w:bottom w:val="single" w:sz="4" w:space="0" w:color="auto"/>
            </w:tcBorders>
            <w:vAlign w:val="center"/>
          </w:tcPr>
          <w:p w14:paraId="5734170D" w14:textId="77777777" w:rsidR="007E20FB" w:rsidRPr="0049396B" w:rsidRDefault="007E20FB" w:rsidP="00EB254E">
            <w:pPr>
              <w:jc w:val="center"/>
            </w:pPr>
            <w:r w:rsidRPr="0049396B">
              <w:rPr>
                <w:noProof/>
                <w:lang w:eastAsia="zh-CN"/>
              </w:rPr>
              <w:drawing>
                <wp:inline distT="0" distB="0" distL="0" distR="0" wp14:anchorId="2DEAA22F" wp14:editId="1D5CBC25">
                  <wp:extent cx="2160000" cy="1635283"/>
                  <wp:effectExtent l="0" t="0" r="0" b="3175"/>
                  <wp:docPr id="16494116" name="Picture 1649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a:extLst>
                              <a:ext uri="{28A0092B-C50C-407E-A947-70E740481C1C}">
                                <a14:useLocalDpi xmlns:a14="http://schemas.microsoft.com/office/drawing/2010/main" val="0"/>
                              </a:ext>
                            </a:extLst>
                          </a:blip>
                          <a:srcRect/>
                          <a:stretch/>
                        </pic:blipFill>
                        <pic:spPr bwMode="auto">
                          <a:xfrm>
                            <a:off x="0" y="0"/>
                            <a:ext cx="2160000" cy="163528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09" w:type="dxa"/>
            <w:tcBorders>
              <w:top w:val="nil"/>
              <w:bottom w:val="single" w:sz="4" w:space="0" w:color="auto"/>
            </w:tcBorders>
            <w:vAlign w:val="center"/>
          </w:tcPr>
          <w:p w14:paraId="046534FA" w14:textId="77777777" w:rsidR="007E20FB" w:rsidRPr="0049396B" w:rsidRDefault="007E20FB" w:rsidP="00EB254E">
            <w:pPr>
              <w:jc w:val="center"/>
            </w:pPr>
            <w:r w:rsidRPr="0049396B">
              <w:rPr>
                <w:noProof/>
                <w:lang w:eastAsia="zh-CN"/>
              </w:rPr>
              <w:drawing>
                <wp:inline distT="0" distB="0" distL="0" distR="0" wp14:anchorId="09AA8D78" wp14:editId="6F01E6A5">
                  <wp:extent cx="2160000" cy="1632490"/>
                  <wp:effectExtent l="0" t="0" r="0" b="6350"/>
                  <wp:docPr id="16494117" name="Picture 1649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a:stretch/>
                        </pic:blipFill>
                        <pic:spPr bwMode="auto">
                          <a:xfrm>
                            <a:off x="0" y="0"/>
                            <a:ext cx="2160000" cy="163249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E20FB" w:rsidRPr="0049396B" w14:paraId="1D1B95B6" w14:textId="77777777" w:rsidTr="00EB254E">
        <w:tc>
          <w:tcPr>
            <w:tcW w:w="9017" w:type="dxa"/>
            <w:gridSpan w:val="2"/>
            <w:tcBorders>
              <w:bottom w:val="nil"/>
            </w:tcBorders>
          </w:tcPr>
          <w:p w14:paraId="6721F75D" w14:textId="77777777" w:rsidR="007E20FB" w:rsidRPr="0049396B" w:rsidRDefault="007E20FB" w:rsidP="00EB254E">
            <w:pPr>
              <w:pStyle w:val="In-tableHeading"/>
              <w:jc w:val="center"/>
              <w:rPr>
                <w:lang w:val="en-AU"/>
              </w:rPr>
            </w:pPr>
            <w:r w:rsidRPr="0049396B">
              <w:rPr>
                <w:lang w:val="en-AU"/>
              </w:rPr>
              <w:t>Incremental health state allocation over time, edaravone vs SOC</w:t>
            </w:r>
          </w:p>
        </w:tc>
      </w:tr>
      <w:tr w:rsidR="007E20FB" w:rsidRPr="0049396B" w14:paraId="4B701D92" w14:textId="77777777" w:rsidTr="00EB254E">
        <w:tc>
          <w:tcPr>
            <w:tcW w:w="9017" w:type="dxa"/>
            <w:gridSpan w:val="2"/>
            <w:tcBorders>
              <w:top w:val="nil"/>
            </w:tcBorders>
            <w:vAlign w:val="center"/>
          </w:tcPr>
          <w:p w14:paraId="464B224F" w14:textId="77777777" w:rsidR="007E20FB" w:rsidRPr="0049396B" w:rsidRDefault="007E20FB" w:rsidP="00EB254E">
            <w:pPr>
              <w:jc w:val="center"/>
            </w:pPr>
            <w:r w:rsidRPr="0049396B">
              <w:rPr>
                <w:noProof/>
                <w:lang w:eastAsia="zh-CN"/>
              </w:rPr>
              <w:drawing>
                <wp:inline distT="0" distB="0" distL="0" distR="0" wp14:anchorId="36FA2EAB" wp14:editId="36DD3129">
                  <wp:extent cx="2160000" cy="141217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60000" cy="1412171"/>
                          </a:xfrm>
                          <a:prstGeom prst="rect">
                            <a:avLst/>
                          </a:prstGeom>
                          <a:noFill/>
                        </pic:spPr>
                      </pic:pic>
                    </a:graphicData>
                  </a:graphic>
                </wp:inline>
              </w:drawing>
            </w:r>
          </w:p>
        </w:tc>
      </w:tr>
      <w:tr w:rsidR="007E20FB" w:rsidRPr="0049396B" w14:paraId="4167C574" w14:textId="77777777" w:rsidTr="00EB254E">
        <w:tc>
          <w:tcPr>
            <w:tcW w:w="9017" w:type="dxa"/>
            <w:gridSpan w:val="2"/>
            <w:vAlign w:val="center"/>
          </w:tcPr>
          <w:p w14:paraId="272B40F5" w14:textId="77777777" w:rsidR="007E20FB" w:rsidRPr="0049396B" w:rsidRDefault="007E20FB" w:rsidP="00EB254E">
            <w:pPr>
              <w:jc w:val="center"/>
            </w:pPr>
            <w:r w:rsidRPr="0049396B">
              <w:rPr>
                <w:noProof/>
                <w:lang w:eastAsia="zh-CN"/>
              </w:rPr>
              <w:drawing>
                <wp:inline distT="0" distB="0" distL="0" distR="0" wp14:anchorId="5EB3BFF8" wp14:editId="30D87146">
                  <wp:extent cx="5219700" cy="252951"/>
                  <wp:effectExtent l="0" t="0" r="0" b="0"/>
                  <wp:docPr id="16494119" name="Picture 1649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35131" cy="258545"/>
                          </a:xfrm>
                          <a:prstGeom prst="rect">
                            <a:avLst/>
                          </a:prstGeom>
                          <a:noFill/>
                        </pic:spPr>
                      </pic:pic>
                    </a:graphicData>
                  </a:graphic>
                </wp:inline>
              </w:drawing>
            </w:r>
          </w:p>
        </w:tc>
      </w:tr>
    </w:tbl>
    <w:p w14:paraId="450ED3CC" w14:textId="77777777" w:rsidR="007E20FB" w:rsidRPr="0049396B" w:rsidRDefault="007E20FB" w:rsidP="007E20FB">
      <w:pPr>
        <w:pStyle w:val="FooterTableFigure"/>
      </w:pPr>
      <w:r w:rsidRPr="0049396B">
        <w:t>Source: adapted from Figure 3-7, 3-8, 3-9, pp191-192 of the submission.</w:t>
      </w:r>
    </w:p>
    <w:p w14:paraId="64E01F16" w14:textId="3A895BAE" w:rsidR="007E20FB" w:rsidRPr="0049396B" w:rsidRDefault="007E20FB" w:rsidP="007E20FB">
      <w:pPr>
        <w:pStyle w:val="3-BodyText"/>
        <w:rPr>
          <w:iCs/>
        </w:rPr>
      </w:pPr>
      <w:r w:rsidRPr="0049396B">
        <w:rPr>
          <w:iCs/>
        </w:rPr>
        <w:t>In both arms, patients spent the most time in stage 4b, followed by stage 3 and stage 1.</w:t>
      </w:r>
      <w:r w:rsidR="009713E2" w:rsidRPr="0049396B">
        <w:rPr>
          <w:iCs/>
        </w:rPr>
        <w:t xml:space="preserve"> </w:t>
      </w:r>
      <w:r w:rsidRPr="0049396B">
        <w:rPr>
          <w:iCs/>
        </w:rPr>
        <w:t>Edaravone patients spent more time in all stages overall, as a result of the increased survival and reduction in transition out of each state. While there was an initial delay out of stage 1, the largest incremental gain on proportion of patients appeared to be in stages 3 and 4b. This was poorly justified by the clinical trial evidence</w:t>
      </w:r>
      <w:r w:rsidRPr="0049396B">
        <w:rPr>
          <w:i/>
        </w:rPr>
        <w:t>.</w:t>
      </w:r>
      <w:r w:rsidRPr="0049396B">
        <w:rPr>
          <w:iCs/>
        </w:rPr>
        <w:t xml:space="preserve"> By the end of the time horizon 7.7% of patients in the edaravone arm were alive compared to 1.4% in the SOC arm.</w:t>
      </w:r>
      <w:r w:rsidR="00E53030" w:rsidRPr="0049396B">
        <w:rPr>
          <w:iCs/>
        </w:rPr>
        <w:t xml:space="preserve"> The ESC considered that there was a high level of uncertainty associated with the translation of A</w:t>
      </w:r>
      <w:r w:rsidR="00804DFC" w:rsidRPr="0049396B">
        <w:rPr>
          <w:iCs/>
        </w:rPr>
        <w:t>LS-FRS-R scores to King’s Stage</w:t>
      </w:r>
      <w:r w:rsidR="006A53AB" w:rsidRPr="0049396B">
        <w:rPr>
          <w:iCs/>
        </w:rPr>
        <w:t>, particularly beyond transitions from Stage 1</w:t>
      </w:r>
      <w:r w:rsidR="00804DFC" w:rsidRPr="0049396B">
        <w:rPr>
          <w:iCs/>
        </w:rPr>
        <w:t>.</w:t>
      </w:r>
    </w:p>
    <w:p w14:paraId="05157101" w14:textId="1FF9FE60" w:rsidR="007E20FB" w:rsidRPr="0049396B" w:rsidRDefault="007E20FB" w:rsidP="007E20FB">
      <w:pPr>
        <w:pStyle w:val="3-BodyText"/>
        <w:rPr>
          <w:iCs/>
        </w:rPr>
      </w:pPr>
      <w:r w:rsidRPr="0049396B">
        <w:rPr>
          <w:iCs/>
        </w:rPr>
        <w:lastRenderedPageBreak/>
        <w:t xml:space="preserve">The model was not externally validated against other literature. Summary OS </w:t>
      </w:r>
      <w:r w:rsidR="00A37686" w:rsidRPr="0049396B">
        <w:rPr>
          <w:iCs/>
        </w:rPr>
        <w:t>Kaplan-Meier</w:t>
      </w:r>
      <w:r w:rsidRPr="0049396B">
        <w:rPr>
          <w:iCs/>
        </w:rPr>
        <w:t xml:space="preserve"> data for SOC and edaravone were identified from the literature during the evaluation and are presented below. The </w:t>
      </w:r>
      <w:r w:rsidR="00A37686" w:rsidRPr="0049396B">
        <w:rPr>
          <w:iCs/>
        </w:rPr>
        <w:t xml:space="preserve">Kaplan-Meier </w:t>
      </w:r>
      <w:r w:rsidRPr="0049396B">
        <w:rPr>
          <w:iCs/>
        </w:rPr>
        <w:t>data identified is not exhaustive and survival by region of onset</w:t>
      </w:r>
      <w:r w:rsidR="00A37686" w:rsidRPr="0049396B">
        <w:rPr>
          <w:iCs/>
        </w:rPr>
        <w:t xml:space="preserve"> </w:t>
      </w:r>
      <w:r w:rsidRPr="0049396B">
        <w:rPr>
          <w:iCs/>
        </w:rPr>
        <w:t>data from Australia is discussed separately.</w:t>
      </w:r>
    </w:p>
    <w:p w14:paraId="229CD6F5" w14:textId="48424E7D" w:rsidR="007E20FB" w:rsidRPr="0049396B" w:rsidRDefault="007E20FB" w:rsidP="007E20FB">
      <w:pPr>
        <w:pStyle w:val="TableFigureHeading"/>
      </w:pPr>
      <w:bookmarkStart w:id="70" w:name="_Hlk144312387"/>
      <w:r w:rsidRPr="0049396B">
        <w:t xml:space="preserve">Figure </w:t>
      </w:r>
      <w:r w:rsidR="001C0AB9">
        <w:fldChar w:fldCharType="begin" w:fldLock="1"/>
      </w:r>
      <w:r w:rsidR="001C0AB9">
        <w:instrText xml:space="preserve"> SEQ Figure \* ARABIC </w:instrText>
      </w:r>
      <w:r w:rsidR="001C0AB9">
        <w:fldChar w:fldCharType="separate"/>
      </w:r>
      <w:r w:rsidR="00401F9E" w:rsidRPr="0049396B">
        <w:t>7</w:t>
      </w:r>
      <w:r w:rsidR="001C0AB9">
        <w:fldChar w:fldCharType="end"/>
      </w:r>
      <w:r w:rsidRPr="0049396B">
        <w:t>: Overall survival in ALS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7E20FB" w:rsidRPr="0049396B" w14:paraId="33984AE4" w14:textId="77777777" w:rsidTr="004B59D3">
        <w:tc>
          <w:tcPr>
            <w:tcW w:w="4508" w:type="dxa"/>
          </w:tcPr>
          <w:p w14:paraId="75EF3331" w14:textId="77777777" w:rsidR="007E20FB" w:rsidRPr="0049396B" w:rsidRDefault="007E20FB" w:rsidP="00EB254E">
            <w:pPr>
              <w:pStyle w:val="In-tableHeading"/>
              <w:jc w:val="center"/>
              <w:rPr>
                <w:lang w:val="en-AU"/>
              </w:rPr>
            </w:pPr>
            <w:r w:rsidRPr="0049396B">
              <w:rPr>
                <w:lang w:val="en-AU"/>
              </w:rPr>
              <w:t>Edaravone KM</w:t>
            </w:r>
          </w:p>
        </w:tc>
        <w:tc>
          <w:tcPr>
            <w:tcW w:w="4509" w:type="dxa"/>
          </w:tcPr>
          <w:p w14:paraId="748BD5DC" w14:textId="77777777" w:rsidR="007E20FB" w:rsidRPr="0049396B" w:rsidRDefault="007E20FB" w:rsidP="00EB254E">
            <w:pPr>
              <w:pStyle w:val="In-tableHeading"/>
              <w:jc w:val="center"/>
              <w:rPr>
                <w:lang w:val="en-AU"/>
              </w:rPr>
            </w:pPr>
            <w:r w:rsidRPr="0049396B">
              <w:rPr>
                <w:lang w:val="en-AU"/>
              </w:rPr>
              <w:t>SOC KM</w:t>
            </w:r>
          </w:p>
        </w:tc>
      </w:tr>
      <w:tr w:rsidR="007E20FB" w:rsidRPr="0049396B" w14:paraId="4ECADC97" w14:textId="77777777" w:rsidTr="004B59D3">
        <w:tc>
          <w:tcPr>
            <w:tcW w:w="4508" w:type="dxa"/>
          </w:tcPr>
          <w:p w14:paraId="747DCAF1" w14:textId="77777777" w:rsidR="007E20FB" w:rsidRPr="0049396B" w:rsidRDefault="007E20FB" w:rsidP="00EB254E">
            <w:r w:rsidRPr="0049396B">
              <w:rPr>
                <w:noProof/>
                <w:lang w:eastAsia="zh-CN"/>
              </w:rPr>
              <w:drawing>
                <wp:inline distT="0" distB="0" distL="0" distR="0" wp14:anchorId="7A7E5EA5" wp14:editId="5D01E670">
                  <wp:extent cx="2790000" cy="1822803"/>
                  <wp:effectExtent l="0" t="0" r="0" b="6350"/>
                  <wp:docPr id="16494120" name="Picture 1649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90000" cy="1822803"/>
                          </a:xfrm>
                          <a:prstGeom prst="rect">
                            <a:avLst/>
                          </a:prstGeom>
                          <a:noFill/>
                        </pic:spPr>
                      </pic:pic>
                    </a:graphicData>
                  </a:graphic>
                </wp:inline>
              </w:drawing>
            </w:r>
          </w:p>
        </w:tc>
        <w:tc>
          <w:tcPr>
            <w:tcW w:w="4509" w:type="dxa"/>
          </w:tcPr>
          <w:p w14:paraId="18DF6FA5" w14:textId="77777777" w:rsidR="007E20FB" w:rsidRPr="0049396B" w:rsidRDefault="007E20FB" w:rsidP="00EB254E">
            <w:r w:rsidRPr="0049396B">
              <w:rPr>
                <w:noProof/>
                <w:lang w:eastAsia="zh-CN"/>
              </w:rPr>
              <w:drawing>
                <wp:inline distT="0" distB="0" distL="0" distR="0" wp14:anchorId="2CF23254" wp14:editId="6281799C">
                  <wp:extent cx="2790000" cy="1824048"/>
                  <wp:effectExtent l="0" t="0" r="0" b="5080"/>
                  <wp:docPr id="16494121" name="Picture 1649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790000" cy="1824048"/>
                          </a:xfrm>
                          <a:prstGeom prst="rect">
                            <a:avLst/>
                          </a:prstGeom>
                          <a:noFill/>
                        </pic:spPr>
                      </pic:pic>
                    </a:graphicData>
                  </a:graphic>
                </wp:inline>
              </w:drawing>
            </w:r>
          </w:p>
        </w:tc>
      </w:tr>
    </w:tbl>
    <w:p w14:paraId="577D69EA" w14:textId="77777777" w:rsidR="007E20FB" w:rsidRPr="0049396B" w:rsidRDefault="007E20FB" w:rsidP="007E20FB">
      <w:pPr>
        <w:pStyle w:val="TableFigureFooter"/>
      </w:pPr>
      <w:r w:rsidRPr="0049396B">
        <w:t xml:space="preserve">Source: compiled during the evaluation from Excel workbooks ‘Edaravone TEVA Section 3 Economic Model Nov 2023.xlsm’, ‘Brooks 2022 pseudo IPD.xlsx’ and extracted using </w:t>
      </w:r>
      <w:proofErr w:type="spellStart"/>
      <w:r w:rsidRPr="0049396B">
        <w:t>PlotDigitizer</w:t>
      </w:r>
      <w:proofErr w:type="spellEnd"/>
      <w:r w:rsidRPr="0049396B">
        <w:t>, 3.1.5, 2023, https://plotdigitizer.com</w:t>
      </w:r>
    </w:p>
    <w:p w14:paraId="015526C7" w14:textId="77777777" w:rsidR="007E20FB" w:rsidRPr="0049396B" w:rsidRDefault="007E20FB" w:rsidP="007E20FB">
      <w:pPr>
        <w:pStyle w:val="TableFigureFooter"/>
        <w:rPr>
          <w:shd w:val="clear" w:color="auto" w:fill="FFFFFF"/>
        </w:rPr>
      </w:pPr>
      <w:r w:rsidRPr="0049396B">
        <w:rPr>
          <w:shd w:val="clear" w:color="auto" w:fill="FFFFFF"/>
        </w:rPr>
        <w:t xml:space="preserve">Bhattacharya R, Harvey RA, Abraham K, Rosen J, Mehta P. Amyotrophic lateral sclerosis among patients with a Medicare Advantage prescription drug plan; prevalence, survival and patient characteristics. </w:t>
      </w:r>
      <w:proofErr w:type="spellStart"/>
      <w:r w:rsidRPr="0049396B">
        <w:rPr>
          <w:shd w:val="clear" w:color="auto" w:fill="FFFFFF"/>
        </w:rPr>
        <w:t>Amyotroph</w:t>
      </w:r>
      <w:proofErr w:type="spellEnd"/>
      <w:r w:rsidRPr="0049396B">
        <w:rPr>
          <w:shd w:val="clear" w:color="auto" w:fill="FFFFFF"/>
        </w:rPr>
        <w:t xml:space="preserve"> Lateral </w:t>
      </w:r>
      <w:proofErr w:type="spellStart"/>
      <w:r w:rsidRPr="0049396B">
        <w:rPr>
          <w:shd w:val="clear" w:color="auto" w:fill="FFFFFF"/>
        </w:rPr>
        <w:t>Scler</w:t>
      </w:r>
      <w:proofErr w:type="spellEnd"/>
      <w:r w:rsidRPr="0049396B">
        <w:rPr>
          <w:shd w:val="clear" w:color="auto" w:fill="FFFFFF"/>
        </w:rPr>
        <w:t xml:space="preserve"> Frontotemporal </w:t>
      </w:r>
      <w:proofErr w:type="spellStart"/>
      <w:r w:rsidRPr="0049396B">
        <w:rPr>
          <w:shd w:val="clear" w:color="auto" w:fill="FFFFFF"/>
        </w:rPr>
        <w:t>Degener</w:t>
      </w:r>
      <w:proofErr w:type="spellEnd"/>
      <w:r w:rsidRPr="0049396B">
        <w:rPr>
          <w:shd w:val="clear" w:color="auto" w:fill="FFFFFF"/>
        </w:rPr>
        <w:t xml:space="preserve">. 2019 May;20(3-4):251-259. </w:t>
      </w:r>
    </w:p>
    <w:p w14:paraId="3ABD61EE" w14:textId="77777777" w:rsidR="007E20FB" w:rsidRPr="0049396B" w:rsidRDefault="007E20FB" w:rsidP="007E20FB">
      <w:pPr>
        <w:pStyle w:val="TableFigureFooter"/>
        <w:rPr>
          <w:shd w:val="clear" w:color="auto" w:fill="FFFFFF"/>
        </w:rPr>
      </w:pPr>
      <w:r w:rsidRPr="0049396B">
        <w:rPr>
          <w:shd w:val="clear" w:color="auto" w:fill="FFFFFF"/>
        </w:rPr>
        <w:t xml:space="preserve">Bianchi E, </w:t>
      </w:r>
      <w:proofErr w:type="spellStart"/>
      <w:r w:rsidRPr="0049396B">
        <w:rPr>
          <w:shd w:val="clear" w:color="auto" w:fill="FFFFFF"/>
        </w:rPr>
        <w:t>Pupillo</w:t>
      </w:r>
      <w:proofErr w:type="spellEnd"/>
      <w:r w:rsidRPr="0049396B">
        <w:rPr>
          <w:shd w:val="clear" w:color="auto" w:fill="FFFFFF"/>
        </w:rPr>
        <w:t xml:space="preserve"> E, De </w:t>
      </w:r>
      <w:proofErr w:type="spellStart"/>
      <w:r w:rsidRPr="0049396B">
        <w:rPr>
          <w:shd w:val="clear" w:color="auto" w:fill="FFFFFF"/>
        </w:rPr>
        <w:t>Feudis</w:t>
      </w:r>
      <w:proofErr w:type="spellEnd"/>
      <w:r w:rsidRPr="0049396B">
        <w:rPr>
          <w:shd w:val="clear" w:color="auto" w:fill="FFFFFF"/>
        </w:rPr>
        <w:t xml:space="preserve"> A, </w:t>
      </w:r>
      <w:proofErr w:type="spellStart"/>
      <w:r w:rsidRPr="0049396B">
        <w:rPr>
          <w:shd w:val="clear" w:color="auto" w:fill="FFFFFF"/>
        </w:rPr>
        <w:t>Enia</w:t>
      </w:r>
      <w:proofErr w:type="spellEnd"/>
      <w:r w:rsidRPr="0049396B">
        <w:rPr>
          <w:shd w:val="clear" w:color="auto" w:fill="FFFFFF"/>
        </w:rPr>
        <w:t xml:space="preserve"> G, Vitelli E, </w:t>
      </w:r>
      <w:proofErr w:type="spellStart"/>
      <w:r w:rsidRPr="0049396B">
        <w:rPr>
          <w:shd w:val="clear" w:color="auto" w:fill="FFFFFF"/>
        </w:rPr>
        <w:t>Beghi</w:t>
      </w:r>
      <w:proofErr w:type="spellEnd"/>
      <w:r w:rsidRPr="0049396B">
        <w:rPr>
          <w:shd w:val="clear" w:color="auto" w:fill="FFFFFF"/>
        </w:rPr>
        <w:t xml:space="preserve"> E. Trends in survival of ALS from a population-based registry. </w:t>
      </w:r>
      <w:proofErr w:type="spellStart"/>
      <w:r w:rsidRPr="0049396B">
        <w:rPr>
          <w:shd w:val="clear" w:color="auto" w:fill="FFFFFF"/>
        </w:rPr>
        <w:t>Amyotroph</w:t>
      </w:r>
      <w:proofErr w:type="spellEnd"/>
      <w:r w:rsidRPr="0049396B">
        <w:rPr>
          <w:shd w:val="clear" w:color="auto" w:fill="FFFFFF"/>
        </w:rPr>
        <w:t xml:space="preserve"> Lateral </w:t>
      </w:r>
      <w:proofErr w:type="spellStart"/>
      <w:r w:rsidRPr="0049396B">
        <w:rPr>
          <w:shd w:val="clear" w:color="auto" w:fill="FFFFFF"/>
        </w:rPr>
        <w:t>Scler</w:t>
      </w:r>
      <w:proofErr w:type="spellEnd"/>
      <w:r w:rsidRPr="0049396B">
        <w:rPr>
          <w:shd w:val="clear" w:color="auto" w:fill="FFFFFF"/>
        </w:rPr>
        <w:t xml:space="preserve"> Frontotemporal </w:t>
      </w:r>
      <w:proofErr w:type="spellStart"/>
      <w:r w:rsidRPr="0049396B">
        <w:rPr>
          <w:shd w:val="clear" w:color="auto" w:fill="FFFFFF"/>
        </w:rPr>
        <w:t>Degener</w:t>
      </w:r>
      <w:proofErr w:type="spellEnd"/>
      <w:r w:rsidRPr="0049396B">
        <w:rPr>
          <w:shd w:val="clear" w:color="auto" w:fill="FFFFFF"/>
        </w:rPr>
        <w:t>. 2022 Aug;23(5-6):344-352. doi: 10.1080/21678421.2021.2004167. Epub 2021 Nov 24. PMID: 34818115.</w:t>
      </w:r>
    </w:p>
    <w:p w14:paraId="0E62C5CD" w14:textId="77777777" w:rsidR="007E20FB" w:rsidRPr="0049396B" w:rsidRDefault="007E20FB" w:rsidP="007E20FB">
      <w:pPr>
        <w:pStyle w:val="TableFigureFooter"/>
        <w:rPr>
          <w:shd w:val="clear" w:color="auto" w:fill="FFFFFF"/>
        </w:rPr>
      </w:pPr>
      <w:proofErr w:type="spellStart"/>
      <w:r w:rsidRPr="0049396B">
        <w:rPr>
          <w:shd w:val="clear" w:color="auto" w:fill="FFFFFF"/>
        </w:rPr>
        <w:t>Punjani</w:t>
      </w:r>
      <w:proofErr w:type="spellEnd"/>
      <w:r w:rsidRPr="0049396B">
        <w:rPr>
          <w:shd w:val="clear" w:color="auto" w:fill="FFFFFF"/>
        </w:rPr>
        <w:t xml:space="preserve"> R, Larson TC, Wagner L, Davis B, Horton DK, Kaye W. Survival and epidemiology of amyotrophic lateral sclerosis (ALS) cases in the Chicago and Detroit metropolitan cohort: incident cases 2009-2011 and survival through 2018. </w:t>
      </w:r>
      <w:proofErr w:type="spellStart"/>
      <w:r w:rsidRPr="0049396B">
        <w:rPr>
          <w:shd w:val="clear" w:color="auto" w:fill="FFFFFF"/>
        </w:rPr>
        <w:t>Amyotroph</w:t>
      </w:r>
      <w:proofErr w:type="spellEnd"/>
      <w:r w:rsidRPr="0049396B">
        <w:rPr>
          <w:shd w:val="clear" w:color="auto" w:fill="FFFFFF"/>
        </w:rPr>
        <w:t xml:space="preserve"> Lateral </w:t>
      </w:r>
      <w:proofErr w:type="spellStart"/>
      <w:r w:rsidRPr="0049396B">
        <w:rPr>
          <w:shd w:val="clear" w:color="auto" w:fill="FFFFFF"/>
        </w:rPr>
        <w:t>Scler</w:t>
      </w:r>
      <w:proofErr w:type="spellEnd"/>
      <w:r w:rsidRPr="0049396B">
        <w:rPr>
          <w:shd w:val="clear" w:color="auto" w:fill="FFFFFF"/>
        </w:rPr>
        <w:t xml:space="preserve"> Frontotemporal </w:t>
      </w:r>
      <w:proofErr w:type="spellStart"/>
      <w:r w:rsidRPr="0049396B">
        <w:rPr>
          <w:shd w:val="clear" w:color="auto" w:fill="FFFFFF"/>
        </w:rPr>
        <w:t>Degener</w:t>
      </w:r>
      <w:proofErr w:type="spellEnd"/>
      <w:r w:rsidRPr="0049396B">
        <w:rPr>
          <w:shd w:val="clear" w:color="auto" w:fill="FFFFFF"/>
        </w:rPr>
        <w:t xml:space="preserve">. 2023 May;24(3-4):203-211. </w:t>
      </w:r>
    </w:p>
    <w:p w14:paraId="7E4AFC58" w14:textId="77777777" w:rsidR="007E20FB" w:rsidRPr="0049396B" w:rsidRDefault="007E20FB" w:rsidP="007E20FB">
      <w:pPr>
        <w:pStyle w:val="TableFigureFooter"/>
        <w:rPr>
          <w:shd w:val="clear" w:color="auto" w:fill="FFFFFF"/>
        </w:rPr>
      </w:pPr>
      <w:proofErr w:type="spellStart"/>
      <w:r w:rsidRPr="0049396B">
        <w:rPr>
          <w:shd w:val="clear" w:color="auto" w:fill="FFFFFF"/>
        </w:rPr>
        <w:t>Atassi</w:t>
      </w:r>
      <w:proofErr w:type="spellEnd"/>
      <w:r w:rsidRPr="0049396B">
        <w:rPr>
          <w:shd w:val="clear" w:color="auto" w:fill="FFFFFF"/>
        </w:rPr>
        <w:t xml:space="preserve"> N, Berry J, Shui A, Zach N, Sherman A, Sinani E, Walker J, </w:t>
      </w:r>
      <w:proofErr w:type="spellStart"/>
      <w:r w:rsidRPr="0049396B">
        <w:rPr>
          <w:shd w:val="clear" w:color="auto" w:fill="FFFFFF"/>
        </w:rPr>
        <w:t>Katsovskiy</w:t>
      </w:r>
      <w:proofErr w:type="spellEnd"/>
      <w:r w:rsidRPr="0049396B">
        <w:rPr>
          <w:shd w:val="clear" w:color="auto" w:fill="FFFFFF"/>
        </w:rPr>
        <w:t xml:space="preserve"> I, Schoenfeld D, </w:t>
      </w:r>
      <w:proofErr w:type="spellStart"/>
      <w:r w:rsidRPr="0049396B">
        <w:rPr>
          <w:shd w:val="clear" w:color="auto" w:fill="FFFFFF"/>
        </w:rPr>
        <w:t>Cudkowicz</w:t>
      </w:r>
      <w:proofErr w:type="spellEnd"/>
      <w:r w:rsidRPr="0049396B">
        <w:rPr>
          <w:shd w:val="clear" w:color="auto" w:fill="FFFFFF"/>
        </w:rPr>
        <w:t xml:space="preserve"> M, Leitner M. The PRO-ACT database: design, initial analyses, and predictive features. Neurology. 2014 Nov 4;83(19):1719-25. </w:t>
      </w:r>
    </w:p>
    <w:p w14:paraId="1DBFC8FC" w14:textId="77777777" w:rsidR="007E20FB" w:rsidRPr="0049396B" w:rsidRDefault="007E20FB" w:rsidP="007E20FB">
      <w:pPr>
        <w:pStyle w:val="TableFigureFooter"/>
        <w:rPr>
          <w:shd w:val="clear" w:color="auto" w:fill="FFFFFF"/>
        </w:rPr>
      </w:pPr>
      <w:r w:rsidRPr="0049396B">
        <w:rPr>
          <w:shd w:val="clear" w:color="auto" w:fill="FFFFFF"/>
        </w:rPr>
        <w:t xml:space="preserve">Thakore NJ, Lapin BR, </w:t>
      </w:r>
      <w:proofErr w:type="spellStart"/>
      <w:r w:rsidRPr="0049396B">
        <w:rPr>
          <w:shd w:val="clear" w:color="auto" w:fill="FFFFFF"/>
        </w:rPr>
        <w:t>Kinzy</w:t>
      </w:r>
      <w:proofErr w:type="spellEnd"/>
      <w:r w:rsidRPr="0049396B">
        <w:rPr>
          <w:shd w:val="clear" w:color="auto" w:fill="FFFFFF"/>
        </w:rPr>
        <w:t xml:space="preserve"> TG, </w:t>
      </w:r>
      <w:proofErr w:type="spellStart"/>
      <w:r w:rsidRPr="0049396B">
        <w:rPr>
          <w:shd w:val="clear" w:color="auto" w:fill="FFFFFF"/>
        </w:rPr>
        <w:t>Pioro</w:t>
      </w:r>
      <w:proofErr w:type="spellEnd"/>
      <w:r w:rsidRPr="0049396B">
        <w:rPr>
          <w:shd w:val="clear" w:color="auto" w:fill="FFFFFF"/>
        </w:rPr>
        <w:t xml:space="preserve"> EP. Deconstructing progression of amyotrophic lateral sclerosis in stages: a Markov </w:t>
      </w:r>
      <w:proofErr w:type="spellStart"/>
      <w:r w:rsidRPr="0049396B">
        <w:rPr>
          <w:shd w:val="clear" w:color="auto" w:fill="FFFFFF"/>
        </w:rPr>
        <w:t>modeling</w:t>
      </w:r>
      <w:proofErr w:type="spellEnd"/>
      <w:r w:rsidRPr="0049396B">
        <w:rPr>
          <w:shd w:val="clear" w:color="auto" w:fill="FFFFFF"/>
        </w:rPr>
        <w:t xml:space="preserve"> approach. </w:t>
      </w:r>
      <w:proofErr w:type="spellStart"/>
      <w:r w:rsidRPr="0049396B">
        <w:rPr>
          <w:shd w:val="clear" w:color="auto" w:fill="FFFFFF"/>
        </w:rPr>
        <w:t>Amyotroph</w:t>
      </w:r>
      <w:proofErr w:type="spellEnd"/>
      <w:r w:rsidRPr="0049396B">
        <w:rPr>
          <w:shd w:val="clear" w:color="auto" w:fill="FFFFFF"/>
        </w:rPr>
        <w:t xml:space="preserve"> Lateral </w:t>
      </w:r>
      <w:proofErr w:type="spellStart"/>
      <w:r w:rsidRPr="0049396B">
        <w:rPr>
          <w:shd w:val="clear" w:color="auto" w:fill="FFFFFF"/>
        </w:rPr>
        <w:t>Scler</w:t>
      </w:r>
      <w:proofErr w:type="spellEnd"/>
      <w:r w:rsidRPr="0049396B">
        <w:rPr>
          <w:shd w:val="clear" w:color="auto" w:fill="FFFFFF"/>
        </w:rPr>
        <w:t xml:space="preserve"> Frontotemporal </w:t>
      </w:r>
      <w:proofErr w:type="spellStart"/>
      <w:r w:rsidRPr="0049396B">
        <w:rPr>
          <w:shd w:val="clear" w:color="auto" w:fill="FFFFFF"/>
        </w:rPr>
        <w:t>Degener</w:t>
      </w:r>
      <w:proofErr w:type="spellEnd"/>
      <w:r w:rsidRPr="0049396B">
        <w:rPr>
          <w:shd w:val="clear" w:color="auto" w:fill="FFFFFF"/>
        </w:rPr>
        <w:t xml:space="preserve">. 2018 Nov;19(7-8):483-494. </w:t>
      </w:r>
    </w:p>
    <w:p w14:paraId="618E3FB1" w14:textId="77777777" w:rsidR="007E20FB" w:rsidRPr="0049396B" w:rsidRDefault="007E20FB" w:rsidP="007E20FB">
      <w:pPr>
        <w:pStyle w:val="TableFigureFooter"/>
        <w:rPr>
          <w:shd w:val="clear" w:color="auto" w:fill="FFFFFF"/>
        </w:rPr>
      </w:pPr>
      <w:r w:rsidRPr="0049396B">
        <w:rPr>
          <w:shd w:val="clear" w:color="auto" w:fill="FFFFFF"/>
        </w:rPr>
        <w:t xml:space="preserve">Thakore NJ, </w:t>
      </w:r>
      <w:proofErr w:type="spellStart"/>
      <w:r w:rsidRPr="0049396B">
        <w:rPr>
          <w:shd w:val="clear" w:color="auto" w:fill="FFFFFF"/>
        </w:rPr>
        <w:t>Pioro</w:t>
      </w:r>
      <w:proofErr w:type="spellEnd"/>
      <w:r w:rsidRPr="0049396B">
        <w:rPr>
          <w:shd w:val="clear" w:color="auto" w:fill="FFFFFF"/>
        </w:rPr>
        <w:t xml:space="preserve"> EP, </w:t>
      </w:r>
      <w:proofErr w:type="spellStart"/>
      <w:r w:rsidRPr="0049396B">
        <w:rPr>
          <w:shd w:val="clear" w:color="auto" w:fill="FFFFFF"/>
        </w:rPr>
        <w:t>Udeh</w:t>
      </w:r>
      <w:proofErr w:type="spellEnd"/>
      <w:r w:rsidRPr="0049396B">
        <w:rPr>
          <w:shd w:val="clear" w:color="auto" w:fill="FFFFFF"/>
        </w:rPr>
        <w:t xml:space="preserve"> BL, Lapin BR, </w:t>
      </w:r>
      <w:proofErr w:type="spellStart"/>
      <w:r w:rsidRPr="0049396B">
        <w:rPr>
          <w:shd w:val="clear" w:color="auto" w:fill="FFFFFF"/>
        </w:rPr>
        <w:t>Katzan</w:t>
      </w:r>
      <w:proofErr w:type="spellEnd"/>
      <w:r w:rsidRPr="0049396B">
        <w:rPr>
          <w:shd w:val="clear" w:color="auto" w:fill="FFFFFF"/>
        </w:rPr>
        <w:t xml:space="preserve"> IL. A Cost-Effectiveness Framework for Amyotrophic Lateral Sclerosis, Applied to </w:t>
      </w:r>
      <w:proofErr w:type="spellStart"/>
      <w:r w:rsidRPr="0049396B">
        <w:rPr>
          <w:shd w:val="clear" w:color="auto" w:fill="FFFFFF"/>
        </w:rPr>
        <w:t>Riluzole</w:t>
      </w:r>
      <w:proofErr w:type="spellEnd"/>
      <w:r w:rsidRPr="0049396B">
        <w:rPr>
          <w:shd w:val="clear" w:color="auto" w:fill="FFFFFF"/>
        </w:rPr>
        <w:t>. Value Health. 2020 Dec;23(12):1543-1551. doi: 10.1016/j.jval.2020.06.012. Epub 2020 Oct 9. PMID: 33248509.</w:t>
      </w:r>
    </w:p>
    <w:p w14:paraId="292E4278" w14:textId="77777777" w:rsidR="007E20FB" w:rsidRPr="0049396B" w:rsidRDefault="007E20FB" w:rsidP="007E20FB">
      <w:pPr>
        <w:pStyle w:val="TableFigureFooter"/>
      </w:pPr>
      <w:proofErr w:type="spellStart"/>
      <w:r w:rsidRPr="0049396B">
        <w:rPr>
          <w:shd w:val="clear" w:color="auto" w:fill="FFFFFF"/>
        </w:rPr>
        <w:t>Witzel</w:t>
      </w:r>
      <w:proofErr w:type="spellEnd"/>
      <w:r w:rsidRPr="0049396B">
        <w:rPr>
          <w:shd w:val="clear" w:color="auto" w:fill="FFFFFF"/>
        </w:rPr>
        <w:t xml:space="preserve"> S, Maier A, Steinbach R, Grosskreutz J, Koch JC, </w:t>
      </w:r>
      <w:proofErr w:type="spellStart"/>
      <w:r w:rsidRPr="0049396B">
        <w:rPr>
          <w:shd w:val="clear" w:color="auto" w:fill="FFFFFF"/>
        </w:rPr>
        <w:t>Sarikidi</w:t>
      </w:r>
      <w:proofErr w:type="spellEnd"/>
      <w:r w:rsidRPr="0049396B">
        <w:rPr>
          <w:shd w:val="clear" w:color="auto" w:fill="FFFFFF"/>
        </w:rPr>
        <w:t xml:space="preserve"> A, Petri S, Günther R, Wolf J, Hermann A, </w:t>
      </w:r>
      <w:proofErr w:type="spellStart"/>
      <w:r w:rsidRPr="0049396B">
        <w:rPr>
          <w:shd w:val="clear" w:color="auto" w:fill="FFFFFF"/>
        </w:rPr>
        <w:t>Prudlo</w:t>
      </w:r>
      <w:proofErr w:type="spellEnd"/>
      <w:r w:rsidRPr="0049396B">
        <w:rPr>
          <w:shd w:val="clear" w:color="auto" w:fill="FFFFFF"/>
        </w:rPr>
        <w:t xml:space="preserve"> J, </w:t>
      </w:r>
      <w:proofErr w:type="spellStart"/>
      <w:r w:rsidRPr="0049396B">
        <w:rPr>
          <w:shd w:val="clear" w:color="auto" w:fill="FFFFFF"/>
        </w:rPr>
        <w:t>Cordts</w:t>
      </w:r>
      <w:proofErr w:type="spellEnd"/>
      <w:r w:rsidRPr="0049396B">
        <w:rPr>
          <w:shd w:val="clear" w:color="auto" w:fill="FFFFFF"/>
        </w:rPr>
        <w:t xml:space="preserve"> I, </w:t>
      </w:r>
      <w:proofErr w:type="spellStart"/>
      <w:r w:rsidRPr="0049396B">
        <w:rPr>
          <w:shd w:val="clear" w:color="auto" w:fill="FFFFFF"/>
        </w:rPr>
        <w:t>Lingor</w:t>
      </w:r>
      <w:proofErr w:type="spellEnd"/>
      <w:r w:rsidRPr="0049396B">
        <w:rPr>
          <w:shd w:val="clear" w:color="auto" w:fill="FFFFFF"/>
        </w:rPr>
        <w:t xml:space="preserve"> P, </w:t>
      </w:r>
      <w:proofErr w:type="spellStart"/>
      <w:r w:rsidRPr="0049396B">
        <w:rPr>
          <w:shd w:val="clear" w:color="auto" w:fill="FFFFFF"/>
        </w:rPr>
        <w:t>Löscher</w:t>
      </w:r>
      <w:proofErr w:type="spellEnd"/>
      <w:r w:rsidRPr="0049396B">
        <w:rPr>
          <w:shd w:val="clear" w:color="auto" w:fill="FFFFFF"/>
        </w:rPr>
        <w:t xml:space="preserve"> WN, Kohl Z, Hagenacker T, </w:t>
      </w:r>
      <w:proofErr w:type="spellStart"/>
      <w:r w:rsidRPr="0049396B">
        <w:rPr>
          <w:shd w:val="clear" w:color="auto" w:fill="FFFFFF"/>
        </w:rPr>
        <w:t>Ruckes</w:t>
      </w:r>
      <w:proofErr w:type="spellEnd"/>
      <w:r w:rsidRPr="0049396B">
        <w:rPr>
          <w:shd w:val="clear" w:color="auto" w:fill="FFFFFF"/>
        </w:rPr>
        <w:t xml:space="preserve"> C, Koch B, </w:t>
      </w:r>
      <w:proofErr w:type="spellStart"/>
      <w:r w:rsidRPr="0049396B">
        <w:rPr>
          <w:shd w:val="clear" w:color="auto" w:fill="FFFFFF"/>
        </w:rPr>
        <w:t>Spittel</w:t>
      </w:r>
      <w:proofErr w:type="spellEnd"/>
      <w:r w:rsidRPr="0049396B">
        <w:rPr>
          <w:shd w:val="clear" w:color="auto" w:fill="FFFFFF"/>
        </w:rPr>
        <w:t xml:space="preserve"> S, Günther K, Michels S, </w:t>
      </w:r>
      <w:proofErr w:type="spellStart"/>
      <w:r w:rsidRPr="0049396B">
        <w:rPr>
          <w:shd w:val="clear" w:color="auto" w:fill="FFFFFF"/>
        </w:rPr>
        <w:t>Dorst</w:t>
      </w:r>
      <w:proofErr w:type="spellEnd"/>
      <w:r w:rsidRPr="0049396B">
        <w:rPr>
          <w:shd w:val="clear" w:color="auto" w:fill="FFFFFF"/>
        </w:rPr>
        <w:t xml:space="preserve"> J, Meyer T, </w:t>
      </w:r>
      <w:proofErr w:type="spellStart"/>
      <w:r w:rsidRPr="0049396B">
        <w:rPr>
          <w:shd w:val="clear" w:color="auto" w:fill="FFFFFF"/>
        </w:rPr>
        <w:t>Ludolph</w:t>
      </w:r>
      <w:proofErr w:type="spellEnd"/>
      <w:r w:rsidRPr="0049396B">
        <w:rPr>
          <w:shd w:val="clear" w:color="auto" w:fill="FFFFFF"/>
        </w:rPr>
        <w:t xml:space="preserve"> AC; German Motor Neuron Disease Network (MND-NET). Safety and Effectiveness of Long-term Intravenous Administration of Edaravone for Treatment of Patients With Amyotrophic Lateral Sclerosis. JAMA Neurol. 2022 Feb 1;79(2):121-130. </w:t>
      </w:r>
    </w:p>
    <w:p w14:paraId="6EB8AEE9" w14:textId="77777777" w:rsidR="007E20FB" w:rsidRPr="0049396B" w:rsidRDefault="007E20FB" w:rsidP="007E20FB">
      <w:pPr>
        <w:pStyle w:val="TableFigureFooter"/>
        <w:rPr>
          <w:shd w:val="clear" w:color="auto" w:fill="FFFFFF"/>
        </w:rPr>
      </w:pPr>
      <w:r w:rsidRPr="0049396B">
        <w:rPr>
          <w:shd w:val="clear" w:color="auto" w:fill="FFFFFF"/>
        </w:rPr>
        <w:t xml:space="preserve">Luna J, </w:t>
      </w:r>
      <w:proofErr w:type="spellStart"/>
      <w:r w:rsidRPr="0049396B">
        <w:rPr>
          <w:shd w:val="clear" w:color="auto" w:fill="FFFFFF"/>
        </w:rPr>
        <w:t>Defressigne</w:t>
      </w:r>
      <w:proofErr w:type="spellEnd"/>
      <w:r w:rsidRPr="0049396B">
        <w:rPr>
          <w:shd w:val="clear" w:color="auto" w:fill="FFFFFF"/>
        </w:rPr>
        <w:t xml:space="preserve"> O, </w:t>
      </w:r>
      <w:proofErr w:type="spellStart"/>
      <w:r w:rsidRPr="0049396B">
        <w:rPr>
          <w:shd w:val="clear" w:color="auto" w:fill="FFFFFF"/>
        </w:rPr>
        <w:t>Erazo</w:t>
      </w:r>
      <w:proofErr w:type="spellEnd"/>
      <w:r w:rsidRPr="0049396B">
        <w:rPr>
          <w:shd w:val="clear" w:color="auto" w:fill="FFFFFF"/>
        </w:rPr>
        <w:t xml:space="preserve"> D, </w:t>
      </w:r>
      <w:proofErr w:type="spellStart"/>
      <w:r w:rsidRPr="0049396B">
        <w:rPr>
          <w:shd w:val="clear" w:color="auto" w:fill="FFFFFF"/>
        </w:rPr>
        <w:t>Lautrette</w:t>
      </w:r>
      <w:proofErr w:type="spellEnd"/>
      <w:r w:rsidRPr="0049396B">
        <w:rPr>
          <w:shd w:val="clear" w:color="auto" w:fill="FFFFFF"/>
        </w:rPr>
        <w:t xml:space="preserve"> G, </w:t>
      </w:r>
      <w:proofErr w:type="spellStart"/>
      <w:r w:rsidRPr="0049396B">
        <w:rPr>
          <w:shd w:val="clear" w:color="auto" w:fill="FFFFFF"/>
        </w:rPr>
        <w:t>Raymondeau-Moustafa</w:t>
      </w:r>
      <w:proofErr w:type="spellEnd"/>
      <w:r w:rsidRPr="0049396B">
        <w:rPr>
          <w:shd w:val="clear" w:color="auto" w:fill="FFFFFF"/>
        </w:rPr>
        <w:t xml:space="preserve"> M, Preux PM, Boumediene F, </w:t>
      </w:r>
      <w:proofErr w:type="spellStart"/>
      <w:r w:rsidRPr="0049396B">
        <w:rPr>
          <w:shd w:val="clear" w:color="auto" w:fill="FFFFFF"/>
        </w:rPr>
        <w:t>Couratier</w:t>
      </w:r>
      <w:proofErr w:type="spellEnd"/>
      <w:r w:rsidRPr="0049396B">
        <w:rPr>
          <w:shd w:val="clear" w:color="auto" w:fill="FFFFFF"/>
        </w:rPr>
        <w:t xml:space="preserve"> P. Epidemiological time-trend of amyotrophic lateral sclerosis (ALS) over two decades: The French population-based register of ALS in Limousin (</w:t>
      </w:r>
      <w:proofErr w:type="spellStart"/>
      <w:r w:rsidRPr="0049396B">
        <w:rPr>
          <w:shd w:val="clear" w:color="auto" w:fill="FFFFFF"/>
        </w:rPr>
        <w:t>FRALim</w:t>
      </w:r>
      <w:proofErr w:type="spellEnd"/>
      <w:r w:rsidRPr="0049396B">
        <w:rPr>
          <w:shd w:val="clear" w:color="auto" w:fill="FFFFFF"/>
        </w:rPr>
        <w:t xml:space="preserve"> register). Rev Neurol (Paris). 2022 Nov;178(9):914-923.</w:t>
      </w:r>
    </w:p>
    <w:p w14:paraId="3E1B1F20" w14:textId="77777777" w:rsidR="007E20FB" w:rsidRPr="0049396B" w:rsidRDefault="007E20FB" w:rsidP="007E20FB">
      <w:pPr>
        <w:pStyle w:val="TableFigureFooter"/>
      </w:pPr>
      <w:r w:rsidRPr="0049396B">
        <w:rPr>
          <w:shd w:val="clear" w:color="auto" w:fill="FFFFFF"/>
        </w:rPr>
        <w:t xml:space="preserve">Okada M, Yamashita S, </w:t>
      </w:r>
      <w:proofErr w:type="spellStart"/>
      <w:r w:rsidRPr="0049396B">
        <w:rPr>
          <w:shd w:val="clear" w:color="auto" w:fill="FFFFFF"/>
        </w:rPr>
        <w:t>Ueyama</w:t>
      </w:r>
      <w:proofErr w:type="spellEnd"/>
      <w:r w:rsidRPr="0049396B">
        <w:rPr>
          <w:shd w:val="clear" w:color="auto" w:fill="FFFFFF"/>
        </w:rPr>
        <w:t xml:space="preserve"> H, </w:t>
      </w:r>
      <w:proofErr w:type="spellStart"/>
      <w:r w:rsidRPr="0049396B">
        <w:rPr>
          <w:shd w:val="clear" w:color="auto" w:fill="FFFFFF"/>
        </w:rPr>
        <w:t>Ishizaki</w:t>
      </w:r>
      <w:proofErr w:type="spellEnd"/>
      <w:r w:rsidRPr="0049396B">
        <w:rPr>
          <w:shd w:val="clear" w:color="auto" w:fill="FFFFFF"/>
        </w:rPr>
        <w:t xml:space="preserve"> M, Maeda Y, Ando Y. Long-term effects of edaravone on survival of patients with amyotrophic lateral sclerosis. </w:t>
      </w:r>
      <w:proofErr w:type="spellStart"/>
      <w:r w:rsidRPr="0049396B">
        <w:rPr>
          <w:shd w:val="clear" w:color="auto" w:fill="FFFFFF"/>
        </w:rPr>
        <w:t>eNeurologicalSci</w:t>
      </w:r>
      <w:proofErr w:type="spellEnd"/>
      <w:r w:rsidRPr="0049396B">
        <w:rPr>
          <w:shd w:val="clear" w:color="auto" w:fill="FFFFFF"/>
        </w:rPr>
        <w:t>. 2018 May 17;11:11-14. doi: 10.1016/j.ensci.2018.05.001. PMID: 29928711; PMCID: PMC6006910.</w:t>
      </w:r>
    </w:p>
    <w:p w14:paraId="3185D97B" w14:textId="77777777" w:rsidR="007E20FB" w:rsidRPr="0049396B" w:rsidRDefault="007E20FB" w:rsidP="007E20FB">
      <w:pPr>
        <w:pStyle w:val="TableFigureFooter"/>
        <w:rPr>
          <w:color w:val="3366FF"/>
        </w:rPr>
      </w:pPr>
      <w:proofErr w:type="spellStart"/>
      <w:r w:rsidRPr="0049396B">
        <w:rPr>
          <w:shd w:val="clear" w:color="auto" w:fill="FFFFFF"/>
        </w:rPr>
        <w:t>Houzen</w:t>
      </w:r>
      <w:proofErr w:type="spellEnd"/>
      <w:r w:rsidRPr="0049396B">
        <w:rPr>
          <w:shd w:val="clear" w:color="auto" w:fill="FFFFFF"/>
        </w:rPr>
        <w:t xml:space="preserve"> H, Kano T, Horiuchi K, </w:t>
      </w:r>
      <w:proofErr w:type="spellStart"/>
      <w:r w:rsidRPr="0049396B">
        <w:rPr>
          <w:shd w:val="clear" w:color="auto" w:fill="FFFFFF"/>
        </w:rPr>
        <w:t>Wakita</w:t>
      </w:r>
      <w:proofErr w:type="spellEnd"/>
      <w:r w:rsidRPr="0049396B">
        <w:rPr>
          <w:shd w:val="clear" w:color="auto" w:fill="FFFFFF"/>
        </w:rPr>
        <w:t xml:space="preserve"> M, Nagai A, Yabe I. Improved Long-Term Survival with Edaravone Therapy in Patients with Amyotrophic Lateral Sclerosis: A Retrospective Single-Center Study in Japan. Pharmaceuticals (Basel). 2021 Jul 21;14(8):705. </w:t>
      </w:r>
    </w:p>
    <w:bookmarkEnd w:id="70"/>
    <w:p w14:paraId="76F508C4" w14:textId="7BF638DA" w:rsidR="007E20FB" w:rsidRPr="0049396B" w:rsidRDefault="007E20FB" w:rsidP="007E20FB">
      <w:pPr>
        <w:pStyle w:val="3-BodyText"/>
        <w:rPr>
          <w:iCs/>
        </w:rPr>
      </w:pPr>
      <w:r w:rsidRPr="0049396B">
        <w:rPr>
          <w:iCs/>
        </w:rPr>
        <w:t xml:space="preserve">In general, the </w:t>
      </w:r>
      <w:r w:rsidR="005738BB" w:rsidRPr="0049396B">
        <w:rPr>
          <w:iCs/>
        </w:rPr>
        <w:t>modelled</w:t>
      </w:r>
      <w:r w:rsidRPr="0049396B">
        <w:rPr>
          <w:iCs/>
        </w:rPr>
        <w:t xml:space="preserve"> SOC arm appeared to have better survival than reported in the literature (including exceeding the edaravone arms of </w:t>
      </w:r>
      <w:proofErr w:type="spellStart"/>
      <w:r w:rsidRPr="0049396B">
        <w:rPr>
          <w:iCs/>
        </w:rPr>
        <w:t>Witzel</w:t>
      </w:r>
      <w:proofErr w:type="spellEnd"/>
      <w:r w:rsidRPr="0049396B">
        <w:rPr>
          <w:iCs/>
        </w:rPr>
        <w:t xml:space="preserve"> 2022 and Brooks 2022), though the long-term survival differed greatly across studies. As the literature combined patients of all stages and </w:t>
      </w:r>
      <w:proofErr w:type="spellStart"/>
      <w:r w:rsidRPr="0049396B">
        <w:rPr>
          <w:iCs/>
        </w:rPr>
        <w:t>riluzole</w:t>
      </w:r>
      <w:proofErr w:type="spellEnd"/>
      <w:r w:rsidRPr="0049396B">
        <w:rPr>
          <w:iCs/>
        </w:rPr>
        <w:t xml:space="preserve"> use, the model, which assumed all patients </w:t>
      </w:r>
      <w:r w:rsidR="00383A94" w:rsidRPr="0049396B">
        <w:rPr>
          <w:iCs/>
        </w:rPr>
        <w:t xml:space="preserve">started </w:t>
      </w:r>
      <w:r w:rsidRPr="0049396B">
        <w:rPr>
          <w:iCs/>
        </w:rPr>
        <w:t xml:space="preserve">in stage 1 and 85% </w:t>
      </w:r>
      <w:proofErr w:type="spellStart"/>
      <w:r w:rsidRPr="0049396B">
        <w:rPr>
          <w:iCs/>
        </w:rPr>
        <w:t>riluzole</w:t>
      </w:r>
      <w:proofErr w:type="spellEnd"/>
      <w:r w:rsidRPr="0049396B">
        <w:rPr>
          <w:iCs/>
        </w:rPr>
        <w:t xml:space="preserve"> use, may reasonably assume better sur</w:t>
      </w:r>
      <w:r w:rsidR="004B59D3" w:rsidRPr="0049396B">
        <w:rPr>
          <w:iCs/>
        </w:rPr>
        <w:t>v</w:t>
      </w:r>
      <w:r w:rsidRPr="0049396B">
        <w:rPr>
          <w:iCs/>
        </w:rPr>
        <w:t xml:space="preserve">ival for the modelled cohort. In particular, the model estimated slightly better survival than the no </w:t>
      </w:r>
      <w:proofErr w:type="spellStart"/>
      <w:r w:rsidRPr="0049396B">
        <w:rPr>
          <w:iCs/>
        </w:rPr>
        <w:t>riluzole</w:t>
      </w:r>
      <w:proofErr w:type="spellEnd"/>
      <w:r w:rsidRPr="0049396B">
        <w:rPr>
          <w:iCs/>
        </w:rPr>
        <w:t xml:space="preserve"> OS </w:t>
      </w:r>
      <w:r w:rsidR="00A37686" w:rsidRPr="0049396B">
        <w:rPr>
          <w:iCs/>
        </w:rPr>
        <w:t xml:space="preserve">Kaplan-Meier </w:t>
      </w:r>
      <w:r w:rsidRPr="0049396B">
        <w:rPr>
          <w:iCs/>
        </w:rPr>
        <w:t xml:space="preserve">data from Thakore 2020, which would be expected. However, the Australian MND registry estimated median survival as 24 months </w:t>
      </w:r>
      <w:r w:rsidRPr="0049396B">
        <w:rPr>
          <w:iCs/>
          <w:u w:val="single"/>
        </w:rPr>
        <w:t xml:space="preserve">from </w:t>
      </w:r>
      <w:r w:rsidRPr="0049396B">
        <w:rPr>
          <w:iCs/>
          <w:u w:val="single"/>
        </w:rPr>
        <w:lastRenderedPageBreak/>
        <w:t>symptom onset</w:t>
      </w:r>
      <w:r w:rsidRPr="0049396B">
        <w:rPr>
          <w:iCs/>
        </w:rPr>
        <w:t xml:space="preserve"> in the bulbar region and 33 months </w:t>
      </w:r>
      <w:r w:rsidRPr="0049396B">
        <w:rPr>
          <w:iCs/>
          <w:u w:val="single"/>
        </w:rPr>
        <w:t>from symptom onset</w:t>
      </w:r>
      <w:r w:rsidRPr="0049396B">
        <w:rPr>
          <w:iCs/>
        </w:rPr>
        <w:t xml:space="preserve"> in flail or lumbar regions (</w:t>
      </w:r>
      <w:proofErr w:type="spellStart"/>
      <w:r w:rsidRPr="0049396B">
        <w:rPr>
          <w:iCs/>
        </w:rPr>
        <w:t>Talman</w:t>
      </w:r>
      <w:proofErr w:type="spellEnd"/>
      <w:r w:rsidRPr="0049396B">
        <w:rPr>
          <w:iCs/>
        </w:rPr>
        <w:t xml:space="preserve"> 2016). Median survival </w:t>
      </w:r>
      <w:r w:rsidRPr="0049396B">
        <w:rPr>
          <w:iCs/>
          <w:u w:val="single"/>
        </w:rPr>
        <w:t>from diagnosis</w:t>
      </w:r>
      <w:r w:rsidRPr="0049396B">
        <w:rPr>
          <w:iCs/>
        </w:rPr>
        <w:t xml:space="preserve"> in the model was ~36 months, which was therefore likely to be an overestimate compared to survival in the Australian population.</w:t>
      </w:r>
    </w:p>
    <w:p w14:paraId="315E332D" w14:textId="79AB4E02" w:rsidR="007E20FB" w:rsidRPr="0049396B" w:rsidRDefault="007E20FB" w:rsidP="007E20FB">
      <w:pPr>
        <w:pStyle w:val="3-BodyText"/>
        <w:rPr>
          <w:i/>
        </w:rPr>
      </w:pPr>
      <w:r w:rsidRPr="0049396B">
        <w:rPr>
          <w:iCs/>
        </w:rPr>
        <w:t>Survival in the edaravone arm appeared similar to the single centre Japanese studies, but was significantly improved compared to the multicentre study (</w:t>
      </w:r>
      <w:proofErr w:type="spellStart"/>
      <w:r w:rsidRPr="0049396B">
        <w:rPr>
          <w:iCs/>
        </w:rPr>
        <w:t>Witzel</w:t>
      </w:r>
      <w:proofErr w:type="spellEnd"/>
      <w:r w:rsidRPr="0049396B">
        <w:rPr>
          <w:iCs/>
        </w:rPr>
        <w:t xml:space="preserve"> 2022) and Brooks 2022, which informed the model. </w:t>
      </w:r>
      <w:r w:rsidR="00743E47" w:rsidRPr="0049396B">
        <w:rPr>
          <w:iCs/>
        </w:rPr>
        <w:t>The ESC noted that differences in survival may be due to the use of invasive ventilation in Japan, which is not commonly used in Australian clinical practice.</w:t>
      </w:r>
      <w:r w:rsidR="00743E47" w:rsidRPr="0049396B">
        <w:rPr>
          <w:i/>
        </w:rPr>
        <w:t xml:space="preserve"> </w:t>
      </w:r>
      <w:r w:rsidRPr="0049396B">
        <w:rPr>
          <w:iCs/>
        </w:rPr>
        <w:t>Overall</w:t>
      </w:r>
      <w:r w:rsidR="00401F9E" w:rsidRPr="0049396B">
        <w:rPr>
          <w:iCs/>
        </w:rPr>
        <w:t>,</w:t>
      </w:r>
      <w:r w:rsidRPr="0049396B">
        <w:rPr>
          <w:iCs/>
        </w:rPr>
        <w:t xml:space="preserve"> the </w:t>
      </w:r>
      <w:r w:rsidR="005738BB" w:rsidRPr="0049396B">
        <w:rPr>
          <w:iCs/>
        </w:rPr>
        <w:t xml:space="preserve">evaluation considered the </w:t>
      </w:r>
      <w:r w:rsidRPr="0049396B">
        <w:rPr>
          <w:iCs/>
        </w:rPr>
        <w:t>model was likely to be overestimating survival in the edaravone arm.</w:t>
      </w:r>
      <w:r w:rsidR="00743E47" w:rsidRPr="0049396B">
        <w:rPr>
          <w:iCs/>
        </w:rPr>
        <w:t xml:space="preserve"> </w:t>
      </w:r>
    </w:p>
    <w:p w14:paraId="05DE1573" w14:textId="3DCFDC5E" w:rsidR="007E20FB" w:rsidRPr="0049396B" w:rsidRDefault="007E20FB" w:rsidP="007E20FB">
      <w:pPr>
        <w:pStyle w:val="3-BodyText"/>
      </w:pPr>
      <w:r w:rsidRPr="0049396B">
        <w:t xml:space="preserve">The key drivers of the model are presented in </w:t>
      </w:r>
      <w:r w:rsidRPr="0049396B">
        <w:fldChar w:fldCharType="begin" w:fldLock="1"/>
      </w:r>
      <w:r w:rsidRPr="0049396B">
        <w:instrText xml:space="preserve"> REF _Ref104805122 \h  \* MERGEFORMAT </w:instrText>
      </w:r>
      <w:r w:rsidRPr="0049396B">
        <w:fldChar w:fldCharType="separate"/>
      </w:r>
      <w:r w:rsidR="00041148" w:rsidRPr="0049396B">
        <w:t>Table 9</w:t>
      </w:r>
      <w:r w:rsidRPr="0049396B">
        <w:fldChar w:fldCharType="end"/>
      </w:r>
      <w:r w:rsidRPr="0049396B">
        <w:t>.</w:t>
      </w:r>
    </w:p>
    <w:p w14:paraId="33E996EC" w14:textId="1753DAF9" w:rsidR="007E20FB" w:rsidRPr="0049396B" w:rsidRDefault="007E20FB" w:rsidP="00401F9E">
      <w:pPr>
        <w:pStyle w:val="TableFigureHeading"/>
        <w:rPr>
          <w:rStyle w:val="CommentReference"/>
          <w:b/>
          <w:szCs w:val="24"/>
        </w:rPr>
      </w:pPr>
      <w:bookmarkStart w:id="71" w:name="_Ref104805122"/>
      <w:r w:rsidRPr="0049396B">
        <w:lastRenderedPageBreak/>
        <w:t xml:space="preserve">Table </w:t>
      </w:r>
      <w:r w:rsidR="001C0AB9">
        <w:fldChar w:fldCharType="begin" w:fldLock="1"/>
      </w:r>
      <w:r w:rsidR="001C0AB9">
        <w:instrText xml:space="preserve"> SEQ Table \* ARABIC </w:instrText>
      </w:r>
      <w:r w:rsidR="001C0AB9">
        <w:fldChar w:fldCharType="separate"/>
      </w:r>
      <w:r w:rsidR="00B41026" w:rsidRPr="0049396B">
        <w:t>9</w:t>
      </w:r>
      <w:r w:rsidR="001C0AB9">
        <w:fldChar w:fldCharType="end"/>
      </w:r>
      <w:bookmarkEnd w:id="71"/>
      <w:r w:rsidRPr="0049396B">
        <w:t>:</w:t>
      </w:r>
      <w:r w:rsidRPr="0049396B">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5104"/>
        <w:gridCol w:w="2784"/>
      </w:tblGrid>
      <w:tr w:rsidR="007E20FB" w:rsidRPr="0049396B" w14:paraId="2B417FDB" w14:textId="77777777" w:rsidTr="00EB254E">
        <w:trPr>
          <w:tblHeader/>
        </w:trPr>
        <w:tc>
          <w:tcPr>
            <w:tcW w:w="626" w:type="pct"/>
            <w:shd w:val="clear" w:color="auto" w:fill="auto"/>
            <w:vAlign w:val="center"/>
          </w:tcPr>
          <w:p w14:paraId="234FB3C7" w14:textId="77777777" w:rsidR="007E20FB" w:rsidRPr="0049396B" w:rsidRDefault="007E20FB" w:rsidP="00401F9E">
            <w:pPr>
              <w:pStyle w:val="In-tableHeading"/>
              <w:jc w:val="center"/>
              <w:rPr>
                <w:lang w:val="en-AU"/>
              </w:rPr>
            </w:pPr>
            <w:r w:rsidRPr="0049396B">
              <w:rPr>
                <w:lang w:val="en-AU"/>
              </w:rPr>
              <w:t>Description</w:t>
            </w:r>
          </w:p>
        </w:tc>
        <w:tc>
          <w:tcPr>
            <w:tcW w:w="2830" w:type="pct"/>
            <w:shd w:val="clear" w:color="auto" w:fill="auto"/>
            <w:vAlign w:val="center"/>
          </w:tcPr>
          <w:p w14:paraId="43B09D2E" w14:textId="77777777" w:rsidR="007E20FB" w:rsidRPr="0049396B" w:rsidRDefault="007E20FB" w:rsidP="00401F9E">
            <w:pPr>
              <w:pStyle w:val="In-tableHeading"/>
              <w:jc w:val="center"/>
              <w:rPr>
                <w:lang w:val="en-AU"/>
              </w:rPr>
            </w:pPr>
            <w:r w:rsidRPr="0049396B">
              <w:rPr>
                <w:lang w:val="en-AU"/>
              </w:rPr>
              <w:t>Method/Value</w:t>
            </w:r>
          </w:p>
        </w:tc>
        <w:tc>
          <w:tcPr>
            <w:tcW w:w="1544" w:type="pct"/>
            <w:shd w:val="clear" w:color="auto" w:fill="auto"/>
            <w:vAlign w:val="center"/>
          </w:tcPr>
          <w:p w14:paraId="698AB6EA" w14:textId="77777777" w:rsidR="007E20FB" w:rsidRPr="0049396B" w:rsidRDefault="007E20FB" w:rsidP="00401F9E">
            <w:pPr>
              <w:pStyle w:val="In-tableHeading"/>
              <w:jc w:val="center"/>
              <w:rPr>
                <w:rFonts w:cs="Arial"/>
                <w:szCs w:val="20"/>
                <w:lang w:val="en-AU"/>
              </w:rPr>
            </w:pPr>
            <w:r w:rsidRPr="0049396B">
              <w:rPr>
                <w:lang w:val="en-AU"/>
              </w:rPr>
              <w:t>Impact</w:t>
            </w:r>
            <w:r w:rsidRPr="0049396B">
              <w:rPr>
                <w:rFonts w:cs="Arial"/>
                <w:szCs w:val="20"/>
                <w:lang w:val="en-AU"/>
              </w:rPr>
              <w:t xml:space="preserve"> </w:t>
            </w:r>
          </w:p>
          <w:p w14:paraId="09981A9C" w14:textId="387E3054" w:rsidR="007E20FB" w:rsidRPr="0049396B" w:rsidRDefault="007E20FB" w:rsidP="00401F9E">
            <w:pPr>
              <w:pStyle w:val="In-tableHeading"/>
              <w:jc w:val="center"/>
              <w:rPr>
                <w:lang w:val="en-AU"/>
              </w:rPr>
            </w:pPr>
            <w:r w:rsidRPr="0049396B">
              <w:rPr>
                <w:rFonts w:cs="Arial"/>
                <w:szCs w:val="20"/>
                <w:lang w:val="en-AU"/>
              </w:rPr>
              <w:t xml:space="preserve">Base case: </w:t>
            </w:r>
            <w:r w:rsidR="009B4DB9">
              <w:rPr>
                <w:rFonts w:cs="Arial"/>
                <w:szCs w:val="20"/>
                <w:lang w:val="en-AU"/>
              </w:rPr>
              <w:t>$</w:t>
            </w:r>
            <w:r w:rsidR="0015085A" w:rsidRPr="009B4DB9">
              <w:rPr>
                <w:rFonts w:cs="Arial"/>
                <w:color w:val="000000"/>
                <w:spacing w:val="42"/>
                <w:szCs w:val="20"/>
                <w:shd w:val="solid" w:color="000000" w:fill="000000"/>
                <w:fitText w:val="310" w:id="-1032131834"/>
                <w:lang w:val="en-AU"/>
                <w14:textFill>
                  <w14:solidFill>
                    <w14:srgbClr w14:val="000000">
                      <w14:alpha w14:val="100000"/>
                    </w14:srgbClr>
                  </w14:solidFill>
                </w14:textFill>
              </w:rPr>
              <w:t>|||</w:t>
            </w:r>
            <w:r w:rsidR="0015085A" w:rsidRPr="009B4DB9">
              <w:rPr>
                <w:rFonts w:cs="Arial"/>
                <w:color w:val="000000"/>
                <w:spacing w:val="1"/>
                <w:szCs w:val="20"/>
                <w:shd w:val="solid" w:color="000000" w:fill="000000"/>
                <w:fitText w:val="310" w:id="-1032131834"/>
                <w:lang w:val="en-AU"/>
                <w14:textFill>
                  <w14:solidFill>
                    <w14:srgbClr w14:val="000000">
                      <w14:alpha w14:val="100000"/>
                    </w14:srgbClr>
                  </w14:solidFill>
                </w14:textFill>
              </w:rPr>
              <w:t>|</w:t>
            </w:r>
            <w:r w:rsidR="006C4083" w:rsidRPr="006C4083">
              <w:rPr>
                <w:rFonts w:cs="Arial"/>
                <w:szCs w:val="20"/>
                <w:vertAlign w:val="superscript"/>
                <w:lang w:val="en-AU"/>
              </w:rPr>
              <w:t>1</w:t>
            </w:r>
            <w:r w:rsidRPr="0049396B">
              <w:rPr>
                <w:rFonts w:cs="Arial"/>
                <w:szCs w:val="20"/>
                <w:lang w:val="en-AU"/>
              </w:rPr>
              <w:t>/QALY gained</w:t>
            </w:r>
          </w:p>
        </w:tc>
      </w:tr>
      <w:tr w:rsidR="007E20FB" w:rsidRPr="0049396B" w14:paraId="08C572BB" w14:textId="77777777" w:rsidTr="00EB254E">
        <w:tc>
          <w:tcPr>
            <w:tcW w:w="626" w:type="pct"/>
            <w:shd w:val="clear" w:color="auto" w:fill="auto"/>
            <w:vAlign w:val="center"/>
          </w:tcPr>
          <w:p w14:paraId="0AD2BC58" w14:textId="77777777" w:rsidR="007E20FB" w:rsidRPr="0049396B" w:rsidRDefault="007E20FB" w:rsidP="00401F9E">
            <w:pPr>
              <w:pStyle w:val="TableText0"/>
            </w:pPr>
            <w:r w:rsidRPr="0049396B">
              <w:t>Time horizon</w:t>
            </w:r>
          </w:p>
        </w:tc>
        <w:tc>
          <w:tcPr>
            <w:tcW w:w="2830" w:type="pct"/>
            <w:shd w:val="clear" w:color="auto" w:fill="auto"/>
            <w:vAlign w:val="center"/>
          </w:tcPr>
          <w:p w14:paraId="51902FE5" w14:textId="77777777" w:rsidR="007E20FB" w:rsidRPr="0049396B" w:rsidRDefault="007E20FB" w:rsidP="00401F9E">
            <w:pPr>
              <w:pStyle w:val="TableText0"/>
            </w:pPr>
            <w:r w:rsidRPr="0049396B">
              <w:t>10 years in the model base case vs. 24 weeks in Study 19, 3 years in Brooks 2022 and 2 years in Thakore 2018</w:t>
            </w:r>
          </w:p>
        </w:tc>
        <w:tc>
          <w:tcPr>
            <w:tcW w:w="1544" w:type="pct"/>
            <w:shd w:val="clear" w:color="auto" w:fill="auto"/>
            <w:vAlign w:val="center"/>
          </w:tcPr>
          <w:p w14:paraId="238A3950" w14:textId="59DD6F51" w:rsidR="007E20FB" w:rsidRPr="0049396B" w:rsidRDefault="007E20FB" w:rsidP="00401F9E">
            <w:pPr>
              <w:pStyle w:val="TableText0"/>
            </w:pPr>
            <w:r w:rsidRPr="0049396B">
              <w:t xml:space="preserve">Moderate, favoured edaravone. With a 5 year time horizon, the ICER increased to </w:t>
            </w:r>
            <w:r w:rsidR="009B4DB9">
              <w:t>$</w:t>
            </w:r>
            <w:r w:rsidR="0015085A" w:rsidRPr="009B4DB9">
              <w:rPr>
                <w:color w:val="000000"/>
                <w:spacing w:val="49"/>
                <w:shd w:val="solid" w:color="000000" w:fill="000000"/>
                <w:fitText w:val="320" w:id="-1032131833"/>
                <w14:textFill>
                  <w14:solidFill>
                    <w14:srgbClr w14:val="000000">
                      <w14:alpha w14:val="100000"/>
                    </w14:srgbClr>
                  </w14:solidFill>
                </w14:textFill>
              </w:rPr>
              <w:t>|||</w:t>
            </w:r>
            <w:r w:rsidR="0015085A" w:rsidRPr="009B4DB9">
              <w:rPr>
                <w:color w:val="000000"/>
                <w:spacing w:val="3"/>
                <w:shd w:val="solid" w:color="000000" w:fill="000000"/>
                <w:fitText w:val="320" w:id="-1032131833"/>
                <w14:textFill>
                  <w14:solidFill>
                    <w14:srgbClr w14:val="000000">
                      <w14:alpha w14:val="100000"/>
                    </w14:srgbClr>
                  </w14:solidFill>
                </w14:textFill>
              </w:rPr>
              <w:t>|</w:t>
            </w:r>
            <w:r w:rsidR="006C4083">
              <w:rPr>
                <w:rFonts w:cs="Arial"/>
                <w:szCs w:val="20"/>
                <w:vertAlign w:val="superscript"/>
              </w:rPr>
              <w:t>2</w:t>
            </w:r>
            <w:r w:rsidRPr="0049396B">
              <w:t xml:space="preserve">/QALY. With a lifetime time horizon the ICER decreased to </w:t>
            </w:r>
            <w:r w:rsidR="009B4DB9">
              <w:t>$</w:t>
            </w:r>
            <w:r w:rsidR="0015085A" w:rsidRPr="009B4DB9">
              <w:rPr>
                <w:color w:val="000000"/>
                <w:spacing w:val="53"/>
                <w:shd w:val="solid" w:color="000000" w:fill="000000"/>
                <w:fitText w:val="330" w:id="-1032131832"/>
                <w14:textFill>
                  <w14:solidFill>
                    <w14:srgbClr w14:val="000000">
                      <w14:alpha w14:val="100000"/>
                    </w14:srgbClr>
                  </w14:solidFill>
                </w14:textFill>
              </w:rPr>
              <w:t>|||</w:t>
            </w:r>
            <w:r w:rsidR="0015085A" w:rsidRPr="009B4DB9">
              <w:rPr>
                <w:color w:val="000000"/>
                <w:spacing w:val="1"/>
                <w:shd w:val="solid" w:color="000000" w:fill="000000"/>
                <w:fitText w:val="330" w:id="-1032131832"/>
                <w14:textFill>
                  <w14:solidFill>
                    <w14:srgbClr w14:val="000000">
                      <w14:alpha w14:val="100000"/>
                    </w14:srgbClr>
                  </w14:solidFill>
                </w14:textFill>
              </w:rPr>
              <w:t>|</w:t>
            </w:r>
            <w:r w:rsidR="006C4083" w:rsidRPr="006C4083">
              <w:rPr>
                <w:rFonts w:cs="Arial"/>
                <w:szCs w:val="20"/>
                <w:vertAlign w:val="superscript"/>
              </w:rPr>
              <w:t>1</w:t>
            </w:r>
            <w:r w:rsidRPr="0049396B">
              <w:t>/QALY</w:t>
            </w:r>
          </w:p>
        </w:tc>
      </w:tr>
      <w:tr w:rsidR="007E20FB" w:rsidRPr="0049396B" w14:paraId="2A2ACB4F" w14:textId="77777777" w:rsidTr="00EB254E">
        <w:tc>
          <w:tcPr>
            <w:tcW w:w="626" w:type="pct"/>
            <w:shd w:val="clear" w:color="auto" w:fill="auto"/>
            <w:vAlign w:val="center"/>
          </w:tcPr>
          <w:p w14:paraId="19CF1A0C" w14:textId="77777777" w:rsidR="007E20FB" w:rsidRPr="0049396B" w:rsidRDefault="007E20FB" w:rsidP="00401F9E">
            <w:pPr>
              <w:pStyle w:val="TableText0"/>
            </w:pPr>
            <w:r w:rsidRPr="0049396B">
              <w:t>Stage at baseline</w:t>
            </w:r>
          </w:p>
        </w:tc>
        <w:tc>
          <w:tcPr>
            <w:tcW w:w="2830" w:type="pct"/>
            <w:shd w:val="clear" w:color="auto" w:fill="auto"/>
            <w:vAlign w:val="center"/>
          </w:tcPr>
          <w:p w14:paraId="3926F4FC" w14:textId="3D721E56" w:rsidR="007E20FB" w:rsidRPr="0049396B" w:rsidRDefault="007E20FB" w:rsidP="00401F9E">
            <w:pPr>
              <w:pStyle w:val="TableText0"/>
            </w:pPr>
            <w:r w:rsidRPr="0049396B">
              <w:t>100% stage 1. None of the input data sources were based on a cohort of exclusively stage 1 patients followed over time. Further</w:t>
            </w:r>
            <w:r w:rsidR="005738BB" w:rsidRPr="0049396B">
              <w:t>,</w:t>
            </w:r>
            <w:r w:rsidRPr="0049396B">
              <w:t xml:space="preserve"> time between symptom onset and diagnosis can be 6-12 months, during which time patients may have progressed.</w:t>
            </w:r>
          </w:p>
        </w:tc>
        <w:tc>
          <w:tcPr>
            <w:tcW w:w="1544" w:type="pct"/>
            <w:shd w:val="clear" w:color="auto" w:fill="auto"/>
            <w:vAlign w:val="center"/>
          </w:tcPr>
          <w:p w14:paraId="26912AFC" w14:textId="18F01B0F" w:rsidR="007E20FB" w:rsidRPr="0049396B" w:rsidRDefault="007E20FB" w:rsidP="00401F9E">
            <w:pPr>
              <w:pStyle w:val="TableText0"/>
            </w:pPr>
            <w:r w:rsidRPr="0049396B">
              <w:t xml:space="preserve">Moderate favoured edaravone. If all patients were Stage 2, the ICER increased to </w:t>
            </w:r>
            <w:r w:rsidR="009B4DB9">
              <w:t>$</w:t>
            </w:r>
            <w:r w:rsidR="0015085A" w:rsidRPr="009B4DB9">
              <w:rPr>
                <w:color w:val="000000"/>
                <w:spacing w:val="49"/>
                <w:shd w:val="solid" w:color="000000" w:fill="000000"/>
                <w:fitText w:val="320" w:id="-1032131831"/>
                <w14:textFill>
                  <w14:solidFill>
                    <w14:srgbClr w14:val="000000">
                      <w14:alpha w14:val="100000"/>
                    </w14:srgbClr>
                  </w14:solidFill>
                </w14:textFill>
              </w:rPr>
              <w:t>|||</w:t>
            </w:r>
            <w:r w:rsidR="0015085A" w:rsidRPr="009B4DB9">
              <w:rPr>
                <w:color w:val="000000"/>
                <w:spacing w:val="3"/>
                <w:shd w:val="solid" w:color="000000" w:fill="000000"/>
                <w:fitText w:val="320" w:id="-1032131831"/>
                <w14:textFill>
                  <w14:solidFill>
                    <w14:srgbClr w14:val="000000">
                      <w14:alpha w14:val="100000"/>
                    </w14:srgbClr>
                  </w14:solidFill>
                </w14:textFill>
              </w:rPr>
              <w:t>|</w:t>
            </w:r>
            <w:r w:rsidR="006C4083">
              <w:rPr>
                <w:rFonts w:cs="Arial"/>
                <w:szCs w:val="20"/>
                <w:vertAlign w:val="superscript"/>
              </w:rPr>
              <w:t>2</w:t>
            </w:r>
            <w:r w:rsidRPr="0049396B">
              <w:t>/QALY</w:t>
            </w:r>
          </w:p>
        </w:tc>
      </w:tr>
      <w:tr w:rsidR="007E20FB" w:rsidRPr="0049396B" w14:paraId="42B40CA2" w14:textId="77777777" w:rsidTr="00EB254E">
        <w:tc>
          <w:tcPr>
            <w:tcW w:w="626" w:type="pct"/>
            <w:shd w:val="clear" w:color="auto" w:fill="auto"/>
            <w:vAlign w:val="center"/>
          </w:tcPr>
          <w:p w14:paraId="46C64D4C" w14:textId="77777777" w:rsidR="007E20FB" w:rsidRPr="0049396B" w:rsidRDefault="007E20FB" w:rsidP="00401F9E">
            <w:pPr>
              <w:pStyle w:val="TableText0"/>
            </w:pPr>
            <w:r w:rsidRPr="0049396B">
              <w:t>SOC transition probabilities</w:t>
            </w:r>
          </w:p>
        </w:tc>
        <w:tc>
          <w:tcPr>
            <w:tcW w:w="2830" w:type="pct"/>
            <w:shd w:val="clear" w:color="auto" w:fill="auto"/>
            <w:vAlign w:val="center"/>
          </w:tcPr>
          <w:p w14:paraId="40902DE8" w14:textId="77777777" w:rsidR="007E20FB" w:rsidRPr="0049396B" w:rsidRDefault="007E20FB" w:rsidP="00401F9E">
            <w:pPr>
              <w:pStyle w:val="TableText0"/>
            </w:pPr>
            <w:r w:rsidRPr="0049396B">
              <w:t>Taken from Thakore 2018, restricted for stage improvements. Resulted in the majority of LYs accrued in stages 3 and 4b.</w:t>
            </w:r>
          </w:p>
        </w:tc>
        <w:tc>
          <w:tcPr>
            <w:tcW w:w="1544" w:type="pct"/>
            <w:shd w:val="clear" w:color="auto" w:fill="auto"/>
            <w:vAlign w:val="center"/>
          </w:tcPr>
          <w:p w14:paraId="763DFA30" w14:textId="48601052" w:rsidR="007E20FB" w:rsidRPr="0049396B" w:rsidRDefault="007E20FB" w:rsidP="00401F9E">
            <w:pPr>
              <w:pStyle w:val="TableText0"/>
            </w:pPr>
            <w:r w:rsidRPr="0049396B">
              <w:t xml:space="preserve">High, favoured edaravone. If Thakore 2020 used as alternate source, the ICER increased to </w:t>
            </w:r>
            <w:r w:rsidR="009B4DB9">
              <w:t>$</w:t>
            </w:r>
            <w:r w:rsidR="0015085A" w:rsidRPr="009B4DB9">
              <w:rPr>
                <w:color w:val="000000"/>
                <w:spacing w:val="53"/>
                <w:shd w:val="solid" w:color="000000" w:fill="000000"/>
                <w:fitText w:val="330" w:id="-1032131830"/>
                <w14:textFill>
                  <w14:solidFill>
                    <w14:srgbClr w14:val="000000">
                      <w14:alpha w14:val="100000"/>
                    </w14:srgbClr>
                  </w14:solidFill>
                </w14:textFill>
              </w:rPr>
              <w:t>|||</w:t>
            </w:r>
            <w:r w:rsidR="0015085A" w:rsidRPr="009B4DB9">
              <w:rPr>
                <w:color w:val="000000"/>
                <w:spacing w:val="1"/>
                <w:shd w:val="solid" w:color="000000" w:fill="000000"/>
                <w:fitText w:val="330" w:id="-1032131830"/>
                <w14:textFill>
                  <w14:solidFill>
                    <w14:srgbClr w14:val="000000">
                      <w14:alpha w14:val="100000"/>
                    </w14:srgbClr>
                  </w14:solidFill>
                </w14:textFill>
              </w:rPr>
              <w:t>|</w:t>
            </w:r>
            <w:r w:rsidR="006C4083">
              <w:rPr>
                <w:rFonts w:cs="Arial"/>
                <w:szCs w:val="20"/>
                <w:vertAlign w:val="superscript"/>
              </w:rPr>
              <w:t>2</w:t>
            </w:r>
            <w:r w:rsidRPr="0049396B">
              <w:t>/QALY</w:t>
            </w:r>
          </w:p>
        </w:tc>
      </w:tr>
      <w:tr w:rsidR="007E20FB" w:rsidRPr="0049396B" w14:paraId="1AF2D33B" w14:textId="77777777" w:rsidTr="00EB254E">
        <w:tc>
          <w:tcPr>
            <w:tcW w:w="626" w:type="pct"/>
            <w:shd w:val="clear" w:color="auto" w:fill="auto"/>
            <w:vAlign w:val="center"/>
          </w:tcPr>
          <w:p w14:paraId="10556CCF" w14:textId="77777777" w:rsidR="007E20FB" w:rsidRPr="0049396B" w:rsidRDefault="007E20FB" w:rsidP="00401F9E">
            <w:pPr>
              <w:pStyle w:val="TableText0"/>
            </w:pPr>
            <w:r w:rsidRPr="0049396B">
              <w:t>Edaravone stage progression HRs</w:t>
            </w:r>
          </w:p>
        </w:tc>
        <w:tc>
          <w:tcPr>
            <w:tcW w:w="2830" w:type="pct"/>
            <w:shd w:val="clear" w:color="auto" w:fill="auto"/>
            <w:vAlign w:val="center"/>
          </w:tcPr>
          <w:p w14:paraId="00B0F8B5" w14:textId="71B8F7AA" w:rsidR="007E20FB" w:rsidRPr="0049396B" w:rsidRDefault="007E20FB" w:rsidP="00401F9E">
            <w:pPr>
              <w:pStyle w:val="TableText0"/>
            </w:pPr>
            <w:r w:rsidRPr="0049396B">
              <w:t>All HR 95%CIs included 1. Further</w:t>
            </w:r>
            <w:r w:rsidR="005738BB" w:rsidRPr="0049396B">
              <w:t>,</w:t>
            </w:r>
            <w:r w:rsidRPr="0049396B">
              <w:t xml:space="preserve"> the HRs in stage 2 and 3 were estimated from both patients who had transitioned from stage 1 and those who were in stage 2 and 3 at baseline. As such HRs were likely overestimated.</w:t>
            </w:r>
          </w:p>
        </w:tc>
        <w:tc>
          <w:tcPr>
            <w:tcW w:w="1544" w:type="pct"/>
            <w:shd w:val="clear" w:color="auto" w:fill="auto"/>
            <w:vAlign w:val="center"/>
          </w:tcPr>
          <w:p w14:paraId="2041E4CA" w14:textId="0E510BB8" w:rsidR="007E20FB" w:rsidRPr="0049396B" w:rsidRDefault="007E20FB" w:rsidP="00401F9E">
            <w:pPr>
              <w:pStyle w:val="TableText0"/>
            </w:pPr>
            <w:r w:rsidRPr="0049396B">
              <w:t xml:space="preserve">High, favoured edaravone. If no effect on stage progression assumed (i.e. stage 2 and stage 3 HRs=1), the ICER increased to </w:t>
            </w:r>
            <w:r w:rsidR="009B4DB9">
              <w:t>$</w:t>
            </w:r>
            <w:r w:rsidR="0015085A" w:rsidRPr="009B4DB9">
              <w:rPr>
                <w:color w:val="000000"/>
                <w:spacing w:val="53"/>
                <w:shd w:val="solid" w:color="000000" w:fill="000000"/>
                <w:fitText w:val="330" w:id="-1032131829"/>
                <w14:textFill>
                  <w14:solidFill>
                    <w14:srgbClr w14:val="000000">
                      <w14:alpha w14:val="100000"/>
                    </w14:srgbClr>
                  </w14:solidFill>
                </w14:textFill>
              </w:rPr>
              <w:t>|||</w:t>
            </w:r>
            <w:r w:rsidR="0015085A" w:rsidRPr="009B4DB9">
              <w:rPr>
                <w:color w:val="000000"/>
                <w:spacing w:val="1"/>
                <w:shd w:val="solid" w:color="000000" w:fill="000000"/>
                <w:fitText w:val="330" w:id="-1032131829"/>
                <w14:textFill>
                  <w14:solidFill>
                    <w14:srgbClr w14:val="000000">
                      <w14:alpha w14:val="100000"/>
                    </w14:srgbClr>
                  </w14:solidFill>
                </w14:textFill>
              </w:rPr>
              <w:t>|</w:t>
            </w:r>
            <w:r w:rsidR="006C4083">
              <w:rPr>
                <w:rFonts w:cs="Arial"/>
                <w:szCs w:val="20"/>
                <w:vertAlign w:val="superscript"/>
              </w:rPr>
              <w:t>3</w:t>
            </w:r>
            <w:r w:rsidRPr="0049396B">
              <w:t xml:space="preserve">/QALY </w:t>
            </w:r>
          </w:p>
        </w:tc>
      </w:tr>
      <w:tr w:rsidR="007E20FB" w:rsidRPr="0049396B" w14:paraId="72A5D2E3" w14:textId="77777777" w:rsidTr="00EB254E">
        <w:tc>
          <w:tcPr>
            <w:tcW w:w="626" w:type="pct"/>
            <w:shd w:val="clear" w:color="auto" w:fill="auto"/>
            <w:vAlign w:val="center"/>
          </w:tcPr>
          <w:p w14:paraId="709E461A" w14:textId="77777777" w:rsidR="007E20FB" w:rsidRPr="0049396B" w:rsidRDefault="007E20FB" w:rsidP="00401F9E">
            <w:pPr>
              <w:pStyle w:val="TableText0"/>
            </w:pPr>
            <w:r w:rsidRPr="0049396B">
              <w:t>Edaravone mortality HR</w:t>
            </w:r>
          </w:p>
        </w:tc>
        <w:tc>
          <w:tcPr>
            <w:tcW w:w="2830" w:type="pct"/>
            <w:shd w:val="clear" w:color="auto" w:fill="auto"/>
            <w:vAlign w:val="center"/>
          </w:tcPr>
          <w:p w14:paraId="02F43678" w14:textId="77777777" w:rsidR="007E20FB" w:rsidRPr="0049396B" w:rsidRDefault="007E20FB" w:rsidP="00401F9E">
            <w:pPr>
              <w:pStyle w:val="TableText0"/>
            </w:pPr>
            <w:r w:rsidRPr="0049396B">
              <w:t>HR=0.665</w:t>
            </w:r>
          </w:p>
          <w:p w14:paraId="6DDA3B62" w14:textId="77777777" w:rsidR="007E20FB" w:rsidRPr="0049396B" w:rsidRDefault="007E20FB" w:rsidP="00401F9E">
            <w:pPr>
              <w:pStyle w:val="TableText0"/>
            </w:pPr>
            <w:r w:rsidRPr="0049396B">
              <w:t>This was estimated based on the assumption that an extrapolation of Brooks to 20 years represented the LYG (1.37 years undiscounted) that should be observed in the model. There were concerns with the Brooks 2022 methodology, the choice of extrapolation, and the implementation of the extrapolation. It may therefore be more appropriate to remove the mortality adjustment.</w:t>
            </w:r>
          </w:p>
        </w:tc>
        <w:tc>
          <w:tcPr>
            <w:tcW w:w="1544" w:type="pct"/>
            <w:shd w:val="clear" w:color="auto" w:fill="auto"/>
            <w:vAlign w:val="center"/>
          </w:tcPr>
          <w:p w14:paraId="68251BBB" w14:textId="7F46C7A2" w:rsidR="007E20FB" w:rsidRPr="0049396B" w:rsidRDefault="007E20FB" w:rsidP="00401F9E">
            <w:pPr>
              <w:pStyle w:val="TableText0"/>
            </w:pPr>
            <w:r w:rsidRPr="0049396B">
              <w:t xml:space="preserve">High, favoured edaravone. If the mortality adjustment was removed (i.e. HR=1), the ICER increased to </w:t>
            </w:r>
            <w:r w:rsidR="009B4DB9">
              <w:t>$</w:t>
            </w:r>
            <w:r w:rsidR="0015085A" w:rsidRPr="009B4DB9">
              <w:rPr>
                <w:color w:val="000000"/>
                <w:spacing w:val="53"/>
                <w:shd w:val="solid" w:color="000000" w:fill="000000"/>
                <w:fitText w:val="330" w:id="-1032131828"/>
                <w14:textFill>
                  <w14:solidFill>
                    <w14:srgbClr w14:val="000000">
                      <w14:alpha w14:val="100000"/>
                    </w14:srgbClr>
                  </w14:solidFill>
                </w14:textFill>
              </w:rPr>
              <w:t>|||</w:t>
            </w:r>
            <w:r w:rsidR="0015085A" w:rsidRPr="009B4DB9">
              <w:rPr>
                <w:color w:val="000000"/>
                <w:spacing w:val="1"/>
                <w:shd w:val="solid" w:color="000000" w:fill="000000"/>
                <w:fitText w:val="330" w:id="-1032131828"/>
                <w14:textFill>
                  <w14:solidFill>
                    <w14:srgbClr w14:val="000000">
                      <w14:alpha w14:val="100000"/>
                    </w14:srgbClr>
                  </w14:solidFill>
                </w14:textFill>
              </w:rPr>
              <w:t>|</w:t>
            </w:r>
            <w:r w:rsidR="006C4083">
              <w:rPr>
                <w:rFonts w:cs="Arial"/>
                <w:szCs w:val="20"/>
                <w:vertAlign w:val="superscript"/>
              </w:rPr>
              <w:t>4</w:t>
            </w:r>
            <w:r w:rsidRPr="0049396B">
              <w:t>/QALY</w:t>
            </w:r>
          </w:p>
        </w:tc>
      </w:tr>
      <w:tr w:rsidR="007E20FB" w:rsidRPr="0049396B" w14:paraId="297F2834" w14:textId="77777777" w:rsidTr="00EB254E">
        <w:tc>
          <w:tcPr>
            <w:tcW w:w="626" w:type="pct"/>
            <w:shd w:val="clear" w:color="auto" w:fill="auto"/>
            <w:vAlign w:val="center"/>
          </w:tcPr>
          <w:p w14:paraId="5E983544" w14:textId="77777777" w:rsidR="007E20FB" w:rsidRPr="0049396B" w:rsidRDefault="007E20FB" w:rsidP="00401F9E">
            <w:pPr>
              <w:pStyle w:val="TableText0"/>
            </w:pPr>
            <w:r w:rsidRPr="0049396B">
              <w:t>Time on edaravone</w:t>
            </w:r>
          </w:p>
        </w:tc>
        <w:tc>
          <w:tcPr>
            <w:tcW w:w="2830" w:type="pct"/>
            <w:shd w:val="clear" w:color="auto" w:fill="auto"/>
            <w:vAlign w:val="center"/>
          </w:tcPr>
          <w:p w14:paraId="104053A3" w14:textId="77777777" w:rsidR="007E20FB" w:rsidRPr="0049396B" w:rsidRDefault="007E20FB" w:rsidP="00401F9E">
            <w:pPr>
              <w:pStyle w:val="TableText0"/>
            </w:pPr>
            <w:r w:rsidRPr="0049396B">
              <w:t>30% discontinuation rate applied each model cycle to patients in stage 1-3, based on median TTD in Brooks 2022 of 8.6 months. This was a much higher rate of discontinuation than observed in Study 19, and observation studies found average time on edaravone ranged between 8-27 months.</w:t>
            </w:r>
          </w:p>
        </w:tc>
        <w:tc>
          <w:tcPr>
            <w:tcW w:w="1544" w:type="pct"/>
            <w:shd w:val="clear" w:color="auto" w:fill="auto"/>
            <w:vAlign w:val="center"/>
          </w:tcPr>
          <w:p w14:paraId="0ED55734" w14:textId="5AC19533" w:rsidR="007E20FB" w:rsidRPr="0049396B" w:rsidRDefault="007E20FB" w:rsidP="00401F9E">
            <w:pPr>
              <w:pStyle w:val="TableText0"/>
            </w:pPr>
            <w:r w:rsidRPr="0049396B">
              <w:t>High, favoured edaravone. If patients discontinued edaravone only upon progression to stage 4a/b (i.e. no TTD adjustment), the ICER increase</w:t>
            </w:r>
            <w:r w:rsidR="005738BB" w:rsidRPr="0049396B">
              <w:t>d</w:t>
            </w:r>
            <w:r w:rsidRPr="0049396B">
              <w:t xml:space="preserve"> to </w:t>
            </w:r>
            <w:r w:rsidR="009B4DB9">
              <w:t>$</w:t>
            </w:r>
            <w:r w:rsidR="0015085A" w:rsidRPr="009B4DB9">
              <w:rPr>
                <w:color w:val="000000"/>
                <w:spacing w:val="49"/>
                <w:shd w:val="solid" w:color="000000" w:fill="000000"/>
                <w:fitText w:val="320" w:id="-1032131827"/>
                <w14:textFill>
                  <w14:solidFill>
                    <w14:srgbClr w14:val="000000">
                      <w14:alpha w14:val="100000"/>
                    </w14:srgbClr>
                  </w14:solidFill>
                </w14:textFill>
              </w:rPr>
              <w:t>|||</w:t>
            </w:r>
            <w:r w:rsidR="0015085A" w:rsidRPr="009B4DB9">
              <w:rPr>
                <w:color w:val="000000"/>
                <w:spacing w:val="3"/>
                <w:shd w:val="solid" w:color="000000" w:fill="000000"/>
                <w:fitText w:val="320" w:id="-1032131827"/>
                <w14:textFill>
                  <w14:solidFill>
                    <w14:srgbClr w14:val="000000">
                      <w14:alpha w14:val="100000"/>
                    </w14:srgbClr>
                  </w14:solidFill>
                </w14:textFill>
              </w:rPr>
              <w:t>|</w:t>
            </w:r>
            <w:r w:rsidR="006C4083">
              <w:rPr>
                <w:rFonts w:cs="Arial"/>
                <w:szCs w:val="20"/>
                <w:vertAlign w:val="superscript"/>
              </w:rPr>
              <w:t>5</w:t>
            </w:r>
            <w:r w:rsidRPr="0049396B">
              <w:t>/QALY</w:t>
            </w:r>
          </w:p>
        </w:tc>
      </w:tr>
      <w:tr w:rsidR="007E20FB" w:rsidRPr="0049396B" w14:paraId="1A5FC39C" w14:textId="77777777" w:rsidTr="00EB254E">
        <w:tc>
          <w:tcPr>
            <w:tcW w:w="626" w:type="pct"/>
            <w:shd w:val="clear" w:color="auto" w:fill="auto"/>
            <w:vAlign w:val="center"/>
          </w:tcPr>
          <w:p w14:paraId="0E362338" w14:textId="77777777" w:rsidR="007E20FB" w:rsidRPr="0049396B" w:rsidRDefault="007E20FB" w:rsidP="00401F9E">
            <w:pPr>
              <w:pStyle w:val="TableText0"/>
            </w:pPr>
            <w:r w:rsidRPr="0049396B">
              <w:t>Utilities</w:t>
            </w:r>
          </w:p>
        </w:tc>
        <w:tc>
          <w:tcPr>
            <w:tcW w:w="2830" w:type="pct"/>
            <w:shd w:val="clear" w:color="auto" w:fill="auto"/>
            <w:vAlign w:val="center"/>
          </w:tcPr>
          <w:p w14:paraId="4FE8C483" w14:textId="3ED23E70" w:rsidR="007E20FB" w:rsidRPr="0049396B" w:rsidRDefault="007E20FB" w:rsidP="00401F9E">
            <w:pPr>
              <w:pStyle w:val="TableText0"/>
            </w:pPr>
            <w:r w:rsidRPr="0049396B">
              <w:t>Utilities were estimated as age based general population utilities (McCaffrey 2016) minus disutility in each King’s stage. Disutilities were estimated by subtracting utilities in Thakore 2020 from US general population utility (Janssen 2019), adjusted for mean age and %male in Thakore 2020. No other model inputs were adjusted for age, and base utilities were likely high due to selection bias. High utilities increased the benefit of edaravone, resulting in more incremental QALYs gained.</w:t>
            </w:r>
          </w:p>
        </w:tc>
        <w:tc>
          <w:tcPr>
            <w:tcW w:w="1544" w:type="pct"/>
            <w:shd w:val="clear" w:color="auto" w:fill="auto"/>
            <w:vAlign w:val="center"/>
          </w:tcPr>
          <w:p w14:paraId="2FC7ADB5" w14:textId="1FDCCB01" w:rsidR="007E20FB" w:rsidRPr="0049396B" w:rsidRDefault="007E20FB" w:rsidP="00401F9E">
            <w:pPr>
              <w:pStyle w:val="TableText0"/>
            </w:pPr>
            <w:r w:rsidRPr="0049396B">
              <w:t xml:space="preserve">High, favoured edaravone. If Jones 2014 was used as the disutility source (where disutility was increased compared to base case), the ICER increased to </w:t>
            </w:r>
            <w:r w:rsidR="009B4DB9">
              <w:t>$</w:t>
            </w:r>
            <w:r w:rsidR="0015085A" w:rsidRPr="009B4DB9">
              <w:rPr>
                <w:color w:val="000000"/>
                <w:spacing w:val="53"/>
                <w:shd w:val="solid" w:color="000000" w:fill="000000"/>
                <w:fitText w:val="330" w:id="-1032131826"/>
                <w14:textFill>
                  <w14:solidFill>
                    <w14:srgbClr w14:val="000000">
                      <w14:alpha w14:val="100000"/>
                    </w14:srgbClr>
                  </w14:solidFill>
                </w14:textFill>
              </w:rPr>
              <w:t>|||</w:t>
            </w:r>
            <w:r w:rsidR="0015085A" w:rsidRPr="009B4DB9">
              <w:rPr>
                <w:color w:val="000000"/>
                <w:spacing w:val="1"/>
                <w:shd w:val="solid" w:color="000000" w:fill="000000"/>
                <w:fitText w:val="330" w:id="-1032131826"/>
                <w14:textFill>
                  <w14:solidFill>
                    <w14:srgbClr w14:val="000000">
                      <w14:alpha w14:val="100000"/>
                    </w14:srgbClr>
                  </w14:solidFill>
                </w14:textFill>
              </w:rPr>
              <w:t>|</w:t>
            </w:r>
            <w:r w:rsidR="006C4083">
              <w:rPr>
                <w:rFonts w:cs="Arial"/>
                <w:szCs w:val="20"/>
                <w:vertAlign w:val="superscript"/>
              </w:rPr>
              <w:t>3</w:t>
            </w:r>
            <w:r w:rsidRPr="0049396B">
              <w:t>/QALY</w:t>
            </w:r>
          </w:p>
        </w:tc>
      </w:tr>
    </w:tbl>
    <w:p w14:paraId="66DFFCC1" w14:textId="31789A07" w:rsidR="007E20FB" w:rsidRDefault="007E20FB" w:rsidP="006C4083">
      <w:pPr>
        <w:pStyle w:val="FooterTableFigure"/>
        <w:spacing w:after="0"/>
        <w:rPr>
          <w:i/>
          <w:iCs/>
        </w:rPr>
      </w:pPr>
      <w:r w:rsidRPr="0049396B">
        <w:t xml:space="preserve">Source: </w:t>
      </w:r>
      <w:r w:rsidRPr="0049396B">
        <w:rPr>
          <w:i/>
          <w:iCs/>
        </w:rPr>
        <w:t>compiled during the evaluation</w:t>
      </w:r>
    </w:p>
    <w:p w14:paraId="5B4887A2" w14:textId="77777777" w:rsidR="006C4083" w:rsidRPr="009A6D58" w:rsidRDefault="006C4083" w:rsidP="006C408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8883DD4" w14:textId="77777777" w:rsidR="006C4083" w:rsidRPr="009A6D58" w:rsidRDefault="006C4083" w:rsidP="006C408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6C4083">
        <w:rPr>
          <w:rFonts w:ascii="Arial Narrow" w:hAnsi="Arial Narrow"/>
          <w:i/>
          <w:sz w:val="18"/>
          <w:szCs w:val="18"/>
        </w:rPr>
        <w:t>$75,000 to &lt; $95,000</w:t>
      </w:r>
    </w:p>
    <w:p w14:paraId="6DB897AC" w14:textId="77777777" w:rsidR="006C4083" w:rsidRPr="009A6D58" w:rsidRDefault="006C4083" w:rsidP="006C4083">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C4083">
        <w:rPr>
          <w:rFonts w:ascii="Arial Narrow" w:hAnsi="Arial Narrow"/>
          <w:i/>
          <w:sz w:val="18"/>
          <w:szCs w:val="18"/>
        </w:rPr>
        <w:t>$95,000 to &lt; $115,000</w:t>
      </w:r>
    </w:p>
    <w:p w14:paraId="5D9FA163" w14:textId="336D644F" w:rsidR="006C4083" w:rsidRDefault="006C4083" w:rsidP="006C4083">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6C4083">
        <w:rPr>
          <w:rFonts w:ascii="Arial Narrow" w:hAnsi="Arial Narrow"/>
          <w:i/>
          <w:sz w:val="18"/>
          <w:szCs w:val="18"/>
        </w:rPr>
        <w:t>$115,000 to &lt; $135,000</w:t>
      </w:r>
      <w:r>
        <w:rPr>
          <w:rFonts w:ascii="Arial Narrow" w:hAnsi="Arial Narrow"/>
          <w:i/>
          <w:sz w:val="18"/>
          <w:szCs w:val="18"/>
        </w:rPr>
        <w:t xml:space="preserve"> </w:t>
      </w:r>
    </w:p>
    <w:p w14:paraId="4FFF2F33" w14:textId="559BD342" w:rsidR="006C4083" w:rsidRDefault="003516AA" w:rsidP="006C4083">
      <w:pPr>
        <w:rPr>
          <w:rFonts w:ascii="Arial Narrow" w:hAnsi="Arial Narrow"/>
          <w:i/>
          <w:sz w:val="18"/>
          <w:szCs w:val="18"/>
        </w:rPr>
      </w:pPr>
      <w:r>
        <w:rPr>
          <w:rFonts w:ascii="Arial Narrow" w:hAnsi="Arial Narrow"/>
          <w:i/>
          <w:sz w:val="18"/>
          <w:szCs w:val="18"/>
          <w:vertAlign w:val="superscript"/>
        </w:rPr>
        <w:t>4</w:t>
      </w:r>
      <w:r w:rsidR="006C4083">
        <w:rPr>
          <w:rFonts w:ascii="Arial Narrow" w:hAnsi="Arial Narrow"/>
          <w:i/>
          <w:sz w:val="18"/>
          <w:szCs w:val="18"/>
        </w:rPr>
        <w:t xml:space="preserve"> </w:t>
      </w:r>
      <w:r w:rsidR="006C4083" w:rsidRPr="006C4083">
        <w:rPr>
          <w:rFonts w:ascii="Arial Narrow" w:hAnsi="Arial Narrow"/>
          <w:i/>
          <w:sz w:val="18"/>
          <w:szCs w:val="18"/>
        </w:rPr>
        <w:t>$135,000 to &lt; $155,000</w:t>
      </w:r>
    </w:p>
    <w:p w14:paraId="7AB9D130" w14:textId="56047DFE" w:rsidR="006C4083" w:rsidRPr="006C4083" w:rsidRDefault="003516AA" w:rsidP="006C4083">
      <w:pPr>
        <w:spacing w:after="120"/>
        <w:rPr>
          <w:rFonts w:ascii="Arial Narrow" w:hAnsi="Arial Narrow"/>
          <w:i/>
          <w:sz w:val="18"/>
          <w:szCs w:val="18"/>
        </w:rPr>
      </w:pPr>
      <w:r>
        <w:rPr>
          <w:rFonts w:ascii="Arial Narrow" w:hAnsi="Arial Narrow"/>
          <w:i/>
          <w:sz w:val="18"/>
          <w:szCs w:val="18"/>
          <w:vertAlign w:val="superscript"/>
        </w:rPr>
        <w:t>5</w:t>
      </w:r>
      <w:r w:rsidR="006C4083">
        <w:rPr>
          <w:rFonts w:ascii="Arial Narrow" w:hAnsi="Arial Narrow"/>
          <w:i/>
          <w:sz w:val="18"/>
          <w:szCs w:val="18"/>
        </w:rPr>
        <w:t xml:space="preserve"> </w:t>
      </w:r>
      <w:r w:rsidR="006C4083" w:rsidRPr="006C4083">
        <w:rPr>
          <w:rFonts w:ascii="Arial Narrow" w:hAnsi="Arial Narrow"/>
          <w:i/>
          <w:sz w:val="18"/>
          <w:szCs w:val="18"/>
        </w:rPr>
        <w:t>$255,000 to &lt; $355,000</w:t>
      </w:r>
    </w:p>
    <w:p w14:paraId="39F06416" w14:textId="056259C9" w:rsidR="007E20FB" w:rsidRPr="006C4083" w:rsidRDefault="007E20FB" w:rsidP="006C4083">
      <w:pPr>
        <w:pStyle w:val="3-BodyText"/>
        <w:rPr>
          <w:b/>
          <w:bCs/>
        </w:rPr>
      </w:pPr>
      <w:r w:rsidRPr="0049396B">
        <w:t xml:space="preserve">The summary cost effectiveness results are presented in </w:t>
      </w:r>
      <w:r w:rsidRPr="0049396B">
        <w:fldChar w:fldCharType="begin" w:fldLock="1"/>
      </w:r>
      <w:r w:rsidRPr="0049396B">
        <w:instrText xml:space="preserve"> REF _Ref104805160 \h  \* MERGEFORMAT </w:instrText>
      </w:r>
      <w:r w:rsidRPr="0049396B">
        <w:fldChar w:fldCharType="separate"/>
      </w:r>
      <w:r w:rsidR="00041148" w:rsidRPr="0049396B">
        <w:t>Table 10</w:t>
      </w:r>
      <w:r w:rsidRPr="0049396B">
        <w:fldChar w:fldCharType="end"/>
      </w:r>
      <w:r w:rsidRPr="0049396B">
        <w:t>.</w:t>
      </w:r>
      <w:r w:rsidR="009713E2" w:rsidRPr="0049396B">
        <w:t xml:space="preserve"> No trial</w:t>
      </w:r>
      <w:r w:rsidR="00496E26" w:rsidRPr="0049396B">
        <w:t>-</w:t>
      </w:r>
      <w:r w:rsidR="009713E2" w:rsidRPr="0049396B">
        <w:t>based analysis was presented.</w:t>
      </w:r>
      <w:r w:rsidRPr="0049396B">
        <w:t xml:space="preserve"> The base case ICER was </w:t>
      </w:r>
      <w:r w:rsidR="006C4083" w:rsidRPr="006C4083">
        <w:t>$75,000 to &lt; $95,000</w:t>
      </w:r>
      <w:r w:rsidRPr="0049396B">
        <w:t xml:space="preserve"> per QALY gained, </w:t>
      </w:r>
      <w:r w:rsidRPr="006C4083">
        <w:rPr>
          <w:iCs/>
        </w:rPr>
        <w:t>which is likely to be an underestimate.</w:t>
      </w:r>
    </w:p>
    <w:p w14:paraId="563C7004" w14:textId="5355269D" w:rsidR="007E20FB" w:rsidRPr="0049396B" w:rsidRDefault="007E20FB" w:rsidP="0068547D">
      <w:pPr>
        <w:pStyle w:val="TableFigureHeading"/>
        <w:rPr>
          <w:rStyle w:val="CommentReference"/>
          <w:b/>
          <w:szCs w:val="24"/>
        </w:rPr>
      </w:pPr>
      <w:bookmarkStart w:id="72" w:name="_Ref104805160"/>
      <w:r w:rsidRPr="0049396B">
        <w:lastRenderedPageBreak/>
        <w:t xml:space="preserve">Table </w:t>
      </w:r>
      <w:r w:rsidR="001C0AB9">
        <w:fldChar w:fldCharType="begin" w:fldLock="1"/>
      </w:r>
      <w:r w:rsidR="001C0AB9">
        <w:instrText xml:space="preserve"> SEQ Table \* ARABIC </w:instrText>
      </w:r>
      <w:r w:rsidR="001C0AB9">
        <w:fldChar w:fldCharType="separate"/>
      </w:r>
      <w:r w:rsidR="00B41026" w:rsidRPr="0049396B">
        <w:t>10</w:t>
      </w:r>
      <w:r w:rsidR="001C0AB9">
        <w:fldChar w:fldCharType="end"/>
      </w:r>
      <w:bookmarkEnd w:id="72"/>
      <w:r w:rsidRPr="0049396B">
        <w:t>:</w:t>
      </w:r>
      <w:r w:rsidRPr="0049396B">
        <w:rPr>
          <w:rStyle w:val="CommentReference"/>
          <w:b/>
          <w:szCs w:val="24"/>
        </w:rPr>
        <w:t xml:space="preserve"> Results of the economic evaluation, 10-year time horizon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7E20FB" w:rsidRPr="0049396B" w14:paraId="7442EE73" w14:textId="77777777" w:rsidTr="00EB254E">
        <w:trPr>
          <w:tblHeader/>
        </w:trPr>
        <w:tc>
          <w:tcPr>
            <w:tcW w:w="1529" w:type="pct"/>
            <w:vAlign w:val="center"/>
          </w:tcPr>
          <w:p w14:paraId="67A222FE" w14:textId="77777777" w:rsidR="007E20FB" w:rsidRPr="0049396B" w:rsidRDefault="007E20FB" w:rsidP="00EB254E">
            <w:pPr>
              <w:pStyle w:val="In-tableHeading"/>
              <w:rPr>
                <w:lang w:val="en-AU"/>
              </w:rPr>
            </w:pPr>
            <w:r w:rsidRPr="0049396B">
              <w:rPr>
                <w:lang w:val="en-AU"/>
              </w:rPr>
              <w:t>Component</w:t>
            </w:r>
          </w:p>
        </w:tc>
        <w:tc>
          <w:tcPr>
            <w:tcW w:w="1359" w:type="pct"/>
            <w:vAlign w:val="center"/>
          </w:tcPr>
          <w:p w14:paraId="5225466F" w14:textId="77777777" w:rsidR="007E20FB" w:rsidRPr="0049396B" w:rsidRDefault="007E20FB" w:rsidP="00EB254E">
            <w:pPr>
              <w:pStyle w:val="In-tableHeading"/>
              <w:jc w:val="center"/>
              <w:rPr>
                <w:lang w:val="en-AU"/>
              </w:rPr>
            </w:pPr>
            <w:r w:rsidRPr="0049396B">
              <w:rPr>
                <w:lang w:val="en-AU"/>
              </w:rPr>
              <w:t>Edaravone</w:t>
            </w:r>
          </w:p>
        </w:tc>
        <w:tc>
          <w:tcPr>
            <w:tcW w:w="1274" w:type="pct"/>
            <w:vAlign w:val="center"/>
          </w:tcPr>
          <w:p w14:paraId="7B0BFA32" w14:textId="77777777" w:rsidR="007E20FB" w:rsidRPr="0049396B" w:rsidRDefault="007E20FB" w:rsidP="00EB254E">
            <w:pPr>
              <w:pStyle w:val="In-tableHeading"/>
              <w:jc w:val="center"/>
              <w:rPr>
                <w:lang w:val="en-AU"/>
              </w:rPr>
            </w:pPr>
            <w:r w:rsidRPr="0049396B">
              <w:rPr>
                <w:lang w:val="en-AU"/>
              </w:rPr>
              <w:t>SOC</w:t>
            </w:r>
          </w:p>
        </w:tc>
        <w:tc>
          <w:tcPr>
            <w:tcW w:w="838" w:type="pct"/>
            <w:vAlign w:val="center"/>
          </w:tcPr>
          <w:p w14:paraId="158A4342" w14:textId="77777777" w:rsidR="007E20FB" w:rsidRPr="0049396B" w:rsidRDefault="007E20FB" w:rsidP="00EB254E">
            <w:pPr>
              <w:pStyle w:val="In-tableHeading"/>
              <w:jc w:val="center"/>
              <w:rPr>
                <w:lang w:val="en-AU"/>
              </w:rPr>
            </w:pPr>
            <w:r w:rsidRPr="0049396B">
              <w:rPr>
                <w:lang w:val="en-AU"/>
              </w:rPr>
              <w:t>Increment</w:t>
            </w:r>
          </w:p>
        </w:tc>
      </w:tr>
      <w:tr w:rsidR="007E20FB" w:rsidRPr="0049396B" w14:paraId="33E086CD" w14:textId="77777777" w:rsidTr="00EB254E">
        <w:tc>
          <w:tcPr>
            <w:tcW w:w="1529" w:type="pct"/>
            <w:vAlign w:val="center"/>
          </w:tcPr>
          <w:p w14:paraId="46C2A9D0" w14:textId="0E118E53" w:rsidR="007E20FB" w:rsidRPr="0049396B" w:rsidRDefault="007E20FB" w:rsidP="00EB254E">
            <w:pPr>
              <w:pStyle w:val="TableText0"/>
              <w:rPr>
                <w:rFonts w:ascii="Times" w:hAnsi="Times"/>
              </w:rPr>
            </w:pPr>
            <w:r w:rsidRPr="0049396B">
              <w:t>Costs</w:t>
            </w:r>
            <w:r w:rsidR="006C4083">
              <w:t xml:space="preserve"> ($)</w:t>
            </w:r>
          </w:p>
        </w:tc>
        <w:tc>
          <w:tcPr>
            <w:tcW w:w="1359" w:type="pct"/>
            <w:vAlign w:val="center"/>
          </w:tcPr>
          <w:p w14:paraId="34F96A1A" w14:textId="47F130EB" w:rsidR="007E20FB" w:rsidRPr="006C4083" w:rsidRDefault="0015085A" w:rsidP="00EB254E">
            <w:pPr>
              <w:pStyle w:val="TableText0"/>
              <w:jc w:val="center"/>
              <w:rPr>
                <w:rFonts w:ascii="Times" w:hAnsi="Times"/>
                <w:highlight w:val="darkGray"/>
              </w:rPr>
            </w:pPr>
            <w:r>
              <w:t xml:space="preserve"> </w:t>
            </w:r>
            <w:r w:rsidRPr="0015085A">
              <w:rPr>
                <w:color w:val="000000"/>
                <w:shd w:val="solid" w:color="000000" w:fill="000000"/>
                <w14:textFill>
                  <w14:solidFill>
                    <w14:srgbClr w14:val="000000">
                      <w14:alpha w14:val="100000"/>
                    </w14:srgbClr>
                  </w14:solidFill>
                </w14:textFill>
              </w:rPr>
              <w:t>|</w:t>
            </w:r>
          </w:p>
        </w:tc>
        <w:tc>
          <w:tcPr>
            <w:tcW w:w="1274" w:type="pct"/>
            <w:vAlign w:val="center"/>
          </w:tcPr>
          <w:p w14:paraId="5F68439B" w14:textId="77777777" w:rsidR="007E20FB" w:rsidRPr="006C4083" w:rsidRDefault="007E20FB" w:rsidP="00EB254E">
            <w:pPr>
              <w:pStyle w:val="TableText0"/>
              <w:jc w:val="center"/>
              <w:rPr>
                <w:rFonts w:ascii="Times" w:hAnsi="Times"/>
                <w:highlight w:val="darkGray"/>
              </w:rPr>
            </w:pPr>
            <w:r w:rsidRPr="003516AA">
              <w:t>$76,939</w:t>
            </w:r>
          </w:p>
        </w:tc>
        <w:tc>
          <w:tcPr>
            <w:tcW w:w="838" w:type="pct"/>
            <w:vAlign w:val="center"/>
          </w:tcPr>
          <w:p w14:paraId="3DF67B2F" w14:textId="6012BE55" w:rsidR="007E20FB" w:rsidRPr="006C4083" w:rsidRDefault="0015085A" w:rsidP="00EB254E">
            <w:pPr>
              <w:pStyle w:val="TableText0"/>
              <w:jc w:val="center"/>
              <w:rPr>
                <w:rFonts w:ascii="Times" w:hAnsi="Times"/>
                <w:highlight w:val="darkGray"/>
              </w:rPr>
            </w:pPr>
            <w:r>
              <w:t xml:space="preserve"> </w:t>
            </w:r>
            <w:r w:rsidRPr="0015085A">
              <w:rPr>
                <w:color w:val="000000"/>
                <w:shd w:val="solid" w:color="000000" w:fill="000000"/>
                <w14:textFill>
                  <w14:solidFill>
                    <w14:srgbClr w14:val="000000">
                      <w14:alpha w14:val="100000"/>
                    </w14:srgbClr>
                  </w14:solidFill>
                </w14:textFill>
              </w:rPr>
              <w:t>|</w:t>
            </w:r>
          </w:p>
        </w:tc>
      </w:tr>
      <w:tr w:rsidR="007E20FB" w:rsidRPr="0049396B" w14:paraId="46090003" w14:textId="77777777" w:rsidTr="00EB254E">
        <w:tc>
          <w:tcPr>
            <w:tcW w:w="1529" w:type="pct"/>
            <w:vAlign w:val="center"/>
          </w:tcPr>
          <w:p w14:paraId="47A04050" w14:textId="77777777" w:rsidR="007E20FB" w:rsidRPr="0049396B" w:rsidRDefault="007E20FB" w:rsidP="00EB254E">
            <w:pPr>
              <w:pStyle w:val="TableText0"/>
            </w:pPr>
            <w:r w:rsidRPr="0049396B">
              <w:t>LYs</w:t>
            </w:r>
          </w:p>
        </w:tc>
        <w:tc>
          <w:tcPr>
            <w:tcW w:w="1359" w:type="pct"/>
            <w:vAlign w:val="center"/>
          </w:tcPr>
          <w:p w14:paraId="69D00EBB" w14:textId="77777777" w:rsidR="007E20FB" w:rsidRPr="0049396B" w:rsidRDefault="007E20FB" w:rsidP="00EB254E">
            <w:pPr>
              <w:pStyle w:val="TableText0"/>
              <w:jc w:val="center"/>
            </w:pPr>
            <w:r w:rsidRPr="0049396B">
              <w:t>3.99</w:t>
            </w:r>
          </w:p>
        </w:tc>
        <w:tc>
          <w:tcPr>
            <w:tcW w:w="1274" w:type="pct"/>
            <w:vAlign w:val="center"/>
          </w:tcPr>
          <w:p w14:paraId="6DD21BAF" w14:textId="77777777" w:rsidR="007E20FB" w:rsidRPr="0049396B" w:rsidRDefault="007E20FB" w:rsidP="00EB254E">
            <w:pPr>
              <w:pStyle w:val="TableText0"/>
              <w:jc w:val="center"/>
            </w:pPr>
            <w:r w:rsidRPr="0049396B">
              <w:t>2.92</w:t>
            </w:r>
          </w:p>
        </w:tc>
        <w:tc>
          <w:tcPr>
            <w:tcW w:w="838" w:type="pct"/>
            <w:vAlign w:val="center"/>
          </w:tcPr>
          <w:p w14:paraId="307CFD2A" w14:textId="77777777" w:rsidR="007E20FB" w:rsidRPr="0049396B" w:rsidRDefault="007E20FB" w:rsidP="00EB254E">
            <w:pPr>
              <w:pStyle w:val="TableText0"/>
              <w:jc w:val="center"/>
            </w:pPr>
            <w:r w:rsidRPr="0049396B">
              <w:t>1.07</w:t>
            </w:r>
          </w:p>
        </w:tc>
      </w:tr>
      <w:tr w:rsidR="007E20FB" w:rsidRPr="0049396B" w14:paraId="1CFD3BBE" w14:textId="77777777" w:rsidTr="00EB254E">
        <w:tc>
          <w:tcPr>
            <w:tcW w:w="1529" w:type="pct"/>
            <w:vAlign w:val="center"/>
          </w:tcPr>
          <w:p w14:paraId="62523F11" w14:textId="77777777" w:rsidR="007E20FB" w:rsidRPr="0049396B" w:rsidRDefault="007E20FB" w:rsidP="00EB254E">
            <w:pPr>
              <w:pStyle w:val="TableText0"/>
              <w:rPr>
                <w:rFonts w:ascii="Times" w:hAnsi="Times"/>
              </w:rPr>
            </w:pPr>
            <w:r w:rsidRPr="0049396B">
              <w:t>QALYs</w:t>
            </w:r>
          </w:p>
        </w:tc>
        <w:tc>
          <w:tcPr>
            <w:tcW w:w="1359" w:type="pct"/>
            <w:vAlign w:val="center"/>
          </w:tcPr>
          <w:p w14:paraId="084A5010" w14:textId="77777777" w:rsidR="007E20FB" w:rsidRPr="0049396B" w:rsidRDefault="007E20FB" w:rsidP="00EB254E">
            <w:pPr>
              <w:pStyle w:val="TableText0"/>
              <w:jc w:val="center"/>
              <w:rPr>
                <w:rFonts w:ascii="Times" w:hAnsi="Times"/>
              </w:rPr>
            </w:pPr>
            <w:r w:rsidRPr="0049396B">
              <w:t>2.81</w:t>
            </w:r>
          </w:p>
        </w:tc>
        <w:tc>
          <w:tcPr>
            <w:tcW w:w="1274" w:type="pct"/>
            <w:vAlign w:val="center"/>
          </w:tcPr>
          <w:p w14:paraId="25EE23F8" w14:textId="77777777" w:rsidR="007E20FB" w:rsidRPr="0049396B" w:rsidRDefault="007E20FB" w:rsidP="00EB254E">
            <w:pPr>
              <w:pStyle w:val="TableText0"/>
              <w:jc w:val="center"/>
              <w:rPr>
                <w:rFonts w:ascii="Times" w:hAnsi="Times"/>
              </w:rPr>
            </w:pPr>
            <w:r w:rsidRPr="0049396B">
              <w:t>2.05</w:t>
            </w:r>
          </w:p>
        </w:tc>
        <w:tc>
          <w:tcPr>
            <w:tcW w:w="838" w:type="pct"/>
            <w:vAlign w:val="center"/>
          </w:tcPr>
          <w:p w14:paraId="3BE6B6BD" w14:textId="77777777" w:rsidR="007E20FB" w:rsidRPr="0049396B" w:rsidRDefault="007E20FB" w:rsidP="00EB254E">
            <w:pPr>
              <w:pStyle w:val="TableText0"/>
              <w:jc w:val="center"/>
            </w:pPr>
            <w:r w:rsidRPr="0049396B">
              <w:t>0.76</w:t>
            </w:r>
          </w:p>
        </w:tc>
      </w:tr>
      <w:tr w:rsidR="007E20FB" w:rsidRPr="0049396B" w14:paraId="2719F828" w14:textId="77777777" w:rsidTr="00EB254E">
        <w:tc>
          <w:tcPr>
            <w:tcW w:w="4162" w:type="pct"/>
            <w:gridSpan w:val="3"/>
            <w:vAlign w:val="center"/>
          </w:tcPr>
          <w:p w14:paraId="39E99BA6" w14:textId="51E3272E" w:rsidR="007E20FB" w:rsidRPr="0049396B" w:rsidRDefault="007E20FB" w:rsidP="00EB254E">
            <w:pPr>
              <w:pStyle w:val="TableText0"/>
              <w:rPr>
                <w:rFonts w:ascii="Times" w:hAnsi="Times"/>
              </w:rPr>
            </w:pPr>
            <w:r w:rsidRPr="0049396B">
              <w:t>Incremental cost/LY gained</w:t>
            </w:r>
            <w:r w:rsidR="006C4083">
              <w:t xml:space="preserve"> ($)</w:t>
            </w:r>
          </w:p>
        </w:tc>
        <w:tc>
          <w:tcPr>
            <w:tcW w:w="838" w:type="pct"/>
            <w:vAlign w:val="center"/>
          </w:tcPr>
          <w:p w14:paraId="52050EEA" w14:textId="111AB0B3" w:rsidR="007E20FB" w:rsidRPr="006C4083" w:rsidRDefault="0015085A" w:rsidP="00EB254E">
            <w:pPr>
              <w:pStyle w:val="TableText0"/>
              <w:jc w:val="center"/>
              <w:rPr>
                <w:rFonts w:ascii="Times" w:hAnsi="Times"/>
                <w:highlight w:val="darkGray"/>
              </w:rPr>
            </w:pPr>
            <w:r>
              <w:t xml:space="preserve"> </w:t>
            </w:r>
            <w:r w:rsidRPr="0015085A">
              <w:rPr>
                <w:color w:val="000000"/>
                <w:shd w:val="solid" w:color="000000" w:fill="000000"/>
                <w14:textFill>
                  <w14:solidFill>
                    <w14:srgbClr w14:val="000000">
                      <w14:alpha w14:val="100000"/>
                    </w14:srgbClr>
                  </w14:solidFill>
                </w14:textFill>
              </w:rPr>
              <w:t>|</w:t>
            </w:r>
            <w:r w:rsidR="006C4083" w:rsidRPr="006C4083">
              <w:rPr>
                <w:vertAlign w:val="superscript"/>
              </w:rPr>
              <w:t>1</w:t>
            </w:r>
          </w:p>
        </w:tc>
      </w:tr>
      <w:tr w:rsidR="007E20FB" w:rsidRPr="0049396B" w14:paraId="4A9F7051" w14:textId="77777777" w:rsidTr="00EB254E">
        <w:tc>
          <w:tcPr>
            <w:tcW w:w="4162" w:type="pct"/>
            <w:gridSpan w:val="3"/>
            <w:vAlign w:val="center"/>
          </w:tcPr>
          <w:p w14:paraId="2A51E582" w14:textId="055742CE" w:rsidR="007E20FB" w:rsidRPr="0049396B" w:rsidRDefault="007E20FB" w:rsidP="00EB254E">
            <w:pPr>
              <w:pStyle w:val="TableText0"/>
              <w:rPr>
                <w:b/>
              </w:rPr>
            </w:pPr>
            <w:r w:rsidRPr="0049396B">
              <w:rPr>
                <w:b/>
              </w:rPr>
              <w:t>Incremental cost/QALY gained</w:t>
            </w:r>
            <w:r w:rsidR="006C4083">
              <w:rPr>
                <w:b/>
              </w:rPr>
              <w:t xml:space="preserve"> ($)</w:t>
            </w:r>
          </w:p>
        </w:tc>
        <w:tc>
          <w:tcPr>
            <w:tcW w:w="838" w:type="pct"/>
            <w:vAlign w:val="center"/>
          </w:tcPr>
          <w:p w14:paraId="22DE70F0" w14:textId="6572AC6B" w:rsidR="007E20FB" w:rsidRPr="006C4083" w:rsidRDefault="0015085A" w:rsidP="00EB254E">
            <w:pPr>
              <w:pStyle w:val="TableText0"/>
              <w:jc w:val="center"/>
              <w:rPr>
                <w:b/>
                <w:highlight w:val="darkGray"/>
              </w:rPr>
            </w:pPr>
            <w:r>
              <w:rPr>
                <w:b/>
              </w:rPr>
              <w:t xml:space="preserve"> </w:t>
            </w:r>
            <w:r w:rsidRPr="0015085A">
              <w:rPr>
                <w:b/>
                <w:color w:val="000000"/>
                <w:shd w:val="solid" w:color="000000" w:fill="000000"/>
                <w14:textFill>
                  <w14:solidFill>
                    <w14:srgbClr w14:val="000000">
                      <w14:alpha w14:val="100000"/>
                    </w14:srgbClr>
                  </w14:solidFill>
                </w14:textFill>
              </w:rPr>
              <w:t>|</w:t>
            </w:r>
            <w:r w:rsidR="006C4083">
              <w:rPr>
                <w:vertAlign w:val="superscript"/>
              </w:rPr>
              <w:t>2</w:t>
            </w:r>
          </w:p>
        </w:tc>
      </w:tr>
    </w:tbl>
    <w:p w14:paraId="61A4B80E" w14:textId="77777777" w:rsidR="007E20FB" w:rsidRPr="0049396B" w:rsidRDefault="007E20FB" w:rsidP="007E20FB">
      <w:pPr>
        <w:pStyle w:val="FooterTableFigure"/>
      </w:pPr>
      <w:r w:rsidRPr="0049396B">
        <w:t>Source: Table 3-26, 3-27 p194 of the submission</w:t>
      </w:r>
    </w:p>
    <w:p w14:paraId="0735C8C1" w14:textId="4C87FF77" w:rsidR="007E20FB" w:rsidRDefault="007E20FB" w:rsidP="006C4083">
      <w:pPr>
        <w:pStyle w:val="FooterTableFigure"/>
        <w:spacing w:after="0"/>
      </w:pPr>
      <w:r w:rsidRPr="0049396B">
        <w:t>LY=life year, QALY= quality adjusted life year, SOC=standard of care</w:t>
      </w:r>
    </w:p>
    <w:p w14:paraId="55CCB14C" w14:textId="77777777" w:rsidR="006C4083" w:rsidRPr="009A6D58" w:rsidRDefault="006C4083" w:rsidP="006C4083">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8BA8DAC" w14:textId="76AE2E57" w:rsidR="006C4083" w:rsidRPr="009A6D58" w:rsidRDefault="006C4083" w:rsidP="006C4083">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6C4083">
        <w:rPr>
          <w:rFonts w:ascii="Arial Narrow" w:hAnsi="Arial Narrow"/>
          <w:i/>
          <w:sz w:val="18"/>
          <w:szCs w:val="18"/>
        </w:rPr>
        <w:t>$55,000 to &lt; $75,000</w:t>
      </w:r>
    </w:p>
    <w:p w14:paraId="18604542" w14:textId="347D2813" w:rsidR="006C4083" w:rsidRPr="006C4083" w:rsidRDefault="006C4083" w:rsidP="006C4083">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C4083">
        <w:rPr>
          <w:rFonts w:ascii="Arial Narrow" w:hAnsi="Arial Narrow"/>
          <w:i/>
          <w:sz w:val="18"/>
          <w:szCs w:val="18"/>
        </w:rPr>
        <w:t>$75,000 to &lt; $95,000</w:t>
      </w:r>
    </w:p>
    <w:p w14:paraId="35635B85" w14:textId="77777777" w:rsidR="007E20FB" w:rsidRPr="0049396B" w:rsidRDefault="007E20FB" w:rsidP="007E20FB">
      <w:pPr>
        <w:pStyle w:val="3-BodyText"/>
        <w:rPr>
          <w:iCs/>
        </w:rPr>
      </w:pPr>
      <w:r w:rsidRPr="0049396B">
        <w:rPr>
          <w:iCs/>
        </w:rPr>
        <w:t>The largest contributor to the incremental costs was the cost of edaravone, equating to 69.5% of the overall incremental cost. Stage 4b costs were also a significant driver of the incremental costs (18.2%), resulting from stage 4b being the costliest health state, with a largest incremental life years for edaravone versus SOC (0.48 years). The edaravone arm was associated with an increase in life years and quality adjusted life years in all health states of the model. The largest incremental gain in undiscounted life years was seen in stages 4b and 3, with approximately 6 months of additional life years gained in each. This resulted in 0.32 incremental undiscounted QALYs in stage 3 (33.3% total incremental QALYs) and 0.29 incremental QALYs in stage 4b (30.4% total incremental QALYs).</w:t>
      </w:r>
    </w:p>
    <w:p w14:paraId="3FBADB21" w14:textId="4E1BE594" w:rsidR="007E20FB" w:rsidRPr="0049396B" w:rsidRDefault="007E20FB" w:rsidP="007E20FB">
      <w:pPr>
        <w:pStyle w:val="3-BodyText"/>
      </w:pPr>
      <w:r w:rsidRPr="0049396B">
        <w:t xml:space="preserve">The results of key sensitivity analyses are summarised in </w:t>
      </w:r>
      <w:r w:rsidRPr="0049396B">
        <w:fldChar w:fldCharType="begin" w:fldLock="1"/>
      </w:r>
      <w:r w:rsidRPr="0049396B">
        <w:instrText xml:space="preserve"> REF _Ref104804865 \h </w:instrText>
      </w:r>
      <w:r w:rsidRPr="0049396B">
        <w:fldChar w:fldCharType="separate"/>
      </w:r>
      <w:r w:rsidR="00041148" w:rsidRPr="0049396B">
        <w:t>Table 11</w:t>
      </w:r>
      <w:r w:rsidRPr="0049396B">
        <w:fldChar w:fldCharType="end"/>
      </w:r>
      <w:r w:rsidRPr="0049396B">
        <w:t xml:space="preserve">. </w:t>
      </w:r>
    </w:p>
    <w:p w14:paraId="7E754458" w14:textId="3F5E5EB7" w:rsidR="007E20FB" w:rsidRPr="0049396B" w:rsidRDefault="007E20FB" w:rsidP="007E4A08">
      <w:pPr>
        <w:pStyle w:val="TableFigureHeading"/>
        <w:keepLines/>
        <w:rPr>
          <w:rStyle w:val="CommentReference"/>
          <w:b/>
          <w:szCs w:val="24"/>
        </w:rPr>
      </w:pPr>
      <w:bookmarkStart w:id="73" w:name="_Ref104804865"/>
      <w:r w:rsidRPr="0049396B">
        <w:lastRenderedPageBreak/>
        <w:t xml:space="preserve">Table </w:t>
      </w:r>
      <w:r w:rsidR="001C0AB9">
        <w:fldChar w:fldCharType="begin" w:fldLock="1"/>
      </w:r>
      <w:r w:rsidR="001C0AB9">
        <w:instrText xml:space="preserve"> SEQ Table \* ARABIC </w:instrText>
      </w:r>
      <w:r w:rsidR="001C0AB9">
        <w:fldChar w:fldCharType="separate"/>
      </w:r>
      <w:r w:rsidR="00B41026" w:rsidRPr="0049396B">
        <w:t>11</w:t>
      </w:r>
      <w:r w:rsidR="001C0AB9">
        <w:fldChar w:fldCharType="end"/>
      </w:r>
      <w:bookmarkEnd w:id="73"/>
      <w:r w:rsidRPr="0049396B">
        <w:t>:</w:t>
      </w:r>
      <w:r w:rsidRPr="0049396B">
        <w:rPr>
          <w:rStyle w:val="CommentReference"/>
          <w:b/>
          <w:szCs w:val="24"/>
        </w:rPr>
        <w:t xml:space="preserv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6"/>
        <w:gridCol w:w="1331"/>
        <w:gridCol w:w="1452"/>
        <w:gridCol w:w="1075"/>
        <w:gridCol w:w="1073"/>
      </w:tblGrid>
      <w:tr w:rsidR="007E20FB" w:rsidRPr="0049396B" w14:paraId="41BF4150" w14:textId="77777777" w:rsidTr="00EB254E">
        <w:trPr>
          <w:tblHeader/>
        </w:trPr>
        <w:tc>
          <w:tcPr>
            <w:tcW w:w="2266" w:type="pct"/>
          </w:tcPr>
          <w:p w14:paraId="73CBEF7B" w14:textId="77777777" w:rsidR="007E20FB" w:rsidRPr="0049396B" w:rsidRDefault="007E20FB" w:rsidP="007E4A08">
            <w:pPr>
              <w:pStyle w:val="In-tableHeading"/>
              <w:keepLines/>
              <w:rPr>
                <w:lang w:val="en-AU"/>
              </w:rPr>
            </w:pPr>
            <w:r w:rsidRPr="0049396B">
              <w:rPr>
                <w:lang w:val="en-AU"/>
              </w:rPr>
              <w:t>Analyses</w:t>
            </w:r>
          </w:p>
        </w:tc>
        <w:tc>
          <w:tcPr>
            <w:tcW w:w="738" w:type="pct"/>
          </w:tcPr>
          <w:p w14:paraId="71AF4A46" w14:textId="70E069B3" w:rsidR="007E20FB" w:rsidRPr="0049396B" w:rsidRDefault="007E20FB" w:rsidP="007E4A08">
            <w:pPr>
              <w:pStyle w:val="In-tableHeading"/>
              <w:keepLines/>
              <w:jc w:val="center"/>
              <w:rPr>
                <w:lang w:val="en-AU"/>
              </w:rPr>
            </w:pPr>
            <w:r w:rsidRPr="0049396B">
              <w:rPr>
                <w:lang w:val="en-AU"/>
              </w:rPr>
              <w:t>Incremental cost</w:t>
            </w:r>
            <w:r w:rsidR="00D94CF5">
              <w:rPr>
                <w:lang w:val="en-AU"/>
              </w:rPr>
              <w:t xml:space="preserve"> ($)</w:t>
            </w:r>
          </w:p>
        </w:tc>
        <w:tc>
          <w:tcPr>
            <w:tcW w:w="805" w:type="pct"/>
          </w:tcPr>
          <w:p w14:paraId="6CC164BA" w14:textId="77777777" w:rsidR="007E20FB" w:rsidRPr="0049396B" w:rsidRDefault="007E20FB" w:rsidP="007E4A08">
            <w:pPr>
              <w:pStyle w:val="In-tableHeading"/>
              <w:keepLines/>
              <w:jc w:val="center"/>
              <w:rPr>
                <w:lang w:val="en-AU"/>
              </w:rPr>
            </w:pPr>
            <w:r w:rsidRPr="0049396B">
              <w:rPr>
                <w:lang w:val="en-AU"/>
              </w:rPr>
              <w:t>Incremental QALY</w:t>
            </w:r>
          </w:p>
        </w:tc>
        <w:tc>
          <w:tcPr>
            <w:tcW w:w="596" w:type="pct"/>
          </w:tcPr>
          <w:p w14:paraId="524212CE" w14:textId="77777777" w:rsidR="007E20FB" w:rsidRPr="0049396B" w:rsidRDefault="007E20FB" w:rsidP="007E4A08">
            <w:pPr>
              <w:pStyle w:val="In-tableHeading"/>
              <w:keepLines/>
              <w:jc w:val="center"/>
              <w:rPr>
                <w:lang w:val="en-AU"/>
              </w:rPr>
            </w:pPr>
            <w:r w:rsidRPr="0049396B">
              <w:rPr>
                <w:lang w:val="en-AU"/>
              </w:rPr>
              <w:t>ICER</w:t>
            </w:r>
          </w:p>
        </w:tc>
        <w:tc>
          <w:tcPr>
            <w:tcW w:w="595" w:type="pct"/>
          </w:tcPr>
          <w:p w14:paraId="4BD83D94" w14:textId="77777777" w:rsidR="007E20FB" w:rsidRPr="0049396B" w:rsidRDefault="007E20FB" w:rsidP="007E4A08">
            <w:pPr>
              <w:pStyle w:val="In-tableHeading"/>
              <w:keepLines/>
              <w:jc w:val="center"/>
              <w:rPr>
                <w:lang w:val="en-AU"/>
              </w:rPr>
            </w:pPr>
            <w:r w:rsidRPr="0049396B">
              <w:rPr>
                <w:lang w:val="en-AU"/>
              </w:rPr>
              <w:t>%∆</w:t>
            </w:r>
          </w:p>
        </w:tc>
      </w:tr>
      <w:tr w:rsidR="007E20FB" w:rsidRPr="0049396B" w14:paraId="58DD83B7" w14:textId="77777777" w:rsidTr="00EB254E">
        <w:trPr>
          <w:tblHeader/>
        </w:trPr>
        <w:tc>
          <w:tcPr>
            <w:tcW w:w="2266" w:type="pct"/>
            <w:tcBorders>
              <w:bottom w:val="single" w:sz="4" w:space="0" w:color="auto"/>
            </w:tcBorders>
          </w:tcPr>
          <w:p w14:paraId="61397F24" w14:textId="77777777" w:rsidR="007E20FB" w:rsidRPr="0049396B" w:rsidRDefault="007E20FB" w:rsidP="007E4A08">
            <w:pPr>
              <w:pStyle w:val="TableText0"/>
              <w:keepLines/>
              <w:rPr>
                <w:b/>
              </w:rPr>
            </w:pPr>
            <w:r w:rsidRPr="0049396B">
              <w:rPr>
                <w:b/>
              </w:rPr>
              <w:t>Base case</w:t>
            </w:r>
          </w:p>
        </w:tc>
        <w:tc>
          <w:tcPr>
            <w:tcW w:w="738" w:type="pct"/>
            <w:tcBorders>
              <w:bottom w:val="single" w:sz="4" w:space="0" w:color="auto"/>
            </w:tcBorders>
          </w:tcPr>
          <w:p w14:paraId="75CF6330" w14:textId="24596008" w:rsidR="007E20FB" w:rsidRPr="006C4083" w:rsidRDefault="0015085A" w:rsidP="007E4A08">
            <w:pPr>
              <w:pStyle w:val="TableText0"/>
              <w:keepLines/>
              <w:jc w:val="center"/>
              <w:rPr>
                <w:b/>
                <w:highlight w:val="darkGray"/>
              </w:rPr>
            </w:pPr>
            <w:r>
              <w:rPr>
                <w:b/>
              </w:rPr>
              <w:t xml:space="preserve"> </w:t>
            </w:r>
            <w:r w:rsidRPr="0015085A">
              <w:rPr>
                <w:rFonts w:hint="eastAsia"/>
                <w:b/>
                <w:color w:val="000000"/>
                <w:w w:val="15"/>
                <w:shd w:val="solid" w:color="000000" w:fill="000000"/>
                <w:fitText w:val="60" w:id="-1032131825"/>
                <w14:textFill>
                  <w14:solidFill>
                    <w14:srgbClr w14:val="000000">
                      <w14:alpha w14:val="100000"/>
                    </w14:srgbClr>
                  </w14:solidFill>
                </w14:textFill>
              </w:rPr>
              <w:t xml:space="preserve">　</w:t>
            </w:r>
            <w:r w:rsidRPr="0015085A">
              <w:rPr>
                <w:b/>
                <w:color w:val="000000"/>
                <w:w w:val="15"/>
                <w:shd w:val="solid" w:color="000000" w:fill="000000"/>
                <w:fitText w:val="60" w:id="-1032131825"/>
                <w14:textFill>
                  <w14:solidFill>
                    <w14:srgbClr w14:val="000000">
                      <w14:alpha w14:val="100000"/>
                    </w14:srgbClr>
                  </w14:solidFill>
                </w14:textFill>
              </w:rPr>
              <w:t>|</w:t>
            </w:r>
            <w:r w:rsidRPr="0015085A">
              <w:rPr>
                <w:rFonts w:hint="eastAsia"/>
                <w:b/>
                <w:color w:val="000000"/>
                <w:spacing w:val="-6"/>
                <w:w w:val="15"/>
                <w:shd w:val="solid" w:color="000000" w:fill="000000"/>
                <w:fitText w:val="60" w:id="-1032131825"/>
                <w14:textFill>
                  <w14:solidFill>
                    <w14:srgbClr w14:val="000000">
                      <w14:alpha w14:val="100000"/>
                    </w14:srgbClr>
                  </w14:solidFill>
                </w14:textFill>
              </w:rPr>
              <w:t xml:space="preserve">　</w:t>
            </w:r>
          </w:p>
        </w:tc>
        <w:tc>
          <w:tcPr>
            <w:tcW w:w="805" w:type="pct"/>
            <w:tcBorders>
              <w:bottom w:val="single" w:sz="4" w:space="0" w:color="auto"/>
            </w:tcBorders>
          </w:tcPr>
          <w:p w14:paraId="301D23D8" w14:textId="77777777" w:rsidR="007E20FB" w:rsidRPr="0049396B" w:rsidRDefault="007E20FB" w:rsidP="007E4A08">
            <w:pPr>
              <w:pStyle w:val="TableText0"/>
              <w:keepLines/>
              <w:jc w:val="center"/>
              <w:rPr>
                <w:b/>
              </w:rPr>
            </w:pPr>
            <w:r w:rsidRPr="0049396B">
              <w:rPr>
                <w:b/>
              </w:rPr>
              <w:t>0.76</w:t>
            </w:r>
          </w:p>
        </w:tc>
        <w:tc>
          <w:tcPr>
            <w:tcW w:w="596" w:type="pct"/>
            <w:tcBorders>
              <w:bottom w:val="single" w:sz="4" w:space="0" w:color="auto"/>
            </w:tcBorders>
          </w:tcPr>
          <w:p w14:paraId="68F4F599" w14:textId="140FF847" w:rsidR="007E20FB" w:rsidRPr="006C4083" w:rsidRDefault="0015085A" w:rsidP="007E4A08">
            <w:pPr>
              <w:pStyle w:val="TableText0"/>
              <w:keepLines/>
              <w:jc w:val="center"/>
              <w:rPr>
                <w:b/>
                <w:highlight w:val="darkGray"/>
              </w:rPr>
            </w:pPr>
            <w:r>
              <w:rPr>
                <w:b/>
              </w:rPr>
              <w:t xml:space="preserve"> </w:t>
            </w:r>
            <w:r w:rsidRPr="0015085A">
              <w:rPr>
                <w:b/>
                <w:color w:val="000000"/>
                <w:spacing w:val="41"/>
                <w:shd w:val="solid" w:color="000000" w:fill="000000"/>
                <w:fitText w:val="220" w:id="-1032131824"/>
                <w14:textFill>
                  <w14:solidFill>
                    <w14:srgbClr w14:val="000000">
                      <w14:alpha w14:val="100000"/>
                    </w14:srgbClr>
                  </w14:solidFill>
                </w14:textFill>
              </w:rPr>
              <w:t>||</w:t>
            </w:r>
            <w:r w:rsidRPr="0015085A">
              <w:rPr>
                <w:b/>
                <w:color w:val="000000"/>
                <w:spacing w:val="1"/>
                <w:shd w:val="solid" w:color="000000" w:fill="000000"/>
                <w:fitText w:val="220" w:id="-1032131824"/>
                <w14:textFill>
                  <w14:solidFill>
                    <w14:srgbClr w14:val="000000">
                      <w14:alpha w14:val="100000"/>
                    </w14:srgbClr>
                  </w14:solidFill>
                </w14:textFill>
              </w:rPr>
              <w:t>|</w:t>
            </w:r>
            <w:r w:rsidR="006C4083" w:rsidRPr="006C4083">
              <w:rPr>
                <w:bCs w:val="0"/>
                <w:vertAlign w:val="superscript"/>
              </w:rPr>
              <w:t>1</w:t>
            </w:r>
          </w:p>
        </w:tc>
        <w:tc>
          <w:tcPr>
            <w:tcW w:w="595" w:type="pct"/>
            <w:tcBorders>
              <w:bottom w:val="single" w:sz="4" w:space="0" w:color="auto"/>
            </w:tcBorders>
          </w:tcPr>
          <w:p w14:paraId="187EF083" w14:textId="77777777" w:rsidR="007E20FB" w:rsidRPr="0049396B" w:rsidRDefault="007E20FB" w:rsidP="007E4A08">
            <w:pPr>
              <w:pStyle w:val="TableText0"/>
              <w:keepLines/>
              <w:jc w:val="center"/>
              <w:rPr>
                <w:b/>
              </w:rPr>
            </w:pPr>
            <w:r w:rsidRPr="0049396B">
              <w:rPr>
                <w:b/>
              </w:rPr>
              <w:t>-</w:t>
            </w:r>
          </w:p>
        </w:tc>
      </w:tr>
      <w:tr w:rsidR="007E20FB" w:rsidRPr="0049396B" w14:paraId="5F64CC6C" w14:textId="77777777" w:rsidTr="00EB254E">
        <w:tc>
          <w:tcPr>
            <w:tcW w:w="2266" w:type="pct"/>
            <w:tcBorders>
              <w:bottom w:val="nil"/>
            </w:tcBorders>
          </w:tcPr>
          <w:p w14:paraId="4512F12D" w14:textId="77777777" w:rsidR="007E20FB" w:rsidRPr="0049396B" w:rsidRDefault="007E20FB" w:rsidP="007E4A08">
            <w:pPr>
              <w:pStyle w:val="TableText0"/>
              <w:keepLines/>
            </w:pPr>
            <w:r w:rsidRPr="0049396B">
              <w:t>Discount rate (base case 5% costs and outcomes)</w:t>
            </w:r>
          </w:p>
        </w:tc>
        <w:tc>
          <w:tcPr>
            <w:tcW w:w="738" w:type="pct"/>
            <w:tcBorders>
              <w:bottom w:val="nil"/>
            </w:tcBorders>
          </w:tcPr>
          <w:p w14:paraId="02BB2232" w14:textId="77777777" w:rsidR="007E20FB" w:rsidRPr="006C4083" w:rsidRDefault="007E20FB" w:rsidP="007E4A08">
            <w:pPr>
              <w:pStyle w:val="TableText0"/>
              <w:keepLines/>
              <w:jc w:val="center"/>
              <w:rPr>
                <w:highlight w:val="darkGray"/>
              </w:rPr>
            </w:pPr>
          </w:p>
        </w:tc>
        <w:tc>
          <w:tcPr>
            <w:tcW w:w="805" w:type="pct"/>
            <w:tcBorders>
              <w:bottom w:val="nil"/>
            </w:tcBorders>
          </w:tcPr>
          <w:p w14:paraId="601B7948" w14:textId="77777777" w:rsidR="007E20FB" w:rsidRPr="0049396B" w:rsidRDefault="007E20FB" w:rsidP="007E4A08">
            <w:pPr>
              <w:pStyle w:val="TableText0"/>
              <w:keepLines/>
              <w:jc w:val="center"/>
            </w:pPr>
          </w:p>
        </w:tc>
        <w:tc>
          <w:tcPr>
            <w:tcW w:w="596" w:type="pct"/>
            <w:tcBorders>
              <w:bottom w:val="nil"/>
            </w:tcBorders>
          </w:tcPr>
          <w:p w14:paraId="1908A3F1" w14:textId="77777777" w:rsidR="007E20FB" w:rsidRPr="006C4083" w:rsidRDefault="007E20FB" w:rsidP="007E4A08">
            <w:pPr>
              <w:pStyle w:val="TableText0"/>
              <w:keepLines/>
              <w:jc w:val="center"/>
              <w:rPr>
                <w:highlight w:val="darkGray"/>
              </w:rPr>
            </w:pPr>
          </w:p>
        </w:tc>
        <w:tc>
          <w:tcPr>
            <w:tcW w:w="595" w:type="pct"/>
            <w:tcBorders>
              <w:bottom w:val="nil"/>
            </w:tcBorders>
          </w:tcPr>
          <w:p w14:paraId="7B86046D" w14:textId="77777777" w:rsidR="007E20FB" w:rsidRPr="0049396B" w:rsidRDefault="007E20FB" w:rsidP="007E4A08">
            <w:pPr>
              <w:pStyle w:val="TableText0"/>
              <w:keepLines/>
              <w:jc w:val="center"/>
            </w:pPr>
          </w:p>
        </w:tc>
      </w:tr>
      <w:tr w:rsidR="007E20FB" w:rsidRPr="0049396B" w14:paraId="78C5187B" w14:textId="77777777" w:rsidTr="00EB254E">
        <w:tc>
          <w:tcPr>
            <w:tcW w:w="2266" w:type="pct"/>
            <w:tcBorders>
              <w:top w:val="nil"/>
              <w:bottom w:val="nil"/>
            </w:tcBorders>
          </w:tcPr>
          <w:p w14:paraId="39032AC5" w14:textId="77777777" w:rsidR="007E20FB" w:rsidRPr="0049396B" w:rsidRDefault="007E20FB" w:rsidP="00A21488">
            <w:pPr>
              <w:pStyle w:val="TableText0"/>
              <w:keepLines/>
              <w:numPr>
                <w:ilvl w:val="0"/>
                <w:numId w:val="6"/>
              </w:numPr>
              <w:ind w:left="33" w:firstLine="0"/>
            </w:pPr>
            <w:r w:rsidRPr="0049396B">
              <w:t>0% costs and outcomes</w:t>
            </w:r>
          </w:p>
        </w:tc>
        <w:tc>
          <w:tcPr>
            <w:tcW w:w="738" w:type="pct"/>
            <w:tcBorders>
              <w:top w:val="nil"/>
              <w:bottom w:val="nil"/>
            </w:tcBorders>
          </w:tcPr>
          <w:p w14:paraId="498C91BF" w14:textId="7C971245"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40"/>
                <w14:textFill>
                  <w14:solidFill>
                    <w14:srgbClr w14:val="000000">
                      <w14:alpha w14:val="100000"/>
                    </w14:srgbClr>
                  </w14:solidFill>
                </w14:textFill>
              </w:rPr>
              <w:t xml:space="preserve">　</w:t>
            </w:r>
            <w:r w:rsidRPr="005E015C">
              <w:rPr>
                <w:color w:val="000000"/>
                <w:w w:val="15"/>
                <w:shd w:val="solid" w:color="000000" w:fill="000000"/>
                <w:fitText w:val="10" w:id="-1032131840"/>
                <w14:textFill>
                  <w14:solidFill>
                    <w14:srgbClr w14:val="000000">
                      <w14:alpha w14:val="100000"/>
                    </w14:srgbClr>
                  </w14:solidFill>
                </w14:textFill>
              </w:rPr>
              <w:t>|</w:t>
            </w:r>
            <w:r w:rsidRPr="005E015C">
              <w:rPr>
                <w:rFonts w:hint="eastAsia"/>
                <w:color w:val="000000"/>
                <w:spacing w:val="-55"/>
                <w:w w:val="15"/>
                <w:shd w:val="solid" w:color="000000" w:fill="000000"/>
                <w:fitText w:val="10" w:id="-1032131840"/>
                <w14:textFill>
                  <w14:solidFill>
                    <w14:srgbClr w14:val="000000">
                      <w14:alpha w14:val="100000"/>
                    </w14:srgbClr>
                  </w14:solidFill>
                </w14:textFill>
              </w:rPr>
              <w:t xml:space="preserve">　</w:t>
            </w:r>
          </w:p>
        </w:tc>
        <w:tc>
          <w:tcPr>
            <w:tcW w:w="805" w:type="pct"/>
            <w:tcBorders>
              <w:top w:val="nil"/>
              <w:bottom w:val="nil"/>
            </w:tcBorders>
          </w:tcPr>
          <w:p w14:paraId="30C01F7C" w14:textId="77777777" w:rsidR="007E20FB" w:rsidRPr="0049396B" w:rsidRDefault="007E20FB" w:rsidP="007E4A08">
            <w:pPr>
              <w:pStyle w:val="TableText0"/>
              <w:keepLines/>
              <w:jc w:val="center"/>
            </w:pPr>
            <w:r w:rsidRPr="0049396B">
              <w:t>0.96</w:t>
            </w:r>
          </w:p>
        </w:tc>
        <w:tc>
          <w:tcPr>
            <w:tcW w:w="596" w:type="pct"/>
            <w:tcBorders>
              <w:top w:val="nil"/>
              <w:bottom w:val="nil"/>
            </w:tcBorders>
          </w:tcPr>
          <w:p w14:paraId="55849C61" w14:textId="42B348CD"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39"/>
                <w14:textFill>
                  <w14:solidFill>
                    <w14:srgbClr w14:val="000000">
                      <w14:alpha w14:val="100000"/>
                    </w14:srgbClr>
                  </w14:solidFill>
                </w14:textFill>
              </w:rPr>
              <w:t>|</w:t>
            </w:r>
            <w:r w:rsidRPr="0015085A">
              <w:rPr>
                <w:color w:val="000000"/>
                <w:spacing w:val="1"/>
                <w:shd w:val="solid" w:color="000000" w:fill="000000"/>
                <w:fitText w:val="170" w:id="-1032131839"/>
                <w14:textFill>
                  <w14:solidFill>
                    <w14:srgbClr w14:val="000000">
                      <w14:alpha w14:val="100000"/>
                    </w14:srgbClr>
                  </w14:solidFill>
                </w14:textFill>
              </w:rPr>
              <w:t>|</w:t>
            </w:r>
            <w:r w:rsidR="006C4083" w:rsidRPr="006C4083">
              <w:rPr>
                <w:bCs w:val="0"/>
                <w:vertAlign w:val="superscript"/>
              </w:rPr>
              <w:t>1</w:t>
            </w:r>
          </w:p>
        </w:tc>
        <w:tc>
          <w:tcPr>
            <w:tcW w:w="595" w:type="pct"/>
            <w:tcBorders>
              <w:top w:val="nil"/>
              <w:bottom w:val="nil"/>
            </w:tcBorders>
          </w:tcPr>
          <w:p w14:paraId="5B702840" w14:textId="4C32D593" w:rsidR="007E20FB" w:rsidRPr="0049396B" w:rsidRDefault="007E20FB" w:rsidP="007E4A08">
            <w:pPr>
              <w:pStyle w:val="TableText0"/>
              <w:keepLines/>
              <w:jc w:val="center"/>
            </w:pPr>
            <w:r w:rsidRPr="0049396B">
              <w:t>-</w:t>
            </w:r>
            <w:r w:rsidR="0015085A">
              <w:t xml:space="preserve"> </w:t>
            </w:r>
            <w:r w:rsidR="0015085A" w:rsidRPr="0015085A">
              <w:rPr>
                <w:color w:val="000000"/>
                <w:spacing w:val="84"/>
                <w:shd w:val="solid" w:color="000000" w:fill="000000"/>
                <w:fitText w:val="170" w:id="-1032131838"/>
                <w14:textFill>
                  <w14:solidFill>
                    <w14:srgbClr w14:val="000000">
                      <w14:alpha w14:val="100000"/>
                    </w14:srgbClr>
                  </w14:solidFill>
                </w14:textFill>
              </w:rPr>
              <w:t>|</w:t>
            </w:r>
            <w:r w:rsidR="0015085A" w:rsidRPr="0015085A">
              <w:rPr>
                <w:color w:val="000000"/>
                <w:spacing w:val="1"/>
                <w:shd w:val="solid" w:color="000000" w:fill="000000"/>
                <w:fitText w:val="170" w:id="-1032131838"/>
                <w14:textFill>
                  <w14:solidFill>
                    <w14:srgbClr w14:val="000000">
                      <w14:alpha w14:val="100000"/>
                    </w14:srgbClr>
                  </w14:solidFill>
                </w14:textFill>
              </w:rPr>
              <w:t>|</w:t>
            </w:r>
          </w:p>
        </w:tc>
      </w:tr>
      <w:tr w:rsidR="007E20FB" w:rsidRPr="0049396B" w14:paraId="37FC6394" w14:textId="77777777" w:rsidTr="00EB254E">
        <w:tc>
          <w:tcPr>
            <w:tcW w:w="2266" w:type="pct"/>
            <w:tcBorders>
              <w:top w:val="nil"/>
            </w:tcBorders>
          </w:tcPr>
          <w:p w14:paraId="3C4922D7" w14:textId="77777777" w:rsidR="007E20FB" w:rsidRPr="0049396B" w:rsidRDefault="007E20FB" w:rsidP="00A21488">
            <w:pPr>
              <w:pStyle w:val="TableText0"/>
              <w:keepLines/>
              <w:numPr>
                <w:ilvl w:val="0"/>
                <w:numId w:val="6"/>
              </w:numPr>
              <w:ind w:left="33" w:firstLine="0"/>
            </w:pPr>
            <w:r w:rsidRPr="0049396B">
              <w:t>3.5% costs and outcomes</w:t>
            </w:r>
          </w:p>
        </w:tc>
        <w:tc>
          <w:tcPr>
            <w:tcW w:w="738" w:type="pct"/>
            <w:tcBorders>
              <w:top w:val="nil"/>
            </w:tcBorders>
          </w:tcPr>
          <w:p w14:paraId="5CCA6B32" w14:textId="469602CC"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37"/>
                <w14:textFill>
                  <w14:solidFill>
                    <w14:srgbClr w14:val="000000">
                      <w14:alpha w14:val="100000"/>
                    </w14:srgbClr>
                  </w14:solidFill>
                </w14:textFill>
              </w:rPr>
              <w:t xml:space="preserve">　</w:t>
            </w:r>
            <w:r w:rsidRPr="005E015C">
              <w:rPr>
                <w:color w:val="000000"/>
                <w:w w:val="15"/>
                <w:shd w:val="solid" w:color="000000" w:fill="000000"/>
                <w:fitText w:val="10" w:id="-1032131837"/>
                <w14:textFill>
                  <w14:solidFill>
                    <w14:srgbClr w14:val="000000">
                      <w14:alpha w14:val="100000"/>
                    </w14:srgbClr>
                  </w14:solidFill>
                </w14:textFill>
              </w:rPr>
              <w:t>|</w:t>
            </w:r>
            <w:r w:rsidRPr="005E015C">
              <w:rPr>
                <w:rFonts w:hint="eastAsia"/>
                <w:color w:val="000000"/>
                <w:spacing w:val="-55"/>
                <w:w w:val="15"/>
                <w:shd w:val="solid" w:color="000000" w:fill="000000"/>
                <w:fitText w:val="10" w:id="-1032131837"/>
                <w14:textFill>
                  <w14:solidFill>
                    <w14:srgbClr w14:val="000000">
                      <w14:alpha w14:val="100000"/>
                    </w14:srgbClr>
                  </w14:solidFill>
                </w14:textFill>
              </w:rPr>
              <w:t xml:space="preserve">　</w:t>
            </w:r>
          </w:p>
        </w:tc>
        <w:tc>
          <w:tcPr>
            <w:tcW w:w="805" w:type="pct"/>
            <w:tcBorders>
              <w:top w:val="nil"/>
            </w:tcBorders>
          </w:tcPr>
          <w:p w14:paraId="5C7F35E1" w14:textId="77777777" w:rsidR="007E20FB" w:rsidRPr="0049396B" w:rsidRDefault="007E20FB" w:rsidP="007E4A08">
            <w:pPr>
              <w:pStyle w:val="TableText0"/>
              <w:keepLines/>
              <w:jc w:val="center"/>
            </w:pPr>
            <w:r w:rsidRPr="0049396B">
              <w:t>0.81</w:t>
            </w:r>
          </w:p>
        </w:tc>
        <w:tc>
          <w:tcPr>
            <w:tcW w:w="596" w:type="pct"/>
            <w:tcBorders>
              <w:top w:val="nil"/>
            </w:tcBorders>
          </w:tcPr>
          <w:p w14:paraId="1742D4FA" w14:textId="61EA5F8C"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36"/>
                <w14:textFill>
                  <w14:solidFill>
                    <w14:srgbClr w14:val="000000">
                      <w14:alpha w14:val="100000"/>
                    </w14:srgbClr>
                  </w14:solidFill>
                </w14:textFill>
              </w:rPr>
              <w:t>|</w:t>
            </w:r>
            <w:r w:rsidRPr="0015085A">
              <w:rPr>
                <w:color w:val="000000"/>
                <w:spacing w:val="1"/>
                <w:shd w:val="solid" w:color="000000" w:fill="000000"/>
                <w:fitText w:val="170" w:id="-1032131836"/>
                <w14:textFill>
                  <w14:solidFill>
                    <w14:srgbClr w14:val="000000">
                      <w14:alpha w14:val="100000"/>
                    </w14:srgbClr>
                  </w14:solidFill>
                </w14:textFill>
              </w:rPr>
              <w:t>|</w:t>
            </w:r>
            <w:r w:rsidR="006C4083" w:rsidRPr="006C4083">
              <w:rPr>
                <w:bCs w:val="0"/>
                <w:vertAlign w:val="superscript"/>
              </w:rPr>
              <w:t>1</w:t>
            </w:r>
          </w:p>
        </w:tc>
        <w:tc>
          <w:tcPr>
            <w:tcW w:w="595" w:type="pct"/>
            <w:tcBorders>
              <w:top w:val="nil"/>
            </w:tcBorders>
          </w:tcPr>
          <w:p w14:paraId="79F1454C" w14:textId="4AA77DFA" w:rsidR="007E20FB" w:rsidRPr="0049396B" w:rsidRDefault="007E20FB" w:rsidP="007E4A08">
            <w:pPr>
              <w:pStyle w:val="TableText0"/>
              <w:keepLines/>
              <w:jc w:val="center"/>
            </w:pPr>
            <w:r w:rsidRPr="0049396B">
              <w:t>-</w:t>
            </w:r>
            <w:r w:rsidR="0015085A">
              <w:t xml:space="preserve"> </w:t>
            </w:r>
            <w:r w:rsidR="0015085A" w:rsidRPr="0015085A">
              <w:rPr>
                <w:color w:val="000000"/>
                <w:spacing w:val="84"/>
                <w:shd w:val="solid" w:color="000000" w:fill="000000"/>
                <w:fitText w:val="170" w:id="-1032131835"/>
                <w14:textFill>
                  <w14:solidFill>
                    <w14:srgbClr w14:val="000000">
                      <w14:alpha w14:val="100000"/>
                    </w14:srgbClr>
                  </w14:solidFill>
                </w14:textFill>
              </w:rPr>
              <w:t>|</w:t>
            </w:r>
            <w:r w:rsidR="0015085A" w:rsidRPr="0015085A">
              <w:rPr>
                <w:color w:val="000000"/>
                <w:spacing w:val="1"/>
                <w:shd w:val="solid" w:color="000000" w:fill="000000"/>
                <w:fitText w:val="170" w:id="-1032131835"/>
                <w14:textFill>
                  <w14:solidFill>
                    <w14:srgbClr w14:val="000000">
                      <w14:alpha w14:val="100000"/>
                    </w14:srgbClr>
                  </w14:solidFill>
                </w14:textFill>
              </w:rPr>
              <w:t>|</w:t>
            </w:r>
          </w:p>
        </w:tc>
      </w:tr>
      <w:tr w:rsidR="007E20FB" w:rsidRPr="0049396B" w14:paraId="66351003" w14:textId="77777777" w:rsidTr="00EB254E">
        <w:tc>
          <w:tcPr>
            <w:tcW w:w="2266" w:type="pct"/>
            <w:tcBorders>
              <w:top w:val="nil"/>
            </w:tcBorders>
          </w:tcPr>
          <w:p w14:paraId="6884FF0D" w14:textId="77777777" w:rsidR="007E20FB" w:rsidRPr="0049396B" w:rsidRDefault="007E20FB" w:rsidP="007E4A08">
            <w:pPr>
              <w:pStyle w:val="TableText0"/>
              <w:keepLines/>
            </w:pPr>
            <w:r w:rsidRPr="0049396B">
              <w:t>Time horizon 5 years (base case 10 years)</w:t>
            </w:r>
          </w:p>
        </w:tc>
        <w:tc>
          <w:tcPr>
            <w:tcW w:w="738" w:type="pct"/>
            <w:tcBorders>
              <w:top w:val="nil"/>
            </w:tcBorders>
          </w:tcPr>
          <w:p w14:paraId="51399134" w14:textId="6FC3DA53"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34"/>
                <w14:textFill>
                  <w14:solidFill>
                    <w14:srgbClr w14:val="000000">
                      <w14:alpha w14:val="100000"/>
                    </w14:srgbClr>
                  </w14:solidFill>
                </w14:textFill>
              </w:rPr>
              <w:t xml:space="preserve">　</w:t>
            </w:r>
            <w:r w:rsidRPr="005E015C">
              <w:rPr>
                <w:color w:val="000000"/>
                <w:w w:val="15"/>
                <w:shd w:val="solid" w:color="000000" w:fill="000000"/>
                <w:fitText w:val="10" w:id="-1032131834"/>
                <w14:textFill>
                  <w14:solidFill>
                    <w14:srgbClr w14:val="000000">
                      <w14:alpha w14:val="100000"/>
                    </w14:srgbClr>
                  </w14:solidFill>
                </w14:textFill>
              </w:rPr>
              <w:t>|</w:t>
            </w:r>
            <w:r w:rsidRPr="005E015C">
              <w:rPr>
                <w:rFonts w:hint="eastAsia"/>
                <w:color w:val="000000"/>
                <w:spacing w:val="-55"/>
                <w:w w:val="15"/>
                <w:shd w:val="solid" w:color="000000" w:fill="000000"/>
                <w:fitText w:val="10" w:id="-1032131834"/>
                <w14:textFill>
                  <w14:solidFill>
                    <w14:srgbClr w14:val="000000">
                      <w14:alpha w14:val="100000"/>
                    </w14:srgbClr>
                  </w14:solidFill>
                </w14:textFill>
              </w:rPr>
              <w:t xml:space="preserve">　</w:t>
            </w:r>
          </w:p>
        </w:tc>
        <w:tc>
          <w:tcPr>
            <w:tcW w:w="805" w:type="pct"/>
            <w:tcBorders>
              <w:top w:val="nil"/>
            </w:tcBorders>
          </w:tcPr>
          <w:p w14:paraId="28845EEB" w14:textId="77777777" w:rsidR="007E20FB" w:rsidRPr="0049396B" w:rsidRDefault="007E20FB" w:rsidP="007E4A08">
            <w:pPr>
              <w:pStyle w:val="TableText0"/>
              <w:keepLines/>
              <w:jc w:val="center"/>
            </w:pPr>
            <w:r w:rsidRPr="0049396B">
              <w:t>0.47</w:t>
            </w:r>
          </w:p>
        </w:tc>
        <w:tc>
          <w:tcPr>
            <w:tcW w:w="596" w:type="pct"/>
            <w:tcBorders>
              <w:top w:val="nil"/>
            </w:tcBorders>
          </w:tcPr>
          <w:p w14:paraId="793A2DD7" w14:textId="1DBFCEA7"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33"/>
                <w14:textFill>
                  <w14:solidFill>
                    <w14:srgbClr w14:val="000000">
                      <w14:alpha w14:val="100000"/>
                    </w14:srgbClr>
                  </w14:solidFill>
                </w14:textFill>
              </w:rPr>
              <w:t>|</w:t>
            </w:r>
            <w:r w:rsidRPr="0015085A">
              <w:rPr>
                <w:color w:val="000000"/>
                <w:spacing w:val="1"/>
                <w:shd w:val="solid" w:color="000000" w:fill="000000"/>
                <w:fitText w:val="170" w:id="-1032131833"/>
                <w14:textFill>
                  <w14:solidFill>
                    <w14:srgbClr w14:val="000000">
                      <w14:alpha w14:val="100000"/>
                    </w14:srgbClr>
                  </w14:solidFill>
                </w14:textFill>
              </w:rPr>
              <w:t>|</w:t>
            </w:r>
            <w:r w:rsidR="006C4083">
              <w:rPr>
                <w:bCs w:val="0"/>
                <w:vertAlign w:val="superscript"/>
              </w:rPr>
              <w:t>2</w:t>
            </w:r>
          </w:p>
        </w:tc>
        <w:tc>
          <w:tcPr>
            <w:tcW w:w="595" w:type="pct"/>
            <w:tcBorders>
              <w:top w:val="nil"/>
            </w:tcBorders>
          </w:tcPr>
          <w:p w14:paraId="47FD9474" w14:textId="644301A3"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832"/>
                <w14:textFill>
                  <w14:solidFill>
                    <w14:srgbClr w14:val="000000">
                      <w14:alpha w14:val="100000"/>
                    </w14:srgbClr>
                  </w14:solidFill>
                </w14:textFill>
              </w:rPr>
              <w:t xml:space="preserve">　</w:t>
            </w:r>
            <w:r w:rsidRPr="0015085A">
              <w:rPr>
                <w:color w:val="000000"/>
                <w:w w:val="31"/>
                <w:shd w:val="solid" w:color="000000" w:fill="000000"/>
                <w:fitText w:val="140" w:id="-1032131832"/>
                <w14:textFill>
                  <w14:solidFill>
                    <w14:srgbClr w14:val="000000">
                      <w14:alpha w14:val="100000"/>
                    </w14:srgbClr>
                  </w14:solidFill>
                </w14:textFill>
              </w:rPr>
              <w:t>|</w:t>
            </w:r>
            <w:r w:rsidRPr="0015085A">
              <w:rPr>
                <w:rFonts w:hint="eastAsia"/>
                <w:color w:val="000000"/>
                <w:spacing w:val="4"/>
                <w:w w:val="31"/>
                <w:shd w:val="solid" w:color="000000" w:fill="000000"/>
                <w:fitText w:val="140" w:id="-1032131832"/>
                <w14:textFill>
                  <w14:solidFill>
                    <w14:srgbClr w14:val="000000">
                      <w14:alpha w14:val="100000"/>
                    </w14:srgbClr>
                  </w14:solidFill>
                </w14:textFill>
              </w:rPr>
              <w:t xml:space="preserve">　</w:t>
            </w:r>
          </w:p>
        </w:tc>
      </w:tr>
      <w:tr w:rsidR="007E20FB" w:rsidRPr="0049396B" w14:paraId="1BBB98D0" w14:textId="77777777" w:rsidTr="00EB254E">
        <w:tc>
          <w:tcPr>
            <w:tcW w:w="2266" w:type="pct"/>
            <w:tcBorders>
              <w:bottom w:val="nil"/>
            </w:tcBorders>
          </w:tcPr>
          <w:p w14:paraId="1CB4362F" w14:textId="77777777" w:rsidR="007E20FB" w:rsidRPr="0049396B" w:rsidRDefault="007E20FB" w:rsidP="007E4A08">
            <w:pPr>
              <w:pStyle w:val="TableText0"/>
              <w:keepLines/>
            </w:pPr>
            <w:r w:rsidRPr="0049396B">
              <w:t>King’s stage at baseline (base case all stage 1)</w:t>
            </w:r>
          </w:p>
        </w:tc>
        <w:tc>
          <w:tcPr>
            <w:tcW w:w="738" w:type="pct"/>
            <w:tcBorders>
              <w:bottom w:val="nil"/>
            </w:tcBorders>
          </w:tcPr>
          <w:p w14:paraId="488F5C8D" w14:textId="77777777" w:rsidR="007E20FB" w:rsidRPr="006C4083" w:rsidRDefault="007E20FB" w:rsidP="007E4A08">
            <w:pPr>
              <w:pStyle w:val="TableText0"/>
              <w:keepLines/>
              <w:jc w:val="center"/>
              <w:rPr>
                <w:highlight w:val="darkGray"/>
              </w:rPr>
            </w:pPr>
          </w:p>
        </w:tc>
        <w:tc>
          <w:tcPr>
            <w:tcW w:w="805" w:type="pct"/>
            <w:tcBorders>
              <w:bottom w:val="nil"/>
            </w:tcBorders>
          </w:tcPr>
          <w:p w14:paraId="3EDE5EE5" w14:textId="77777777" w:rsidR="007E20FB" w:rsidRPr="0049396B" w:rsidRDefault="007E20FB" w:rsidP="007E4A08">
            <w:pPr>
              <w:pStyle w:val="TableText0"/>
              <w:keepLines/>
              <w:jc w:val="center"/>
            </w:pPr>
          </w:p>
        </w:tc>
        <w:tc>
          <w:tcPr>
            <w:tcW w:w="596" w:type="pct"/>
            <w:tcBorders>
              <w:bottom w:val="nil"/>
            </w:tcBorders>
          </w:tcPr>
          <w:p w14:paraId="73EB5094" w14:textId="77777777" w:rsidR="007E20FB" w:rsidRPr="006C4083" w:rsidRDefault="007E20FB" w:rsidP="007E4A08">
            <w:pPr>
              <w:pStyle w:val="TableText0"/>
              <w:keepLines/>
              <w:jc w:val="center"/>
              <w:rPr>
                <w:highlight w:val="darkGray"/>
              </w:rPr>
            </w:pPr>
          </w:p>
        </w:tc>
        <w:tc>
          <w:tcPr>
            <w:tcW w:w="595" w:type="pct"/>
            <w:tcBorders>
              <w:bottom w:val="nil"/>
            </w:tcBorders>
          </w:tcPr>
          <w:p w14:paraId="257F325B" w14:textId="77777777" w:rsidR="007E20FB" w:rsidRPr="0049396B" w:rsidRDefault="007E20FB" w:rsidP="007E4A08">
            <w:pPr>
              <w:pStyle w:val="TableText0"/>
              <w:keepLines/>
              <w:jc w:val="center"/>
            </w:pPr>
          </w:p>
        </w:tc>
      </w:tr>
      <w:tr w:rsidR="007E20FB" w:rsidRPr="0049396B" w14:paraId="730217AA" w14:textId="77777777" w:rsidTr="00EB254E">
        <w:tc>
          <w:tcPr>
            <w:tcW w:w="2266" w:type="pct"/>
            <w:tcBorders>
              <w:top w:val="nil"/>
              <w:bottom w:val="nil"/>
            </w:tcBorders>
          </w:tcPr>
          <w:p w14:paraId="06E22F8B" w14:textId="77777777" w:rsidR="007E20FB" w:rsidRPr="0049396B" w:rsidRDefault="007E20FB" w:rsidP="00A21488">
            <w:pPr>
              <w:pStyle w:val="TableText0"/>
              <w:keepLines/>
              <w:numPr>
                <w:ilvl w:val="0"/>
                <w:numId w:val="6"/>
              </w:numPr>
              <w:ind w:left="33" w:firstLine="0"/>
            </w:pPr>
            <w:r w:rsidRPr="0049396B">
              <w:t>Study 19 (stage 1 38%, stage 2 47%, stage 3 15%)</w:t>
            </w:r>
          </w:p>
        </w:tc>
        <w:tc>
          <w:tcPr>
            <w:tcW w:w="738" w:type="pct"/>
            <w:tcBorders>
              <w:top w:val="nil"/>
              <w:bottom w:val="nil"/>
            </w:tcBorders>
          </w:tcPr>
          <w:p w14:paraId="2E46A204" w14:textId="490EBFE0"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31"/>
                <w14:textFill>
                  <w14:solidFill>
                    <w14:srgbClr w14:val="000000">
                      <w14:alpha w14:val="100000"/>
                    </w14:srgbClr>
                  </w14:solidFill>
                </w14:textFill>
              </w:rPr>
              <w:t xml:space="preserve">　</w:t>
            </w:r>
            <w:r w:rsidRPr="005E015C">
              <w:rPr>
                <w:color w:val="000000"/>
                <w:w w:val="15"/>
                <w:shd w:val="solid" w:color="000000" w:fill="000000"/>
                <w:fitText w:val="10" w:id="-1032131831"/>
                <w14:textFill>
                  <w14:solidFill>
                    <w14:srgbClr w14:val="000000">
                      <w14:alpha w14:val="100000"/>
                    </w14:srgbClr>
                  </w14:solidFill>
                </w14:textFill>
              </w:rPr>
              <w:t>|</w:t>
            </w:r>
            <w:r w:rsidRPr="005E015C">
              <w:rPr>
                <w:rFonts w:hint="eastAsia"/>
                <w:color w:val="000000"/>
                <w:spacing w:val="-55"/>
                <w:w w:val="15"/>
                <w:shd w:val="solid" w:color="000000" w:fill="000000"/>
                <w:fitText w:val="10" w:id="-1032131831"/>
                <w14:textFill>
                  <w14:solidFill>
                    <w14:srgbClr w14:val="000000">
                      <w14:alpha w14:val="100000"/>
                    </w14:srgbClr>
                  </w14:solidFill>
                </w14:textFill>
              </w:rPr>
              <w:t xml:space="preserve">　</w:t>
            </w:r>
          </w:p>
        </w:tc>
        <w:tc>
          <w:tcPr>
            <w:tcW w:w="805" w:type="pct"/>
            <w:tcBorders>
              <w:top w:val="nil"/>
              <w:bottom w:val="nil"/>
            </w:tcBorders>
          </w:tcPr>
          <w:p w14:paraId="66C247F8" w14:textId="77777777" w:rsidR="007E20FB" w:rsidRPr="0049396B" w:rsidRDefault="007E20FB" w:rsidP="007E4A08">
            <w:pPr>
              <w:pStyle w:val="TableText0"/>
              <w:keepLines/>
              <w:jc w:val="center"/>
            </w:pPr>
            <w:r w:rsidRPr="0049396B">
              <w:t>0.69</w:t>
            </w:r>
          </w:p>
        </w:tc>
        <w:tc>
          <w:tcPr>
            <w:tcW w:w="596" w:type="pct"/>
            <w:tcBorders>
              <w:top w:val="nil"/>
              <w:bottom w:val="nil"/>
            </w:tcBorders>
          </w:tcPr>
          <w:p w14:paraId="464FF11A" w14:textId="7B2DE83A"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30"/>
                <w14:textFill>
                  <w14:solidFill>
                    <w14:srgbClr w14:val="000000">
                      <w14:alpha w14:val="100000"/>
                    </w14:srgbClr>
                  </w14:solidFill>
                </w14:textFill>
              </w:rPr>
              <w:t>|</w:t>
            </w:r>
            <w:r w:rsidRPr="0015085A">
              <w:rPr>
                <w:color w:val="000000"/>
                <w:spacing w:val="1"/>
                <w:shd w:val="solid" w:color="000000" w:fill="000000"/>
                <w:fitText w:val="170" w:id="-1032131830"/>
                <w14:textFill>
                  <w14:solidFill>
                    <w14:srgbClr w14:val="000000">
                      <w14:alpha w14:val="100000"/>
                    </w14:srgbClr>
                  </w14:solidFill>
                </w14:textFill>
              </w:rPr>
              <w:t>|</w:t>
            </w:r>
            <w:r w:rsidR="006C4083" w:rsidRPr="006C4083">
              <w:rPr>
                <w:bCs w:val="0"/>
                <w:vertAlign w:val="superscript"/>
              </w:rPr>
              <w:t>1</w:t>
            </w:r>
          </w:p>
        </w:tc>
        <w:tc>
          <w:tcPr>
            <w:tcW w:w="595" w:type="pct"/>
            <w:tcBorders>
              <w:top w:val="nil"/>
              <w:bottom w:val="nil"/>
            </w:tcBorders>
          </w:tcPr>
          <w:p w14:paraId="03E13D87" w14:textId="0CC23D3B"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829"/>
                <w14:textFill>
                  <w14:solidFill>
                    <w14:srgbClr w14:val="000000">
                      <w14:alpha w14:val="100000"/>
                    </w14:srgbClr>
                  </w14:solidFill>
                </w14:textFill>
              </w:rPr>
              <w:t xml:space="preserve">　</w:t>
            </w:r>
            <w:r w:rsidRPr="0015085A">
              <w:rPr>
                <w:color w:val="000000"/>
                <w:w w:val="31"/>
                <w:shd w:val="solid" w:color="000000" w:fill="000000"/>
                <w:fitText w:val="140" w:id="-1032131829"/>
                <w14:textFill>
                  <w14:solidFill>
                    <w14:srgbClr w14:val="000000">
                      <w14:alpha w14:val="100000"/>
                    </w14:srgbClr>
                  </w14:solidFill>
                </w14:textFill>
              </w:rPr>
              <w:t>|</w:t>
            </w:r>
            <w:r w:rsidRPr="0015085A">
              <w:rPr>
                <w:rFonts w:hint="eastAsia"/>
                <w:color w:val="000000"/>
                <w:spacing w:val="4"/>
                <w:w w:val="31"/>
                <w:shd w:val="solid" w:color="000000" w:fill="000000"/>
                <w:fitText w:val="140" w:id="-1032131829"/>
                <w14:textFill>
                  <w14:solidFill>
                    <w14:srgbClr w14:val="000000">
                      <w14:alpha w14:val="100000"/>
                    </w14:srgbClr>
                  </w14:solidFill>
                </w14:textFill>
              </w:rPr>
              <w:t xml:space="preserve">　</w:t>
            </w:r>
          </w:p>
        </w:tc>
      </w:tr>
      <w:tr w:rsidR="007E20FB" w:rsidRPr="0049396B" w14:paraId="4465E48B" w14:textId="77777777" w:rsidTr="00EB254E">
        <w:tc>
          <w:tcPr>
            <w:tcW w:w="2266" w:type="pct"/>
            <w:tcBorders>
              <w:top w:val="nil"/>
              <w:bottom w:val="nil"/>
            </w:tcBorders>
          </w:tcPr>
          <w:p w14:paraId="3252DABB" w14:textId="77777777" w:rsidR="007E20FB" w:rsidRPr="0049396B" w:rsidRDefault="007E20FB" w:rsidP="00A21488">
            <w:pPr>
              <w:pStyle w:val="TableText0"/>
              <w:keepLines/>
              <w:numPr>
                <w:ilvl w:val="0"/>
                <w:numId w:val="6"/>
              </w:numPr>
              <w:ind w:left="33" w:firstLine="0"/>
            </w:pPr>
            <w:r w:rsidRPr="0049396B">
              <w:t>All stage 2</w:t>
            </w:r>
          </w:p>
        </w:tc>
        <w:tc>
          <w:tcPr>
            <w:tcW w:w="738" w:type="pct"/>
            <w:tcBorders>
              <w:top w:val="nil"/>
              <w:bottom w:val="nil"/>
            </w:tcBorders>
          </w:tcPr>
          <w:p w14:paraId="2F9E0915" w14:textId="26F1A372"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28"/>
                <w14:textFill>
                  <w14:solidFill>
                    <w14:srgbClr w14:val="000000">
                      <w14:alpha w14:val="100000"/>
                    </w14:srgbClr>
                  </w14:solidFill>
                </w14:textFill>
              </w:rPr>
              <w:t xml:space="preserve">　</w:t>
            </w:r>
            <w:r w:rsidRPr="005E015C">
              <w:rPr>
                <w:color w:val="000000"/>
                <w:w w:val="15"/>
                <w:shd w:val="solid" w:color="000000" w:fill="000000"/>
                <w:fitText w:val="10" w:id="-1032131828"/>
                <w14:textFill>
                  <w14:solidFill>
                    <w14:srgbClr w14:val="000000">
                      <w14:alpha w14:val="100000"/>
                    </w14:srgbClr>
                  </w14:solidFill>
                </w14:textFill>
              </w:rPr>
              <w:t>|</w:t>
            </w:r>
            <w:r w:rsidRPr="005E015C">
              <w:rPr>
                <w:rFonts w:hint="eastAsia"/>
                <w:color w:val="000000"/>
                <w:spacing w:val="-55"/>
                <w:w w:val="15"/>
                <w:shd w:val="solid" w:color="000000" w:fill="000000"/>
                <w:fitText w:val="10" w:id="-1032131828"/>
                <w14:textFill>
                  <w14:solidFill>
                    <w14:srgbClr w14:val="000000">
                      <w14:alpha w14:val="100000"/>
                    </w14:srgbClr>
                  </w14:solidFill>
                </w14:textFill>
              </w:rPr>
              <w:t xml:space="preserve">　</w:t>
            </w:r>
          </w:p>
        </w:tc>
        <w:tc>
          <w:tcPr>
            <w:tcW w:w="805" w:type="pct"/>
            <w:tcBorders>
              <w:top w:val="nil"/>
              <w:bottom w:val="nil"/>
            </w:tcBorders>
          </w:tcPr>
          <w:p w14:paraId="5CCF399A" w14:textId="77777777" w:rsidR="007E20FB" w:rsidRPr="0049396B" w:rsidRDefault="007E20FB" w:rsidP="007E4A08">
            <w:pPr>
              <w:pStyle w:val="TableText0"/>
              <w:keepLines/>
              <w:jc w:val="center"/>
            </w:pPr>
            <w:r w:rsidRPr="0049396B">
              <w:t>0.66</w:t>
            </w:r>
          </w:p>
        </w:tc>
        <w:tc>
          <w:tcPr>
            <w:tcW w:w="596" w:type="pct"/>
            <w:tcBorders>
              <w:top w:val="nil"/>
              <w:bottom w:val="nil"/>
            </w:tcBorders>
          </w:tcPr>
          <w:p w14:paraId="14E1B405" w14:textId="0DDC9B5A"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27"/>
                <w14:textFill>
                  <w14:solidFill>
                    <w14:srgbClr w14:val="000000">
                      <w14:alpha w14:val="100000"/>
                    </w14:srgbClr>
                  </w14:solidFill>
                </w14:textFill>
              </w:rPr>
              <w:t>|</w:t>
            </w:r>
            <w:r w:rsidRPr="0015085A">
              <w:rPr>
                <w:color w:val="000000"/>
                <w:spacing w:val="1"/>
                <w:shd w:val="solid" w:color="000000" w:fill="000000"/>
                <w:fitText w:val="170" w:id="-1032131827"/>
                <w14:textFill>
                  <w14:solidFill>
                    <w14:srgbClr w14:val="000000">
                      <w14:alpha w14:val="100000"/>
                    </w14:srgbClr>
                  </w14:solidFill>
                </w14:textFill>
              </w:rPr>
              <w:t>|</w:t>
            </w:r>
            <w:r w:rsidR="006C4083">
              <w:rPr>
                <w:bCs w:val="0"/>
                <w:vertAlign w:val="superscript"/>
              </w:rPr>
              <w:t>2</w:t>
            </w:r>
          </w:p>
        </w:tc>
        <w:tc>
          <w:tcPr>
            <w:tcW w:w="595" w:type="pct"/>
            <w:tcBorders>
              <w:top w:val="nil"/>
              <w:bottom w:val="nil"/>
            </w:tcBorders>
          </w:tcPr>
          <w:p w14:paraId="31C3ECF3" w14:textId="73990805" w:rsidR="007E20FB" w:rsidRPr="006522C1" w:rsidRDefault="0015085A" w:rsidP="007E4A08">
            <w:pPr>
              <w:pStyle w:val="TableText0"/>
              <w:keepLines/>
              <w:jc w:val="center"/>
              <w:rPr>
                <w:highlight w:val="darkGray"/>
              </w:rPr>
            </w:pPr>
            <w:r>
              <w:t xml:space="preserve"> </w:t>
            </w:r>
            <w:r w:rsidRPr="0015085A">
              <w:rPr>
                <w:rFonts w:hint="eastAsia"/>
                <w:color w:val="000000"/>
                <w:w w:val="31"/>
                <w:shd w:val="solid" w:color="000000" w:fill="000000"/>
                <w:fitText w:val="140" w:id="-1032131826"/>
                <w14:textFill>
                  <w14:solidFill>
                    <w14:srgbClr w14:val="000000">
                      <w14:alpha w14:val="100000"/>
                    </w14:srgbClr>
                  </w14:solidFill>
                </w14:textFill>
              </w:rPr>
              <w:t xml:space="preserve">　</w:t>
            </w:r>
            <w:r w:rsidRPr="0015085A">
              <w:rPr>
                <w:color w:val="000000"/>
                <w:w w:val="31"/>
                <w:shd w:val="solid" w:color="000000" w:fill="000000"/>
                <w:fitText w:val="140" w:id="-1032131826"/>
                <w14:textFill>
                  <w14:solidFill>
                    <w14:srgbClr w14:val="000000">
                      <w14:alpha w14:val="100000"/>
                    </w14:srgbClr>
                  </w14:solidFill>
                </w14:textFill>
              </w:rPr>
              <w:t>|</w:t>
            </w:r>
            <w:r w:rsidRPr="0015085A">
              <w:rPr>
                <w:rFonts w:hint="eastAsia"/>
                <w:color w:val="000000"/>
                <w:spacing w:val="4"/>
                <w:w w:val="31"/>
                <w:shd w:val="solid" w:color="000000" w:fill="000000"/>
                <w:fitText w:val="140" w:id="-1032131826"/>
                <w14:textFill>
                  <w14:solidFill>
                    <w14:srgbClr w14:val="000000">
                      <w14:alpha w14:val="100000"/>
                    </w14:srgbClr>
                  </w14:solidFill>
                </w14:textFill>
              </w:rPr>
              <w:t xml:space="preserve">　</w:t>
            </w:r>
          </w:p>
        </w:tc>
      </w:tr>
      <w:tr w:rsidR="007E20FB" w:rsidRPr="0049396B" w14:paraId="43A33256" w14:textId="77777777" w:rsidTr="00EB254E">
        <w:tc>
          <w:tcPr>
            <w:tcW w:w="2266" w:type="pct"/>
            <w:tcBorders>
              <w:top w:val="nil"/>
              <w:bottom w:val="single" w:sz="4" w:space="0" w:color="auto"/>
            </w:tcBorders>
          </w:tcPr>
          <w:p w14:paraId="13FD802A" w14:textId="77777777" w:rsidR="007E20FB" w:rsidRPr="0049396B" w:rsidRDefault="007E20FB" w:rsidP="00A21488">
            <w:pPr>
              <w:pStyle w:val="TableText0"/>
              <w:keepLines/>
              <w:numPr>
                <w:ilvl w:val="0"/>
                <w:numId w:val="6"/>
              </w:numPr>
              <w:ind w:left="33" w:firstLine="0"/>
            </w:pPr>
            <w:r w:rsidRPr="0049396B">
              <w:t>All stage 3</w:t>
            </w:r>
          </w:p>
        </w:tc>
        <w:tc>
          <w:tcPr>
            <w:tcW w:w="738" w:type="pct"/>
            <w:tcBorders>
              <w:top w:val="nil"/>
              <w:bottom w:val="single" w:sz="4" w:space="0" w:color="auto"/>
            </w:tcBorders>
          </w:tcPr>
          <w:p w14:paraId="7F2A92A9" w14:textId="37330594"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25"/>
                <w14:textFill>
                  <w14:solidFill>
                    <w14:srgbClr w14:val="000000">
                      <w14:alpha w14:val="100000"/>
                    </w14:srgbClr>
                  </w14:solidFill>
                </w14:textFill>
              </w:rPr>
              <w:t xml:space="preserve">　</w:t>
            </w:r>
            <w:r w:rsidRPr="005E015C">
              <w:rPr>
                <w:color w:val="000000"/>
                <w:w w:val="15"/>
                <w:shd w:val="solid" w:color="000000" w:fill="000000"/>
                <w:fitText w:val="10" w:id="-1032131825"/>
                <w14:textFill>
                  <w14:solidFill>
                    <w14:srgbClr w14:val="000000">
                      <w14:alpha w14:val="100000"/>
                    </w14:srgbClr>
                  </w14:solidFill>
                </w14:textFill>
              </w:rPr>
              <w:t>|</w:t>
            </w:r>
            <w:r w:rsidRPr="005E015C">
              <w:rPr>
                <w:rFonts w:hint="eastAsia"/>
                <w:color w:val="000000"/>
                <w:spacing w:val="-55"/>
                <w:w w:val="15"/>
                <w:shd w:val="solid" w:color="000000" w:fill="000000"/>
                <w:fitText w:val="10" w:id="-1032131825"/>
                <w14:textFill>
                  <w14:solidFill>
                    <w14:srgbClr w14:val="000000">
                      <w14:alpha w14:val="100000"/>
                    </w14:srgbClr>
                  </w14:solidFill>
                </w14:textFill>
              </w:rPr>
              <w:t xml:space="preserve">　</w:t>
            </w:r>
          </w:p>
        </w:tc>
        <w:tc>
          <w:tcPr>
            <w:tcW w:w="805" w:type="pct"/>
            <w:tcBorders>
              <w:top w:val="nil"/>
              <w:bottom w:val="single" w:sz="4" w:space="0" w:color="auto"/>
            </w:tcBorders>
          </w:tcPr>
          <w:p w14:paraId="1F496192" w14:textId="77777777" w:rsidR="007E20FB" w:rsidRPr="0049396B" w:rsidRDefault="007E20FB" w:rsidP="007E4A08">
            <w:pPr>
              <w:pStyle w:val="TableText0"/>
              <w:keepLines/>
              <w:jc w:val="center"/>
            </w:pPr>
            <w:r w:rsidRPr="0049396B">
              <w:t>0.61</w:t>
            </w:r>
          </w:p>
        </w:tc>
        <w:tc>
          <w:tcPr>
            <w:tcW w:w="596" w:type="pct"/>
            <w:tcBorders>
              <w:top w:val="nil"/>
              <w:bottom w:val="single" w:sz="4" w:space="0" w:color="auto"/>
            </w:tcBorders>
          </w:tcPr>
          <w:p w14:paraId="5D30E166" w14:textId="70AFBC6E"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24"/>
                <w14:textFill>
                  <w14:solidFill>
                    <w14:srgbClr w14:val="000000">
                      <w14:alpha w14:val="100000"/>
                    </w14:srgbClr>
                  </w14:solidFill>
                </w14:textFill>
              </w:rPr>
              <w:t>|</w:t>
            </w:r>
            <w:r w:rsidRPr="0015085A">
              <w:rPr>
                <w:color w:val="000000"/>
                <w:spacing w:val="1"/>
                <w:shd w:val="solid" w:color="000000" w:fill="000000"/>
                <w:fitText w:val="170" w:id="-1032131824"/>
                <w14:textFill>
                  <w14:solidFill>
                    <w14:srgbClr w14:val="000000">
                      <w14:alpha w14:val="100000"/>
                    </w14:srgbClr>
                  </w14:solidFill>
                </w14:textFill>
              </w:rPr>
              <w:t>|</w:t>
            </w:r>
            <w:r w:rsidR="006C4083">
              <w:rPr>
                <w:bCs w:val="0"/>
                <w:vertAlign w:val="superscript"/>
              </w:rPr>
              <w:t>2</w:t>
            </w:r>
          </w:p>
        </w:tc>
        <w:tc>
          <w:tcPr>
            <w:tcW w:w="595" w:type="pct"/>
            <w:tcBorders>
              <w:top w:val="nil"/>
              <w:bottom w:val="single" w:sz="4" w:space="0" w:color="auto"/>
            </w:tcBorders>
          </w:tcPr>
          <w:p w14:paraId="3743EB35" w14:textId="71B198D8" w:rsidR="007E20FB" w:rsidRPr="006522C1" w:rsidRDefault="0015085A" w:rsidP="007E4A08">
            <w:pPr>
              <w:pStyle w:val="TableText0"/>
              <w:keepLines/>
              <w:jc w:val="center"/>
              <w:rPr>
                <w:highlight w:val="darkGray"/>
              </w:rPr>
            </w:pPr>
            <w:r>
              <w:t xml:space="preserve"> </w:t>
            </w:r>
            <w:r w:rsidRPr="0015085A">
              <w:rPr>
                <w:rFonts w:hint="eastAsia"/>
                <w:color w:val="000000"/>
                <w:w w:val="31"/>
                <w:shd w:val="solid" w:color="000000" w:fill="000000"/>
                <w:fitText w:val="140" w:id="-1032131840"/>
                <w14:textFill>
                  <w14:solidFill>
                    <w14:srgbClr w14:val="000000">
                      <w14:alpha w14:val="100000"/>
                    </w14:srgbClr>
                  </w14:solidFill>
                </w14:textFill>
              </w:rPr>
              <w:t xml:space="preserve">　</w:t>
            </w:r>
            <w:r w:rsidRPr="0015085A">
              <w:rPr>
                <w:color w:val="000000"/>
                <w:w w:val="31"/>
                <w:shd w:val="solid" w:color="000000" w:fill="000000"/>
                <w:fitText w:val="140" w:id="-1032131840"/>
                <w14:textFill>
                  <w14:solidFill>
                    <w14:srgbClr w14:val="000000">
                      <w14:alpha w14:val="100000"/>
                    </w14:srgbClr>
                  </w14:solidFill>
                </w14:textFill>
              </w:rPr>
              <w:t>|</w:t>
            </w:r>
            <w:r w:rsidRPr="0015085A">
              <w:rPr>
                <w:rFonts w:hint="eastAsia"/>
                <w:color w:val="000000"/>
                <w:spacing w:val="4"/>
                <w:w w:val="31"/>
                <w:shd w:val="solid" w:color="000000" w:fill="000000"/>
                <w:fitText w:val="140" w:id="-1032131840"/>
                <w14:textFill>
                  <w14:solidFill>
                    <w14:srgbClr w14:val="000000">
                      <w14:alpha w14:val="100000"/>
                    </w14:srgbClr>
                  </w14:solidFill>
                </w14:textFill>
              </w:rPr>
              <w:t xml:space="preserve">　</w:t>
            </w:r>
          </w:p>
        </w:tc>
      </w:tr>
      <w:tr w:rsidR="007E20FB" w:rsidRPr="0049396B" w14:paraId="3A583595" w14:textId="77777777" w:rsidTr="00EB254E">
        <w:tc>
          <w:tcPr>
            <w:tcW w:w="2266" w:type="pct"/>
            <w:tcBorders>
              <w:top w:val="nil"/>
              <w:bottom w:val="single" w:sz="4" w:space="0" w:color="auto"/>
            </w:tcBorders>
          </w:tcPr>
          <w:p w14:paraId="66CEDE2A" w14:textId="77777777" w:rsidR="007E20FB" w:rsidRPr="0049396B" w:rsidRDefault="007E20FB" w:rsidP="007E4A08">
            <w:pPr>
              <w:pStyle w:val="TableText0"/>
              <w:keepLines/>
              <w:ind w:left="33"/>
            </w:pPr>
            <w:r w:rsidRPr="0049396B">
              <w:t>Transition probabilities in SOC from Thakore 2020</w:t>
            </w:r>
            <w:r w:rsidRPr="0049396B">
              <w:rPr>
                <w:vertAlign w:val="superscript"/>
              </w:rPr>
              <w:t>a</w:t>
            </w:r>
            <w:r w:rsidRPr="0049396B">
              <w:t xml:space="preserve"> (base case Thakore 2018)</w:t>
            </w:r>
          </w:p>
        </w:tc>
        <w:tc>
          <w:tcPr>
            <w:tcW w:w="738" w:type="pct"/>
            <w:tcBorders>
              <w:top w:val="nil"/>
              <w:bottom w:val="single" w:sz="4" w:space="0" w:color="auto"/>
            </w:tcBorders>
          </w:tcPr>
          <w:p w14:paraId="292DD1B1" w14:textId="249E8FFF"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39"/>
                <w14:textFill>
                  <w14:solidFill>
                    <w14:srgbClr w14:val="000000">
                      <w14:alpha w14:val="100000"/>
                    </w14:srgbClr>
                  </w14:solidFill>
                </w14:textFill>
              </w:rPr>
              <w:t xml:space="preserve">　</w:t>
            </w:r>
            <w:r w:rsidRPr="005E015C">
              <w:rPr>
                <w:color w:val="000000"/>
                <w:w w:val="15"/>
                <w:shd w:val="solid" w:color="000000" w:fill="000000"/>
                <w:fitText w:val="10" w:id="-1032131839"/>
                <w14:textFill>
                  <w14:solidFill>
                    <w14:srgbClr w14:val="000000">
                      <w14:alpha w14:val="100000"/>
                    </w14:srgbClr>
                  </w14:solidFill>
                </w14:textFill>
              </w:rPr>
              <w:t>|</w:t>
            </w:r>
            <w:r w:rsidRPr="005E015C">
              <w:rPr>
                <w:rFonts w:hint="eastAsia"/>
                <w:color w:val="000000"/>
                <w:spacing w:val="-55"/>
                <w:w w:val="15"/>
                <w:shd w:val="solid" w:color="000000" w:fill="000000"/>
                <w:fitText w:val="10" w:id="-1032131839"/>
                <w14:textFill>
                  <w14:solidFill>
                    <w14:srgbClr w14:val="000000">
                      <w14:alpha w14:val="100000"/>
                    </w14:srgbClr>
                  </w14:solidFill>
                </w14:textFill>
              </w:rPr>
              <w:t xml:space="preserve">　</w:t>
            </w:r>
          </w:p>
        </w:tc>
        <w:tc>
          <w:tcPr>
            <w:tcW w:w="805" w:type="pct"/>
            <w:tcBorders>
              <w:top w:val="nil"/>
              <w:bottom w:val="single" w:sz="4" w:space="0" w:color="auto"/>
            </w:tcBorders>
          </w:tcPr>
          <w:p w14:paraId="5DD2445F" w14:textId="77777777" w:rsidR="007E20FB" w:rsidRPr="0049396B" w:rsidRDefault="007E20FB" w:rsidP="007E4A08">
            <w:pPr>
              <w:pStyle w:val="TableText0"/>
              <w:keepLines/>
              <w:jc w:val="center"/>
            </w:pPr>
            <w:r w:rsidRPr="0049396B">
              <w:t>0.78</w:t>
            </w:r>
          </w:p>
        </w:tc>
        <w:tc>
          <w:tcPr>
            <w:tcW w:w="596" w:type="pct"/>
            <w:tcBorders>
              <w:top w:val="nil"/>
              <w:bottom w:val="single" w:sz="4" w:space="0" w:color="auto"/>
            </w:tcBorders>
          </w:tcPr>
          <w:p w14:paraId="6695DEE1" w14:textId="106988B4"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38"/>
                <w14:textFill>
                  <w14:solidFill>
                    <w14:srgbClr w14:val="000000">
                      <w14:alpha w14:val="100000"/>
                    </w14:srgbClr>
                  </w14:solidFill>
                </w14:textFill>
              </w:rPr>
              <w:t>|</w:t>
            </w:r>
            <w:r w:rsidRPr="0015085A">
              <w:rPr>
                <w:color w:val="000000"/>
                <w:spacing w:val="1"/>
                <w:shd w:val="solid" w:color="000000" w:fill="000000"/>
                <w:fitText w:val="170" w:id="-1032131838"/>
                <w14:textFill>
                  <w14:solidFill>
                    <w14:srgbClr w14:val="000000">
                      <w14:alpha w14:val="100000"/>
                    </w14:srgbClr>
                  </w14:solidFill>
                </w14:textFill>
              </w:rPr>
              <w:t>|</w:t>
            </w:r>
            <w:r w:rsidR="006C4083">
              <w:rPr>
                <w:bCs w:val="0"/>
                <w:vertAlign w:val="superscript"/>
              </w:rPr>
              <w:t>2</w:t>
            </w:r>
          </w:p>
        </w:tc>
        <w:tc>
          <w:tcPr>
            <w:tcW w:w="595" w:type="pct"/>
            <w:tcBorders>
              <w:top w:val="nil"/>
              <w:bottom w:val="single" w:sz="4" w:space="0" w:color="auto"/>
            </w:tcBorders>
          </w:tcPr>
          <w:p w14:paraId="1E944CEF" w14:textId="4869B1ED"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837"/>
                <w14:textFill>
                  <w14:solidFill>
                    <w14:srgbClr w14:val="000000">
                      <w14:alpha w14:val="100000"/>
                    </w14:srgbClr>
                  </w14:solidFill>
                </w14:textFill>
              </w:rPr>
              <w:t xml:space="preserve">　</w:t>
            </w:r>
            <w:r w:rsidRPr="0015085A">
              <w:rPr>
                <w:color w:val="000000"/>
                <w:w w:val="31"/>
                <w:shd w:val="solid" w:color="000000" w:fill="000000"/>
                <w:fitText w:val="140" w:id="-1032131837"/>
                <w14:textFill>
                  <w14:solidFill>
                    <w14:srgbClr w14:val="000000">
                      <w14:alpha w14:val="100000"/>
                    </w14:srgbClr>
                  </w14:solidFill>
                </w14:textFill>
              </w:rPr>
              <w:t>|</w:t>
            </w:r>
            <w:r w:rsidRPr="0015085A">
              <w:rPr>
                <w:rFonts w:hint="eastAsia"/>
                <w:color w:val="000000"/>
                <w:spacing w:val="4"/>
                <w:w w:val="31"/>
                <w:shd w:val="solid" w:color="000000" w:fill="000000"/>
                <w:fitText w:val="140" w:id="-1032131837"/>
                <w14:textFill>
                  <w14:solidFill>
                    <w14:srgbClr w14:val="000000">
                      <w14:alpha w14:val="100000"/>
                    </w14:srgbClr>
                  </w14:solidFill>
                </w14:textFill>
              </w:rPr>
              <w:t xml:space="preserve">　</w:t>
            </w:r>
          </w:p>
        </w:tc>
      </w:tr>
      <w:tr w:rsidR="007E20FB" w:rsidRPr="0049396B" w14:paraId="256F3B48" w14:textId="77777777" w:rsidTr="00EB254E">
        <w:tc>
          <w:tcPr>
            <w:tcW w:w="5000" w:type="pct"/>
            <w:gridSpan w:val="5"/>
            <w:tcBorders>
              <w:bottom w:val="nil"/>
            </w:tcBorders>
          </w:tcPr>
          <w:p w14:paraId="650C56EA" w14:textId="77777777" w:rsidR="007E20FB" w:rsidRPr="0049396B" w:rsidRDefault="007E20FB" w:rsidP="007E4A08">
            <w:pPr>
              <w:pStyle w:val="TableText0"/>
              <w:keepLines/>
            </w:pPr>
            <w:r w:rsidRPr="0049396B">
              <w:t xml:space="preserve">Progression out of stage </w:t>
            </w:r>
            <w:proofErr w:type="spellStart"/>
            <w:r w:rsidRPr="0049396B">
              <w:t>HR</w:t>
            </w:r>
            <w:r w:rsidRPr="0049396B">
              <w:rPr>
                <w:vertAlign w:val="superscript"/>
              </w:rPr>
              <w:t>b</w:t>
            </w:r>
            <w:proofErr w:type="spellEnd"/>
            <w:r w:rsidRPr="0049396B">
              <w:t xml:space="preserve"> (base case stage 1=0.654, stage 2=0.696, stage 3=0.584, stage 4a=1)</w:t>
            </w:r>
          </w:p>
        </w:tc>
      </w:tr>
      <w:tr w:rsidR="007E20FB" w:rsidRPr="0049396B" w14:paraId="6C1BAF15" w14:textId="77777777" w:rsidTr="00EB254E">
        <w:tc>
          <w:tcPr>
            <w:tcW w:w="2266" w:type="pct"/>
            <w:tcBorders>
              <w:top w:val="nil"/>
              <w:bottom w:val="nil"/>
            </w:tcBorders>
          </w:tcPr>
          <w:p w14:paraId="3741FEB1" w14:textId="77777777" w:rsidR="007E20FB" w:rsidRPr="0049396B" w:rsidRDefault="007E20FB" w:rsidP="00A21488">
            <w:pPr>
              <w:pStyle w:val="TableText0"/>
              <w:keepLines/>
              <w:numPr>
                <w:ilvl w:val="0"/>
                <w:numId w:val="6"/>
              </w:numPr>
              <w:ind w:left="33" w:firstLine="0"/>
            </w:pPr>
            <w:r w:rsidRPr="0049396B">
              <w:t>No effect after stage 1 (i.e. stage 1=0.654, stage 2,3,4a=1)</w:t>
            </w:r>
          </w:p>
        </w:tc>
        <w:tc>
          <w:tcPr>
            <w:tcW w:w="738" w:type="pct"/>
            <w:tcBorders>
              <w:top w:val="nil"/>
              <w:bottom w:val="nil"/>
            </w:tcBorders>
          </w:tcPr>
          <w:p w14:paraId="79D4955A" w14:textId="0B32458E"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36"/>
                <w14:textFill>
                  <w14:solidFill>
                    <w14:srgbClr w14:val="000000">
                      <w14:alpha w14:val="100000"/>
                    </w14:srgbClr>
                  </w14:solidFill>
                </w14:textFill>
              </w:rPr>
              <w:t xml:space="preserve">　</w:t>
            </w:r>
            <w:r w:rsidRPr="005E015C">
              <w:rPr>
                <w:color w:val="000000"/>
                <w:w w:val="15"/>
                <w:shd w:val="solid" w:color="000000" w:fill="000000"/>
                <w:fitText w:val="10" w:id="-1032131836"/>
                <w14:textFill>
                  <w14:solidFill>
                    <w14:srgbClr w14:val="000000">
                      <w14:alpha w14:val="100000"/>
                    </w14:srgbClr>
                  </w14:solidFill>
                </w14:textFill>
              </w:rPr>
              <w:t>|</w:t>
            </w:r>
            <w:r w:rsidRPr="005E015C">
              <w:rPr>
                <w:rFonts w:hint="eastAsia"/>
                <w:color w:val="000000"/>
                <w:spacing w:val="-55"/>
                <w:w w:val="15"/>
                <w:shd w:val="solid" w:color="000000" w:fill="000000"/>
                <w:fitText w:val="10" w:id="-1032131836"/>
                <w14:textFill>
                  <w14:solidFill>
                    <w14:srgbClr w14:val="000000">
                      <w14:alpha w14:val="100000"/>
                    </w14:srgbClr>
                  </w14:solidFill>
                </w14:textFill>
              </w:rPr>
              <w:t xml:space="preserve">　</w:t>
            </w:r>
          </w:p>
        </w:tc>
        <w:tc>
          <w:tcPr>
            <w:tcW w:w="805" w:type="pct"/>
            <w:tcBorders>
              <w:top w:val="nil"/>
              <w:bottom w:val="nil"/>
            </w:tcBorders>
          </w:tcPr>
          <w:p w14:paraId="6B72A1B7" w14:textId="77777777" w:rsidR="007E20FB" w:rsidRPr="0049396B" w:rsidRDefault="007E20FB" w:rsidP="007E4A08">
            <w:pPr>
              <w:pStyle w:val="TableText0"/>
              <w:keepLines/>
              <w:jc w:val="center"/>
            </w:pPr>
            <w:r w:rsidRPr="0049396B">
              <w:t>0.58</w:t>
            </w:r>
          </w:p>
        </w:tc>
        <w:tc>
          <w:tcPr>
            <w:tcW w:w="596" w:type="pct"/>
            <w:tcBorders>
              <w:top w:val="nil"/>
              <w:bottom w:val="nil"/>
            </w:tcBorders>
          </w:tcPr>
          <w:p w14:paraId="27B2EBC8" w14:textId="1FB38EAC"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35"/>
                <w14:textFill>
                  <w14:solidFill>
                    <w14:srgbClr w14:val="000000">
                      <w14:alpha w14:val="100000"/>
                    </w14:srgbClr>
                  </w14:solidFill>
                </w14:textFill>
              </w:rPr>
              <w:t>|</w:t>
            </w:r>
            <w:r w:rsidRPr="0015085A">
              <w:rPr>
                <w:color w:val="000000"/>
                <w:spacing w:val="1"/>
                <w:shd w:val="solid" w:color="000000" w:fill="000000"/>
                <w:fitText w:val="170" w:id="-1032131835"/>
                <w14:textFill>
                  <w14:solidFill>
                    <w14:srgbClr w14:val="000000">
                      <w14:alpha w14:val="100000"/>
                    </w14:srgbClr>
                  </w14:solidFill>
                </w14:textFill>
              </w:rPr>
              <w:t>|</w:t>
            </w:r>
            <w:r w:rsidR="006C4083">
              <w:rPr>
                <w:bCs w:val="0"/>
                <w:vertAlign w:val="superscript"/>
              </w:rPr>
              <w:t>3</w:t>
            </w:r>
          </w:p>
        </w:tc>
        <w:tc>
          <w:tcPr>
            <w:tcW w:w="595" w:type="pct"/>
            <w:tcBorders>
              <w:top w:val="nil"/>
              <w:bottom w:val="nil"/>
            </w:tcBorders>
          </w:tcPr>
          <w:p w14:paraId="160C2CB4" w14:textId="20C11422"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834"/>
                <w14:textFill>
                  <w14:solidFill>
                    <w14:srgbClr w14:val="000000">
                      <w14:alpha w14:val="100000"/>
                    </w14:srgbClr>
                  </w14:solidFill>
                </w14:textFill>
              </w:rPr>
              <w:t xml:space="preserve">　</w:t>
            </w:r>
            <w:r w:rsidRPr="0015085A">
              <w:rPr>
                <w:color w:val="000000"/>
                <w:w w:val="31"/>
                <w:shd w:val="solid" w:color="000000" w:fill="000000"/>
                <w:fitText w:val="140" w:id="-1032131834"/>
                <w14:textFill>
                  <w14:solidFill>
                    <w14:srgbClr w14:val="000000">
                      <w14:alpha w14:val="100000"/>
                    </w14:srgbClr>
                  </w14:solidFill>
                </w14:textFill>
              </w:rPr>
              <w:t>|</w:t>
            </w:r>
            <w:r w:rsidRPr="0015085A">
              <w:rPr>
                <w:rFonts w:hint="eastAsia"/>
                <w:color w:val="000000"/>
                <w:spacing w:val="4"/>
                <w:w w:val="31"/>
                <w:shd w:val="solid" w:color="000000" w:fill="000000"/>
                <w:fitText w:val="140" w:id="-1032131834"/>
                <w14:textFill>
                  <w14:solidFill>
                    <w14:srgbClr w14:val="000000">
                      <w14:alpha w14:val="100000"/>
                    </w14:srgbClr>
                  </w14:solidFill>
                </w14:textFill>
              </w:rPr>
              <w:t xml:space="preserve">　</w:t>
            </w:r>
          </w:p>
        </w:tc>
      </w:tr>
      <w:tr w:rsidR="007E20FB" w:rsidRPr="0049396B" w14:paraId="48B85A64" w14:textId="77777777" w:rsidTr="00EB254E">
        <w:tc>
          <w:tcPr>
            <w:tcW w:w="2266" w:type="pct"/>
            <w:tcBorders>
              <w:top w:val="nil"/>
              <w:bottom w:val="single" w:sz="4" w:space="0" w:color="auto"/>
            </w:tcBorders>
          </w:tcPr>
          <w:p w14:paraId="7D18B395" w14:textId="77777777" w:rsidR="007E20FB" w:rsidRPr="0049396B" w:rsidRDefault="007E20FB" w:rsidP="00A21488">
            <w:pPr>
              <w:pStyle w:val="TableText0"/>
              <w:keepLines/>
              <w:numPr>
                <w:ilvl w:val="0"/>
                <w:numId w:val="6"/>
              </w:numPr>
              <w:ind w:left="33" w:firstLine="0"/>
            </w:pPr>
            <w:r w:rsidRPr="0049396B">
              <w:t>All HRs=1</w:t>
            </w:r>
          </w:p>
        </w:tc>
        <w:tc>
          <w:tcPr>
            <w:tcW w:w="738" w:type="pct"/>
            <w:tcBorders>
              <w:top w:val="nil"/>
              <w:bottom w:val="single" w:sz="4" w:space="0" w:color="auto"/>
            </w:tcBorders>
          </w:tcPr>
          <w:p w14:paraId="37AE5E2E" w14:textId="41FF5AE0"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33"/>
                <w14:textFill>
                  <w14:solidFill>
                    <w14:srgbClr w14:val="000000">
                      <w14:alpha w14:val="100000"/>
                    </w14:srgbClr>
                  </w14:solidFill>
                </w14:textFill>
              </w:rPr>
              <w:t xml:space="preserve">　</w:t>
            </w:r>
            <w:r w:rsidRPr="005E015C">
              <w:rPr>
                <w:color w:val="000000"/>
                <w:w w:val="15"/>
                <w:shd w:val="solid" w:color="000000" w:fill="000000"/>
                <w:fitText w:val="10" w:id="-1032131833"/>
                <w14:textFill>
                  <w14:solidFill>
                    <w14:srgbClr w14:val="000000">
                      <w14:alpha w14:val="100000"/>
                    </w14:srgbClr>
                  </w14:solidFill>
                </w14:textFill>
              </w:rPr>
              <w:t>|</w:t>
            </w:r>
            <w:r w:rsidRPr="005E015C">
              <w:rPr>
                <w:rFonts w:hint="eastAsia"/>
                <w:color w:val="000000"/>
                <w:spacing w:val="-55"/>
                <w:w w:val="15"/>
                <w:shd w:val="solid" w:color="000000" w:fill="000000"/>
                <w:fitText w:val="10" w:id="-1032131833"/>
                <w14:textFill>
                  <w14:solidFill>
                    <w14:srgbClr w14:val="000000">
                      <w14:alpha w14:val="100000"/>
                    </w14:srgbClr>
                  </w14:solidFill>
                </w14:textFill>
              </w:rPr>
              <w:t xml:space="preserve">　</w:t>
            </w:r>
          </w:p>
        </w:tc>
        <w:tc>
          <w:tcPr>
            <w:tcW w:w="805" w:type="pct"/>
            <w:tcBorders>
              <w:top w:val="nil"/>
              <w:bottom w:val="single" w:sz="4" w:space="0" w:color="auto"/>
            </w:tcBorders>
          </w:tcPr>
          <w:p w14:paraId="375FD8B6" w14:textId="77777777" w:rsidR="007E20FB" w:rsidRPr="0049396B" w:rsidRDefault="007E20FB" w:rsidP="007E4A08">
            <w:pPr>
              <w:pStyle w:val="TableText0"/>
              <w:keepLines/>
              <w:jc w:val="center"/>
            </w:pPr>
            <w:r w:rsidRPr="0049396B">
              <w:t>0.41</w:t>
            </w:r>
          </w:p>
        </w:tc>
        <w:tc>
          <w:tcPr>
            <w:tcW w:w="596" w:type="pct"/>
            <w:tcBorders>
              <w:top w:val="nil"/>
              <w:bottom w:val="single" w:sz="4" w:space="0" w:color="auto"/>
            </w:tcBorders>
          </w:tcPr>
          <w:p w14:paraId="73099B53" w14:textId="61CE05CB"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32"/>
                <w14:textFill>
                  <w14:solidFill>
                    <w14:srgbClr w14:val="000000">
                      <w14:alpha w14:val="100000"/>
                    </w14:srgbClr>
                  </w14:solidFill>
                </w14:textFill>
              </w:rPr>
              <w:t>|</w:t>
            </w:r>
            <w:r w:rsidRPr="0015085A">
              <w:rPr>
                <w:color w:val="000000"/>
                <w:spacing w:val="1"/>
                <w:shd w:val="solid" w:color="000000" w:fill="000000"/>
                <w:fitText w:val="170" w:id="-1032131832"/>
                <w14:textFill>
                  <w14:solidFill>
                    <w14:srgbClr w14:val="000000">
                      <w14:alpha w14:val="100000"/>
                    </w14:srgbClr>
                  </w14:solidFill>
                </w14:textFill>
              </w:rPr>
              <w:t>|</w:t>
            </w:r>
            <w:r w:rsidR="006C4083">
              <w:rPr>
                <w:bCs w:val="0"/>
                <w:vertAlign w:val="superscript"/>
              </w:rPr>
              <w:t>4</w:t>
            </w:r>
          </w:p>
        </w:tc>
        <w:tc>
          <w:tcPr>
            <w:tcW w:w="595" w:type="pct"/>
            <w:tcBorders>
              <w:top w:val="nil"/>
              <w:bottom w:val="single" w:sz="4" w:space="0" w:color="auto"/>
            </w:tcBorders>
          </w:tcPr>
          <w:p w14:paraId="5298BDDB" w14:textId="507BD1B7"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831"/>
                <w14:textFill>
                  <w14:solidFill>
                    <w14:srgbClr w14:val="000000">
                      <w14:alpha w14:val="100000"/>
                    </w14:srgbClr>
                  </w14:solidFill>
                </w14:textFill>
              </w:rPr>
              <w:t xml:space="preserve">　</w:t>
            </w:r>
            <w:r w:rsidRPr="0015085A">
              <w:rPr>
                <w:color w:val="000000"/>
                <w:w w:val="31"/>
                <w:shd w:val="solid" w:color="000000" w:fill="000000"/>
                <w:fitText w:val="140" w:id="-1032131831"/>
                <w14:textFill>
                  <w14:solidFill>
                    <w14:srgbClr w14:val="000000">
                      <w14:alpha w14:val="100000"/>
                    </w14:srgbClr>
                  </w14:solidFill>
                </w14:textFill>
              </w:rPr>
              <w:t>|</w:t>
            </w:r>
            <w:r w:rsidRPr="0015085A">
              <w:rPr>
                <w:rFonts w:hint="eastAsia"/>
                <w:color w:val="000000"/>
                <w:spacing w:val="4"/>
                <w:w w:val="31"/>
                <w:shd w:val="solid" w:color="000000" w:fill="000000"/>
                <w:fitText w:val="140" w:id="-1032131831"/>
                <w14:textFill>
                  <w14:solidFill>
                    <w14:srgbClr w14:val="000000">
                      <w14:alpha w14:val="100000"/>
                    </w14:srgbClr>
                  </w14:solidFill>
                </w14:textFill>
              </w:rPr>
              <w:t xml:space="preserve">　</w:t>
            </w:r>
          </w:p>
        </w:tc>
      </w:tr>
      <w:tr w:rsidR="007E20FB" w:rsidRPr="0049396B" w14:paraId="70F93636" w14:textId="77777777" w:rsidTr="00EB254E">
        <w:tc>
          <w:tcPr>
            <w:tcW w:w="5000" w:type="pct"/>
            <w:gridSpan w:val="5"/>
            <w:tcBorders>
              <w:bottom w:val="nil"/>
            </w:tcBorders>
          </w:tcPr>
          <w:p w14:paraId="63709461" w14:textId="77777777" w:rsidR="007E20FB" w:rsidRPr="0049396B" w:rsidRDefault="007E20FB" w:rsidP="007E4A08">
            <w:pPr>
              <w:pStyle w:val="TableText0"/>
              <w:keepLines/>
            </w:pPr>
            <w:r w:rsidRPr="0049396B">
              <w:t>Mortality HR (base case 0.665, based on 1.37 undiscounted LYG from 20-year extrapolation of Brooks 2022)</w:t>
            </w:r>
          </w:p>
        </w:tc>
      </w:tr>
      <w:tr w:rsidR="007E20FB" w:rsidRPr="0049396B" w14:paraId="7FAE9844" w14:textId="77777777" w:rsidTr="00EB254E">
        <w:tc>
          <w:tcPr>
            <w:tcW w:w="2266" w:type="pct"/>
            <w:tcBorders>
              <w:top w:val="nil"/>
              <w:bottom w:val="single" w:sz="4" w:space="0" w:color="auto"/>
            </w:tcBorders>
          </w:tcPr>
          <w:p w14:paraId="23A1A1D1" w14:textId="77777777" w:rsidR="007E20FB" w:rsidRPr="0049396B" w:rsidRDefault="007E20FB" w:rsidP="00A21488">
            <w:pPr>
              <w:pStyle w:val="TableText0"/>
              <w:keepLines/>
              <w:numPr>
                <w:ilvl w:val="0"/>
                <w:numId w:val="6"/>
              </w:numPr>
              <w:ind w:left="33" w:firstLine="0"/>
            </w:pPr>
            <w:r w:rsidRPr="0049396B">
              <w:t>No mortality adjustment</w:t>
            </w:r>
          </w:p>
        </w:tc>
        <w:tc>
          <w:tcPr>
            <w:tcW w:w="738" w:type="pct"/>
            <w:tcBorders>
              <w:top w:val="nil"/>
              <w:bottom w:val="single" w:sz="4" w:space="0" w:color="auto"/>
            </w:tcBorders>
          </w:tcPr>
          <w:p w14:paraId="0AC98D7F" w14:textId="0A267CEB"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30"/>
                <w14:textFill>
                  <w14:solidFill>
                    <w14:srgbClr w14:val="000000">
                      <w14:alpha w14:val="100000"/>
                    </w14:srgbClr>
                  </w14:solidFill>
                </w14:textFill>
              </w:rPr>
              <w:t xml:space="preserve">　</w:t>
            </w:r>
            <w:r w:rsidRPr="005E015C">
              <w:rPr>
                <w:color w:val="000000"/>
                <w:w w:val="15"/>
                <w:shd w:val="solid" w:color="000000" w:fill="000000"/>
                <w:fitText w:val="10" w:id="-1032131830"/>
                <w14:textFill>
                  <w14:solidFill>
                    <w14:srgbClr w14:val="000000">
                      <w14:alpha w14:val="100000"/>
                    </w14:srgbClr>
                  </w14:solidFill>
                </w14:textFill>
              </w:rPr>
              <w:t>|</w:t>
            </w:r>
            <w:r w:rsidRPr="005E015C">
              <w:rPr>
                <w:rFonts w:hint="eastAsia"/>
                <w:color w:val="000000"/>
                <w:spacing w:val="-55"/>
                <w:w w:val="15"/>
                <w:shd w:val="solid" w:color="000000" w:fill="000000"/>
                <w:fitText w:val="10" w:id="-1032131830"/>
                <w14:textFill>
                  <w14:solidFill>
                    <w14:srgbClr w14:val="000000">
                      <w14:alpha w14:val="100000"/>
                    </w14:srgbClr>
                  </w14:solidFill>
                </w14:textFill>
              </w:rPr>
              <w:t xml:space="preserve">　</w:t>
            </w:r>
          </w:p>
        </w:tc>
        <w:tc>
          <w:tcPr>
            <w:tcW w:w="805" w:type="pct"/>
            <w:tcBorders>
              <w:top w:val="nil"/>
              <w:bottom w:val="single" w:sz="4" w:space="0" w:color="auto"/>
            </w:tcBorders>
          </w:tcPr>
          <w:p w14:paraId="7145E7F2" w14:textId="77777777" w:rsidR="007E20FB" w:rsidRPr="0049396B" w:rsidRDefault="007E20FB" w:rsidP="007E4A08">
            <w:pPr>
              <w:pStyle w:val="TableText0"/>
              <w:keepLines/>
              <w:jc w:val="center"/>
            </w:pPr>
            <w:r w:rsidRPr="0049396B">
              <w:t>0.34</w:t>
            </w:r>
          </w:p>
        </w:tc>
        <w:tc>
          <w:tcPr>
            <w:tcW w:w="596" w:type="pct"/>
            <w:tcBorders>
              <w:top w:val="nil"/>
              <w:bottom w:val="single" w:sz="4" w:space="0" w:color="auto"/>
            </w:tcBorders>
          </w:tcPr>
          <w:p w14:paraId="21E03291" w14:textId="7FC3DF85" w:rsidR="007E20FB" w:rsidRPr="00F015D7" w:rsidRDefault="0015085A" w:rsidP="007E4A08">
            <w:pPr>
              <w:pStyle w:val="TableText0"/>
              <w:keepLines/>
              <w:jc w:val="center"/>
              <w:rPr>
                <w:b/>
                <w:bCs w:val="0"/>
                <w:highlight w:val="darkGray"/>
              </w:rPr>
            </w:pPr>
            <w:r>
              <w:t xml:space="preserve"> </w:t>
            </w:r>
            <w:r w:rsidRPr="0015085A">
              <w:rPr>
                <w:color w:val="000000"/>
                <w:spacing w:val="84"/>
                <w:shd w:val="solid" w:color="000000" w:fill="000000"/>
                <w:fitText w:val="170" w:id="-1032131829"/>
                <w14:textFill>
                  <w14:solidFill>
                    <w14:srgbClr w14:val="000000">
                      <w14:alpha w14:val="100000"/>
                    </w14:srgbClr>
                  </w14:solidFill>
                </w14:textFill>
              </w:rPr>
              <w:t>|</w:t>
            </w:r>
            <w:r w:rsidRPr="0015085A">
              <w:rPr>
                <w:color w:val="000000"/>
                <w:spacing w:val="1"/>
                <w:shd w:val="solid" w:color="000000" w:fill="000000"/>
                <w:fitText w:val="170" w:id="-1032131829"/>
                <w14:textFill>
                  <w14:solidFill>
                    <w14:srgbClr w14:val="000000">
                      <w14:alpha w14:val="100000"/>
                    </w14:srgbClr>
                  </w14:solidFill>
                </w14:textFill>
              </w:rPr>
              <w:t>|</w:t>
            </w:r>
            <w:r w:rsidR="00F015D7">
              <w:rPr>
                <w:bCs w:val="0"/>
                <w:vertAlign w:val="superscript"/>
              </w:rPr>
              <w:t>5</w:t>
            </w:r>
          </w:p>
        </w:tc>
        <w:tc>
          <w:tcPr>
            <w:tcW w:w="595" w:type="pct"/>
            <w:tcBorders>
              <w:top w:val="nil"/>
              <w:bottom w:val="single" w:sz="4" w:space="0" w:color="auto"/>
            </w:tcBorders>
          </w:tcPr>
          <w:p w14:paraId="31009DB3" w14:textId="05835452"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828"/>
                <w14:textFill>
                  <w14:solidFill>
                    <w14:srgbClr w14:val="000000">
                      <w14:alpha w14:val="100000"/>
                    </w14:srgbClr>
                  </w14:solidFill>
                </w14:textFill>
              </w:rPr>
              <w:t xml:space="preserve">　</w:t>
            </w:r>
            <w:r w:rsidRPr="0015085A">
              <w:rPr>
                <w:color w:val="000000"/>
                <w:w w:val="31"/>
                <w:shd w:val="solid" w:color="000000" w:fill="000000"/>
                <w:fitText w:val="140" w:id="-1032131828"/>
                <w14:textFill>
                  <w14:solidFill>
                    <w14:srgbClr w14:val="000000">
                      <w14:alpha w14:val="100000"/>
                    </w14:srgbClr>
                  </w14:solidFill>
                </w14:textFill>
              </w:rPr>
              <w:t>|</w:t>
            </w:r>
            <w:r w:rsidRPr="0015085A">
              <w:rPr>
                <w:rFonts w:hint="eastAsia"/>
                <w:color w:val="000000"/>
                <w:spacing w:val="4"/>
                <w:w w:val="31"/>
                <w:shd w:val="solid" w:color="000000" w:fill="000000"/>
                <w:fitText w:val="140" w:id="-1032131828"/>
                <w14:textFill>
                  <w14:solidFill>
                    <w14:srgbClr w14:val="000000">
                      <w14:alpha w14:val="100000"/>
                    </w14:srgbClr>
                  </w14:solidFill>
                </w14:textFill>
              </w:rPr>
              <w:t xml:space="preserve">　</w:t>
            </w:r>
          </w:p>
        </w:tc>
      </w:tr>
      <w:tr w:rsidR="007E20FB" w:rsidRPr="0049396B" w14:paraId="7242DB70" w14:textId="77777777" w:rsidTr="00EB254E">
        <w:tc>
          <w:tcPr>
            <w:tcW w:w="5000" w:type="pct"/>
            <w:gridSpan w:val="5"/>
            <w:tcBorders>
              <w:bottom w:val="nil"/>
            </w:tcBorders>
          </w:tcPr>
          <w:p w14:paraId="68146A67" w14:textId="77777777" w:rsidR="007E20FB" w:rsidRPr="0049396B" w:rsidRDefault="007E20FB" w:rsidP="007E4A08">
            <w:pPr>
              <w:pStyle w:val="TableText0"/>
              <w:keepLines/>
            </w:pPr>
            <w:r w:rsidRPr="0049396B">
              <w:t>TTD edaravone (30% discontinuation each cycle for patients remaining in stages 1-3)</w:t>
            </w:r>
          </w:p>
        </w:tc>
      </w:tr>
      <w:tr w:rsidR="007E20FB" w:rsidRPr="0049396B" w14:paraId="318C51CB" w14:textId="77777777" w:rsidTr="00EB254E">
        <w:tc>
          <w:tcPr>
            <w:tcW w:w="2266" w:type="pct"/>
            <w:tcBorders>
              <w:top w:val="nil"/>
              <w:bottom w:val="single" w:sz="4" w:space="0" w:color="auto"/>
            </w:tcBorders>
          </w:tcPr>
          <w:p w14:paraId="09E958B8" w14:textId="77777777" w:rsidR="007E20FB" w:rsidRPr="0049396B" w:rsidRDefault="007E20FB" w:rsidP="00A21488">
            <w:pPr>
              <w:pStyle w:val="TableText0"/>
              <w:keepLines/>
              <w:numPr>
                <w:ilvl w:val="0"/>
                <w:numId w:val="6"/>
              </w:numPr>
              <w:ind w:left="33" w:firstLine="0"/>
            </w:pPr>
            <w:r w:rsidRPr="0049396B">
              <w:t>No TTD adjustment</w:t>
            </w:r>
          </w:p>
        </w:tc>
        <w:tc>
          <w:tcPr>
            <w:tcW w:w="738" w:type="pct"/>
            <w:tcBorders>
              <w:top w:val="nil"/>
              <w:bottom w:val="single" w:sz="4" w:space="0" w:color="auto"/>
            </w:tcBorders>
          </w:tcPr>
          <w:p w14:paraId="57FD363A" w14:textId="6A0F7D36"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827"/>
                <w14:textFill>
                  <w14:solidFill>
                    <w14:srgbClr w14:val="000000">
                      <w14:alpha w14:val="100000"/>
                    </w14:srgbClr>
                  </w14:solidFill>
                </w14:textFill>
              </w:rPr>
              <w:t xml:space="preserve">　</w:t>
            </w:r>
            <w:r w:rsidRPr="005E015C">
              <w:rPr>
                <w:color w:val="000000"/>
                <w:w w:val="15"/>
                <w:shd w:val="solid" w:color="000000" w:fill="000000"/>
                <w:fitText w:val="10" w:id="-1032131827"/>
                <w14:textFill>
                  <w14:solidFill>
                    <w14:srgbClr w14:val="000000">
                      <w14:alpha w14:val="100000"/>
                    </w14:srgbClr>
                  </w14:solidFill>
                </w14:textFill>
              </w:rPr>
              <w:t>|</w:t>
            </w:r>
            <w:r w:rsidRPr="005E015C">
              <w:rPr>
                <w:rFonts w:hint="eastAsia"/>
                <w:color w:val="000000"/>
                <w:spacing w:val="-55"/>
                <w:w w:val="15"/>
                <w:shd w:val="solid" w:color="000000" w:fill="000000"/>
                <w:fitText w:val="10" w:id="-1032131827"/>
                <w14:textFill>
                  <w14:solidFill>
                    <w14:srgbClr w14:val="000000">
                      <w14:alpha w14:val="100000"/>
                    </w14:srgbClr>
                  </w14:solidFill>
                </w14:textFill>
              </w:rPr>
              <w:t xml:space="preserve">　</w:t>
            </w:r>
          </w:p>
        </w:tc>
        <w:tc>
          <w:tcPr>
            <w:tcW w:w="805" w:type="pct"/>
            <w:tcBorders>
              <w:top w:val="nil"/>
              <w:bottom w:val="single" w:sz="4" w:space="0" w:color="auto"/>
            </w:tcBorders>
          </w:tcPr>
          <w:p w14:paraId="28162F6E" w14:textId="77777777" w:rsidR="007E20FB" w:rsidRPr="0049396B" w:rsidRDefault="007E20FB" w:rsidP="007E4A08">
            <w:pPr>
              <w:pStyle w:val="TableText0"/>
              <w:keepLines/>
              <w:jc w:val="center"/>
            </w:pPr>
            <w:r w:rsidRPr="0049396B">
              <w:t>0.76</w:t>
            </w:r>
          </w:p>
        </w:tc>
        <w:tc>
          <w:tcPr>
            <w:tcW w:w="596" w:type="pct"/>
            <w:tcBorders>
              <w:top w:val="nil"/>
              <w:bottom w:val="single" w:sz="4" w:space="0" w:color="auto"/>
            </w:tcBorders>
          </w:tcPr>
          <w:p w14:paraId="76265910" w14:textId="28054D47"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826"/>
                <w14:textFill>
                  <w14:solidFill>
                    <w14:srgbClr w14:val="000000">
                      <w14:alpha w14:val="100000"/>
                    </w14:srgbClr>
                  </w14:solidFill>
                </w14:textFill>
              </w:rPr>
              <w:t>|</w:t>
            </w:r>
            <w:r w:rsidRPr="0015085A">
              <w:rPr>
                <w:color w:val="000000"/>
                <w:spacing w:val="1"/>
                <w:shd w:val="solid" w:color="000000" w:fill="000000"/>
                <w:fitText w:val="170" w:id="-1032131826"/>
                <w14:textFill>
                  <w14:solidFill>
                    <w14:srgbClr w14:val="000000">
                      <w14:alpha w14:val="100000"/>
                    </w14:srgbClr>
                  </w14:solidFill>
                </w14:textFill>
              </w:rPr>
              <w:t>|</w:t>
            </w:r>
            <w:r w:rsidR="00F015D7">
              <w:rPr>
                <w:bCs w:val="0"/>
                <w:vertAlign w:val="superscript"/>
              </w:rPr>
              <w:t>6</w:t>
            </w:r>
          </w:p>
        </w:tc>
        <w:tc>
          <w:tcPr>
            <w:tcW w:w="595" w:type="pct"/>
            <w:tcBorders>
              <w:top w:val="nil"/>
              <w:bottom w:val="single" w:sz="4" w:space="0" w:color="auto"/>
            </w:tcBorders>
          </w:tcPr>
          <w:p w14:paraId="3833AD4E" w14:textId="7BA85930"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584"/>
                <w14:textFill>
                  <w14:solidFill>
                    <w14:srgbClr w14:val="000000">
                      <w14:alpha w14:val="100000"/>
                    </w14:srgbClr>
                  </w14:solidFill>
                </w14:textFill>
              </w:rPr>
              <w:t xml:space="preserve">　</w:t>
            </w:r>
            <w:r w:rsidRPr="0015085A">
              <w:rPr>
                <w:color w:val="000000"/>
                <w:w w:val="31"/>
                <w:shd w:val="solid" w:color="000000" w:fill="000000"/>
                <w:fitText w:val="140" w:id="-1032131584"/>
                <w14:textFill>
                  <w14:solidFill>
                    <w14:srgbClr w14:val="000000">
                      <w14:alpha w14:val="100000"/>
                    </w14:srgbClr>
                  </w14:solidFill>
                </w14:textFill>
              </w:rPr>
              <w:t>|</w:t>
            </w:r>
            <w:r w:rsidRPr="0015085A">
              <w:rPr>
                <w:rFonts w:hint="eastAsia"/>
                <w:color w:val="000000"/>
                <w:spacing w:val="4"/>
                <w:w w:val="31"/>
                <w:shd w:val="solid" w:color="000000" w:fill="000000"/>
                <w:fitText w:val="140" w:id="-1032131584"/>
                <w14:textFill>
                  <w14:solidFill>
                    <w14:srgbClr w14:val="000000">
                      <w14:alpha w14:val="100000"/>
                    </w14:srgbClr>
                  </w14:solidFill>
                </w14:textFill>
              </w:rPr>
              <w:t xml:space="preserve">　</w:t>
            </w:r>
          </w:p>
        </w:tc>
      </w:tr>
      <w:tr w:rsidR="007E20FB" w:rsidRPr="0049396B" w14:paraId="5209AD92" w14:textId="77777777" w:rsidTr="00EB254E">
        <w:tc>
          <w:tcPr>
            <w:tcW w:w="5000" w:type="pct"/>
            <w:gridSpan w:val="5"/>
            <w:tcBorders>
              <w:bottom w:val="nil"/>
            </w:tcBorders>
          </w:tcPr>
          <w:p w14:paraId="6F2AA505" w14:textId="77777777" w:rsidR="007E20FB" w:rsidRPr="0049396B" w:rsidRDefault="007E20FB" w:rsidP="007E4A08">
            <w:pPr>
              <w:pStyle w:val="TableText0"/>
              <w:keepLines/>
            </w:pPr>
            <w:r w:rsidRPr="0049396B">
              <w:t>Health state disutility source (base case Thakore 2020, stage 1=0.029, stage 2= 0.102, stage 3=0.203, stage 4a=0.189, stage 4b=0.264)</w:t>
            </w:r>
          </w:p>
        </w:tc>
      </w:tr>
      <w:tr w:rsidR="007E20FB" w:rsidRPr="0049396B" w14:paraId="2CE3DD5A" w14:textId="77777777" w:rsidTr="00EB254E">
        <w:tc>
          <w:tcPr>
            <w:tcW w:w="2266" w:type="pct"/>
            <w:tcBorders>
              <w:top w:val="nil"/>
              <w:bottom w:val="nil"/>
            </w:tcBorders>
          </w:tcPr>
          <w:p w14:paraId="5854A483" w14:textId="77777777" w:rsidR="007E20FB" w:rsidRPr="0049396B" w:rsidRDefault="007E20FB" w:rsidP="00A21488">
            <w:pPr>
              <w:pStyle w:val="TableText0"/>
              <w:keepLines/>
              <w:numPr>
                <w:ilvl w:val="0"/>
                <w:numId w:val="6"/>
              </w:numPr>
              <w:ind w:left="33" w:firstLine="0"/>
            </w:pPr>
            <w:r w:rsidRPr="0049396B">
              <w:t>Moore 2019 (stage 1=0.028, stage 2=0.188, stage 3=0.258, stage 4a/4b=0.288</w:t>
            </w:r>
          </w:p>
        </w:tc>
        <w:tc>
          <w:tcPr>
            <w:tcW w:w="738" w:type="pct"/>
            <w:tcBorders>
              <w:top w:val="nil"/>
              <w:bottom w:val="nil"/>
            </w:tcBorders>
          </w:tcPr>
          <w:p w14:paraId="423813B3" w14:textId="72B25605"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83"/>
                <w14:textFill>
                  <w14:solidFill>
                    <w14:srgbClr w14:val="000000">
                      <w14:alpha w14:val="100000"/>
                    </w14:srgbClr>
                  </w14:solidFill>
                </w14:textFill>
              </w:rPr>
              <w:t xml:space="preserve">　</w:t>
            </w:r>
            <w:r w:rsidRPr="005E015C">
              <w:rPr>
                <w:color w:val="000000"/>
                <w:w w:val="15"/>
                <w:shd w:val="solid" w:color="000000" w:fill="000000"/>
                <w:fitText w:val="10" w:id="-1032131583"/>
                <w14:textFill>
                  <w14:solidFill>
                    <w14:srgbClr w14:val="000000">
                      <w14:alpha w14:val="100000"/>
                    </w14:srgbClr>
                  </w14:solidFill>
                </w14:textFill>
              </w:rPr>
              <w:t>|</w:t>
            </w:r>
            <w:r w:rsidRPr="005E015C">
              <w:rPr>
                <w:rFonts w:hint="eastAsia"/>
                <w:color w:val="000000"/>
                <w:spacing w:val="-55"/>
                <w:w w:val="15"/>
                <w:shd w:val="solid" w:color="000000" w:fill="000000"/>
                <w:fitText w:val="10" w:id="-1032131583"/>
                <w14:textFill>
                  <w14:solidFill>
                    <w14:srgbClr w14:val="000000">
                      <w14:alpha w14:val="100000"/>
                    </w14:srgbClr>
                  </w14:solidFill>
                </w14:textFill>
              </w:rPr>
              <w:t xml:space="preserve">　</w:t>
            </w:r>
          </w:p>
        </w:tc>
        <w:tc>
          <w:tcPr>
            <w:tcW w:w="805" w:type="pct"/>
            <w:tcBorders>
              <w:top w:val="nil"/>
              <w:bottom w:val="nil"/>
            </w:tcBorders>
          </w:tcPr>
          <w:p w14:paraId="7C589942" w14:textId="77777777" w:rsidR="007E20FB" w:rsidRPr="0049396B" w:rsidRDefault="007E20FB" w:rsidP="007E4A08">
            <w:pPr>
              <w:pStyle w:val="TableText0"/>
              <w:keepLines/>
              <w:jc w:val="center"/>
            </w:pPr>
            <w:r w:rsidRPr="0049396B">
              <w:t>0.72</w:t>
            </w:r>
          </w:p>
        </w:tc>
        <w:tc>
          <w:tcPr>
            <w:tcW w:w="596" w:type="pct"/>
            <w:tcBorders>
              <w:top w:val="nil"/>
              <w:bottom w:val="nil"/>
            </w:tcBorders>
          </w:tcPr>
          <w:p w14:paraId="6DFC7402" w14:textId="3EB9A090"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582"/>
                <w14:textFill>
                  <w14:solidFill>
                    <w14:srgbClr w14:val="000000">
                      <w14:alpha w14:val="100000"/>
                    </w14:srgbClr>
                  </w14:solidFill>
                </w14:textFill>
              </w:rPr>
              <w:t>|</w:t>
            </w:r>
            <w:r w:rsidRPr="0015085A">
              <w:rPr>
                <w:color w:val="000000"/>
                <w:spacing w:val="1"/>
                <w:shd w:val="solid" w:color="000000" w:fill="000000"/>
                <w:fitText w:val="170" w:id="-1032131582"/>
                <w14:textFill>
                  <w14:solidFill>
                    <w14:srgbClr w14:val="000000">
                      <w14:alpha w14:val="100000"/>
                    </w14:srgbClr>
                  </w14:solidFill>
                </w14:textFill>
              </w:rPr>
              <w:t>|</w:t>
            </w:r>
            <w:r w:rsidR="006C4083" w:rsidRPr="006C4083">
              <w:rPr>
                <w:bCs w:val="0"/>
                <w:vertAlign w:val="superscript"/>
              </w:rPr>
              <w:t>1</w:t>
            </w:r>
          </w:p>
        </w:tc>
        <w:tc>
          <w:tcPr>
            <w:tcW w:w="595" w:type="pct"/>
            <w:tcBorders>
              <w:top w:val="nil"/>
              <w:bottom w:val="nil"/>
            </w:tcBorders>
          </w:tcPr>
          <w:p w14:paraId="08FB5476" w14:textId="386FD0AB" w:rsidR="007E20FB" w:rsidRPr="006522C1" w:rsidRDefault="0015085A" w:rsidP="007E4A08">
            <w:pPr>
              <w:pStyle w:val="TableText0"/>
              <w:keepLines/>
              <w:jc w:val="center"/>
              <w:rPr>
                <w:highlight w:val="darkGray"/>
              </w:rPr>
            </w:pPr>
            <w:r>
              <w:t xml:space="preserve"> </w:t>
            </w:r>
            <w:r w:rsidRPr="0015085A">
              <w:rPr>
                <w:rFonts w:hint="eastAsia"/>
                <w:color w:val="000000"/>
                <w:w w:val="31"/>
                <w:shd w:val="solid" w:color="000000" w:fill="000000"/>
                <w:fitText w:val="140" w:id="-1032131581"/>
                <w14:textFill>
                  <w14:solidFill>
                    <w14:srgbClr w14:val="000000">
                      <w14:alpha w14:val="100000"/>
                    </w14:srgbClr>
                  </w14:solidFill>
                </w14:textFill>
              </w:rPr>
              <w:t xml:space="preserve">　</w:t>
            </w:r>
            <w:r w:rsidRPr="0015085A">
              <w:rPr>
                <w:color w:val="000000"/>
                <w:w w:val="31"/>
                <w:shd w:val="solid" w:color="000000" w:fill="000000"/>
                <w:fitText w:val="140" w:id="-1032131581"/>
                <w14:textFill>
                  <w14:solidFill>
                    <w14:srgbClr w14:val="000000">
                      <w14:alpha w14:val="100000"/>
                    </w14:srgbClr>
                  </w14:solidFill>
                </w14:textFill>
              </w:rPr>
              <w:t>|</w:t>
            </w:r>
            <w:r w:rsidRPr="0015085A">
              <w:rPr>
                <w:rFonts w:hint="eastAsia"/>
                <w:color w:val="000000"/>
                <w:spacing w:val="4"/>
                <w:w w:val="31"/>
                <w:shd w:val="solid" w:color="000000" w:fill="000000"/>
                <w:fitText w:val="140" w:id="-1032131581"/>
                <w14:textFill>
                  <w14:solidFill>
                    <w14:srgbClr w14:val="000000">
                      <w14:alpha w14:val="100000"/>
                    </w14:srgbClr>
                  </w14:solidFill>
                </w14:textFill>
              </w:rPr>
              <w:t xml:space="preserve">　</w:t>
            </w:r>
          </w:p>
        </w:tc>
      </w:tr>
      <w:tr w:rsidR="007E20FB" w:rsidRPr="0049396B" w14:paraId="5339F44E" w14:textId="77777777" w:rsidTr="00EB254E">
        <w:tc>
          <w:tcPr>
            <w:tcW w:w="2266" w:type="pct"/>
            <w:tcBorders>
              <w:top w:val="nil"/>
            </w:tcBorders>
          </w:tcPr>
          <w:p w14:paraId="3CAF9F29" w14:textId="77777777" w:rsidR="007E20FB" w:rsidRPr="0049396B" w:rsidRDefault="007E20FB" w:rsidP="00A21488">
            <w:pPr>
              <w:pStyle w:val="TableText0"/>
              <w:keepLines/>
              <w:numPr>
                <w:ilvl w:val="0"/>
                <w:numId w:val="6"/>
              </w:numPr>
              <w:ind w:left="33" w:firstLine="0"/>
            </w:pPr>
            <w:r w:rsidRPr="0049396B">
              <w:t>Jones 2014 (stage 1=0.14, stage 2=0.26, stage 3=0.38, stage 4a/4b=0.52)</w:t>
            </w:r>
          </w:p>
        </w:tc>
        <w:tc>
          <w:tcPr>
            <w:tcW w:w="738" w:type="pct"/>
            <w:tcBorders>
              <w:top w:val="nil"/>
            </w:tcBorders>
          </w:tcPr>
          <w:p w14:paraId="3879BD17" w14:textId="39BC0896"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80"/>
                <w14:textFill>
                  <w14:solidFill>
                    <w14:srgbClr w14:val="000000">
                      <w14:alpha w14:val="100000"/>
                    </w14:srgbClr>
                  </w14:solidFill>
                </w14:textFill>
              </w:rPr>
              <w:t xml:space="preserve">　</w:t>
            </w:r>
            <w:r w:rsidRPr="005E015C">
              <w:rPr>
                <w:color w:val="000000"/>
                <w:w w:val="15"/>
                <w:shd w:val="solid" w:color="000000" w:fill="000000"/>
                <w:fitText w:val="10" w:id="-1032131580"/>
                <w14:textFill>
                  <w14:solidFill>
                    <w14:srgbClr w14:val="000000">
                      <w14:alpha w14:val="100000"/>
                    </w14:srgbClr>
                  </w14:solidFill>
                </w14:textFill>
              </w:rPr>
              <w:t>|</w:t>
            </w:r>
            <w:r w:rsidRPr="005E015C">
              <w:rPr>
                <w:rFonts w:hint="eastAsia"/>
                <w:color w:val="000000"/>
                <w:spacing w:val="-55"/>
                <w:w w:val="15"/>
                <w:shd w:val="solid" w:color="000000" w:fill="000000"/>
                <w:fitText w:val="10" w:id="-1032131580"/>
                <w14:textFill>
                  <w14:solidFill>
                    <w14:srgbClr w14:val="000000">
                      <w14:alpha w14:val="100000"/>
                    </w14:srgbClr>
                  </w14:solidFill>
                </w14:textFill>
              </w:rPr>
              <w:t xml:space="preserve">　</w:t>
            </w:r>
          </w:p>
        </w:tc>
        <w:tc>
          <w:tcPr>
            <w:tcW w:w="805" w:type="pct"/>
            <w:tcBorders>
              <w:top w:val="nil"/>
            </w:tcBorders>
          </w:tcPr>
          <w:p w14:paraId="3157E2FD" w14:textId="77777777" w:rsidR="007E20FB" w:rsidRPr="0049396B" w:rsidRDefault="007E20FB" w:rsidP="007E4A08">
            <w:pPr>
              <w:pStyle w:val="TableText0"/>
              <w:keepLines/>
              <w:jc w:val="center"/>
            </w:pPr>
            <w:r w:rsidRPr="0049396B">
              <w:t>0.56</w:t>
            </w:r>
          </w:p>
        </w:tc>
        <w:tc>
          <w:tcPr>
            <w:tcW w:w="596" w:type="pct"/>
            <w:tcBorders>
              <w:top w:val="nil"/>
            </w:tcBorders>
          </w:tcPr>
          <w:p w14:paraId="13ABD044" w14:textId="7FC3447F"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579"/>
                <w14:textFill>
                  <w14:solidFill>
                    <w14:srgbClr w14:val="000000">
                      <w14:alpha w14:val="100000"/>
                    </w14:srgbClr>
                  </w14:solidFill>
                </w14:textFill>
              </w:rPr>
              <w:t>|</w:t>
            </w:r>
            <w:r w:rsidRPr="0015085A">
              <w:rPr>
                <w:color w:val="000000"/>
                <w:spacing w:val="1"/>
                <w:shd w:val="solid" w:color="000000" w:fill="000000"/>
                <w:fitText w:val="170" w:id="-1032131579"/>
                <w14:textFill>
                  <w14:solidFill>
                    <w14:srgbClr w14:val="000000">
                      <w14:alpha w14:val="100000"/>
                    </w14:srgbClr>
                  </w14:solidFill>
                </w14:textFill>
              </w:rPr>
              <w:t>|</w:t>
            </w:r>
            <w:r w:rsidR="006C4083">
              <w:rPr>
                <w:bCs w:val="0"/>
                <w:vertAlign w:val="superscript"/>
              </w:rPr>
              <w:t>3</w:t>
            </w:r>
          </w:p>
        </w:tc>
        <w:tc>
          <w:tcPr>
            <w:tcW w:w="595" w:type="pct"/>
            <w:tcBorders>
              <w:top w:val="nil"/>
            </w:tcBorders>
          </w:tcPr>
          <w:p w14:paraId="416177B3" w14:textId="7F17EE8D" w:rsidR="007E20FB" w:rsidRPr="006522C1" w:rsidRDefault="0015085A" w:rsidP="007E4A08">
            <w:pPr>
              <w:pStyle w:val="TableText0"/>
              <w:keepLines/>
              <w:jc w:val="center"/>
              <w:rPr>
                <w:highlight w:val="darkGray"/>
              </w:rPr>
            </w:pPr>
            <w:r>
              <w:t xml:space="preserve"> </w:t>
            </w:r>
            <w:r w:rsidRPr="0015085A">
              <w:rPr>
                <w:rFonts w:hint="eastAsia"/>
                <w:color w:val="000000"/>
                <w:w w:val="31"/>
                <w:shd w:val="solid" w:color="000000" w:fill="000000"/>
                <w:fitText w:val="140" w:id="-1032131578"/>
                <w14:textFill>
                  <w14:solidFill>
                    <w14:srgbClr w14:val="000000">
                      <w14:alpha w14:val="100000"/>
                    </w14:srgbClr>
                  </w14:solidFill>
                </w14:textFill>
              </w:rPr>
              <w:t xml:space="preserve">　</w:t>
            </w:r>
            <w:r w:rsidRPr="0015085A">
              <w:rPr>
                <w:color w:val="000000"/>
                <w:w w:val="31"/>
                <w:shd w:val="solid" w:color="000000" w:fill="000000"/>
                <w:fitText w:val="140" w:id="-1032131578"/>
                <w14:textFill>
                  <w14:solidFill>
                    <w14:srgbClr w14:val="000000">
                      <w14:alpha w14:val="100000"/>
                    </w14:srgbClr>
                  </w14:solidFill>
                </w14:textFill>
              </w:rPr>
              <w:t>|</w:t>
            </w:r>
            <w:r w:rsidRPr="0015085A">
              <w:rPr>
                <w:rFonts w:hint="eastAsia"/>
                <w:color w:val="000000"/>
                <w:spacing w:val="4"/>
                <w:w w:val="31"/>
                <w:shd w:val="solid" w:color="000000" w:fill="000000"/>
                <w:fitText w:val="140" w:id="-1032131578"/>
                <w14:textFill>
                  <w14:solidFill>
                    <w14:srgbClr w14:val="000000">
                      <w14:alpha w14:val="100000"/>
                    </w14:srgbClr>
                  </w14:solidFill>
                </w14:textFill>
              </w:rPr>
              <w:t xml:space="preserve">　</w:t>
            </w:r>
          </w:p>
        </w:tc>
      </w:tr>
      <w:tr w:rsidR="007E20FB" w:rsidRPr="0049396B" w14:paraId="09F5F6C6" w14:textId="77777777" w:rsidTr="00EB254E">
        <w:tc>
          <w:tcPr>
            <w:tcW w:w="2266" w:type="pct"/>
          </w:tcPr>
          <w:p w14:paraId="715E2BD9" w14:textId="77777777" w:rsidR="007E20FB" w:rsidRPr="0049396B" w:rsidRDefault="007E20FB" w:rsidP="007E4A08">
            <w:pPr>
              <w:pStyle w:val="TableText0"/>
              <w:keepLines/>
            </w:pPr>
            <w:r w:rsidRPr="0049396B">
              <w:t>Care giver disutility included (base case excluded)</w:t>
            </w:r>
          </w:p>
        </w:tc>
        <w:tc>
          <w:tcPr>
            <w:tcW w:w="738" w:type="pct"/>
          </w:tcPr>
          <w:p w14:paraId="44C52A07" w14:textId="636A3794"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77"/>
                <w14:textFill>
                  <w14:solidFill>
                    <w14:srgbClr w14:val="000000">
                      <w14:alpha w14:val="100000"/>
                    </w14:srgbClr>
                  </w14:solidFill>
                </w14:textFill>
              </w:rPr>
              <w:t xml:space="preserve">　</w:t>
            </w:r>
            <w:r w:rsidRPr="005E015C">
              <w:rPr>
                <w:color w:val="000000"/>
                <w:w w:val="15"/>
                <w:shd w:val="solid" w:color="000000" w:fill="000000"/>
                <w:fitText w:val="10" w:id="-1032131577"/>
                <w14:textFill>
                  <w14:solidFill>
                    <w14:srgbClr w14:val="000000">
                      <w14:alpha w14:val="100000"/>
                    </w14:srgbClr>
                  </w14:solidFill>
                </w14:textFill>
              </w:rPr>
              <w:t>|</w:t>
            </w:r>
            <w:r w:rsidRPr="005E015C">
              <w:rPr>
                <w:rFonts w:hint="eastAsia"/>
                <w:color w:val="000000"/>
                <w:spacing w:val="-55"/>
                <w:w w:val="15"/>
                <w:shd w:val="solid" w:color="000000" w:fill="000000"/>
                <w:fitText w:val="10" w:id="-1032131577"/>
                <w14:textFill>
                  <w14:solidFill>
                    <w14:srgbClr w14:val="000000">
                      <w14:alpha w14:val="100000"/>
                    </w14:srgbClr>
                  </w14:solidFill>
                </w14:textFill>
              </w:rPr>
              <w:t xml:space="preserve">　</w:t>
            </w:r>
          </w:p>
        </w:tc>
        <w:tc>
          <w:tcPr>
            <w:tcW w:w="805" w:type="pct"/>
          </w:tcPr>
          <w:p w14:paraId="5AEA34AB" w14:textId="77777777" w:rsidR="007E20FB" w:rsidRPr="0049396B" w:rsidRDefault="007E20FB" w:rsidP="007E4A08">
            <w:pPr>
              <w:pStyle w:val="TableText0"/>
              <w:keepLines/>
              <w:jc w:val="center"/>
            </w:pPr>
            <w:r w:rsidRPr="0049396B">
              <w:t>0.84</w:t>
            </w:r>
          </w:p>
        </w:tc>
        <w:tc>
          <w:tcPr>
            <w:tcW w:w="596" w:type="pct"/>
          </w:tcPr>
          <w:p w14:paraId="65F37410" w14:textId="6EEDFF09"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576"/>
                <w14:textFill>
                  <w14:solidFill>
                    <w14:srgbClr w14:val="000000">
                      <w14:alpha w14:val="100000"/>
                    </w14:srgbClr>
                  </w14:solidFill>
                </w14:textFill>
              </w:rPr>
              <w:t>|</w:t>
            </w:r>
            <w:r w:rsidRPr="0015085A">
              <w:rPr>
                <w:color w:val="000000"/>
                <w:spacing w:val="1"/>
                <w:shd w:val="solid" w:color="000000" w:fill="000000"/>
                <w:fitText w:val="170" w:id="-1032131576"/>
                <w14:textFill>
                  <w14:solidFill>
                    <w14:srgbClr w14:val="000000">
                      <w14:alpha w14:val="100000"/>
                    </w14:srgbClr>
                  </w14:solidFill>
                </w14:textFill>
              </w:rPr>
              <w:t>|</w:t>
            </w:r>
            <w:r w:rsidR="006C4083" w:rsidRPr="006C4083">
              <w:rPr>
                <w:bCs w:val="0"/>
                <w:vertAlign w:val="superscript"/>
              </w:rPr>
              <w:t>1</w:t>
            </w:r>
          </w:p>
        </w:tc>
        <w:tc>
          <w:tcPr>
            <w:tcW w:w="595" w:type="pct"/>
          </w:tcPr>
          <w:p w14:paraId="47B871E3" w14:textId="543F7005" w:rsidR="007E20FB" w:rsidRPr="0049396B" w:rsidRDefault="007E20FB" w:rsidP="007E4A08">
            <w:pPr>
              <w:pStyle w:val="TableText0"/>
              <w:keepLines/>
              <w:jc w:val="center"/>
            </w:pPr>
            <w:r w:rsidRPr="0049396B">
              <w:t>-</w:t>
            </w:r>
            <w:r w:rsidR="0015085A">
              <w:t xml:space="preserve"> </w:t>
            </w:r>
            <w:r w:rsidR="0015085A" w:rsidRPr="0015085A">
              <w:rPr>
                <w:color w:val="000000"/>
                <w:spacing w:val="84"/>
                <w:shd w:val="solid" w:color="000000" w:fill="000000"/>
                <w:fitText w:val="170" w:id="-1032131575"/>
                <w14:textFill>
                  <w14:solidFill>
                    <w14:srgbClr w14:val="000000">
                      <w14:alpha w14:val="100000"/>
                    </w14:srgbClr>
                  </w14:solidFill>
                </w14:textFill>
              </w:rPr>
              <w:t>|</w:t>
            </w:r>
            <w:r w:rsidR="0015085A" w:rsidRPr="0015085A">
              <w:rPr>
                <w:color w:val="000000"/>
                <w:spacing w:val="1"/>
                <w:shd w:val="solid" w:color="000000" w:fill="000000"/>
                <w:fitText w:val="170" w:id="-1032131575"/>
                <w14:textFill>
                  <w14:solidFill>
                    <w14:srgbClr w14:val="000000">
                      <w14:alpha w14:val="100000"/>
                    </w14:srgbClr>
                  </w14:solidFill>
                </w14:textFill>
              </w:rPr>
              <w:t>|</w:t>
            </w:r>
          </w:p>
        </w:tc>
      </w:tr>
      <w:tr w:rsidR="007E20FB" w:rsidRPr="0049396B" w14:paraId="6AF33A7E" w14:textId="77777777" w:rsidTr="00EB254E">
        <w:tc>
          <w:tcPr>
            <w:tcW w:w="2266" w:type="pct"/>
          </w:tcPr>
          <w:p w14:paraId="3C08AD39" w14:textId="6543E60C" w:rsidR="007E20FB" w:rsidRPr="0049396B" w:rsidRDefault="007E20FB" w:rsidP="007E4A08">
            <w:pPr>
              <w:pStyle w:val="TableText0"/>
              <w:keepLines/>
            </w:pPr>
            <w:r w:rsidRPr="0049396B">
              <w:t xml:space="preserve">Edaravone 100% public DPMQ </w:t>
            </w:r>
            <w:r w:rsidR="009B4DB9">
              <w:t>$</w:t>
            </w:r>
            <w:r w:rsidR="0015085A" w:rsidRPr="009B4DB9">
              <w:rPr>
                <w:color w:val="000000"/>
                <w:spacing w:val="53"/>
                <w:shd w:val="solid" w:color="000000" w:fill="000000"/>
                <w:fitText w:val="330" w:id="-1032131574"/>
                <w14:textFill>
                  <w14:solidFill>
                    <w14:srgbClr w14:val="000000">
                      <w14:alpha w14:val="100000"/>
                    </w14:srgbClr>
                  </w14:solidFill>
                </w14:textFill>
              </w:rPr>
              <w:t>|||</w:t>
            </w:r>
            <w:r w:rsidR="0015085A" w:rsidRPr="009B4DB9">
              <w:rPr>
                <w:color w:val="000000"/>
                <w:spacing w:val="1"/>
                <w:shd w:val="solid" w:color="000000" w:fill="000000"/>
                <w:fitText w:val="330" w:id="-1032131574"/>
                <w14:textFill>
                  <w14:solidFill>
                    <w14:srgbClr w14:val="000000">
                      <w14:alpha w14:val="100000"/>
                    </w14:srgbClr>
                  </w14:solidFill>
                </w14:textFill>
              </w:rPr>
              <w:t>|</w:t>
            </w:r>
            <w:r w:rsidRPr="0049396B">
              <w:t xml:space="preserve"> per ampoule (base 100% private DPMQ </w:t>
            </w:r>
            <w:r w:rsidR="009B4DB9">
              <w:t>$</w:t>
            </w:r>
            <w:r w:rsidR="0015085A" w:rsidRPr="009B4DB9">
              <w:rPr>
                <w:color w:val="000000"/>
                <w:spacing w:val="53"/>
                <w:shd w:val="solid" w:color="000000" w:fill="000000"/>
                <w:fitText w:val="330" w:id="-1032131573"/>
                <w14:textFill>
                  <w14:solidFill>
                    <w14:srgbClr w14:val="000000">
                      <w14:alpha w14:val="100000"/>
                    </w14:srgbClr>
                  </w14:solidFill>
                </w14:textFill>
              </w:rPr>
              <w:t>|||</w:t>
            </w:r>
            <w:r w:rsidR="0015085A" w:rsidRPr="009B4DB9">
              <w:rPr>
                <w:color w:val="000000"/>
                <w:spacing w:val="1"/>
                <w:shd w:val="solid" w:color="000000" w:fill="000000"/>
                <w:fitText w:val="330" w:id="-1032131573"/>
                <w14:textFill>
                  <w14:solidFill>
                    <w14:srgbClr w14:val="000000">
                      <w14:alpha w14:val="100000"/>
                    </w14:srgbClr>
                  </w14:solidFill>
                </w14:textFill>
              </w:rPr>
              <w:t>|</w:t>
            </w:r>
            <w:r w:rsidRPr="0049396B">
              <w:t xml:space="preserve"> per ampoule)</w:t>
            </w:r>
          </w:p>
        </w:tc>
        <w:tc>
          <w:tcPr>
            <w:tcW w:w="738" w:type="pct"/>
          </w:tcPr>
          <w:p w14:paraId="33EA2C63" w14:textId="7DAF6B6C"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72"/>
                <w14:textFill>
                  <w14:solidFill>
                    <w14:srgbClr w14:val="000000">
                      <w14:alpha w14:val="100000"/>
                    </w14:srgbClr>
                  </w14:solidFill>
                </w14:textFill>
              </w:rPr>
              <w:t xml:space="preserve">　</w:t>
            </w:r>
            <w:r w:rsidRPr="005E015C">
              <w:rPr>
                <w:color w:val="000000"/>
                <w:w w:val="15"/>
                <w:shd w:val="solid" w:color="000000" w:fill="000000"/>
                <w:fitText w:val="10" w:id="-1032131572"/>
                <w14:textFill>
                  <w14:solidFill>
                    <w14:srgbClr w14:val="000000">
                      <w14:alpha w14:val="100000"/>
                    </w14:srgbClr>
                  </w14:solidFill>
                </w14:textFill>
              </w:rPr>
              <w:t>|</w:t>
            </w:r>
            <w:r w:rsidRPr="005E015C">
              <w:rPr>
                <w:rFonts w:hint="eastAsia"/>
                <w:color w:val="000000"/>
                <w:spacing w:val="-55"/>
                <w:w w:val="15"/>
                <w:shd w:val="solid" w:color="000000" w:fill="000000"/>
                <w:fitText w:val="10" w:id="-1032131572"/>
                <w14:textFill>
                  <w14:solidFill>
                    <w14:srgbClr w14:val="000000">
                      <w14:alpha w14:val="100000"/>
                    </w14:srgbClr>
                  </w14:solidFill>
                </w14:textFill>
              </w:rPr>
              <w:t xml:space="preserve">　</w:t>
            </w:r>
          </w:p>
        </w:tc>
        <w:tc>
          <w:tcPr>
            <w:tcW w:w="805" w:type="pct"/>
          </w:tcPr>
          <w:p w14:paraId="39B5B326" w14:textId="77777777" w:rsidR="007E20FB" w:rsidRPr="0049396B" w:rsidRDefault="007E20FB" w:rsidP="007E4A08">
            <w:pPr>
              <w:pStyle w:val="TableText0"/>
              <w:keepLines/>
              <w:jc w:val="center"/>
            </w:pPr>
            <w:r w:rsidRPr="0049396B">
              <w:t>0.76</w:t>
            </w:r>
          </w:p>
        </w:tc>
        <w:tc>
          <w:tcPr>
            <w:tcW w:w="596" w:type="pct"/>
          </w:tcPr>
          <w:p w14:paraId="0AA682D6" w14:textId="0B9D2F9F"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571"/>
                <w14:textFill>
                  <w14:solidFill>
                    <w14:srgbClr w14:val="000000">
                      <w14:alpha w14:val="100000"/>
                    </w14:srgbClr>
                  </w14:solidFill>
                </w14:textFill>
              </w:rPr>
              <w:t>|</w:t>
            </w:r>
            <w:r w:rsidRPr="0015085A">
              <w:rPr>
                <w:color w:val="000000"/>
                <w:spacing w:val="1"/>
                <w:shd w:val="solid" w:color="000000" w:fill="000000"/>
                <w:fitText w:val="170" w:id="-1032131571"/>
                <w14:textFill>
                  <w14:solidFill>
                    <w14:srgbClr w14:val="000000">
                      <w14:alpha w14:val="100000"/>
                    </w14:srgbClr>
                  </w14:solidFill>
                </w14:textFill>
              </w:rPr>
              <w:t>|</w:t>
            </w:r>
            <w:r w:rsidR="006C4083" w:rsidRPr="006C4083">
              <w:rPr>
                <w:bCs w:val="0"/>
                <w:vertAlign w:val="superscript"/>
              </w:rPr>
              <w:t>1</w:t>
            </w:r>
          </w:p>
        </w:tc>
        <w:tc>
          <w:tcPr>
            <w:tcW w:w="595" w:type="pct"/>
          </w:tcPr>
          <w:p w14:paraId="30F610E7" w14:textId="5C58A01D" w:rsidR="007E20FB" w:rsidRPr="0049396B" w:rsidRDefault="007E20FB" w:rsidP="007E4A08">
            <w:pPr>
              <w:pStyle w:val="TableText0"/>
              <w:keepLines/>
              <w:jc w:val="center"/>
            </w:pPr>
            <w:r w:rsidRPr="0049396B">
              <w:t>-</w:t>
            </w:r>
            <w:r w:rsidR="0015085A">
              <w:t xml:space="preserve"> </w:t>
            </w:r>
            <w:r w:rsidR="0015085A" w:rsidRPr="0015085A">
              <w:rPr>
                <w:color w:val="000000"/>
                <w:spacing w:val="84"/>
                <w:shd w:val="solid" w:color="000000" w:fill="000000"/>
                <w:fitText w:val="170" w:id="-1032131570"/>
                <w14:textFill>
                  <w14:solidFill>
                    <w14:srgbClr w14:val="000000">
                      <w14:alpha w14:val="100000"/>
                    </w14:srgbClr>
                  </w14:solidFill>
                </w14:textFill>
              </w:rPr>
              <w:t>|</w:t>
            </w:r>
            <w:r w:rsidR="0015085A" w:rsidRPr="0015085A">
              <w:rPr>
                <w:color w:val="000000"/>
                <w:spacing w:val="1"/>
                <w:shd w:val="solid" w:color="000000" w:fill="000000"/>
                <w:fitText w:val="170" w:id="-1032131570"/>
                <w14:textFill>
                  <w14:solidFill>
                    <w14:srgbClr w14:val="000000">
                      <w14:alpha w14:val="100000"/>
                    </w14:srgbClr>
                  </w14:solidFill>
                </w14:textFill>
              </w:rPr>
              <w:t>|</w:t>
            </w:r>
          </w:p>
        </w:tc>
      </w:tr>
      <w:tr w:rsidR="007E20FB" w:rsidRPr="0049396B" w14:paraId="14F78618" w14:textId="77777777" w:rsidTr="00EB254E">
        <w:tc>
          <w:tcPr>
            <w:tcW w:w="2266" w:type="pct"/>
          </w:tcPr>
          <w:p w14:paraId="1017E60B" w14:textId="77777777" w:rsidR="007E20FB" w:rsidRPr="0049396B" w:rsidRDefault="007E20FB" w:rsidP="007E4A08">
            <w:pPr>
              <w:pStyle w:val="TableText0"/>
              <w:keepLines/>
            </w:pPr>
            <w:r w:rsidRPr="0049396B">
              <w:t>Infusion costs included (base case not included)</w:t>
            </w:r>
          </w:p>
        </w:tc>
        <w:tc>
          <w:tcPr>
            <w:tcW w:w="738" w:type="pct"/>
          </w:tcPr>
          <w:p w14:paraId="7FE0E79E" w14:textId="613C7D63"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69"/>
                <w14:textFill>
                  <w14:solidFill>
                    <w14:srgbClr w14:val="000000">
                      <w14:alpha w14:val="100000"/>
                    </w14:srgbClr>
                  </w14:solidFill>
                </w14:textFill>
              </w:rPr>
              <w:t xml:space="preserve">　</w:t>
            </w:r>
            <w:r w:rsidRPr="005E015C">
              <w:rPr>
                <w:color w:val="000000"/>
                <w:w w:val="15"/>
                <w:shd w:val="solid" w:color="000000" w:fill="000000"/>
                <w:fitText w:val="10" w:id="-1032131569"/>
                <w14:textFill>
                  <w14:solidFill>
                    <w14:srgbClr w14:val="000000">
                      <w14:alpha w14:val="100000"/>
                    </w14:srgbClr>
                  </w14:solidFill>
                </w14:textFill>
              </w:rPr>
              <w:t>|</w:t>
            </w:r>
            <w:r w:rsidRPr="005E015C">
              <w:rPr>
                <w:rFonts w:hint="eastAsia"/>
                <w:color w:val="000000"/>
                <w:spacing w:val="-55"/>
                <w:w w:val="15"/>
                <w:shd w:val="solid" w:color="000000" w:fill="000000"/>
                <w:fitText w:val="10" w:id="-1032131569"/>
                <w14:textFill>
                  <w14:solidFill>
                    <w14:srgbClr w14:val="000000">
                      <w14:alpha w14:val="100000"/>
                    </w14:srgbClr>
                  </w14:solidFill>
                </w14:textFill>
              </w:rPr>
              <w:t xml:space="preserve">　</w:t>
            </w:r>
          </w:p>
        </w:tc>
        <w:tc>
          <w:tcPr>
            <w:tcW w:w="805" w:type="pct"/>
          </w:tcPr>
          <w:p w14:paraId="72229E5E" w14:textId="77777777" w:rsidR="007E20FB" w:rsidRPr="0049396B" w:rsidRDefault="007E20FB" w:rsidP="007E4A08">
            <w:pPr>
              <w:pStyle w:val="TableText0"/>
              <w:keepLines/>
              <w:jc w:val="center"/>
            </w:pPr>
            <w:r w:rsidRPr="0049396B">
              <w:t>0.76</w:t>
            </w:r>
          </w:p>
        </w:tc>
        <w:tc>
          <w:tcPr>
            <w:tcW w:w="596" w:type="pct"/>
          </w:tcPr>
          <w:p w14:paraId="352273A9" w14:textId="79BE61E2"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568"/>
                <w14:textFill>
                  <w14:solidFill>
                    <w14:srgbClr w14:val="000000">
                      <w14:alpha w14:val="100000"/>
                    </w14:srgbClr>
                  </w14:solidFill>
                </w14:textFill>
              </w:rPr>
              <w:t>|</w:t>
            </w:r>
            <w:r w:rsidRPr="0015085A">
              <w:rPr>
                <w:color w:val="000000"/>
                <w:spacing w:val="1"/>
                <w:shd w:val="solid" w:color="000000" w:fill="000000"/>
                <w:fitText w:val="170" w:id="-1032131568"/>
                <w14:textFill>
                  <w14:solidFill>
                    <w14:srgbClr w14:val="000000">
                      <w14:alpha w14:val="100000"/>
                    </w14:srgbClr>
                  </w14:solidFill>
                </w14:textFill>
              </w:rPr>
              <w:t>|</w:t>
            </w:r>
            <w:r w:rsidR="006C4083">
              <w:rPr>
                <w:bCs w:val="0"/>
                <w:vertAlign w:val="superscript"/>
              </w:rPr>
              <w:t>2</w:t>
            </w:r>
          </w:p>
        </w:tc>
        <w:tc>
          <w:tcPr>
            <w:tcW w:w="595" w:type="pct"/>
          </w:tcPr>
          <w:p w14:paraId="05BBE973" w14:textId="2C4B86C5"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584"/>
                <w14:textFill>
                  <w14:solidFill>
                    <w14:srgbClr w14:val="000000">
                      <w14:alpha w14:val="100000"/>
                    </w14:srgbClr>
                  </w14:solidFill>
                </w14:textFill>
              </w:rPr>
              <w:t xml:space="preserve">　</w:t>
            </w:r>
            <w:r w:rsidRPr="0015085A">
              <w:rPr>
                <w:color w:val="000000"/>
                <w:w w:val="31"/>
                <w:shd w:val="solid" w:color="000000" w:fill="000000"/>
                <w:fitText w:val="140" w:id="-1032131584"/>
                <w14:textFill>
                  <w14:solidFill>
                    <w14:srgbClr w14:val="000000">
                      <w14:alpha w14:val="100000"/>
                    </w14:srgbClr>
                  </w14:solidFill>
                </w14:textFill>
              </w:rPr>
              <w:t>|</w:t>
            </w:r>
            <w:r w:rsidRPr="0015085A">
              <w:rPr>
                <w:rFonts w:hint="eastAsia"/>
                <w:color w:val="000000"/>
                <w:spacing w:val="4"/>
                <w:w w:val="31"/>
                <w:shd w:val="solid" w:color="000000" w:fill="000000"/>
                <w:fitText w:val="140" w:id="-1032131584"/>
                <w14:textFill>
                  <w14:solidFill>
                    <w14:srgbClr w14:val="000000">
                      <w14:alpha w14:val="100000"/>
                    </w14:srgbClr>
                  </w14:solidFill>
                </w14:textFill>
              </w:rPr>
              <w:t xml:space="preserve">　</w:t>
            </w:r>
          </w:p>
        </w:tc>
      </w:tr>
      <w:tr w:rsidR="007E20FB" w:rsidRPr="0049396B" w14:paraId="53EE3524" w14:textId="77777777" w:rsidTr="00EB254E">
        <w:tc>
          <w:tcPr>
            <w:tcW w:w="2266" w:type="pct"/>
          </w:tcPr>
          <w:p w14:paraId="76E00BBA" w14:textId="77777777" w:rsidR="007E20FB" w:rsidRPr="0049396B" w:rsidRDefault="007E20FB" w:rsidP="007E4A08">
            <w:pPr>
              <w:pStyle w:val="TableText0"/>
              <w:keepLines/>
            </w:pPr>
            <w:r w:rsidRPr="0049396B">
              <w:t>Health state costs excluded (base case included)</w:t>
            </w:r>
          </w:p>
        </w:tc>
        <w:tc>
          <w:tcPr>
            <w:tcW w:w="738" w:type="pct"/>
          </w:tcPr>
          <w:p w14:paraId="0C2EC394" w14:textId="3354F490"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83"/>
                <w14:textFill>
                  <w14:solidFill>
                    <w14:srgbClr w14:val="000000">
                      <w14:alpha w14:val="100000"/>
                    </w14:srgbClr>
                  </w14:solidFill>
                </w14:textFill>
              </w:rPr>
              <w:t xml:space="preserve">　</w:t>
            </w:r>
            <w:r w:rsidRPr="005E015C">
              <w:rPr>
                <w:color w:val="000000"/>
                <w:w w:val="15"/>
                <w:shd w:val="solid" w:color="000000" w:fill="000000"/>
                <w:fitText w:val="10" w:id="-1032131583"/>
                <w14:textFill>
                  <w14:solidFill>
                    <w14:srgbClr w14:val="000000">
                      <w14:alpha w14:val="100000"/>
                    </w14:srgbClr>
                  </w14:solidFill>
                </w14:textFill>
              </w:rPr>
              <w:t>|</w:t>
            </w:r>
            <w:r w:rsidRPr="005E015C">
              <w:rPr>
                <w:rFonts w:hint="eastAsia"/>
                <w:color w:val="000000"/>
                <w:spacing w:val="-55"/>
                <w:w w:val="15"/>
                <w:shd w:val="solid" w:color="000000" w:fill="000000"/>
                <w:fitText w:val="10" w:id="-1032131583"/>
                <w14:textFill>
                  <w14:solidFill>
                    <w14:srgbClr w14:val="000000">
                      <w14:alpha w14:val="100000"/>
                    </w14:srgbClr>
                  </w14:solidFill>
                </w14:textFill>
              </w:rPr>
              <w:t xml:space="preserve">　</w:t>
            </w:r>
          </w:p>
        </w:tc>
        <w:tc>
          <w:tcPr>
            <w:tcW w:w="805" w:type="pct"/>
          </w:tcPr>
          <w:p w14:paraId="7911B28B" w14:textId="77777777" w:rsidR="007E20FB" w:rsidRPr="0049396B" w:rsidRDefault="007E20FB" w:rsidP="007E4A08">
            <w:pPr>
              <w:pStyle w:val="TableText0"/>
              <w:keepLines/>
              <w:jc w:val="center"/>
            </w:pPr>
            <w:r w:rsidRPr="0049396B">
              <w:t>0.76</w:t>
            </w:r>
          </w:p>
        </w:tc>
        <w:tc>
          <w:tcPr>
            <w:tcW w:w="596" w:type="pct"/>
          </w:tcPr>
          <w:p w14:paraId="36FB7E06" w14:textId="68B32A99"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582"/>
                <w14:textFill>
                  <w14:solidFill>
                    <w14:srgbClr w14:val="000000">
                      <w14:alpha w14:val="100000"/>
                    </w14:srgbClr>
                  </w14:solidFill>
                </w14:textFill>
              </w:rPr>
              <w:t>|</w:t>
            </w:r>
            <w:r w:rsidRPr="0015085A">
              <w:rPr>
                <w:color w:val="000000"/>
                <w:spacing w:val="1"/>
                <w:shd w:val="solid" w:color="000000" w:fill="000000"/>
                <w:fitText w:val="170" w:id="-1032131582"/>
                <w14:textFill>
                  <w14:solidFill>
                    <w14:srgbClr w14:val="000000">
                      <w14:alpha w14:val="100000"/>
                    </w14:srgbClr>
                  </w14:solidFill>
                </w14:textFill>
              </w:rPr>
              <w:t>|</w:t>
            </w:r>
            <w:r w:rsidR="00F015D7">
              <w:rPr>
                <w:bCs w:val="0"/>
                <w:vertAlign w:val="superscript"/>
              </w:rPr>
              <w:t>7</w:t>
            </w:r>
          </w:p>
        </w:tc>
        <w:tc>
          <w:tcPr>
            <w:tcW w:w="595" w:type="pct"/>
          </w:tcPr>
          <w:p w14:paraId="691E8C03" w14:textId="55399781" w:rsidR="007E20FB" w:rsidRPr="0049396B" w:rsidRDefault="007E20FB" w:rsidP="007E4A08">
            <w:pPr>
              <w:pStyle w:val="TableText0"/>
              <w:keepLines/>
              <w:jc w:val="center"/>
            </w:pPr>
            <w:r w:rsidRPr="0049396B">
              <w:t>-</w:t>
            </w:r>
            <w:r w:rsidR="0015085A">
              <w:t xml:space="preserve"> </w:t>
            </w:r>
            <w:r w:rsidR="0015085A" w:rsidRPr="0015085A">
              <w:rPr>
                <w:color w:val="000000"/>
                <w:spacing w:val="84"/>
                <w:shd w:val="solid" w:color="000000" w:fill="000000"/>
                <w:fitText w:val="170" w:id="-1032131581"/>
                <w14:textFill>
                  <w14:solidFill>
                    <w14:srgbClr w14:val="000000">
                      <w14:alpha w14:val="100000"/>
                    </w14:srgbClr>
                  </w14:solidFill>
                </w14:textFill>
              </w:rPr>
              <w:t>|</w:t>
            </w:r>
            <w:r w:rsidR="0015085A" w:rsidRPr="0015085A">
              <w:rPr>
                <w:color w:val="000000"/>
                <w:spacing w:val="1"/>
                <w:shd w:val="solid" w:color="000000" w:fill="000000"/>
                <w:fitText w:val="170" w:id="-1032131581"/>
                <w14:textFill>
                  <w14:solidFill>
                    <w14:srgbClr w14:val="000000">
                      <w14:alpha w14:val="100000"/>
                    </w14:srgbClr>
                  </w14:solidFill>
                </w14:textFill>
              </w:rPr>
              <w:t>|</w:t>
            </w:r>
          </w:p>
        </w:tc>
      </w:tr>
      <w:tr w:rsidR="007E20FB" w:rsidRPr="0049396B" w14:paraId="078F094E" w14:textId="77777777" w:rsidTr="00EB254E">
        <w:tc>
          <w:tcPr>
            <w:tcW w:w="4405" w:type="pct"/>
            <w:gridSpan w:val="4"/>
          </w:tcPr>
          <w:p w14:paraId="74798F0D" w14:textId="77777777" w:rsidR="007E20FB" w:rsidRPr="0049396B" w:rsidRDefault="007E20FB" w:rsidP="007E4A08">
            <w:pPr>
              <w:pStyle w:val="In-tableHeading"/>
              <w:keepLines/>
              <w:rPr>
                <w:lang w:val="en-AU"/>
              </w:rPr>
            </w:pPr>
            <w:r w:rsidRPr="0049396B">
              <w:rPr>
                <w:lang w:val="en-AU"/>
              </w:rPr>
              <w:t>Multivariate analyses</w:t>
            </w:r>
          </w:p>
        </w:tc>
        <w:tc>
          <w:tcPr>
            <w:tcW w:w="595" w:type="pct"/>
          </w:tcPr>
          <w:p w14:paraId="7671D1EB" w14:textId="77777777" w:rsidR="007E20FB" w:rsidRPr="0049396B" w:rsidRDefault="007E20FB" w:rsidP="007E4A08">
            <w:pPr>
              <w:pStyle w:val="In-tableHeading"/>
              <w:keepLines/>
              <w:rPr>
                <w:lang w:val="en-AU"/>
              </w:rPr>
            </w:pPr>
          </w:p>
        </w:tc>
      </w:tr>
      <w:tr w:rsidR="007E20FB" w:rsidRPr="0049396B" w14:paraId="21C9154A" w14:textId="77777777" w:rsidTr="00EB254E">
        <w:tc>
          <w:tcPr>
            <w:tcW w:w="2266" w:type="pct"/>
          </w:tcPr>
          <w:p w14:paraId="15649C3A" w14:textId="77777777" w:rsidR="007E20FB" w:rsidRPr="0049396B" w:rsidRDefault="007E20FB" w:rsidP="007E4A08">
            <w:pPr>
              <w:pStyle w:val="TableText0"/>
              <w:keepLines/>
            </w:pPr>
            <w:r w:rsidRPr="0049396B">
              <w:t>MA1: no mortality or TTD adjustment</w:t>
            </w:r>
          </w:p>
        </w:tc>
        <w:tc>
          <w:tcPr>
            <w:tcW w:w="738" w:type="pct"/>
          </w:tcPr>
          <w:p w14:paraId="4FCA1AF6" w14:textId="11BD778F"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80"/>
                <w14:textFill>
                  <w14:solidFill>
                    <w14:srgbClr w14:val="000000">
                      <w14:alpha w14:val="100000"/>
                    </w14:srgbClr>
                  </w14:solidFill>
                </w14:textFill>
              </w:rPr>
              <w:t xml:space="preserve">　</w:t>
            </w:r>
            <w:r w:rsidRPr="005E015C">
              <w:rPr>
                <w:color w:val="000000"/>
                <w:w w:val="15"/>
                <w:shd w:val="solid" w:color="000000" w:fill="000000"/>
                <w:fitText w:val="10" w:id="-1032131580"/>
                <w14:textFill>
                  <w14:solidFill>
                    <w14:srgbClr w14:val="000000">
                      <w14:alpha w14:val="100000"/>
                    </w14:srgbClr>
                  </w14:solidFill>
                </w14:textFill>
              </w:rPr>
              <w:t>|</w:t>
            </w:r>
            <w:r w:rsidRPr="005E015C">
              <w:rPr>
                <w:rFonts w:hint="eastAsia"/>
                <w:color w:val="000000"/>
                <w:spacing w:val="-55"/>
                <w:w w:val="15"/>
                <w:shd w:val="solid" w:color="000000" w:fill="000000"/>
                <w:fitText w:val="10" w:id="-1032131580"/>
                <w14:textFill>
                  <w14:solidFill>
                    <w14:srgbClr w14:val="000000">
                      <w14:alpha w14:val="100000"/>
                    </w14:srgbClr>
                  </w14:solidFill>
                </w14:textFill>
              </w:rPr>
              <w:t xml:space="preserve">　</w:t>
            </w:r>
          </w:p>
        </w:tc>
        <w:tc>
          <w:tcPr>
            <w:tcW w:w="805" w:type="pct"/>
          </w:tcPr>
          <w:p w14:paraId="17792A8F" w14:textId="77777777" w:rsidR="007E20FB" w:rsidRPr="0049396B" w:rsidRDefault="007E20FB" w:rsidP="007E4A08">
            <w:pPr>
              <w:pStyle w:val="TableText0"/>
              <w:keepLines/>
              <w:jc w:val="center"/>
            </w:pPr>
            <w:r w:rsidRPr="0049396B">
              <w:t>0.34</w:t>
            </w:r>
          </w:p>
        </w:tc>
        <w:tc>
          <w:tcPr>
            <w:tcW w:w="596" w:type="pct"/>
          </w:tcPr>
          <w:p w14:paraId="1E62659A" w14:textId="1404C0A7"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579"/>
                <w14:textFill>
                  <w14:solidFill>
                    <w14:srgbClr w14:val="000000">
                      <w14:alpha w14:val="100000"/>
                    </w14:srgbClr>
                  </w14:solidFill>
                </w14:textFill>
              </w:rPr>
              <w:t>|</w:t>
            </w:r>
            <w:r w:rsidRPr="0015085A">
              <w:rPr>
                <w:color w:val="000000"/>
                <w:spacing w:val="1"/>
                <w:shd w:val="solid" w:color="000000" w:fill="000000"/>
                <w:fitText w:val="170" w:id="-1032131579"/>
                <w14:textFill>
                  <w14:solidFill>
                    <w14:srgbClr w14:val="000000">
                      <w14:alpha w14:val="100000"/>
                    </w14:srgbClr>
                  </w14:solidFill>
                </w14:textFill>
              </w:rPr>
              <w:t>|</w:t>
            </w:r>
            <w:r w:rsidR="00F015D7">
              <w:rPr>
                <w:bCs w:val="0"/>
                <w:vertAlign w:val="superscript"/>
              </w:rPr>
              <w:t>8</w:t>
            </w:r>
          </w:p>
        </w:tc>
        <w:tc>
          <w:tcPr>
            <w:tcW w:w="595" w:type="pct"/>
          </w:tcPr>
          <w:p w14:paraId="3FE07A85" w14:textId="57E7A124"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578"/>
                <w14:textFill>
                  <w14:solidFill>
                    <w14:srgbClr w14:val="000000">
                      <w14:alpha w14:val="100000"/>
                    </w14:srgbClr>
                  </w14:solidFill>
                </w14:textFill>
              </w:rPr>
              <w:t xml:space="preserve">　</w:t>
            </w:r>
            <w:r w:rsidRPr="0015085A">
              <w:rPr>
                <w:color w:val="000000"/>
                <w:w w:val="31"/>
                <w:shd w:val="solid" w:color="000000" w:fill="000000"/>
                <w:fitText w:val="140" w:id="-1032131578"/>
                <w14:textFill>
                  <w14:solidFill>
                    <w14:srgbClr w14:val="000000">
                      <w14:alpha w14:val="100000"/>
                    </w14:srgbClr>
                  </w14:solidFill>
                </w14:textFill>
              </w:rPr>
              <w:t>|</w:t>
            </w:r>
            <w:r w:rsidRPr="0015085A">
              <w:rPr>
                <w:rFonts w:hint="eastAsia"/>
                <w:color w:val="000000"/>
                <w:spacing w:val="4"/>
                <w:w w:val="31"/>
                <w:shd w:val="solid" w:color="000000" w:fill="000000"/>
                <w:fitText w:val="140" w:id="-1032131578"/>
                <w14:textFill>
                  <w14:solidFill>
                    <w14:srgbClr w14:val="000000">
                      <w14:alpha w14:val="100000"/>
                    </w14:srgbClr>
                  </w14:solidFill>
                </w14:textFill>
              </w:rPr>
              <w:t xml:space="preserve">　</w:t>
            </w:r>
          </w:p>
        </w:tc>
      </w:tr>
      <w:tr w:rsidR="007E20FB" w:rsidRPr="0049396B" w14:paraId="143A4C1D" w14:textId="77777777" w:rsidTr="00EB254E">
        <w:tc>
          <w:tcPr>
            <w:tcW w:w="2266" w:type="pct"/>
          </w:tcPr>
          <w:p w14:paraId="3A426A9C" w14:textId="77777777" w:rsidR="007E20FB" w:rsidRPr="0049396B" w:rsidRDefault="007E20FB" w:rsidP="007E4A08">
            <w:pPr>
              <w:pStyle w:val="TableText0"/>
              <w:keepLines/>
            </w:pPr>
            <w:r w:rsidRPr="0049396B">
              <w:t>MA2: MA1 &amp; no transition effect after stage 1</w:t>
            </w:r>
          </w:p>
        </w:tc>
        <w:tc>
          <w:tcPr>
            <w:tcW w:w="738" w:type="pct"/>
          </w:tcPr>
          <w:p w14:paraId="2100BB64" w14:textId="03BC7B82"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77"/>
                <w14:textFill>
                  <w14:solidFill>
                    <w14:srgbClr w14:val="000000">
                      <w14:alpha w14:val="100000"/>
                    </w14:srgbClr>
                  </w14:solidFill>
                </w14:textFill>
              </w:rPr>
              <w:t xml:space="preserve">　</w:t>
            </w:r>
            <w:r w:rsidRPr="005E015C">
              <w:rPr>
                <w:color w:val="000000"/>
                <w:w w:val="15"/>
                <w:shd w:val="solid" w:color="000000" w:fill="000000"/>
                <w:fitText w:val="10" w:id="-1032131577"/>
                <w14:textFill>
                  <w14:solidFill>
                    <w14:srgbClr w14:val="000000">
                      <w14:alpha w14:val="100000"/>
                    </w14:srgbClr>
                  </w14:solidFill>
                </w14:textFill>
              </w:rPr>
              <w:t>|</w:t>
            </w:r>
            <w:r w:rsidRPr="005E015C">
              <w:rPr>
                <w:rFonts w:hint="eastAsia"/>
                <w:color w:val="000000"/>
                <w:spacing w:val="-55"/>
                <w:w w:val="15"/>
                <w:shd w:val="solid" w:color="000000" w:fill="000000"/>
                <w:fitText w:val="10" w:id="-1032131577"/>
                <w14:textFill>
                  <w14:solidFill>
                    <w14:srgbClr w14:val="000000">
                      <w14:alpha w14:val="100000"/>
                    </w14:srgbClr>
                  </w14:solidFill>
                </w14:textFill>
              </w:rPr>
              <w:t xml:space="preserve">　</w:t>
            </w:r>
          </w:p>
        </w:tc>
        <w:tc>
          <w:tcPr>
            <w:tcW w:w="805" w:type="pct"/>
          </w:tcPr>
          <w:p w14:paraId="3421A134" w14:textId="77777777" w:rsidR="007E20FB" w:rsidRPr="0049396B" w:rsidRDefault="007E20FB" w:rsidP="007E4A08">
            <w:pPr>
              <w:pStyle w:val="TableText0"/>
              <w:keepLines/>
              <w:jc w:val="center"/>
            </w:pPr>
            <w:r w:rsidRPr="0049396B">
              <w:t>0.17</w:t>
            </w:r>
          </w:p>
        </w:tc>
        <w:tc>
          <w:tcPr>
            <w:tcW w:w="596" w:type="pct"/>
          </w:tcPr>
          <w:p w14:paraId="0932125F" w14:textId="56EAC3CA" w:rsidR="007E20FB" w:rsidRPr="006C4083" w:rsidRDefault="0015085A" w:rsidP="007E4A08">
            <w:pPr>
              <w:pStyle w:val="TableText0"/>
              <w:keepLines/>
              <w:jc w:val="center"/>
              <w:rPr>
                <w:highlight w:val="darkGray"/>
              </w:rPr>
            </w:pPr>
            <w:r>
              <w:t xml:space="preserve"> </w:t>
            </w:r>
            <w:r w:rsidRPr="0015085A">
              <w:rPr>
                <w:color w:val="000000"/>
                <w:spacing w:val="84"/>
                <w:shd w:val="solid" w:color="000000" w:fill="000000"/>
                <w:fitText w:val="170" w:id="-1032131576"/>
                <w14:textFill>
                  <w14:solidFill>
                    <w14:srgbClr w14:val="000000">
                      <w14:alpha w14:val="100000"/>
                    </w14:srgbClr>
                  </w14:solidFill>
                </w14:textFill>
              </w:rPr>
              <w:t>|</w:t>
            </w:r>
            <w:r w:rsidRPr="0015085A">
              <w:rPr>
                <w:color w:val="000000"/>
                <w:spacing w:val="1"/>
                <w:shd w:val="solid" w:color="000000" w:fill="000000"/>
                <w:fitText w:val="170" w:id="-1032131576"/>
                <w14:textFill>
                  <w14:solidFill>
                    <w14:srgbClr w14:val="000000">
                      <w14:alpha w14:val="100000"/>
                    </w14:srgbClr>
                  </w14:solidFill>
                </w14:textFill>
              </w:rPr>
              <w:t>|</w:t>
            </w:r>
            <w:r w:rsidR="00F015D7">
              <w:rPr>
                <w:bCs w:val="0"/>
                <w:vertAlign w:val="superscript"/>
              </w:rPr>
              <w:t>9</w:t>
            </w:r>
          </w:p>
        </w:tc>
        <w:tc>
          <w:tcPr>
            <w:tcW w:w="595" w:type="pct"/>
          </w:tcPr>
          <w:p w14:paraId="60F78F1E" w14:textId="20AB2F8D" w:rsidR="007E20FB" w:rsidRPr="0049396B" w:rsidRDefault="0015085A" w:rsidP="007E4A08">
            <w:pPr>
              <w:pStyle w:val="TableText0"/>
              <w:keepLines/>
              <w:jc w:val="center"/>
            </w:pPr>
            <w:r>
              <w:t xml:space="preserve"> </w:t>
            </w:r>
            <w:r w:rsidRPr="0015085A">
              <w:rPr>
                <w:rFonts w:hint="eastAsia"/>
                <w:color w:val="000000"/>
                <w:w w:val="31"/>
                <w:shd w:val="solid" w:color="000000" w:fill="000000"/>
                <w:fitText w:val="140" w:id="-1032131575"/>
                <w14:textFill>
                  <w14:solidFill>
                    <w14:srgbClr w14:val="000000">
                      <w14:alpha w14:val="100000"/>
                    </w14:srgbClr>
                  </w14:solidFill>
                </w14:textFill>
              </w:rPr>
              <w:t xml:space="preserve">　</w:t>
            </w:r>
            <w:r w:rsidRPr="0015085A">
              <w:rPr>
                <w:color w:val="000000"/>
                <w:w w:val="31"/>
                <w:shd w:val="solid" w:color="000000" w:fill="000000"/>
                <w:fitText w:val="140" w:id="-1032131575"/>
                <w14:textFill>
                  <w14:solidFill>
                    <w14:srgbClr w14:val="000000">
                      <w14:alpha w14:val="100000"/>
                    </w14:srgbClr>
                  </w14:solidFill>
                </w14:textFill>
              </w:rPr>
              <w:t>|</w:t>
            </w:r>
            <w:r w:rsidRPr="0015085A">
              <w:rPr>
                <w:rFonts w:hint="eastAsia"/>
                <w:color w:val="000000"/>
                <w:spacing w:val="4"/>
                <w:w w:val="31"/>
                <w:shd w:val="solid" w:color="000000" w:fill="000000"/>
                <w:fitText w:val="140" w:id="-1032131575"/>
                <w14:textFill>
                  <w14:solidFill>
                    <w14:srgbClr w14:val="000000">
                      <w14:alpha w14:val="100000"/>
                    </w14:srgbClr>
                  </w14:solidFill>
                </w14:textFill>
              </w:rPr>
              <w:t xml:space="preserve">　</w:t>
            </w:r>
          </w:p>
        </w:tc>
      </w:tr>
      <w:tr w:rsidR="007E20FB" w:rsidRPr="0049396B" w14:paraId="5FA6BE79" w14:textId="77777777" w:rsidTr="00EB254E">
        <w:tc>
          <w:tcPr>
            <w:tcW w:w="2266" w:type="pct"/>
          </w:tcPr>
          <w:p w14:paraId="1B86C2B0" w14:textId="77777777" w:rsidR="007E20FB" w:rsidRPr="0049396B" w:rsidRDefault="007E20FB" w:rsidP="007E4A08">
            <w:pPr>
              <w:pStyle w:val="TableText0"/>
              <w:keepLines/>
            </w:pPr>
            <w:r w:rsidRPr="0049396B">
              <w:t>MA3: MA1 &amp; stage at baseline from Study 19</w:t>
            </w:r>
          </w:p>
        </w:tc>
        <w:tc>
          <w:tcPr>
            <w:tcW w:w="738" w:type="pct"/>
          </w:tcPr>
          <w:p w14:paraId="1BE79EB9" w14:textId="7EFE9AE9"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74"/>
                <w14:textFill>
                  <w14:solidFill>
                    <w14:srgbClr w14:val="000000">
                      <w14:alpha w14:val="100000"/>
                    </w14:srgbClr>
                  </w14:solidFill>
                </w14:textFill>
              </w:rPr>
              <w:t xml:space="preserve">　</w:t>
            </w:r>
            <w:r w:rsidRPr="005E015C">
              <w:rPr>
                <w:color w:val="000000"/>
                <w:w w:val="15"/>
                <w:shd w:val="solid" w:color="000000" w:fill="000000"/>
                <w:fitText w:val="10" w:id="-1032131574"/>
                <w14:textFill>
                  <w14:solidFill>
                    <w14:srgbClr w14:val="000000">
                      <w14:alpha w14:val="100000"/>
                    </w14:srgbClr>
                  </w14:solidFill>
                </w14:textFill>
              </w:rPr>
              <w:t>|</w:t>
            </w:r>
            <w:r w:rsidRPr="005E015C">
              <w:rPr>
                <w:rFonts w:hint="eastAsia"/>
                <w:color w:val="000000"/>
                <w:spacing w:val="-55"/>
                <w:w w:val="15"/>
                <w:shd w:val="solid" w:color="000000" w:fill="000000"/>
                <w:fitText w:val="10" w:id="-1032131574"/>
                <w14:textFill>
                  <w14:solidFill>
                    <w14:srgbClr w14:val="000000">
                      <w14:alpha w14:val="100000"/>
                    </w14:srgbClr>
                  </w14:solidFill>
                </w14:textFill>
              </w:rPr>
              <w:t xml:space="preserve">　</w:t>
            </w:r>
          </w:p>
        </w:tc>
        <w:tc>
          <w:tcPr>
            <w:tcW w:w="805" w:type="pct"/>
          </w:tcPr>
          <w:p w14:paraId="1FC0EF4F" w14:textId="77777777" w:rsidR="007E20FB" w:rsidRPr="0049396B" w:rsidRDefault="007E20FB" w:rsidP="007E4A08">
            <w:pPr>
              <w:pStyle w:val="TableText0"/>
              <w:keepLines/>
              <w:jc w:val="center"/>
            </w:pPr>
            <w:r w:rsidRPr="0049396B">
              <w:t>0.26</w:t>
            </w:r>
          </w:p>
        </w:tc>
        <w:tc>
          <w:tcPr>
            <w:tcW w:w="596" w:type="pct"/>
          </w:tcPr>
          <w:p w14:paraId="47A963D8" w14:textId="0B648084" w:rsidR="007E20FB" w:rsidRPr="006C4083" w:rsidRDefault="0015085A" w:rsidP="007E4A08">
            <w:pPr>
              <w:pStyle w:val="TableText0"/>
              <w:keepLines/>
              <w:jc w:val="center"/>
              <w:rPr>
                <w:highlight w:val="darkGray"/>
              </w:rPr>
            </w:pPr>
            <w:r>
              <w:t xml:space="preserve"> </w:t>
            </w:r>
            <w:r w:rsidRPr="0015085A">
              <w:rPr>
                <w:color w:val="000000"/>
                <w:spacing w:val="114"/>
                <w:shd w:val="solid" w:color="000000" w:fill="000000"/>
                <w:fitText w:val="200" w:id="-1032131573"/>
                <w14:textFill>
                  <w14:solidFill>
                    <w14:srgbClr w14:val="000000">
                      <w14:alpha w14:val="100000"/>
                    </w14:srgbClr>
                  </w14:solidFill>
                </w14:textFill>
              </w:rPr>
              <w:t>|</w:t>
            </w:r>
            <w:r w:rsidRPr="0015085A">
              <w:rPr>
                <w:color w:val="000000"/>
                <w:spacing w:val="1"/>
                <w:shd w:val="solid" w:color="000000" w:fill="000000"/>
                <w:fitText w:val="200" w:id="-1032131573"/>
                <w14:textFill>
                  <w14:solidFill>
                    <w14:srgbClr w14:val="000000">
                      <w14:alpha w14:val="100000"/>
                    </w14:srgbClr>
                  </w14:solidFill>
                </w14:textFill>
              </w:rPr>
              <w:t>|</w:t>
            </w:r>
            <w:r w:rsidR="00F015D7">
              <w:rPr>
                <w:bCs w:val="0"/>
                <w:vertAlign w:val="superscript"/>
              </w:rPr>
              <w:t>10</w:t>
            </w:r>
          </w:p>
        </w:tc>
        <w:tc>
          <w:tcPr>
            <w:tcW w:w="595" w:type="pct"/>
          </w:tcPr>
          <w:p w14:paraId="48682D82" w14:textId="686C3BB7" w:rsidR="007E20FB" w:rsidRPr="006522C1" w:rsidRDefault="0015085A" w:rsidP="007E4A08">
            <w:pPr>
              <w:pStyle w:val="TableText0"/>
              <w:keepLines/>
              <w:jc w:val="center"/>
              <w:rPr>
                <w:highlight w:val="darkGray"/>
              </w:rPr>
            </w:pPr>
            <w:r>
              <w:t xml:space="preserve"> </w:t>
            </w:r>
            <w:r w:rsidRPr="0015085A">
              <w:rPr>
                <w:rFonts w:hint="eastAsia"/>
                <w:color w:val="000000"/>
                <w:w w:val="31"/>
                <w:shd w:val="solid" w:color="000000" w:fill="000000"/>
                <w:fitText w:val="140" w:id="-1032131572"/>
                <w14:textFill>
                  <w14:solidFill>
                    <w14:srgbClr w14:val="000000">
                      <w14:alpha w14:val="100000"/>
                    </w14:srgbClr>
                  </w14:solidFill>
                </w14:textFill>
              </w:rPr>
              <w:t xml:space="preserve">　</w:t>
            </w:r>
            <w:r w:rsidRPr="0015085A">
              <w:rPr>
                <w:color w:val="000000"/>
                <w:w w:val="31"/>
                <w:shd w:val="solid" w:color="000000" w:fill="000000"/>
                <w:fitText w:val="140" w:id="-1032131572"/>
                <w14:textFill>
                  <w14:solidFill>
                    <w14:srgbClr w14:val="000000">
                      <w14:alpha w14:val="100000"/>
                    </w14:srgbClr>
                  </w14:solidFill>
                </w14:textFill>
              </w:rPr>
              <w:t>|</w:t>
            </w:r>
            <w:r w:rsidRPr="0015085A">
              <w:rPr>
                <w:rFonts w:hint="eastAsia"/>
                <w:color w:val="000000"/>
                <w:spacing w:val="4"/>
                <w:w w:val="31"/>
                <w:shd w:val="solid" w:color="000000" w:fill="000000"/>
                <w:fitText w:val="140" w:id="-1032131572"/>
                <w14:textFill>
                  <w14:solidFill>
                    <w14:srgbClr w14:val="000000">
                      <w14:alpha w14:val="100000"/>
                    </w14:srgbClr>
                  </w14:solidFill>
                </w14:textFill>
              </w:rPr>
              <w:t xml:space="preserve">　</w:t>
            </w:r>
          </w:p>
        </w:tc>
      </w:tr>
      <w:tr w:rsidR="007E20FB" w:rsidRPr="0049396B" w14:paraId="361D50BC" w14:textId="77777777" w:rsidTr="00EB254E">
        <w:tc>
          <w:tcPr>
            <w:tcW w:w="2266" w:type="pct"/>
          </w:tcPr>
          <w:p w14:paraId="1AE61787" w14:textId="77777777" w:rsidR="007E20FB" w:rsidRPr="0049396B" w:rsidRDefault="007E20FB" w:rsidP="007E4A08">
            <w:pPr>
              <w:pStyle w:val="TableText0"/>
              <w:keepLines/>
            </w:pPr>
            <w:r w:rsidRPr="0049396B">
              <w:t>MA4: MA1 &amp; infusion costs</w:t>
            </w:r>
          </w:p>
        </w:tc>
        <w:tc>
          <w:tcPr>
            <w:tcW w:w="738" w:type="pct"/>
          </w:tcPr>
          <w:p w14:paraId="08215B48" w14:textId="7448A5C1"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71"/>
                <w14:textFill>
                  <w14:solidFill>
                    <w14:srgbClr w14:val="000000">
                      <w14:alpha w14:val="100000"/>
                    </w14:srgbClr>
                  </w14:solidFill>
                </w14:textFill>
              </w:rPr>
              <w:t xml:space="preserve">　</w:t>
            </w:r>
            <w:r w:rsidRPr="005E015C">
              <w:rPr>
                <w:color w:val="000000"/>
                <w:w w:val="15"/>
                <w:shd w:val="solid" w:color="000000" w:fill="000000"/>
                <w:fitText w:val="10" w:id="-1032131571"/>
                <w14:textFill>
                  <w14:solidFill>
                    <w14:srgbClr w14:val="000000">
                      <w14:alpha w14:val="100000"/>
                    </w14:srgbClr>
                  </w14:solidFill>
                </w14:textFill>
              </w:rPr>
              <w:t>|</w:t>
            </w:r>
            <w:r w:rsidRPr="005E015C">
              <w:rPr>
                <w:rFonts w:hint="eastAsia"/>
                <w:color w:val="000000"/>
                <w:spacing w:val="-55"/>
                <w:w w:val="15"/>
                <w:shd w:val="solid" w:color="000000" w:fill="000000"/>
                <w:fitText w:val="10" w:id="-1032131571"/>
                <w14:textFill>
                  <w14:solidFill>
                    <w14:srgbClr w14:val="000000">
                      <w14:alpha w14:val="100000"/>
                    </w14:srgbClr>
                  </w14:solidFill>
                </w14:textFill>
              </w:rPr>
              <w:t xml:space="preserve">　</w:t>
            </w:r>
          </w:p>
        </w:tc>
        <w:tc>
          <w:tcPr>
            <w:tcW w:w="805" w:type="pct"/>
          </w:tcPr>
          <w:p w14:paraId="02B78658" w14:textId="77777777" w:rsidR="007E20FB" w:rsidRPr="0049396B" w:rsidRDefault="007E20FB" w:rsidP="007E4A08">
            <w:pPr>
              <w:pStyle w:val="TableText0"/>
              <w:keepLines/>
              <w:jc w:val="center"/>
            </w:pPr>
            <w:r w:rsidRPr="0049396B">
              <w:t>0.34</w:t>
            </w:r>
          </w:p>
        </w:tc>
        <w:tc>
          <w:tcPr>
            <w:tcW w:w="596" w:type="pct"/>
          </w:tcPr>
          <w:p w14:paraId="55A97F63" w14:textId="0A568766" w:rsidR="007E20FB" w:rsidRPr="006C4083" w:rsidRDefault="0015085A" w:rsidP="007E4A08">
            <w:pPr>
              <w:pStyle w:val="TableText0"/>
              <w:keepLines/>
              <w:jc w:val="center"/>
              <w:rPr>
                <w:highlight w:val="darkGray"/>
              </w:rPr>
            </w:pPr>
            <w:r>
              <w:t xml:space="preserve"> </w:t>
            </w:r>
            <w:r w:rsidRPr="0015085A">
              <w:rPr>
                <w:color w:val="000000"/>
                <w:spacing w:val="114"/>
                <w:shd w:val="solid" w:color="000000" w:fill="000000"/>
                <w:fitText w:val="200" w:id="-1032131570"/>
                <w14:textFill>
                  <w14:solidFill>
                    <w14:srgbClr w14:val="000000">
                      <w14:alpha w14:val="100000"/>
                    </w14:srgbClr>
                  </w14:solidFill>
                </w14:textFill>
              </w:rPr>
              <w:t>|</w:t>
            </w:r>
            <w:r w:rsidRPr="0015085A">
              <w:rPr>
                <w:color w:val="000000"/>
                <w:spacing w:val="1"/>
                <w:shd w:val="solid" w:color="000000" w:fill="000000"/>
                <w:fitText w:val="200" w:id="-1032131570"/>
                <w14:textFill>
                  <w14:solidFill>
                    <w14:srgbClr w14:val="000000">
                      <w14:alpha w14:val="100000"/>
                    </w14:srgbClr>
                  </w14:solidFill>
                </w14:textFill>
              </w:rPr>
              <w:t>|</w:t>
            </w:r>
            <w:r w:rsidR="00F015D7">
              <w:rPr>
                <w:bCs w:val="0"/>
                <w:vertAlign w:val="superscript"/>
              </w:rPr>
              <w:t>10</w:t>
            </w:r>
          </w:p>
        </w:tc>
        <w:tc>
          <w:tcPr>
            <w:tcW w:w="595" w:type="pct"/>
          </w:tcPr>
          <w:p w14:paraId="6288D341" w14:textId="3A8CA2F3" w:rsidR="007E20FB" w:rsidRPr="006522C1" w:rsidRDefault="0015085A" w:rsidP="007E4A08">
            <w:pPr>
              <w:pStyle w:val="TableText0"/>
              <w:keepLines/>
              <w:jc w:val="center"/>
              <w:rPr>
                <w:highlight w:val="darkGray"/>
              </w:rPr>
            </w:pPr>
            <w:r>
              <w:t xml:space="preserve"> </w:t>
            </w:r>
            <w:r w:rsidRPr="0015085A">
              <w:rPr>
                <w:rFonts w:hint="eastAsia"/>
                <w:color w:val="000000"/>
                <w:w w:val="31"/>
                <w:shd w:val="solid" w:color="000000" w:fill="000000"/>
                <w:fitText w:val="140" w:id="-1032131569"/>
                <w14:textFill>
                  <w14:solidFill>
                    <w14:srgbClr w14:val="000000">
                      <w14:alpha w14:val="100000"/>
                    </w14:srgbClr>
                  </w14:solidFill>
                </w14:textFill>
              </w:rPr>
              <w:t xml:space="preserve">　</w:t>
            </w:r>
            <w:r w:rsidRPr="0015085A">
              <w:rPr>
                <w:color w:val="000000"/>
                <w:w w:val="31"/>
                <w:shd w:val="solid" w:color="000000" w:fill="000000"/>
                <w:fitText w:val="140" w:id="-1032131569"/>
                <w14:textFill>
                  <w14:solidFill>
                    <w14:srgbClr w14:val="000000">
                      <w14:alpha w14:val="100000"/>
                    </w14:srgbClr>
                  </w14:solidFill>
                </w14:textFill>
              </w:rPr>
              <w:t>|</w:t>
            </w:r>
            <w:r w:rsidRPr="0015085A">
              <w:rPr>
                <w:rFonts w:hint="eastAsia"/>
                <w:color w:val="000000"/>
                <w:spacing w:val="4"/>
                <w:w w:val="31"/>
                <w:shd w:val="solid" w:color="000000" w:fill="000000"/>
                <w:fitText w:val="140" w:id="-1032131569"/>
                <w14:textFill>
                  <w14:solidFill>
                    <w14:srgbClr w14:val="000000">
                      <w14:alpha w14:val="100000"/>
                    </w14:srgbClr>
                  </w14:solidFill>
                </w14:textFill>
              </w:rPr>
              <w:t xml:space="preserve">　</w:t>
            </w:r>
          </w:p>
        </w:tc>
      </w:tr>
      <w:tr w:rsidR="007E20FB" w:rsidRPr="0049396B" w14:paraId="69778742" w14:textId="77777777" w:rsidTr="00EB254E">
        <w:tc>
          <w:tcPr>
            <w:tcW w:w="2266" w:type="pct"/>
          </w:tcPr>
          <w:p w14:paraId="1DAF1A42" w14:textId="77777777" w:rsidR="007E20FB" w:rsidRPr="0049396B" w:rsidRDefault="007E20FB" w:rsidP="007E4A08">
            <w:pPr>
              <w:pStyle w:val="TableText0"/>
              <w:keepLines/>
            </w:pPr>
            <w:r w:rsidRPr="0049396B">
              <w:t>MA5: MA1 &amp; Jones 2014 utilities</w:t>
            </w:r>
          </w:p>
        </w:tc>
        <w:tc>
          <w:tcPr>
            <w:tcW w:w="738" w:type="pct"/>
          </w:tcPr>
          <w:p w14:paraId="618F2746" w14:textId="2CCE5606" w:rsidR="007E20FB" w:rsidRPr="006C4083" w:rsidRDefault="0015085A" w:rsidP="007E4A08">
            <w:pPr>
              <w:pStyle w:val="TableText0"/>
              <w:keepLines/>
              <w:jc w:val="center"/>
              <w:rPr>
                <w:highlight w:val="darkGray"/>
              </w:rPr>
            </w:pPr>
            <w:r>
              <w:t xml:space="preserve"> </w:t>
            </w:r>
            <w:r w:rsidRPr="005E015C">
              <w:rPr>
                <w:rFonts w:hint="eastAsia"/>
                <w:color w:val="000000"/>
                <w:w w:val="15"/>
                <w:shd w:val="solid" w:color="000000" w:fill="000000"/>
                <w:fitText w:val="10" w:id="-1032131568"/>
                <w14:textFill>
                  <w14:solidFill>
                    <w14:srgbClr w14:val="000000">
                      <w14:alpha w14:val="100000"/>
                    </w14:srgbClr>
                  </w14:solidFill>
                </w14:textFill>
              </w:rPr>
              <w:t xml:space="preserve">　</w:t>
            </w:r>
            <w:r w:rsidRPr="005E015C">
              <w:rPr>
                <w:color w:val="000000"/>
                <w:w w:val="15"/>
                <w:shd w:val="solid" w:color="000000" w:fill="000000"/>
                <w:fitText w:val="10" w:id="-1032131568"/>
                <w14:textFill>
                  <w14:solidFill>
                    <w14:srgbClr w14:val="000000">
                      <w14:alpha w14:val="100000"/>
                    </w14:srgbClr>
                  </w14:solidFill>
                </w14:textFill>
              </w:rPr>
              <w:t>|</w:t>
            </w:r>
            <w:r w:rsidRPr="005E015C">
              <w:rPr>
                <w:rFonts w:hint="eastAsia"/>
                <w:color w:val="000000"/>
                <w:spacing w:val="-55"/>
                <w:w w:val="15"/>
                <w:shd w:val="solid" w:color="000000" w:fill="000000"/>
                <w:fitText w:val="10" w:id="-1032131568"/>
                <w14:textFill>
                  <w14:solidFill>
                    <w14:srgbClr w14:val="000000">
                      <w14:alpha w14:val="100000"/>
                    </w14:srgbClr>
                  </w14:solidFill>
                </w14:textFill>
              </w:rPr>
              <w:t xml:space="preserve">　</w:t>
            </w:r>
          </w:p>
        </w:tc>
        <w:tc>
          <w:tcPr>
            <w:tcW w:w="805" w:type="pct"/>
          </w:tcPr>
          <w:p w14:paraId="4BE28557" w14:textId="77777777" w:rsidR="007E20FB" w:rsidRPr="0049396B" w:rsidRDefault="007E20FB" w:rsidP="007E4A08">
            <w:pPr>
              <w:pStyle w:val="TableText0"/>
              <w:keepLines/>
              <w:jc w:val="center"/>
            </w:pPr>
            <w:r w:rsidRPr="0049396B">
              <w:t>0.31</w:t>
            </w:r>
          </w:p>
        </w:tc>
        <w:tc>
          <w:tcPr>
            <w:tcW w:w="596" w:type="pct"/>
          </w:tcPr>
          <w:p w14:paraId="4C223D6F" w14:textId="0FF2C03A" w:rsidR="007E20FB" w:rsidRPr="006C4083" w:rsidRDefault="0015085A" w:rsidP="007E4A08">
            <w:pPr>
              <w:pStyle w:val="TableText0"/>
              <w:keepLines/>
              <w:jc w:val="center"/>
              <w:rPr>
                <w:highlight w:val="darkGray"/>
              </w:rPr>
            </w:pPr>
            <w:r>
              <w:t xml:space="preserve"> </w:t>
            </w:r>
            <w:r w:rsidRPr="0015085A">
              <w:rPr>
                <w:color w:val="000000"/>
                <w:spacing w:val="114"/>
                <w:shd w:val="solid" w:color="000000" w:fill="000000"/>
                <w:fitText w:val="200" w:id="-1032131584"/>
                <w14:textFill>
                  <w14:solidFill>
                    <w14:srgbClr w14:val="000000">
                      <w14:alpha w14:val="100000"/>
                    </w14:srgbClr>
                  </w14:solidFill>
                </w14:textFill>
              </w:rPr>
              <w:t>|</w:t>
            </w:r>
            <w:r w:rsidRPr="0015085A">
              <w:rPr>
                <w:color w:val="000000"/>
                <w:spacing w:val="1"/>
                <w:shd w:val="solid" w:color="000000" w:fill="000000"/>
                <w:fitText w:val="200" w:id="-1032131584"/>
                <w14:textFill>
                  <w14:solidFill>
                    <w14:srgbClr w14:val="000000">
                      <w14:alpha w14:val="100000"/>
                    </w14:srgbClr>
                  </w14:solidFill>
                </w14:textFill>
              </w:rPr>
              <w:t>|</w:t>
            </w:r>
            <w:r w:rsidR="00F015D7">
              <w:rPr>
                <w:bCs w:val="0"/>
                <w:vertAlign w:val="superscript"/>
              </w:rPr>
              <w:t>10</w:t>
            </w:r>
          </w:p>
        </w:tc>
        <w:tc>
          <w:tcPr>
            <w:tcW w:w="595" w:type="pct"/>
          </w:tcPr>
          <w:p w14:paraId="589BBB91" w14:textId="4EBCE1C7" w:rsidR="007E20FB" w:rsidRPr="006522C1" w:rsidRDefault="0015085A" w:rsidP="007E4A08">
            <w:pPr>
              <w:pStyle w:val="TableText0"/>
              <w:keepLines/>
              <w:jc w:val="center"/>
              <w:rPr>
                <w:highlight w:val="darkGray"/>
              </w:rPr>
            </w:pPr>
            <w:r>
              <w:t xml:space="preserve"> </w:t>
            </w:r>
            <w:r w:rsidRPr="0015085A">
              <w:rPr>
                <w:rFonts w:hint="eastAsia"/>
                <w:color w:val="000000"/>
                <w:w w:val="31"/>
                <w:shd w:val="solid" w:color="000000" w:fill="000000"/>
                <w:fitText w:val="140" w:id="-1032131583"/>
                <w14:textFill>
                  <w14:solidFill>
                    <w14:srgbClr w14:val="000000">
                      <w14:alpha w14:val="100000"/>
                    </w14:srgbClr>
                  </w14:solidFill>
                </w14:textFill>
              </w:rPr>
              <w:t xml:space="preserve">　</w:t>
            </w:r>
            <w:r w:rsidRPr="0015085A">
              <w:rPr>
                <w:color w:val="000000"/>
                <w:w w:val="31"/>
                <w:shd w:val="solid" w:color="000000" w:fill="000000"/>
                <w:fitText w:val="140" w:id="-1032131583"/>
                <w14:textFill>
                  <w14:solidFill>
                    <w14:srgbClr w14:val="000000">
                      <w14:alpha w14:val="100000"/>
                    </w14:srgbClr>
                  </w14:solidFill>
                </w14:textFill>
              </w:rPr>
              <w:t>|</w:t>
            </w:r>
            <w:r w:rsidRPr="0015085A">
              <w:rPr>
                <w:rFonts w:hint="eastAsia"/>
                <w:color w:val="000000"/>
                <w:spacing w:val="4"/>
                <w:w w:val="31"/>
                <w:shd w:val="solid" w:color="000000" w:fill="000000"/>
                <w:fitText w:val="140" w:id="-1032131583"/>
                <w14:textFill>
                  <w14:solidFill>
                    <w14:srgbClr w14:val="000000">
                      <w14:alpha w14:val="100000"/>
                    </w14:srgbClr>
                  </w14:solidFill>
                </w14:textFill>
              </w:rPr>
              <w:t xml:space="preserve">　</w:t>
            </w:r>
          </w:p>
        </w:tc>
      </w:tr>
    </w:tbl>
    <w:p w14:paraId="298CEA29" w14:textId="77777777" w:rsidR="007E20FB" w:rsidRPr="0049396B" w:rsidRDefault="007E20FB" w:rsidP="007E4A08">
      <w:pPr>
        <w:pStyle w:val="FooterTableFigure"/>
        <w:keepNext/>
        <w:keepLines/>
      </w:pPr>
      <w:r w:rsidRPr="0049396B">
        <w:t>Source: Table 3-31, p201 of the submission and compiled during the evaluation</w:t>
      </w:r>
    </w:p>
    <w:p w14:paraId="1DFFF20D" w14:textId="77777777" w:rsidR="007E20FB" w:rsidRPr="0049396B" w:rsidRDefault="007E20FB" w:rsidP="007E4A08">
      <w:pPr>
        <w:pStyle w:val="FooterTableFigure"/>
        <w:keepNext/>
        <w:keepLines/>
      </w:pPr>
      <w:r w:rsidRPr="0049396B">
        <w:t>HR=hazard ratio, TTD=time to treatment discontinuation, LYG=life year gained, QALY=quality adjusted life year, ICER=incremental cost-effectiveness ratio</w:t>
      </w:r>
    </w:p>
    <w:p w14:paraId="7EF59750" w14:textId="77777777" w:rsidR="007E20FB" w:rsidRPr="0049396B" w:rsidRDefault="007E20FB" w:rsidP="007E4A08">
      <w:pPr>
        <w:pStyle w:val="FooterTableFigure"/>
        <w:keepNext/>
        <w:keepLines/>
      </w:pPr>
      <w:r w:rsidRPr="0049396B">
        <w:t>a</w:t>
      </w:r>
      <w:r w:rsidRPr="0049396B">
        <w:tab/>
        <w:t xml:space="preserve">Based on Thakore 2020 </w:t>
      </w:r>
      <w:proofErr w:type="spellStart"/>
      <w:r w:rsidRPr="0049396B">
        <w:t>riluzole</w:t>
      </w:r>
      <w:proofErr w:type="spellEnd"/>
      <w:r w:rsidRPr="0049396B">
        <w:t xml:space="preserve"> arm. The model was updated for 1 month cycle length, including health state costs, edaravone treatment discontinuation and mortality adjustment.</w:t>
      </w:r>
    </w:p>
    <w:p w14:paraId="2EBAD9EA" w14:textId="58778BE3" w:rsidR="007E20FB" w:rsidRDefault="007E20FB" w:rsidP="006C4083">
      <w:pPr>
        <w:pStyle w:val="FooterTableFigure"/>
        <w:keepNext/>
        <w:keepLines/>
        <w:spacing w:after="0"/>
      </w:pPr>
      <w:r w:rsidRPr="0049396B">
        <w:t>b</w:t>
      </w:r>
      <w:r w:rsidRPr="0049396B">
        <w:tab/>
        <w:t>the mortality adjustment HR=0.665 that gave 1.37 undiscounted LYG in the base case was not readjusted for these sensitivity analyses, which was inconsistent with the model assumption</w:t>
      </w:r>
    </w:p>
    <w:p w14:paraId="16C0BA12" w14:textId="77777777" w:rsidR="00F015D7" w:rsidRPr="009A6D58" w:rsidRDefault="00F015D7" w:rsidP="00F015D7">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AAF03DA" w14:textId="77777777" w:rsidR="00F015D7" w:rsidRPr="009A6D58" w:rsidRDefault="00F015D7" w:rsidP="00F015D7">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6C4083">
        <w:rPr>
          <w:rFonts w:ascii="Arial Narrow" w:hAnsi="Arial Narrow"/>
          <w:i/>
          <w:sz w:val="18"/>
          <w:szCs w:val="18"/>
        </w:rPr>
        <w:t>$75,000 to &lt; $95,000</w:t>
      </w:r>
    </w:p>
    <w:p w14:paraId="2733AEB1" w14:textId="77777777" w:rsidR="00F015D7" w:rsidRPr="009A6D58" w:rsidRDefault="00F015D7" w:rsidP="00F015D7">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6C4083">
        <w:rPr>
          <w:rFonts w:ascii="Arial Narrow" w:hAnsi="Arial Narrow"/>
          <w:i/>
          <w:sz w:val="18"/>
          <w:szCs w:val="18"/>
        </w:rPr>
        <w:t>$95,000 to &lt; $115,000</w:t>
      </w:r>
    </w:p>
    <w:p w14:paraId="04C196BE" w14:textId="77777777" w:rsidR="00F015D7" w:rsidRDefault="00F015D7" w:rsidP="00F015D7">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6C4083">
        <w:rPr>
          <w:rFonts w:ascii="Arial Narrow" w:hAnsi="Arial Narrow"/>
          <w:i/>
          <w:sz w:val="18"/>
          <w:szCs w:val="18"/>
        </w:rPr>
        <w:t>$115,000 to &lt; $135,000</w:t>
      </w:r>
    </w:p>
    <w:p w14:paraId="11C0B3B8" w14:textId="77777777" w:rsidR="00F015D7" w:rsidRDefault="00F015D7" w:rsidP="00F015D7">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6C4083">
        <w:rPr>
          <w:rFonts w:ascii="Arial Narrow" w:hAnsi="Arial Narrow"/>
          <w:i/>
          <w:sz w:val="18"/>
          <w:szCs w:val="18"/>
        </w:rPr>
        <w:t>$155,000 to &lt; $255,000</w:t>
      </w:r>
    </w:p>
    <w:p w14:paraId="28BB5244" w14:textId="77777777" w:rsidR="00F015D7" w:rsidRDefault="00F015D7" w:rsidP="00F015D7">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F015D7">
        <w:rPr>
          <w:rFonts w:ascii="Arial Narrow" w:hAnsi="Arial Narrow"/>
          <w:i/>
          <w:sz w:val="18"/>
          <w:szCs w:val="18"/>
        </w:rPr>
        <w:t>$135,000 to &lt; $155,000</w:t>
      </w:r>
    </w:p>
    <w:p w14:paraId="354FCBED" w14:textId="77777777" w:rsidR="00F015D7" w:rsidRDefault="00F015D7" w:rsidP="00F015D7">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F015D7">
        <w:rPr>
          <w:rFonts w:ascii="Arial Narrow" w:hAnsi="Arial Narrow"/>
          <w:i/>
          <w:sz w:val="18"/>
          <w:szCs w:val="18"/>
        </w:rPr>
        <w:t>$255,000 to &lt; $355,000</w:t>
      </w:r>
    </w:p>
    <w:p w14:paraId="514F190A" w14:textId="77777777" w:rsidR="00F015D7" w:rsidRPr="009A6D58" w:rsidRDefault="00F015D7" w:rsidP="00F015D7">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F015D7">
        <w:rPr>
          <w:rFonts w:ascii="Arial Narrow" w:hAnsi="Arial Narrow"/>
          <w:i/>
          <w:sz w:val="18"/>
          <w:szCs w:val="18"/>
        </w:rPr>
        <w:t>$55,000 to &lt; $75,000</w:t>
      </w:r>
    </w:p>
    <w:p w14:paraId="62807B95" w14:textId="77777777" w:rsidR="00F015D7" w:rsidRPr="009A6D58" w:rsidRDefault="00F015D7" w:rsidP="00F015D7">
      <w:pPr>
        <w:rPr>
          <w:rFonts w:ascii="Arial Narrow" w:hAnsi="Arial Narrow"/>
          <w:i/>
          <w:sz w:val="18"/>
          <w:szCs w:val="18"/>
        </w:rPr>
      </w:pPr>
      <w:r>
        <w:rPr>
          <w:rFonts w:ascii="Arial Narrow" w:hAnsi="Arial Narrow"/>
          <w:i/>
          <w:sz w:val="18"/>
          <w:szCs w:val="18"/>
          <w:vertAlign w:val="superscript"/>
        </w:rPr>
        <w:lastRenderedPageBreak/>
        <w:t>8</w:t>
      </w:r>
      <w:r>
        <w:rPr>
          <w:rFonts w:ascii="Arial Narrow" w:hAnsi="Arial Narrow"/>
          <w:i/>
          <w:sz w:val="18"/>
          <w:szCs w:val="18"/>
        </w:rPr>
        <w:t xml:space="preserve"> </w:t>
      </w:r>
      <w:r w:rsidRPr="00F015D7">
        <w:rPr>
          <w:rFonts w:ascii="Arial Narrow" w:hAnsi="Arial Narrow"/>
          <w:i/>
          <w:sz w:val="18"/>
          <w:szCs w:val="18"/>
        </w:rPr>
        <w:t>$455,000 to &lt; $555,000</w:t>
      </w:r>
    </w:p>
    <w:p w14:paraId="7611F2FE" w14:textId="77777777" w:rsidR="00F015D7" w:rsidRDefault="00F015D7" w:rsidP="00F015D7">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F015D7">
        <w:rPr>
          <w:rFonts w:ascii="Arial Narrow" w:hAnsi="Arial Narrow"/>
          <w:i/>
          <w:sz w:val="18"/>
          <w:szCs w:val="18"/>
        </w:rPr>
        <w:t>$855,000 to &lt; $955,000</w:t>
      </w:r>
    </w:p>
    <w:p w14:paraId="7D3E75E0" w14:textId="79B6B3B6" w:rsidR="006C4083" w:rsidRPr="00F015D7" w:rsidRDefault="00F015D7" w:rsidP="00F015D7">
      <w:pPr>
        <w:tabs>
          <w:tab w:val="left" w:pos="584"/>
        </w:tabs>
        <w:spacing w:after="120"/>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F015D7">
        <w:rPr>
          <w:rFonts w:ascii="Arial Narrow" w:hAnsi="Arial Narrow"/>
          <w:i/>
          <w:sz w:val="18"/>
          <w:szCs w:val="18"/>
        </w:rPr>
        <w:t>$555,000 to &lt; $655,000</w:t>
      </w:r>
    </w:p>
    <w:p w14:paraId="5146B79B" w14:textId="0D15B438" w:rsidR="007E20FB" w:rsidRPr="00F015D7" w:rsidRDefault="007E20FB" w:rsidP="00F015D7">
      <w:pPr>
        <w:pStyle w:val="3-BodyText"/>
        <w:rPr>
          <w:b/>
          <w:bCs/>
          <w:iCs/>
        </w:rPr>
      </w:pPr>
      <w:r w:rsidRPr="0049396B">
        <w:rPr>
          <w:iCs/>
        </w:rPr>
        <w:t xml:space="preserve">The ICER was most sensitive to TTD adjustment, mortality calibration adjustment, health state progression HR, health state utility source, health state cost inclusion, SOC transition probabilities. In multivariate analyses, where the mortality and TTD adjustments were removed, the ICER ranged from </w:t>
      </w:r>
      <w:r w:rsidR="00F015D7" w:rsidRPr="00F015D7">
        <w:rPr>
          <w:iCs/>
        </w:rPr>
        <w:t>$455,000 to &lt; $555,000</w:t>
      </w:r>
      <w:r w:rsidRPr="00F015D7">
        <w:rPr>
          <w:iCs/>
        </w:rPr>
        <w:t xml:space="preserve"> to </w:t>
      </w:r>
      <w:r w:rsidR="00F015D7" w:rsidRPr="00F015D7">
        <w:rPr>
          <w:iCs/>
        </w:rPr>
        <w:t>$855,000 to &lt; $955,000</w:t>
      </w:r>
      <w:r w:rsidR="00F015D7">
        <w:rPr>
          <w:b/>
          <w:bCs/>
          <w:iCs/>
        </w:rPr>
        <w:t xml:space="preserve"> </w:t>
      </w:r>
      <w:r w:rsidRPr="00F015D7">
        <w:rPr>
          <w:iCs/>
        </w:rPr>
        <w:t xml:space="preserve">per QALY gained, compared to </w:t>
      </w:r>
      <w:r w:rsidR="00F015D7" w:rsidRPr="00F015D7">
        <w:rPr>
          <w:iCs/>
        </w:rPr>
        <w:t>$75,000 to &lt; $95,000</w:t>
      </w:r>
      <w:r w:rsidR="00F015D7">
        <w:rPr>
          <w:b/>
          <w:bCs/>
          <w:iCs/>
        </w:rPr>
        <w:t xml:space="preserve"> </w:t>
      </w:r>
      <w:r w:rsidRPr="00F015D7">
        <w:rPr>
          <w:iCs/>
        </w:rPr>
        <w:t xml:space="preserve">per QALY gained in the submitted base case. </w:t>
      </w:r>
      <w:r w:rsidR="006A53AB" w:rsidRPr="00F015D7">
        <w:rPr>
          <w:iCs/>
        </w:rPr>
        <w:t xml:space="preserve">The ESC considered that </w:t>
      </w:r>
      <w:r w:rsidRPr="00F015D7">
        <w:rPr>
          <w:iCs/>
        </w:rPr>
        <w:t>the TTD adjustment</w:t>
      </w:r>
      <w:r w:rsidR="00757540" w:rsidRPr="00F015D7">
        <w:rPr>
          <w:iCs/>
        </w:rPr>
        <w:t xml:space="preserve">, </w:t>
      </w:r>
      <w:r w:rsidRPr="00F015D7">
        <w:rPr>
          <w:iCs/>
        </w:rPr>
        <w:t>mortality calibration adjustment</w:t>
      </w:r>
      <w:r w:rsidR="006A53AB" w:rsidRPr="00F015D7">
        <w:rPr>
          <w:iCs/>
        </w:rPr>
        <w:t xml:space="preserve">, </w:t>
      </w:r>
      <w:r w:rsidR="00757540" w:rsidRPr="00F015D7">
        <w:rPr>
          <w:iCs/>
        </w:rPr>
        <w:t xml:space="preserve">and </w:t>
      </w:r>
      <w:r w:rsidR="006A53AB" w:rsidRPr="00F015D7">
        <w:rPr>
          <w:iCs/>
        </w:rPr>
        <w:t xml:space="preserve">treatment effect for transitions after stage 1 were </w:t>
      </w:r>
      <w:r w:rsidR="00757540" w:rsidRPr="00F015D7">
        <w:rPr>
          <w:iCs/>
        </w:rPr>
        <w:t>not supported by the available evidence</w:t>
      </w:r>
      <w:r w:rsidR="006A53AB" w:rsidRPr="00F015D7">
        <w:rPr>
          <w:iCs/>
        </w:rPr>
        <w:t>.</w:t>
      </w:r>
      <w:r w:rsidR="00757540" w:rsidRPr="00F015D7">
        <w:rPr>
          <w:iCs/>
        </w:rPr>
        <w:t xml:space="preserve"> Therefore, the ESC considered that MA2, resulting in an ICER of </w:t>
      </w:r>
      <w:r w:rsidR="00F015D7" w:rsidRPr="00F015D7">
        <w:rPr>
          <w:iCs/>
        </w:rPr>
        <w:t>$855,000 to &lt; $955,000</w:t>
      </w:r>
      <w:r w:rsidR="00757540" w:rsidRPr="00F015D7">
        <w:rPr>
          <w:iCs/>
        </w:rPr>
        <w:t xml:space="preserve">/QALY (see </w:t>
      </w:r>
      <w:r w:rsidR="00757540" w:rsidRPr="00F015D7">
        <w:rPr>
          <w:iCs/>
        </w:rPr>
        <w:fldChar w:fldCharType="begin" w:fldLock="1"/>
      </w:r>
      <w:r w:rsidR="00757540" w:rsidRPr="00F015D7">
        <w:rPr>
          <w:iCs/>
        </w:rPr>
        <w:instrText xml:space="preserve"> REF _Ref104804865 \h  \* MERGEFORMAT </w:instrText>
      </w:r>
      <w:r w:rsidR="00757540" w:rsidRPr="00F015D7">
        <w:rPr>
          <w:iCs/>
        </w:rPr>
      </w:r>
      <w:r w:rsidR="00757540" w:rsidRPr="00F015D7">
        <w:rPr>
          <w:iCs/>
        </w:rPr>
        <w:fldChar w:fldCharType="separate"/>
      </w:r>
      <w:r w:rsidR="00757540" w:rsidRPr="00F015D7">
        <w:rPr>
          <w:iCs/>
        </w:rPr>
        <w:t>Table 11</w:t>
      </w:r>
      <w:r w:rsidR="00757540" w:rsidRPr="00F015D7">
        <w:rPr>
          <w:iCs/>
        </w:rPr>
        <w:fldChar w:fldCharType="end"/>
      </w:r>
      <w:r w:rsidR="00757540" w:rsidRPr="00F015D7">
        <w:rPr>
          <w:iCs/>
        </w:rPr>
        <w:t>)</w:t>
      </w:r>
      <w:r w:rsidR="00ED4486" w:rsidRPr="00F015D7">
        <w:rPr>
          <w:iCs/>
        </w:rPr>
        <w:t xml:space="preserve"> </w:t>
      </w:r>
      <w:r w:rsidR="002608EF" w:rsidRPr="00F015D7">
        <w:rPr>
          <w:iCs/>
        </w:rPr>
        <w:t>may provide a closer estimate of cost-effectiveness within the current model structure</w:t>
      </w:r>
      <w:r w:rsidR="00757540" w:rsidRPr="00F015D7">
        <w:rPr>
          <w:iCs/>
        </w:rPr>
        <w:t>.</w:t>
      </w:r>
      <w:r w:rsidR="006A53AB" w:rsidRPr="00F015D7">
        <w:rPr>
          <w:iCs/>
        </w:rPr>
        <w:t xml:space="preserve"> </w:t>
      </w:r>
    </w:p>
    <w:p w14:paraId="2CF54A85" w14:textId="7FE31B9B" w:rsidR="007E20FB" w:rsidRPr="0049396B" w:rsidRDefault="00620637" w:rsidP="007E20FB">
      <w:pPr>
        <w:pStyle w:val="4-SubsectionHeading"/>
      </w:pPr>
      <w:bookmarkStart w:id="74" w:name="_Toc144397460"/>
      <w:bookmarkStart w:id="75" w:name="_Toc145493782"/>
      <w:bookmarkStart w:id="76" w:name="_Toc22897647"/>
      <w:bookmarkStart w:id="77" w:name="_Toc107927633"/>
      <w:bookmarkEnd w:id="3"/>
      <w:bookmarkEnd w:id="4"/>
      <w:r w:rsidRPr="0049396B">
        <w:t>C</w:t>
      </w:r>
      <w:r w:rsidR="007E20FB" w:rsidRPr="0049396B">
        <w:t>ost/patient/course (7.2 months)</w:t>
      </w:r>
      <w:bookmarkEnd w:id="74"/>
      <w:r w:rsidRPr="0049396B">
        <w:t xml:space="preserve">: </w:t>
      </w:r>
      <w:bookmarkEnd w:id="75"/>
      <w:r w:rsidR="009B4DB9">
        <w:t>$</w:t>
      </w:r>
      <w:r w:rsidR="0015085A" w:rsidRPr="00D94CF5">
        <w:rPr>
          <w:color w:val="000000"/>
          <w:spacing w:val="2"/>
          <w:w w:val="48"/>
          <w:kern w:val="0"/>
          <w:shd w:val="solid" w:color="000000" w:fill="000000"/>
          <w:fitText w:val="590" w:id="-1032131582"/>
          <w14:textFill>
            <w14:solidFill>
              <w14:srgbClr w14:val="000000">
                <w14:alpha w14:val="100000"/>
              </w14:srgbClr>
            </w14:solidFill>
          </w14:textFill>
        </w:rPr>
        <w:t>||||  |||</w:t>
      </w:r>
      <w:r w:rsidR="0015085A" w:rsidRPr="00D94CF5">
        <w:rPr>
          <w:color w:val="000000"/>
          <w:spacing w:val="1"/>
          <w:w w:val="48"/>
          <w:kern w:val="0"/>
          <w:shd w:val="solid" w:color="000000" w:fill="000000"/>
          <w:fitText w:val="590" w:id="-1032131582"/>
          <w14:textFill>
            <w14:solidFill>
              <w14:srgbClr w14:val="000000">
                <w14:alpha w14:val="100000"/>
              </w14:srgbClr>
            </w14:solidFill>
          </w14:textFill>
        </w:rPr>
        <w:t>|</w:t>
      </w:r>
    </w:p>
    <w:p w14:paraId="59388A9C" w14:textId="0776517E" w:rsidR="007E20FB" w:rsidRPr="0049396B" w:rsidRDefault="007E20FB" w:rsidP="007E20FB">
      <w:pPr>
        <w:pStyle w:val="3-BodyText"/>
      </w:pPr>
      <w:r w:rsidRPr="0049396B">
        <w:t xml:space="preserve">Costs for edaravone are presented in </w:t>
      </w:r>
      <w:r w:rsidR="001C0AB9">
        <w:fldChar w:fldCharType="begin" w:fldLock="1"/>
      </w:r>
      <w:r w:rsidR="001C0AB9">
        <w:instrText xml:space="preserve"> REF _Ref104805</w:instrText>
      </w:r>
      <w:r w:rsidR="001C0AB9">
        <w:instrText xml:space="preserve">102 </w:instrText>
      </w:r>
      <w:r w:rsidR="001C0AB9">
        <w:fldChar w:fldCharType="separate"/>
      </w:r>
      <w:r w:rsidR="00041148" w:rsidRPr="0049396B">
        <w:t>Table 12</w:t>
      </w:r>
      <w:r w:rsidR="001C0AB9">
        <w:fldChar w:fldCharType="end"/>
      </w:r>
      <w:r w:rsidRPr="0049396B">
        <w:t xml:space="preserve">. SOC costs are not reported as edaravone is to be used in addition to SOC. </w:t>
      </w:r>
      <w:r w:rsidRPr="0049396B">
        <w:rPr>
          <w:iCs/>
        </w:rPr>
        <w:t xml:space="preserve">The base case time on treatment </w:t>
      </w:r>
      <w:r w:rsidR="00105218" w:rsidRPr="0049396B">
        <w:rPr>
          <w:iCs/>
        </w:rPr>
        <w:t xml:space="preserve">in both the model and financial estimates </w:t>
      </w:r>
      <w:r w:rsidRPr="0049396B">
        <w:rPr>
          <w:iCs/>
        </w:rPr>
        <w:t>w</w:t>
      </w:r>
      <w:r w:rsidR="009713E2" w:rsidRPr="0049396B">
        <w:rPr>
          <w:iCs/>
        </w:rPr>
        <w:t>ere</w:t>
      </w:r>
      <w:r w:rsidRPr="0049396B">
        <w:rPr>
          <w:iCs/>
        </w:rPr>
        <w:t xml:space="preserve"> likely to be underestimated.</w:t>
      </w:r>
    </w:p>
    <w:p w14:paraId="692A68A6" w14:textId="59E68E79" w:rsidR="007E20FB" w:rsidRPr="0049396B" w:rsidRDefault="007E20FB" w:rsidP="0068547D">
      <w:pPr>
        <w:pStyle w:val="TableFigureHeading"/>
        <w:rPr>
          <w:rStyle w:val="CommentReference"/>
          <w:b/>
          <w:szCs w:val="24"/>
        </w:rPr>
      </w:pPr>
      <w:bookmarkStart w:id="78" w:name="_Ref104805102"/>
      <w:r w:rsidRPr="0049396B">
        <w:t xml:space="preserve">Table </w:t>
      </w:r>
      <w:r w:rsidR="001C0AB9">
        <w:fldChar w:fldCharType="begin" w:fldLock="1"/>
      </w:r>
      <w:r w:rsidR="001C0AB9">
        <w:instrText xml:space="preserve"> SEQ Table \* ARABIC </w:instrText>
      </w:r>
      <w:r w:rsidR="001C0AB9">
        <w:fldChar w:fldCharType="separate"/>
      </w:r>
      <w:r w:rsidR="00B41026" w:rsidRPr="0049396B">
        <w:t>12</w:t>
      </w:r>
      <w:r w:rsidR="001C0AB9">
        <w:fldChar w:fldCharType="end"/>
      </w:r>
      <w:bookmarkEnd w:id="78"/>
      <w:r w:rsidRPr="0049396B">
        <w:t>:</w:t>
      </w:r>
      <w:r w:rsidRPr="0049396B">
        <w:rPr>
          <w:rStyle w:val="CommentReference"/>
          <w:b/>
          <w:szCs w:val="24"/>
        </w:rPr>
        <w:t xml:space="preserve"> Drug cost per patient for edaravone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8"/>
        <w:gridCol w:w="2163"/>
        <w:gridCol w:w="2160"/>
        <w:gridCol w:w="2166"/>
      </w:tblGrid>
      <w:tr w:rsidR="007E20FB" w:rsidRPr="0049396B" w14:paraId="445E3643" w14:textId="77777777" w:rsidTr="00EB254E">
        <w:trPr>
          <w:cantSplit/>
          <w:tblHeader/>
          <w:jc w:val="center"/>
        </w:trPr>
        <w:tc>
          <w:tcPr>
            <w:tcW w:w="1401" w:type="pct"/>
            <w:shd w:val="clear" w:color="auto" w:fill="auto"/>
            <w:vAlign w:val="center"/>
          </w:tcPr>
          <w:p w14:paraId="1AFD8A50" w14:textId="77777777" w:rsidR="007E20FB" w:rsidRPr="0049396B" w:rsidRDefault="007E20FB" w:rsidP="00EB254E">
            <w:pPr>
              <w:pStyle w:val="In-tableHeading"/>
              <w:jc w:val="center"/>
              <w:rPr>
                <w:lang w:val="en-AU"/>
              </w:rPr>
            </w:pPr>
          </w:p>
        </w:tc>
        <w:tc>
          <w:tcPr>
            <w:tcW w:w="1199" w:type="pct"/>
            <w:shd w:val="clear" w:color="auto" w:fill="auto"/>
            <w:vAlign w:val="center"/>
          </w:tcPr>
          <w:p w14:paraId="0BAFE905" w14:textId="77777777" w:rsidR="007E20FB" w:rsidRPr="0049396B" w:rsidRDefault="007E20FB" w:rsidP="00EB254E">
            <w:pPr>
              <w:pStyle w:val="In-tableHeading"/>
              <w:jc w:val="center"/>
              <w:rPr>
                <w:lang w:val="en-AU"/>
              </w:rPr>
            </w:pPr>
            <w:r w:rsidRPr="0049396B">
              <w:rPr>
                <w:lang w:val="en-AU"/>
              </w:rPr>
              <w:t>Edaravone</w:t>
            </w:r>
          </w:p>
          <w:p w14:paraId="768B2301" w14:textId="77777777" w:rsidR="007E20FB" w:rsidRPr="0049396B" w:rsidRDefault="007E20FB" w:rsidP="00EB254E">
            <w:pPr>
              <w:pStyle w:val="In-tableHeading"/>
              <w:jc w:val="center"/>
              <w:rPr>
                <w:lang w:val="en-AU"/>
              </w:rPr>
            </w:pPr>
            <w:r w:rsidRPr="0049396B">
              <w:rPr>
                <w:lang w:val="en-AU"/>
              </w:rPr>
              <w:t>Trial dose and duration</w:t>
            </w:r>
          </w:p>
        </w:tc>
        <w:tc>
          <w:tcPr>
            <w:tcW w:w="1198" w:type="pct"/>
            <w:shd w:val="clear" w:color="auto" w:fill="auto"/>
            <w:vAlign w:val="center"/>
          </w:tcPr>
          <w:p w14:paraId="52CAD46C" w14:textId="77777777" w:rsidR="007E20FB" w:rsidRPr="0049396B" w:rsidRDefault="007E20FB" w:rsidP="00EB254E">
            <w:pPr>
              <w:pStyle w:val="In-tableHeading"/>
              <w:jc w:val="center"/>
              <w:rPr>
                <w:lang w:val="en-AU"/>
              </w:rPr>
            </w:pPr>
            <w:r w:rsidRPr="0049396B">
              <w:rPr>
                <w:lang w:val="en-AU"/>
              </w:rPr>
              <w:t>Edaravone</w:t>
            </w:r>
          </w:p>
          <w:p w14:paraId="4A442533" w14:textId="77777777" w:rsidR="007E20FB" w:rsidRPr="0049396B" w:rsidRDefault="007E20FB" w:rsidP="00EB254E">
            <w:pPr>
              <w:pStyle w:val="In-tableHeading"/>
              <w:jc w:val="center"/>
              <w:rPr>
                <w:lang w:val="en-AU"/>
              </w:rPr>
            </w:pPr>
            <w:r w:rsidRPr="0049396B">
              <w:rPr>
                <w:lang w:val="en-AU"/>
              </w:rPr>
              <w:t>Model</w:t>
            </w:r>
          </w:p>
        </w:tc>
        <w:tc>
          <w:tcPr>
            <w:tcW w:w="1201" w:type="pct"/>
            <w:shd w:val="clear" w:color="auto" w:fill="auto"/>
            <w:vAlign w:val="center"/>
          </w:tcPr>
          <w:p w14:paraId="3353F9EF" w14:textId="77777777" w:rsidR="007E20FB" w:rsidRPr="0049396B" w:rsidRDefault="007E20FB" w:rsidP="00EB254E">
            <w:pPr>
              <w:pStyle w:val="In-tableHeading"/>
              <w:jc w:val="center"/>
              <w:rPr>
                <w:lang w:val="en-AU"/>
              </w:rPr>
            </w:pPr>
            <w:r w:rsidRPr="0049396B">
              <w:rPr>
                <w:lang w:val="en-AU"/>
              </w:rPr>
              <w:t>Edaravone</w:t>
            </w:r>
          </w:p>
          <w:p w14:paraId="37A80896" w14:textId="77777777" w:rsidR="007E20FB" w:rsidRPr="0049396B" w:rsidRDefault="007E20FB" w:rsidP="00EB254E">
            <w:pPr>
              <w:pStyle w:val="In-tableHeading"/>
              <w:jc w:val="center"/>
              <w:rPr>
                <w:lang w:val="en-AU"/>
              </w:rPr>
            </w:pPr>
            <w:r w:rsidRPr="0049396B">
              <w:rPr>
                <w:lang w:val="en-AU"/>
              </w:rPr>
              <w:t>Financial estimates</w:t>
            </w:r>
          </w:p>
        </w:tc>
      </w:tr>
      <w:tr w:rsidR="007E20FB" w:rsidRPr="0049396B" w14:paraId="0B53106E" w14:textId="77777777" w:rsidTr="00EB254E">
        <w:trPr>
          <w:cantSplit/>
          <w:jc w:val="center"/>
        </w:trPr>
        <w:tc>
          <w:tcPr>
            <w:tcW w:w="1401" w:type="pct"/>
            <w:shd w:val="clear" w:color="auto" w:fill="auto"/>
            <w:vAlign w:val="center"/>
          </w:tcPr>
          <w:p w14:paraId="6D548506" w14:textId="77777777" w:rsidR="007E20FB" w:rsidRPr="0049396B" w:rsidRDefault="007E20FB" w:rsidP="00EB254E">
            <w:pPr>
              <w:pStyle w:val="TableText0"/>
            </w:pPr>
            <w:r w:rsidRPr="0049396B">
              <w:t>Mean dose</w:t>
            </w:r>
          </w:p>
        </w:tc>
        <w:tc>
          <w:tcPr>
            <w:tcW w:w="1199" w:type="pct"/>
            <w:shd w:val="clear" w:color="auto" w:fill="auto"/>
            <w:vAlign w:val="center"/>
          </w:tcPr>
          <w:p w14:paraId="5E802B78" w14:textId="77777777" w:rsidR="007E20FB" w:rsidRPr="0049396B" w:rsidRDefault="007E20FB" w:rsidP="00EB254E">
            <w:pPr>
              <w:pStyle w:val="TableText0"/>
              <w:jc w:val="center"/>
              <w:rPr>
                <w:b/>
              </w:rPr>
            </w:pPr>
            <w:r w:rsidRPr="0049396B">
              <w:rPr>
                <w:b/>
              </w:rPr>
              <w:t>60mg/day</w:t>
            </w:r>
            <w:r w:rsidRPr="0049396B">
              <w:rPr>
                <w:b/>
                <w:vertAlign w:val="superscript"/>
              </w:rPr>
              <w:t>a</w:t>
            </w:r>
          </w:p>
        </w:tc>
        <w:tc>
          <w:tcPr>
            <w:tcW w:w="1198" w:type="pct"/>
            <w:shd w:val="clear" w:color="auto" w:fill="auto"/>
            <w:vAlign w:val="center"/>
          </w:tcPr>
          <w:p w14:paraId="761070D5" w14:textId="08B5E24B" w:rsidR="007E20FB" w:rsidRPr="0049396B" w:rsidRDefault="007E20FB" w:rsidP="00EB254E">
            <w:pPr>
              <w:pStyle w:val="TableText0"/>
              <w:jc w:val="center"/>
              <w:rPr>
                <w:b/>
              </w:rPr>
            </w:pPr>
            <w:r w:rsidRPr="0049396B">
              <w:rPr>
                <w:b/>
              </w:rPr>
              <w:t>60mg/</w:t>
            </w:r>
            <w:proofErr w:type="spellStart"/>
            <w:r w:rsidRPr="0049396B">
              <w:rPr>
                <w:b/>
              </w:rPr>
              <w:t>day</w:t>
            </w:r>
            <w:r w:rsidRPr="0049396B">
              <w:rPr>
                <w:b/>
                <w:vertAlign w:val="superscript"/>
              </w:rPr>
              <w:t>c</w:t>
            </w:r>
            <w:proofErr w:type="spellEnd"/>
          </w:p>
        </w:tc>
        <w:tc>
          <w:tcPr>
            <w:tcW w:w="1201" w:type="pct"/>
            <w:shd w:val="clear" w:color="auto" w:fill="auto"/>
            <w:vAlign w:val="center"/>
          </w:tcPr>
          <w:p w14:paraId="6FC59E33" w14:textId="44B713B7" w:rsidR="007E20FB" w:rsidRPr="0049396B" w:rsidRDefault="007E20FB" w:rsidP="00EB254E">
            <w:pPr>
              <w:pStyle w:val="TableText0"/>
              <w:jc w:val="center"/>
              <w:rPr>
                <w:b/>
              </w:rPr>
            </w:pPr>
            <w:r w:rsidRPr="0049396B">
              <w:rPr>
                <w:b/>
              </w:rPr>
              <w:t>60mg/</w:t>
            </w:r>
            <w:proofErr w:type="spellStart"/>
            <w:r w:rsidRPr="0049396B">
              <w:rPr>
                <w:b/>
              </w:rPr>
              <w:t>day</w:t>
            </w:r>
            <w:r w:rsidRPr="0049396B">
              <w:rPr>
                <w:b/>
                <w:vertAlign w:val="superscript"/>
              </w:rPr>
              <w:t>c</w:t>
            </w:r>
            <w:proofErr w:type="spellEnd"/>
          </w:p>
        </w:tc>
      </w:tr>
      <w:tr w:rsidR="007E20FB" w:rsidRPr="0049396B" w14:paraId="2037CC55" w14:textId="77777777" w:rsidTr="00EB254E">
        <w:trPr>
          <w:cantSplit/>
          <w:jc w:val="center"/>
        </w:trPr>
        <w:tc>
          <w:tcPr>
            <w:tcW w:w="1401" w:type="pct"/>
            <w:shd w:val="clear" w:color="auto" w:fill="auto"/>
            <w:vAlign w:val="center"/>
          </w:tcPr>
          <w:p w14:paraId="0CA9EFDB" w14:textId="77777777" w:rsidR="007E20FB" w:rsidRPr="0049396B" w:rsidRDefault="007E20FB" w:rsidP="00EB254E">
            <w:pPr>
              <w:pStyle w:val="TableText0"/>
            </w:pPr>
            <w:r w:rsidRPr="0049396B">
              <w:t>Mean duration</w:t>
            </w:r>
          </w:p>
        </w:tc>
        <w:tc>
          <w:tcPr>
            <w:tcW w:w="1199" w:type="pct"/>
            <w:shd w:val="clear" w:color="auto" w:fill="auto"/>
            <w:vAlign w:val="center"/>
          </w:tcPr>
          <w:p w14:paraId="0353EE8F" w14:textId="77777777" w:rsidR="007E20FB" w:rsidRPr="0049396B" w:rsidRDefault="007E20FB" w:rsidP="00EB254E">
            <w:pPr>
              <w:pStyle w:val="TableText0"/>
              <w:jc w:val="center"/>
              <w:rPr>
                <w:bCs w:val="0"/>
                <w:vertAlign w:val="superscript"/>
              </w:rPr>
            </w:pPr>
            <w:r w:rsidRPr="0049396B">
              <w:rPr>
                <w:bCs w:val="0"/>
              </w:rPr>
              <w:t xml:space="preserve">10.2 treatment </w:t>
            </w:r>
            <w:proofErr w:type="spellStart"/>
            <w:r w:rsidRPr="0049396B">
              <w:rPr>
                <w:bCs w:val="0"/>
              </w:rPr>
              <w:t>cycles</w:t>
            </w:r>
            <w:r w:rsidRPr="0049396B">
              <w:rPr>
                <w:bCs w:val="0"/>
                <w:vertAlign w:val="superscript"/>
              </w:rPr>
              <w:t>b</w:t>
            </w:r>
            <w:proofErr w:type="spellEnd"/>
          </w:p>
          <w:p w14:paraId="6E635842" w14:textId="45F3922E" w:rsidR="00350640" w:rsidRPr="0049396B" w:rsidRDefault="00350640" w:rsidP="00EB254E">
            <w:pPr>
              <w:pStyle w:val="TableText0"/>
              <w:jc w:val="center"/>
              <w:rPr>
                <w:bCs w:val="0"/>
              </w:rPr>
            </w:pPr>
            <w:r w:rsidRPr="0049396B">
              <w:rPr>
                <w:bCs w:val="0"/>
              </w:rPr>
              <w:t>(76% of patients received 12/12 cycles during the 48 week trial period)</w:t>
            </w:r>
          </w:p>
        </w:tc>
        <w:tc>
          <w:tcPr>
            <w:tcW w:w="1198" w:type="pct"/>
            <w:shd w:val="clear" w:color="auto" w:fill="auto"/>
            <w:vAlign w:val="center"/>
          </w:tcPr>
          <w:p w14:paraId="743DC28D" w14:textId="77777777" w:rsidR="007E20FB" w:rsidRPr="0049396B" w:rsidRDefault="007E20FB" w:rsidP="00EB254E">
            <w:pPr>
              <w:pStyle w:val="TableText0"/>
              <w:jc w:val="center"/>
              <w:rPr>
                <w:bCs w:val="0"/>
              </w:rPr>
            </w:pPr>
            <w:r w:rsidRPr="0049396B">
              <w:rPr>
                <w:bCs w:val="0"/>
              </w:rPr>
              <w:t>7.2 months (7.8 treatment cycles)</w:t>
            </w:r>
          </w:p>
        </w:tc>
        <w:tc>
          <w:tcPr>
            <w:tcW w:w="1201" w:type="pct"/>
            <w:shd w:val="clear" w:color="auto" w:fill="auto"/>
            <w:vAlign w:val="center"/>
          </w:tcPr>
          <w:p w14:paraId="005D8EB1" w14:textId="2C3BCB54" w:rsidR="007E20FB" w:rsidRPr="0049396B" w:rsidRDefault="007E20FB" w:rsidP="00EB254E">
            <w:pPr>
              <w:pStyle w:val="TableText0"/>
              <w:jc w:val="center"/>
              <w:rPr>
                <w:bCs w:val="0"/>
              </w:rPr>
            </w:pPr>
            <w:r w:rsidRPr="0049396B">
              <w:rPr>
                <w:bCs w:val="0"/>
              </w:rPr>
              <w:t xml:space="preserve">7.8 </w:t>
            </w:r>
            <w:proofErr w:type="spellStart"/>
            <w:r w:rsidRPr="0049396B">
              <w:rPr>
                <w:bCs w:val="0"/>
              </w:rPr>
              <w:t>months</w:t>
            </w:r>
            <w:r w:rsidRPr="0049396B">
              <w:rPr>
                <w:bCs w:val="0"/>
                <w:vertAlign w:val="superscript"/>
              </w:rPr>
              <w:t>f</w:t>
            </w:r>
            <w:proofErr w:type="spellEnd"/>
            <w:r w:rsidRPr="0049396B">
              <w:rPr>
                <w:bCs w:val="0"/>
              </w:rPr>
              <w:t xml:space="preserve"> (7.8 treatment cycles)</w:t>
            </w:r>
          </w:p>
        </w:tc>
      </w:tr>
      <w:tr w:rsidR="007E20FB" w:rsidRPr="0049396B" w14:paraId="64C15536" w14:textId="77777777" w:rsidTr="00EB254E">
        <w:trPr>
          <w:cantSplit/>
          <w:jc w:val="center"/>
        </w:trPr>
        <w:tc>
          <w:tcPr>
            <w:tcW w:w="1401" w:type="pct"/>
            <w:shd w:val="clear" w:color="auto" w:fill="auto"/>
            <w:vAlign w:val="center"/>
          </w:tcPr>
          <w:p w14:paraId="17A69CEB" w14:textId="1B6A3865" w:rsidR="007E20FB" w:rsidRPr="0049396B" w:rsidRDefault="007E20FB" w:rsidP="00EB254E">
            <w:pPr>
              <w:pStyle w:val="TableText0"/>
            </w:pPr>
            <w:r w:rsidRPr="0049396B">
              <w:t xml:space="preserve">Cost/patient/month </w:t>
            </w:r>
            <w:r w:rsidR="00F015D7">
              <w:t>($)</w:t>
            </w:r>
          </w:p>
        </w:tc>
        <w:tc>
          <w:tcPr>
            <w:tcW w:w="1199" w:type="pct"/>
            <w:shd w:val="clear" w:color="auto" w:fill="auto"/>
            <w:vAlign w:val="center"/>
          </w:tcPr>
          <w:p w14:paraId="6DDEA288" w14:textId="77777777" w:rsidR="007E20FB" w:rsidRPr="0049396B" w:rsidRDefault="007E20FB" w:rsidP="00EB254E">
            <w:pPr>
              <w:pStyle w:val="TableText0"/>
              <w:jc w:val="center"/>
            </w:pPr>
            <w:r w:rsidRPr="0049396B">
              <w:t>-</w:t>
            </w:r>
          </w:p>
        </w:tc>
        <w:tc>
          <w:tcPr>
            <w:tcW w:w="1198" w:type="pct"/>
            <w:shd w:val="clear" w:color="auto" w:fill="auto"/>
            <w:vAlign w:val="center"/>
          </w:tcPr>
          <w:p w14:paraId="110E4055" w14:textId="74BA599E" w:rsidR="007E20FB" w:rsidRPr="00F015D7" w:rsidRDefault="0015085A" w:rsidP="00EB254E">
            <w:pPr>
              <w:pStyle w:val="TableText0"/>
              <w:jc w:val="center"/>
              <w:rPr>
                <w:highlight w:val="darkGray"/>
              </w:rPr>
            </w:pPr>
            <w:r>
              <w:t xml:space="preserve"> </w:t>
            </w:r>
            <w:r w:rsidRPr="0015085A">
              <w:rPr>
                <w:color w:val="000000"/>
                <w:shd w:val="solid" w:color="000000" w:fill="000000"/>
                <w14:textFill>
                  <w14:solidFill>
                    <w14:srgbClr w14:val="000000">
                      <w14:alpha w14:val="100000"/>
                    </w14:srgbClr>
                  </w14:solidFill>
                </w14:textFill>
              </w:rPr>
              <w:t>|</w:t>
            </w:r>
          </w:p>
        </w:tc>
        <w:tc>
          <w:tcPr>
            <w:tcW w:w="1201" w:type="pct"/>
            <w:shd w:val="clear" w:color="auto" w:fill="auto"/>
            <w:vAlign w:val="center"/>
          </w:tcPr>
          <w:p w14:paraId="6AC6B958" w14:textId="0FFABC2B" w:rsidR="007E20FB" w:rsidRPr="00F015D7" w:rsidRDefault="0015085A" w:rsidP="00EB254E">
            <w:pPr>
              <w:pStyle w:val="TableText0"/>
              <w:jc w:val="center"/>
              <w:rPr>
                <w:highlight w:val="darkGray"/>
              </w:rPr>
            </w:pPr>
            <w:r>
              <w:t xml:space="preserve"> </w:t>
            </w:r>
            <w:r w:rsidRPr="0015085A">
              <w:rPr>
                <w:color w:val="000000"/>
                <w:shd w:val="solid" w:color="000000" w:fill="000000"/>
                <w14:textFill>
                  <w14:solidFill>
                    <w14:srgbClr w14:val="000000">
                      <w14:alpha w14:val="100000"/>
                    </w14:srgbClr>
                  </w14:solidFill>
                </w14:textFill>
              </w:rPr>
              <w:t>|</w:t>
            </w:r>
            <w:r w:rsidR="007E20FB" w:rsidRPr="006522C1">
              <w:rPr>
                <w:vertAlign w:val="superscript"/>
              </w:rPr>
              <w:t>g</w:t>
            </w:r>
          </w:p>
        </w:tc>
      </w:tr>
      <w:tr w:rsidR="007E20FB" w:rsidRPr="0049396B" w14:paraId="6AC6F267" w14:textId="77777777" w:rsidTr="00EB254E">
        <w:trPr>
          <w:cantSplit/>
          <w:jc w:val="center"/>
        </w:trPr>
        <w:tc>
          <w:tcPr>
            <w:tcW w:w="1401" w:type="pct"/>
            <w:shd w:val="clear" w:color="auto" w:fill="auto"/>
            <w:vAlign w:val="center"/>
          </w:tcPr>
          <w:p w14:paraId="67EED65A" w14:textId="24095EFF" w:rsidR="007E20FB" w:rsidRPr="0049396B" w:rsidRDefault="007E20FB" w:rsidP="00EB254E">
            <w:pPr>
              <w:pStyle w:val="TableText0"/>
            </w:pPr>
            <w:r w:rsidRPr="0049396B">
              <w:t>Cost/patient/course</w:t>
            </w:r>
            <w:r w:rsidR="00F015D7">
              <w:t xml:space="preserve"> ($)</w:t>
            </w:r>
          </w:p>
        </w:tc>
        <w:tc>
          <w:tcPr>
            <w:tcW w:w="1199" w:type="pct"/>
            <w:shd w:val="clear" w:color="auto" w:fill="auto"/>
            <w:vAlign w:val="center"/>
          </w:tcPr>
          <w:p w14:paraId="50A21D73" w14:textId="77777777" w:rsidR="007E20FB" w:rsidRPr="0049396B" w:rsidRDefault="007E20FB" w:rsidP="00EB254E">
            <w:pPr>
              <w:pStyle w:val="TableText0"/>
              <w:jc w:val="center"/>
            </w:pPr>
            <w:r w:rsidRPr="0049396B">
              <w:t>-</w:t>
            </w:r>
          </w:p>
        </w:tc>
        <w:tc>
          <w:tcPr>
            <w:tcW w:w="1198" w:type="pct"/>
            <w:shd w:val="clear" w:color="auto" w:fill="auto"/>
            <w:vAlign w:val="center"/>
          </w:tcPr>
          <w:p w14:paraId="7650AE0C" w14:textId="58A88A7F" w:rsidR="007E20FB" w:rsidRPr="00F015D7" w:rsidRDefault="0015085A" w:rsidP="00EB254E">
            <w:pPr>
              <w:pStyle w:val="TableText0"/>
              <w:jc w:val="center"/>
              <w:rPr>
                <w:highlight w:val="darkGray"/>
              </w:rPr>
            </w:pPr>
            <w:r>
              <w:t xml:space="preserve"> </w:t>
            </w:r>
            <w:r w:rsidRPr="0015085A">
              <w:rPr>
                <w:color w:val="000000"/>
                <w:shd w:val="solid" w:color="000000" w:fill="000000"/>
                <w14:textFill>
                  <w14:solidFill>
                    <w14:srgbClr w14:val="000000">
                      <w14:alpha w14:val="100000"/>
                    </w14:srgbClr>
                  </w14:solidFill>
                </w14:textFill>
              </w:rPr>
              <w:t>|</w:t>
            </w:r>
            <w:r w:rsidR="007E20FB" w:rsidRPr="006522C1">
              <w:rPr>
                <w:b/>
                <w:vertAlign w:val="superscript"/>
              </w:rPr>
              <w:t>d,e</w:t>
            </w:r>
          </w:p>
        </w:tc>
        <w:tc>
          <w:tcPr>
            <w:tcW w:w="1201" w:type="pct"/>
            <w:shd w:val="clear" w:color="auto" w:fill="auto"/>
            <w:vAlign w:val="center"/>
          </w:tcPr>
          <w:p w14:paraId="10320A6F" w14:textId="26C48171" w:rsidR="007E20FB" w:rsidRPr="00F015D7" w:rsidRDefault="0015085A" w:rsidP="00EB254E">
            <w:pPr>
              <w:pStyle w:val="TableText0"/>
              <w:jc w:val="center"/>
              <w:rPr>
                <w:highlight w:val="darkGray"/>
              </w:rPr>
            </w:pPr>
            <w:r>
              <w:t xml:space="preserve"> </w:t>
            </w:r>
            <w:r w:rsidRPr="0015085A">
              <w:rPr>
                <w:color w:val="000000"/>
                <w:shd w:val="solid" w:color="000000" w:fill="000000"/>
                <w14:textFill>
                  <w14:solidFill>
                    <w14:srgbClr w14:val="000000">
                      <w14:alpha w14:val="100000"/>
                    </w14:srgbClr>
                  </w14:solidFill>
                </w14:textFill>
              </w:rPr>
              <w:t>|</w:t>
            </w:r>
            <w:proofErr w:type="spellStart"/>
            <w:r w:rsidR="007E20FB" w:rsidRPr="006522C1">
              <w:rPr>
                <w:b/>
                <w:vertAlign w:val="superscript"/>
              </w:rPr>
              <w:t>e,g</w:t>
            </w:r>
            <w:proofErr w:type="spellEnd"/>
          </w:p>
        </w:tc>
      </w:tr>
    </w:tbl>
    <w:p w14:paraId="6D4E4E74" w14:textId="77777777" w:rsidR="007E20FB" w:rsidRPr="0049396B" w:rsidRDefault="007E20FB" w:rsidP="007E20FB">
      <w:pPr>
        <w:pStyle w:val="FooterTableFigure"/>
      </w:pPr>
      <w:r w:rsidRPr="0049396B">
        <w:t xml:space="preserve">Source: compiled during the evaluation from </w:t>
      </w:r>
    </w:p>
    <w:p w14:paraId="7024ADDA" w14:textId="77777777" w:rsidR="007E20FB" w:rsidRPr="0049396B" w:rsidRDefault="007E20FB" w:rsidP="004B59D3">
      <w:pPr>
        <w:pStyle w:val="FooterTableFigure"/>
        <w:ind w:left="165" w:hanging="165"/>
      </w:pPr>
      <w:r w:rsidRPr="0049396B">
        <w:t>a</w:t>
      </w:r>
      <w:r w:rsidRPr="0049396B">
        <w:tab/>
        <w:t xml:space="preserve">Planned dose. Actual mean dose in trial not reported. Observed mean 14.0 treatment days in initial cycle (planned: 14), 12.0-12.5 treatment days in subsequent cycle (maximum 18 treatment days in a treatment cycle, planned: 10 days each treatment cycle) </w:t>
      </w:r>
    </w:p>
    <w:p w14:paraId="4A2E6BD2" w14:textId="6601A0D7" w:rsidR="007E20FB" w:rsidRPr="0049396B" w:rsidRDefault="007E20FB" w:rsidP="004B59D3">
      <w:pPr>
        <w:pStyle w:val="FooterTableFigure"/>
        <w:ind w:left="165" w:hanging="165"/>
        <w:rPr>
          <w:iCs/>
        </w:rPr>
      </w:pPr>
      <w:r w:rsidRPr="0049396B">
        <w:rPr>
          <w:iCs/>
        </w:rPr>
        <w:t>b</w:t>
      </w:r>
      <w:r w:rsidRPr="0049396B">
        <w:rPr>
          <w:iCs/>
        </w:rPr>
        <w:tab/>
        <w:t xml:space="preserve">estimated from area under the curve of </w:t>
      </w:r>
      <w:r w:rsidRPr="0049396B">
        <w:rPr>
          <w:iCs/>
        </w:rPr>
        <w:fldChar w:fldCharType="begin" w:fldLock="1"/>
      </w:r>
      <w:r w:rsidRPr="0049396B">
        <w:rPr>
          <w:iCs/>
        </w:rPr>
        <w:instrText xml:space="preserve"> REF _Ref144296701  \* MERGEFORMAT </w:instrText>
      </w:r>
      <w:r w:rsidRPr="0049396B">
        <w:rPr>
          <w:iCs/>
        </w:rPr>
        <w:fldChar w:fldCharType="separate"/>
      </w:r>
      <w:r w:rsidR="00041148" w:rsidRPr="0049396B">
        <w:rPr>
          <w:iCs/>
        </w:rPr>
        <w:t>Figure 6</w:t>
      </w:r>
      <w:r w:rsidRPr="0049396B">
        <w:rPr>
          <w:iCs/>
        </w:rPr>
        <w:fldChar w:fldCharType="end"/>
      </w:r>
      <w:r w:rsidRPr="0049396B">
        <w:rPr>
          <w:iCs/>
        </w:rPr>
        <w:t>b. Maximum duration was 12 cycles in Study 19 (6 cycles in the main trial, plus 6 cycles in the extension). 76% patients commenced all 12 cycles</w:t>
      </w:r>
    </w:p>
    <w:p w14:paraId="71EB3938" w14:textId="77777777" w:rsidR="007E20FB" w:rsidRPr="0049396B" w:rsidRDefault="007E20FB" w:rsidP="007E20FB">
      <w:pPr>
        <w:pStyle w:val="FooterTableFigure"/>
        <w:rPr>
          <w:iCs/>
        </w:rPr>
      </w:pPr>
      <w:r w:rsidRPr="0049396B">
        <w:rPr>
          <w:iCs/>
        </w:rPr>
        <w:t>c</w:t>
      </w:r>
      <w:r w:rsidRPr="0049396B">
        <w:rPr>
          <w:iCs/>
        </w:rPr>
        <w:tab/>
        <w:t>14 treatment days in initial treatment cycle, 10 treatment days in subsequent cycles. Treatment cycle length was 28 days.</w:t>
      </w:r>
    </w:p>
    <w:p w14:paraId="67FF02B1" w14:textId="37DA0352" w:rsidR="007E20FB" w:rsidRPr="0049396B" w:rsidRDefault="007E20FB" w:rsidP="004B59D3">
      <w:pPr>
        <w:pStyle w:val="FooterTableFigure"/>
        <w:ind w:left="165" w:hanging="165"/>
      </w:pPr>
      <w:r w:rsidRPr="0049396B">
        <w:t>d</w:t>
      </w:r>
      <w:r w:rsidRPr="0049396B">
        <w:tab/>
      </w:r>
      <w:r w:rsidRPr="0049396B">
        <w:rPr>
          <w:bCs/>
        </w:rPr>
        <w:t xml:space="preserve">If the treatment discontinuation and mortality adjustments were removed from the model, the cost of edaravone treatment increased to </w:t>
      </w:r>
      <w:r w:rsidR="009B4DB9">
        <w:rPr>
          <w:bCs/>
        </w:rPr>
        <w:t>$</w:t>
      </w:r>
      <w:r w:rsidR="0015085A" w:rsidRPr="00D94CF5">
        <w:rPr>
          <w:bCs/>
          <w:color w:val="000000"/>
          <w:w w:val="69"/>
          <w:shd w:val="solid" w:color="000000" w:fill="000000"/>
          <w:fitText w:val="110" w:id="-1032131581"/>
          <w14:textFill>
            <w14:solidFill>
              <w14:srgbClr w14:val="000000">
                <w14:alpha w14:val="100000"/>
              </w14:srgbClr>
            </w14:solidFill>
          </w14:textFill>
        </w:rPr>
        <w:t>|  |</w:t>
      </w:r>
      <w:r w:rsidRPr="0049396B">
        <w:rPr>
          <w:bCs/>
        </w:rPr>
        <w:t xml:space="preserve"> across 27.6 months of treatment (</w:t>
      </w:r>
      <w:r w:rsidR="009B4DB9">
        <w:rPr>
          <w:bCs/>
        </w:rPr>
        <w:t>$</w:t>
      </w:r>
      <w:r w:rsidR="0015085A" w:rsidRPr="00D94CF5">
        <w:rPr>
          <w:bCs/>
          <w:color w:val="000000"/>
          <w:w w:val="69"/>
          <w:shd w:val="solid" w:color="000000" w:fill="000000"/>
          <w:fitText w:val="110" w:id="-1032131580"/>
          <w14:textFill>
            <w14:solidFill>
              <w14:srgbClr w14:val="000000">
                <w14:alpha w14:val="100000"/>
              </w14:srgbClr>
            </w14:solidFill>
          </w14:textFill>
        </w:rPr>
        <w:t>|  |</w:t>
      </w:r>
      <w:r w:rsidRPr="0049396B">
        <w:rPr>
          <w:bCs/>
        </w:rPr>
        <w:t xml:space="preserve"> per month).</w:t>
      </w:r>
    </w:p>
    <w:p w14:paraId="3D172920" w14:textId="4A4076D9" w:rsidR="007E20FB" w:rsidRPr="0049396B" w:rsidRDefault="007E20FB" w:rsidP="007E20FB">
      <w:pPr>
        <w:pStyle w:val="FooterTableFigure"/>
      </w:pPr>
      <w:r w:rsidRPr="0049396B">
        <w:t>e</w:t>
      </w:r>
      <w:r w:rsidRPr="0049396B">
        <w:tab/>
        <w:t xml:space="preserve"> </w:t>
      </w:r>
      <w:proofErr w:type="spellStart"/>
      <w:r w:rsidRPr="0049396B">
        <w:t>riluzole</w:t>
      </w:r>
      <w:proofErr w:type="spellEnd"/>
      <w:r w:rsidRPr="0049396B">
        <w:t xml:space="preserve"> costs excluded from estimates. </w:t>
      </w:r>
    </w:p>
    <w:p w14:paraId="3C918EE3" w14:textId="261C345B" w:rsidR="007E20FB" w:rsidRPr="00AB1EAD" w:rsidRDefault="007E20FB" w:rsidP="007E20FB">
      <w:pPr>
        <w:pStyle w:val="FooterTableFigure"/>
      </w:pPr>
      <w:r w:rsidRPr="0049396B">
        <w:t>f</w:t>
      </w:r>
      <w:r w:rsidRPr="0049396B">
        <w:tab/>
      </w:r>
      <w:r w:rsidRPr="00AB1EAD">
        <w:t xml:space="preserve">85% patients received 9 cycles of treatment, 15% received 1 cycle of treatment. 1 treatment cycle assumed to equal 1 month. </w:t>
      </w:r>
    </w:p>
    <w:p w14:paraId="37236146" w14:textId="634186AA" w:rsidR="007E20FB" w:rsidRPr="0049396B" w:rsidRDefault="007E20FB" w:rsidP="004B59D3">
      <w:pPr>
        <w:pStyle w:val="FooterTableFigure"/>
        <w:ind w:left="165" w:hanging="165"/>
        <w:rPr>
          <w:color w:val="0066FF"/>
        </w:rPr>
      </w:pPr>
      <w:r w:rsidRPr="00AB1EAD">
        <w:t>g</w:t>
      </w:r>
      <w:r w:rsidRPr="00AB1EAD">
        <w:tab/>
        <w:t>Cost per month underestimated as 28 day treatment cycle was assumed to equal 1 month in the financial analysis. If costs every 28 days, 85% patients received 9.8 cycles of treatment, 15%</w:t>
      </w:r>
      <w:r w:rsidRPr="0049396B">
        <w:t xml:space="preserve"> received 1 cycle of treatment, the cost per patient increased to </w:t>
      </w:r>
      <w:r w:rsidR="009B4DB9">
        <w:t>$</w:t>
      </w:r>
      <w:r w:rsidR="0015085A" w:rsidRPr="00D94CF5">
        <w:rPr>
          <w:color w:val="000000"/>
          <w:w w:val="62"/>
          <w:shd w:val="solid" w:color="000000" w:fill="000000"/>
          <w:fitText w:val="100" w:id="-1032131328"/>
          <w14:textFill>
            <w14:solidFill>
              <w14:srgbClr w14:val="000000">
                <w14:alpha w14:val="100000"/>
              </w14:srgbClr>
            </w14:solidFill>
          </w14:textFill>
        </w:rPr>
        <w:t>|  |</w:t>
      </w:r>
      <w:r w:rsidRPr="0049396B">
        <w:t xml:space="preserve"> for 7.8 months of treatment (</w:t>
      </w:r>
      <w:r w:rsidR="009B4DB9">
        <w:t>$</w:t>
      </w:r>
      <w:r w:rsidR="0015085A" w:rsidRPr="00D94CF5">
        <w:rPr>
          <w:color w:val="000000"/>
          <w:w w:val="62"/>
          <w:shd w:val="solid" w:color="000000" w:fill="000000"/>
          <w:fitText w:val="100" w:id="-1032131327"/>
          <w14:textFill>
            <w14:solidFill>
              <w14:srgbClr w14:val="000000">
                <w14:alpha w14:val="100000"/>
              </w14:srgbClr>
            </w14:solidFill>
          </w14:textFill>
        </w:rPr>
        <w:t>|  |</w:t>
      </w:r>
      <w:r w:rsidRPr="0049396B">
        <w:t xml:space="preserve"> per month). If time on treatment was based on time in stage 1-3 in the model, the cost per edaravone treatment increased to </w:t>
      </w:r>
      <w:r w:rsidR="009B4DB9">
        <w:t>$</w:t>
      </w:r>
      <w:r w:rsidR="0015085A" w:rsidRPr="00D94CF5">
        <w:rPr>
          <w:color w:val="000000"/>
          <w:w w:val="69"/>
          <w:shd w:val="solid" w:color="000000" w:fill="000000"/>
          <w:fitText w:val="110" w:id="-1032131326"/>
          <w14:textFill>
            <w14:solidFill>
              <w14:srgbClr w14:val="000000">
                <w14:alpha w14:val="100000"/>
              </w14:srgbClr>
            </w14:solidFill>
          </w14:textFill>
        </w:rPr>
        <w:t>|  |</w:t>
      </w:r>
      <w:r w:rsidRPr="0049396B">
        <w:t xml:space="preserve"> per patient across 27.5 months of treatment (</w:t>
      </w:r>
      <w:r w:rsidR="009B4DB9">
        <w:t>$</w:t>
      </w:r>
      <w:r w:rsidR="0015085A" w:rsidRPr="00D94CF5">
        <w:rPr>
          <w:color w:val="000000"/>
          <w:w w:val="69"/>
          <w:shd w:val="solid" w:color="000000" w:fill="000000"/>
          <w:fitText w:val="110" w:id="-1032131325"/>
          <w14:textFill>
            <w14:solidFill>
              <w14:srgbClr w14:val="000000">
                <w14:alpha w14:val="100000"/>
              </w14:srgbClr>
            </w14:solidFill>
          </w14:textFill>
        </w:rPr>
        <w:t>|  |</w:t>
      </w:r>
      <w:r w:rsidRPr="0049396B">
        <w:t xml:space="preserve"> per month).</w:t>
      </w:r>
      <w:bookmarkStart w:id="79" w:name="_Hlk107307804"/>
      <w:r w:rsidRPr="0049396B">
        <w:rPr>
          <w:color w:val="0066FF"/>
        </w:rPr>
        <w:t xml:space="preserve"> </w:t>
      </w:r>
    </w:p>
    <w:p w14:paraId="61739AB5" w14:textId="79A27376" w:rsidR="00DC5952" w:rsidRPr="0049396B" w:rsidRDefault="00DC5952" w:rsidP="00DC5952">
      <w:pPr>
        <w:pStyle w:val="3-BodyText"/>
        <w:rPr>
          <w:iCs/>
          <w:snapToGrid/>
        </w:rPr>
      </w:pPr>
      <w:r w:rsidRPr="0049396B">
        <w:rPr>
          <w:iCs/>
          <w:snapToGrid/>
        </w:rPr>
        <w:t xml:space="preserve">Actual mean dose and time on treatment in Study 19 was not reported. </w:t>
      </w:r>
      <w:r w:rsidR="00A35522" w:rsidRPr="0049396B">
        <w:rPr>
          <w:iCs/>
          <w:snapToGrid/>
        </w:rPr>
        <w:t xml:space="preserve">Patients received </w:t>
      </w:r>
      <w:r w:rsidR="006F50CD" w:rsidRPr="0049396B">
        <w:rPr>
          <w:iCs/>
          <w:snapToGrid/>
        </w:rPr>
        <w:t xml:space="preserve">treatment for </w:t>
      </w:r>
      <w:r w:rsidR="00A35522" w:rsidRPr="0049396B">
        <w:rPr>
          <w:iCs/>
        </w:rPr>
        <w:t>12.0-12.5 days (maximum 18 treatment days) in each subsequent cycle of Study 19</w:t>
      </w:r>
      <w:r w:rsidR="006F50CD" w:rsidRPr="0049396B">
        <w:rPr>
          <w:iCs/>
        </w:rPr>
        <w:t xml:space="preserve"> (including days off treatment, </w:t>
      </w:r>
      <w:r w:rsidR="00A426C8" w:rsidRPr="0049396B">
        <w:rPr>
          <w:iCs/>
        </w:rPr>
        <w:t>e.g</w:t>
      </w:r>
      <w:r w:rsidR="006F50CD" w:rsidRPr="0049396B">
        <w:rPr>
          <w:iCs/>
        </w:rPr>
        <w:t>. weekends)</w:t>
      </w:r>
      <w:r w:rsidR="00A35522" w:rsidRPr="0049396B">
        <w:rPr>
          <w:iCs/>
        </w:rPr>
        <w:t>.</w:t>
      </w:r>
    </w:p>
    <w:p w14:paraId="2EB3761A" w14:textId="77777777" w:rsidR="007E20FB" w:rsidRPr="0049396B" w:rsidRDefault="007E20FB" w:rsidP="007E20FB">
      <w:pPr>
        <w:pStyle w:val="4-SubsectionHeading"/>
      </w:pPr>
      <w:bookmarkStart w:id="80" w:name="_Toc144397461"/>
      <w:bookmarkStart w:id="81" w:name="_Toc145493783"/>
      <w:bookmarkStart w:id="82" w:name="_Toc22897648"/>
      <w:bookmarkStart w:id="83" w:name="_Toc107927634"/>
      <w:bookmarkEnd w:id="76"/>
      <w:bookmarkEnd w:id="77"/>
      <w:bookmarkEnd w:id="79"/>
      <w:r w:rsidRPr="0049396B">
        <w:lastRenderedPageBreak/>
        <w:t>Estimated PBS usage &amp; financial implications</w:t>
      </w:r>
      <w:bookmarkEnd w:id="80"/>
      <w:bookmarkEnd w:id="81"/>
    </w:p>
    <w:p w14:paraId="387B13F5" w14:textId="2F75D642" w:rsidR="00DF6726" w:rsidRPr="0049396B" w:rsidRDefault="00DF6726" w:rsidP="00DF6726">
      <w:pPr>
        <w:pStyle w:val="3-BodyText"/>
        <w:rPr>
          <w:iCs/>
        </w:rPr>
      </w:pPr>
      <w:r w:rsidRPr="0049396B">
        <w:t xml:space="preserve">This submission was considered by </w:t>
      </w:r>
      <w:r w:rsidR="00F25574">
        <w:t>the Drug Utilisation Sub-Committee (</w:t>
      </w:r>
      <w:r w:rsidRPr="0049396B">
        <w:t>DUSC</w:t>
      </w:r>
      <w:r w:rsidR="00F25574">
        <w:t>)</w:t>
      </w:r>
      <w:r w:rsidRPr="0049396B">
        <w:t xml:space="preserve">. The submission adopted an epidemiological approach to estimate the financial implications of the proposed edaravone listing. </w:t>
      </w:r>
      <w:r w:rsidRPr="0049396B">
        <w:fldChar w:fldCharType="begin" w:fldLock="1"/>
      </w:r>
      <w:r w:rsidRPr="0049396B">
        <w:instrText xml:space="preserve"> REF _Ref104805262 \h  \* MERGEFORMAT </w:instrText>
      </w:r>
      <w:r w:rsidRPr="0049396B">
        <w:fldChar w:fldCharType="separate"/>
      </w:r>
      <w:r w:rsidRPr="0049396B">
        <w:t>Table 13</w:t>
      </w:r>
      <w:r w:rsidRPr="0049396B">
        <w:fldChar w:fldCharType="end"/>
      </w:r>
      <w:r w:rsidRPr="0049396B">
        <w:t xml:space="preserve"> summarises the parameters and data sources applied in the financial analysis. The submission assumed </w:t>
      </w:r>
      <w:r w:rsidR="00B474B9">
        <w:t xml:space="preserve">edaravone would be used as adjunctive therapy with best supportive care which was assumed for most patients to be </w:t>
      </w:r>
      <w:proofErr w:type="spellStart"/>
      <w:r w:rsidR="00B474B9">
        <w:t>riluzole</w:t>
      </w:r>
      <w:proofErr w:type="spellEnd"/>
      <w:r w:rsidR="00B474B9">
        <w:t xml:space="preserve">. As edaravone was expected to increase survival by 1.37 years, it was assumed there would be a resultant increase in </w:t>
      </w:r>
      <w:proofErr w:type="spellStart"/>
      <w:r w:rsidR="00B474B9">
        <w:t>riluzole</w:t>
      </w:r>
      <w:proofErr w:type="spellEnd"/>
      <w:r w:rsidR="00B474B9">
        <w:t xml:space="preserve"> with </w:t>
      </w:r>
      <w:r w:rsidRPr="0049396B">
        <w:t>an additional 1.37 years o</w:t>
      </w:r>
      <w:r w:rsidR="00B7498C">
        <w:t>f</w:t>
      </w:r>
      <w:r w:rsidRPr="0049396B">
        <w:t xml:space="preserve"> treatment with </w:t>
      </w:r>
      <w:proofErr w:type="spellStart"/>
      <w:r w:rsidRPr="0049396B">
        <w:t>riluzole</w:t>
      </w:r>
      <w:proofErr w:type="spellEnd"/>
      <w:r w:rsidRPr="0049396B">
        <w:t xml:space="preserve"> for 85% of patients based on survival in the economic analysis base case. </w:t>
      </w:r>
      <w:r w:rsidRPr="0049396B">
        <w:rPr>
          <w:iCs/>
        </w:rPr>
        <w:t>As in the economic analysis,</w:t>
      </w:r>
      <w:r w:rsidR="00082B3E">
        <w:rPr>
          <w:iCs/>
        </w:rPr>
        <w:t xml:space="preserve"> </w:t>
      </w:r>
      <w:r w:rsidR="00082B3E">
        <w:t>the edaravone cost was based on the per ampoule AEMP (</w:t>
      </w:r>
      <w:r w:rsidR="009B4DB9">
        <w:t>$</w:t>
      </w:r>
      <w:r w:rsidR="0015085A" w:rsidRPr="00D94CF5">
        <w:rPr>
          <w:color w:val="000000"/>
          <w:w w:val="15"/>
          <w:shd w:val="solid" w:color="000000" w:fill="000000"/>
          <w:fitText w:val="-20" w:id="-1032131324"/>
          <w14:textFill>
            <w14:solidFill>
              <w14:srgbClr w14:val="000000">
                <w14:alpha w14:val="100000"/>
              </w14:srgbClr>
            </w14:solidFill>
          </w14:textFill>
        </w:rPr>
        <w:t xml:space="preserve">|  </w:t>
      </w:r>
      <w:r w:rsidR="0015085A" w:rsidRPr="00D94CF5">
        <w:rPr>
          <w:color w:val="000000"/>
          <w:spacing w:val="-69"/>
          <w:w w:val="15"/>
          <w:shd w:val="solid" w:color="000000" w:fill="000000"/>
          <w:fitText w:val="-20" w:id="-1032131324"/>
          <w14:textFill>
            <w14:solidFill>
              <w14:srgbClr w14:val="000000">
                <w14:alpha w14:val="100000"/>
              </w14:srgbClr>
            </w14:solidFill>
          </w14:textFill>
        </w:rPr>
        <w:t>|</w:t>
      </w:r>
      <w:r w:rsidR="00082B3E">
        <w:t xml:space="preserve">) dispensing mark-ups based on 100% private patients </w:t>
      </w:r>
      <w:r w:rsidR="00082B3E" w:rsidRPr="0049396B">
        <w:rPr>
          <w:iCs/>
        </w:rPr>
        <w:t>rather than the per pack AEMP (</w:t>
      </w:r>
      <w:r w:rsidR="009B4DB9">
        <w:rPr>
          <w:iCs/>
        </w:rPr>
        <w:t>$</w:t>
      </w:r>
      <w:r w:rsidR="0015085A" w:rsidRPr="00D94CF5">
        <w:rPr>
          <w:iCs/>
          <w:color w:val="000000"/>
          <w:w w:val="15"/>
          <w:shd w:val="solid" w:color="000000" w:fill="000000"/>
          <w:fitText w:val="-20" w:id="-1032131323"/>
          <w14:textFill>
            <w14:solidFill>
              <w14:srgbClr w14:val="000000">
                <w14:alpha w14:val="100000"/>
              </w14:srgbClr>
            </w14:solidFill>
          </w14:textFill>
        </w:rPr>
        <w:t xml:space="preserve">|  </w:t>
      </w:r>
      <w:r w:rsidR="0015085A" w:rsidRPr="00D94CF5">
        <w:rPr>
          <w:iCs/>
          <w:color w:val="000000"/>
          <w:spacing w:val="-69"/>
          <w:w w:val="15"/>
          <w:shd w:val="solid" w:color="000000" w:fill="000000"/>
          <w:fitText w:val="-20" w:id="-1032131323"/>
          <w14:textFill>
            <w14:solidFill>
              <w14:srgbClr w14:val="000000">
                <w14:alpha w14:val="100000"/>
              </w14:srgbClr>
            </w14:solidFill>
          </w14:textFill>
        </w:rPr>
        <w:t>|</w:t>
      </w:r>
      <w:r w:rsidR="00082B3E" w:rsidRPr="0049396B">
        <w:rPr>
          <w:iCs/>
        </w:rPr>
        <w:t xml:space="preserve"> for 10 ampoules).</w:t>
      </w:r>
      <w:r w:rsidR="00082B3E">
        <w:rPr>
          <w:iCs/>
        </w:rPr>
        <w:t xml:space="preserve"> </w:t>
      </w:r>
      <w:r w:rsidR="00082B3E">
        <w:t xml:space="preserve">Based on the per ampoule AEMP, this gave </w:t>
      </w:r>
      <w:r w:rsidR="009B4DB9">
        <w:t>$</w:t>
      </w:r>
      <w:r w:rsidR="0015085A" w:rsidRPr="00D94CF5">
        <w:rPr>
          <w:color w:val="000000"/>
          <w:w w:val="15"/>
          <w:shd w:val="solid" w:color="000000" w:fill="000000"/>
          <w:fitText w:val="-20" w:id="-1032131322"/>
          <w14:textFill>
            <w14:solidFill>
              <w14:srgbClr w14:val="000000">
                <w14:alpha w14:val="100000"/>
              </w14:srgbClr>
            </w14:solidFill>
          </w14:textFill>
        </w:rPr>
        <w:t xml:space="preserve">|  </w:t>
      </w:r>
      <w:r w:rsidR="0015085A" w:rsidRPr="00D94CF5">
        <w:rPr>
          <w:color w:val="000000"/>
          <w:spacing w:val="-69"/>
          <w:w w:val="15"/>
          <w:shd w:val="solid" w:color="000000" w:fill="000000"/>
          <w:fitText w:val="-20" w:id="-1032131322"/>
          <w14:textFill>
            <w14:solidFill>
              <w14:srgbClr w14:val="000000">
                <w14:alpha w14:val="100000"/>
              </w14:srgbClr>
            </w14:solidFill>
          </w14:textFill>
        </w:rPr>
        <w:t>|</w:t>
      </w:r>
      <w:r w:rsidR="00082B3E">
        <w:t xml:space="preserve"> for 28 ampoules for initiating patients and </w:t>
      </w:r>
      <w:r w:rsidR="009B4DB9">
        <w:t>$</w:t>
      </w:r>
      <w:r w:rsidR="0015085A" w:rsidRPr="00D94CF5">
        <w:rPr>
          <w:color w:val="000000"/>
          <w:w w:val="15"/>
          <w:shd w:val="solid" w:color="000000" w:fill="000000"/>
          <w:fitText w:val="-20" w:id="-1032131321"/>
          <w14:textFill>
            <w14:solidFill>
              <w14:srgbClr w14:val="000000">
                <w14:alpha w14:val="100000"/>
              </w14:srgbClr>
            </w14:solidFill>
          </w14:textFill>
        </w:rPr>
        <w:t xml:space="preserve">|  </w:t>
      </w:r>
      <w:r w:rsidR="0015085A" w:rsidRPr="00D94CF5">
        <w:rPr>
          <w:color w:val="000000"/>
          <w:spacing w:val="-69"/>
          <w:w w:val="15"/>
          <w:shd w:val="solid" w:color="000000" w:fill="000000"/>
          <w:fitText w:val="-20" w:id="-1032131321"/>
          <w14:textFill>
            <w14:solidFill>
              <w14:srgbClr w14:val="000000">
                <w14:alpha w14:val="100000"/>
              </w14:srgbClr>
            </w14:solidFill>
          </w14:textFill>
        </w:rPr>
        <w:t>|</w:t>
      </w:r>
      <w:r w:rsidR="00082B3E">
        <w:t xml:space="preserve"> for 20 ampoules for continuing patients. </w:t>
      </w:r>
      <w:r w:rsidR="00082B3E">
        <w:rPr>
          <w:iCs/>
        </w:rPr>
        <w:t xml:space="preserve">The edaravone </w:t>
      </w:r>
      <w:r w:rsidR="00082B3E" w:rsidRPr="00082B3E">
        <w:rPr>
          <w:iCs/>
        </w:rPr>
        <w:t xml:space="preserve">cost based on </w:t>
      </w:r>
      <w:r w:rsidR="00A60A7B">
        <w:rPr>
          <w:iCs/>
        </w:rPr>
        <w:t xml:space="preserve">per </w:t>
      </w:r>
      <w:r w:rsidR="00082B3E" w:rsidRPr="00082B3E">
        <w:rPr>
          <w:iCs/>
        </w:rPr>
        <w:t>pack AEMP (</w:t>
      </w:r>
      <w:r w:rsidR="009B4DB9">
        <w:rPr>
          <w:iCs/>
        </w:rPr>
        <w:t>$</w:t>
      </w:r>
      <w:r w:rsidR="0015085A" w:rsidRPr="00D94CF5">
        <w:rPr>
          <w:iCs/>
          <w:color w:val="000000"/>
          <w:w w:val="15"/>
          <w:shd w:val="solid" w:color="000000" w:fill="000000"/>
          <w:fitText w:val="-20" w:id="-1032131320"/>
          <w14:textFill>
            <w14:solidFill>
              <w14:srgbClr w14:val="000000">
                <w14:alpha w14:val="100000"/>
              </w14:srgbClr>
            </w14:solidFill>
          </w14:textFill>
        </w:rPr>
        <w:t xml:space="preserve">|  </w:t>
      </w:r>
      <w:r w:rsidR="0015085A" w:rsidRPr="00D94CF5">
        <w:rPr>
          <w:iCs/>
          <w:color w:val="000000"/>
          <w:spacing w:val="-69"/>
          <w:w w:val="15"/>
          <w:shd w:val="solid" w:color="000000" w:fill="000000"/>
          <w:fitText w:val="-20" w:id="-1032131320"/>
          <w14:textFill>
            <w14:solidFill>
              <w14:srgbClr w14:val="000000">
                <w14:alpha w14:val="100000"/>
              </w14:srgbClr>
            </w14:solidFill>
          </w14:textFill>
        </w:rPr>
        <w:t>|</w:t>
      </w:r>
      <w:r w:rsidR="00082B3E" w:rsidRPr="00082B3E">
        <w:rPr>
          <w:iCs/>
        </w:rPr>
        <w:t xml:space="preserve"> for 10 ampoules), rather than per ampoule AEMP, w</w:t>
      </w:r>
      <w:r w:rsidR="00A60A7B">
        <w:rPr>
          <w:iCs/>
        </w:rPr>
        <w:t>as</w:t>
      </w:r>
      <w:r w:rsidR="00082B3E" w:rsidRPr="00082B3E">
        <w:rPr>
          <w:iCs/>
        </w:rPr>
        <w:t xml:space="preserve"> </w:t>
      </w:r>
      <w:r w:rsidR="009B4DB9">
        <w:rPr>
          <w:iCs/>
        </w:rPr>
        <w:t>$</w:t>
      </w:r>
      <w:r w:rsidR="0015085A" w:rsidRPr="00D94CF5">
        <w:rPr>
          <w:iCs/>
          <w:color w:val="000000"/>
          <w:w w:val="15"/>
          <w:shd w:val="solid" w:color="000000" w:fill="000000"/>
          <w:fitText w:val="-20" w:id="-1032131319"/>
          <w14:textFill>
            <w14:solidFill>
              <w14:srgbClr w14:val="000000">
                <w14:alpha w14:val="100000"/>
              </w14:srgbClr>
            </w14:solidFill>
          </w14:textFill>
        </w:rPr>
        <w:t xml:space="preserve">|  </w:t>
      </w:r>
      <w:r w:rsidR="0015085A" w:rsidRPr="00D94CF5">
        <w:rPr>
          <w:iCs/>
          <w:color w:val="000000"/>
          <w:spacing w:val="-69"/>
          <w:w w:val="15"/>
          <w:shd w:val="solid" w:color="000000" w:fill="000000"/>
          <w:fitText w:val="-20" w:id="-1032131319"/>
          <w14:textFill>
            <w14:solidFill>
              <w14:srgbClr w14:val="000000">
                <w14:alpha w14:val="100000"/>
              </w14:srgbClr>
            </w14:solidFill>
          </w14:textFill>
        </w:rPr>
        <w:t>|</w:t>
      </w:r>
      <w:r w:rsidR="00082B3E" w:rsidRPr="00082B3E">
        <w:rPr>
          <w:iCs/>
        </w:rPr>
        <w:t xml:space="preserve"> for initiating patients (3 packs of 10 ampoules, assuming 2 ampoules are wasted) and </w:t>
      </w:r>
      <w:r w:rsidR="009B4DB9">
        <w:rPr>
          <w:iCs/>
        </w:rPr>
        <w:t>$</w:t>
      </w:r>
      <w:r w:rsidR="0015085A" w:rsidRPr="00D94CF5">
        <w:rPr>
          <w:iCs/>
          <w:color w:val="000000"/>
          <w:w w:val="15"/>
          <w:shd w:val="solid" w:color="000000" w:fill="000000"/>
          <w:fitText w:val="-20" w:id="-1032131318"/>
          <w14:textFill>
            <w14:solidFill>
              <w14:srgbClr w14:val="000000">
                <w14:alpha w14:val="100000"/>
              </w14:srgbClr>
            </w14:solidFill>
          </w14:textFill>
        </w:rPr>
        <w:t xml:space="preserve">|  </w:t>
      </w:r>
      <w:r w:rsidR="0015085A" w:rsidRPr="00D94CF5">
        <w:rPr>
          <w:iCs/>
          <w:color w:val="000000"/>
          <w:spacing w:val="-69"/>
          <w:w w:val="15"/>
          <w:shd w:val="solid" w:color="000000" w:fill="000000"/>
          <w:fitText w:val="-20" w:id="-1032131318"/>
          <w14:textFill>
            <w14:solidFill>
              <w14:srgbClr w14:val="000000">
                <w14:alpha w14:val="100000"/>
              </w14:srgbClr>
            </w14:solidFill>
          </w14:textFill>
        </w:rPr>
        <w:t>|</w:t>
      </w:r>
      <w:r w:rsidR="00082B3E" w:rsidRPr="00082B3E">
        <w:rPr>
          <w:iCs/>
        </w:rPr>
        <w:t xml:space="preserve"> for continuing patients (2 packs of 10 ampoules</w:t>
      </w:r>
      <w:r w:rsidR="00082B3E">
        <w:rPr>
          <w:iCs/>
        </w:rPr>
        <w:t>).</w:t>
      </w:r>
    </w:p>
    <w:p w14:paraId="64B9767E" w14:textId="439D3758" w:rsidR="00DF6726" w:rsidRPr="0049396B" w:rsidRDefault="00DF6726" w:rsidP="00DF6726">
      <w:pPr>
        <w:pStyle w:val="3-BodyText"/>
        <w:rPr>
          <w:iCs/>
        </w:rPr>
      </w:pPr>
      <w:r w:rsidRPr="0049396B">
        <w:rPr>
          <w:iCs/>
        </w:rPr>
        <w:t>The financial analysis differed from the economic analysis in several ways</w:t>
      </w:r>
      <w:r w:rsidR="00A60A7B">
        <w:rPr>
          <w:iCs/>
        </w:rPr>
        <w:t xml:space="preserve">. </w:t>
      </w:r>
      <w:r w:rsidRPr="0049396B">
        <w:rPr>
          <w:iCs/>
        </w:rPr>
        <w:t xml:space="preserve">The most significant difference was that the financial analysis assumed a treatment cycle to be 1 month and the </w:t>
      </w:r>
      <w:r w:rsidR="00341CFB">
        <w:rPr>
          <w:iCs/>
        </w:rPr>
        <w:t xml:space="preserve">economic </w:t>
      </w:r>
      <w:r w:rsidRPr="0049396B">
        <w:rPr>
          <w:iCs/>
        </w:rPr>
        <w:t xml:space="preserve">model assumed a treatment cycle to be 28 days. If treatment cycles were corrected to 28 days in the financial estimates the net cost over first 6 years of listing increased 7.8% (see </w:t>
      </w:r>
      <w:r w:rsidRPr="0049396B">
        <w:rPr>
          <w:iCs/>
        </w:rPr>
        <w:fldChar w:fldCharType="begin" w:fldLock="1"/>
      </w:r>
      <w:r w:rsidRPr="0049396B">
        <w:rPr>
          <w:iCs/>
        </w:rPr>
        <w:instrText xml:space="preserve"> REF _Ref144397370  \* MERGEFORMAT </w:instrText>
      </w:r>
      <w:r w:rsidRPr="0049396B">
        <w:rPr>
          <w:iCs/>
        </w:rPr>
        <w:fldChar w:fldCharType="separate"/>
      </w:r>
      <w:r w:rsidRPr="0049396B">
        <w:rPr>
          <w:rFonts w:eastAsiaTheme="majorEastAsia"/>
          <w:iCs/>
        </w:rPr>
        <w:t>Table 15</w:t>
      </w:r>
      <w:r w:rsidRPr="0049396B">
        <w:rPr>
          <w:iCs/>
        </w:rPr>
        <w:fldChar w:fldCharType="end"/>
      </w:r>
      <w:r w:rsidRPr="0049396B">
        <w:rPr>
          <w:iCs/>
        </w:rPr>
        <w:t>).</w:t>
      </w:r>
    </w:p>
    <w:p w14:paraId="3A03AD78" w14:textId="77777777" w:rsidR="00DF6726" w:rsidRPr="0049396B" w:rsidRDefault="00DF6726" w:rsidP="00DF6726">
      <w:pPr>
        <w:pStyle w:val="TableFigureHeading"/>
        <w:rPr>
          <w:rStyle w:val="CommentReference"/>
          <w:b/>
          <w:szCs w:val="24"/>
        </w:rPr>
      </w:pPr>
      <w:bookmarkStart w:id="84" w:name="_Ref104805262"/>
      <w:r w:rsidRPr="0049396B">
        <w:t xml:space="preserve">Table </w:t>
      </w:r>
      <w:r w:rsidR="001C0AB9">
        <w:fldChar w:fldCharType="begin" w:fldLock="1"/>
      </w:r>
      <w:r w:rsidR="001C0AB9">
        <w:instrText xml:space="preserve"> SEQ Table \* ARABIC </w:instrText>
      </w:r>
      <w:r w:rsidR="001C0AB9">
        <w:fldChar w:fldCharType="separate"/>
      </w:r>
      <w:r w:rsidRPr="0049396B">
        <w:t>13</w:t>
      </w:r>
      <w:r w:rsidR="001C0AB9">
        <w:fldChar w:fldCharType="end"/>
      </w:r>
      <w:bookmarkEnd w:id="84"/>
      <w:r w:rsidRPr="0049396B">
        <w:t>:</w:t>
      </w:r>
      <w:r w:rsidRPr="0049396B">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8"/>
        <w:gridCol w:w="992"/>
        <w:gridCol w:w="2410"/>
        <w:gridCol w:w="2202"/>
        <w:gridCol w:w="2425"/>
      </w:tblGrid>
      <w:tr w:rsidR="001A58A0" w:rsidRPr="0049396B" w14:paraId="6F11B98E" w14:textId="36F51830" w:rsidTr="00817E9E">
        <w:trPr>
          <w:cantSplit/>
          <w:tblHeader/>
        </w:trPr>
        <w:tc>
          <w:tcPr>
            <w:tcW w:w="988" w:type="dxa"/>
            <w:vAlign w:val="center"/>
          </w:tcPr>
          <w:p w14:paraId="3A22AB70" w14:textId="77777777" w:rsidR="001A58A0" w:rsidRPr="0049396B" w:rsidRDefault="001A58A0" w:rsidP="00020E51">
            <w:pPr>
              <w:pStyle w:val="In-tableHeading"/>
              <w:rPr>
                <w:lang w:val="en-AU"/>
              </w:rPr>
            </w:pPr>
            <w:r w:rsidRPr="0049396B">
              <w:rPr>
                <w:lang w:val="en-AU"/>
              </w:rPr>
              <w:t>Data</w:t>
            </w:r>
          </w:p>
        </w:tc>
        <w:tc>
          <w:tcPr>
            <w:tcW w:w="992" w:type="dxa"/>
            <w:vAlign w:val="center"/>
          </w:tcPr>
          <w:p w14:paraId="5F17AF2B" w14:textId="77777777" w:rsidR="001A58A0" w:rsidRPr="0049396B" w:rsidRDefault="001A58A0" w:rsidP="00020E51">
            <w:pPr>
              <w:pStyle w:val="In-tableHeading"/>
              <w:rPr>
                <w:lang w:val="en-AU"/>
              </w:rPr>
            </w:pPr>
            <w:r w:rsidRPr="0049396B">
              <w:rPr>
                <w:lang w:val="en-AU"/>
              </w:rPr>
              <w:t>Value</w:t>
            </w:r>
          </w:p>
        </w:tc>
        <w:tc>
          <w:tcPr>
            <w:tcW w:w="2410" w:type="dxa"/>
            <w:vAlign w:val="center"/>
          </w:tcPr>
          <w:p w14:paraId="2AA7E967" w14:textId="77777777" w:rsidR="001A58A0" w:rsidRPr="0049396B" w:rsidRDefault="001A58A0" w:rsidP="00020E51">
            <w:pPr>
              <w:pStyle w:val="In-tableHeading"/>
              <w:rPr>
                <w:lang w:val="en-AU"/>
              </w:rPr>
            </w:pPr>
            <w:r w:rsidRPr="0049396B">
              <w:rPr>
                <w:lang w:val="en-AU"/>
              </w:rPr>
              <w:t>Source</w:t>
            </w:r>
          </w:p>
        </w:tc>
        <w:tc>
          <w:tcPr>
            <w:tcW w:w="2202" w:type="dxa"/>
            <w:vAlign w:val="center"/>
          </w:tcPr>
          <w:p w14:paraId="06B1D3A9" w14:textId="77777777" w:rsidR="001A58A0" w:rsidRPr="0049396B" w:rsidRDefault="001A58A0" w:rsidP="00020E51">
            <w:pPr>
              <w:pStyle w:val="In-tableHeading"/>
              <w:rPr>
                <w:lang w:val="en-AU"/>
              </w:rPr>
            </w:pPr>
            <w:r w:rsidRPr="0049396B">
              <w:rPr>
                <w:lang w:val="en-AU"/>
              </w:rPr>
              <w:t>Comment</w:t>
            </w:r>
          </w:p>
        </w:tc>
        <w:tc>
          <w:tcPr>
            <w:tcW w:w="2425" w:type="dxa"/>
          </w:tcPr>
          <w:p w14:paraId="73ADB124" w14:textId="6767D2B0" w:rsidR="001A58A0" w:rsidRPr="0049396B" w:rsidRDefault="001A58A0" w:rsidP="00020E51">
            <w:pPr>
              <w:pStyle w:val="In-tableHeading"/>
              <w:rPr>
                <w:lang w:val="en-AU"/>
              </w:rPr>
            </w:pPr>
            <w:r w:rsidRPr="0049396B">
              <w:rPr>
                <w:lang w:val="en-AU"/>
              </w:rPr>
              <w:t>DUSC comments</w:t>
            </w:r>
          </w:p>
        </w:tc>
      </w:tr>
      <w:tr w:rsidR="001A58A0" w:rsidRPr="0049396B" w14:paraId="5F5D3B0E" w14:textId="6971ABC2" w:rsidTr="00771726">
        <w:trPr>
          <w:cantSplit/>
        </w:trPr>
        <w:tc>
          <w:tcPr>
            <w:tcW w:w="6592" w:type="dxa"/>
            <w:gridSpan w:val="4"/>
            <w:vAlign w:val="center"/>
          </w:tcPr>
          <w:p w14:paraId="16088183" w14:textId="77777777" w:rsidR="001A58A0" w:rsidRPr="0049396B" w:rsidRDefault="001A58A0" w:rsidP="00020E51">
            <w:pPr>
              <w:pStyle w:val="In-tableHeading"/>
              <w:rPr>
                <w:lang w:val="en-AU"/>
              </w:rPr>
            </w:pPr>
            <w:r w:rsidRPr="0049396B">
              <w:rPr>
                <w:lang w:val="en-AU"/>
              </w:rPr>
              <w:t>Eligible population</w:t>
            </w:r>
          </w:p>
        </w:tc>
        <w:tc>
          <w:tcPr>
            <w:tcW w:w="2425" w:type="dxa"/>
          </w:tcPr>
          <w:p w14:paraId="48D73114" w14:textId="77777777" w:rsidR="001A58A0" w:rsidRPr="0049396B" w:rsidRDefault="001A58A0" w:rsidP="00020E51">
            <w:pPr>
              <w:pStyle w:val="In-tableHeading"/>
              <w:rPr>
                <w:lang w:val="en-AU"/>
              </w:rPr>
            </w:pPr>
          </w:p>
        </w:tc>
      </w:tr>
      <w:tr w:rsidR="001A58A0" w:rsidRPr="0049396B" w14:paraId="2B3F1ED8" w14:textId="0282B2EC" w:rsidTr="00817E9E">
        <w:trPr>
          <w:cantSplit/>
        </w:trPr>
        <w:tc>
          <w:tcPr>
            <w:tcW w:w="988" w:type="dxa"/>
            <w:vAlign w:val="center"/>
          </w:tcPr>
          <w:p w14:paraId="16AF7855" w14:textId="77777777" w:rsidR="001A58A0" w:rsidRPr="0049396B" w:rsidRDefault="001A58A0" w:rsidP="00020E51">
            <w:pPr>
              <w:pStyle w:val="TableText0"/>
              <w:keepNext w:val="0"/>
            </w:pPr>
            <w:r w:rsidRPr="0049396B">
              <w:t xml:space="preserve">Eligible incident patients </w:t>
            </w:r>
          </w:p>
        </w:tc>
        <w:tc>
          <w:tcPr>
            <w:tcW w:w="992" w:type="dxa"/>
            <w:vAlign w:val="center"/>
          </w:tcPr>
          <w:p w14:paraId="64A80C19" w14:textId="73DE64B9" w:rsidR="001A58A0" w:rsidRPr="0049396B" w:rsidRDefault="001A58A0" w:rsidP="00020E51">
            <w:pPr>
              <w:pStyle w:val="TableText0"/>
            </w:pPr>
            <w:r w:rsidRPr="0049396B">
              <w:t xml:space="preserve">Yr 1: </w:t>
            </w:r>
            <w:r w:rsidR="0015085A" w:rsidRPr="00D94CF5">
              <w:rPr>
                <w:color w:val="000000"/>
                <w:spacing w:val="53"/>
                <w:shd w:val="solid" w:color="000000" w:fill="000000"/>
                <w:fitText w:val="330" w:id="-1032131317"/>
                <w14:textFill>
                  <w14:solidFill>
                    <w14:srgbClr w14:val="000000">
                      <w14:alpha w14:val="100000"/>
                    </w14:srgbClr>
                  </w14:solidFill>
                </w14:textFill>
              </w:rPr>
              <w:t>|||</w:t>
            </w:r>
            <w:r w:rsidR="0015085A" w:rsidRPr="00D94CF5">
              <w:rPr>
                <w:color w:val="000000"/>
                <w:spacing w:val="1"/>
                <w:shd w:val="solid" w:color="000000" w:fill="000000"/>
                <w:fitText w:val="330" w:id="-1032131317"/>
                <w14:textFill>
                  <w14:solidFill>
                    <w14:srgbClr w14:val="000000">
                      <w14:alpha w14:val="100000"/>
                    </w14:srgbClr>
                  </w14:solidFill>
                </w14:textFill>
              </w:rPr>
              <w:t>|</w:t>
            </w:r>
            <w:r w:rsidR="005A547B" w:rsidRPr="005A547B">
              <w:rPr>
                <w:vertAlign w:val="superscript"/>
              </w:rPr>
              <w:t>1</w:t>
            </w:r>
          </w:p>
          <w:p w14:paraId="1DE51644" w14:textId="7DFFC7CC" w:rsidR="001A58A0" w:rsidRPr="0049396B" w:rsidRDefault="001A58A0" w:rsidP="00020E51">
            <w:pPr>
              <w:pStyle w:val="TableText0"/>
            </w:pPr>
            <w:r w:rsidRPr="0049396B">
              <w:t xml:space="preserve">Yr 2: </w:t>
            </w:r>
            <w:r w:rsidR="0015085A" w:rsidRPr="00D94CF5">
              <w:rPr>
                <w:color w:val="000000"/>
                <w:spacing w:val="53"/>
                <w:shd w:val="solid" w:color="000000" w:fill="000000"/>
                <w:fitText w:val="330" w:id="-1032131316"/>
                <w14:textFill>
                  <w14:solidFill>
                    <w14:srgbClr w14:val="000000">
                      <w14:alpha w14:val="100000"/>
                    </w14:srgbClr>
                  </w14:solidFill>
                </w14:textFill>
              </w:rPr>
              <w:t>|||</w:t>
            </w:r>
            <w:r w:rsidR="0015085A" w:rsidRPr="00D94CF5">
              <w:rPr>
                <w:color w:val="000000"/>
                <w:spacing w:val="1"/>
                <w:shd w:val="solid" w:color="000000" w:fill="000000"/>
                <w:fitText w:val="330" w:id="-1032131316"/>
                <w14:textFill>
                  <w14:solidFill>
                    <w14:srgbClr w14:val="000000">
                      <w14:alpha w14:val="100000"/>
                    </w14:srgbClr>
                  </w14:solidFill>
                </w14:textFill>
              </w:rPr>
              <w:t>|</w:t>
            </w:r>
            <w:r w:rsidR="005A547B">
              <w:rPr>
                <w:vertAlign w:val="superscript"/>
              </w:rPr>
              <w:t>2</w:t>
            </w:r>
          </w:p>
          <w:p w14:paraId="7893F9DA" w14:textId="73F19EF7" w:rsidR="001A58A0" w:rsidRPr="0049396B" w:rsidRDefault="001A58A0" w:rsidP="00020E51">
            <w:pPr>
              <w:pStyle w:val="TableText0"/>
            </w:pPr>
            <w:r w:rsidRPr="0049396B">
              <w:t xml:space="preserve">Yr 3: </w:t>
            </w:r>
            <w:r w:rsidR="0015085A" w:rsidRPr="00D94CF5">
              <w:rPr>
                <w:color w:val="000000"/>
                <w:spacing w:val="53"/>
                <w:shd w:val="solid" w:color="000000" w:fill="000000"/>
                <w:fitText w:val="330" w:id="-1032131315"/>
                <w14:textFill>
                  <w14:solidFill>
                    <w14:srgbClr w14:val="000000">
                      <w14:alpha w14:val="100000"/>
                    </w14:srgbClr>
                  </w14:solidFill>
                </w14:textFill>
              </w:rPr>
              <w:t>|||</w:t>
            </w:r>
            <w:r w:rsidR="0015085A" w:rsidRPr="00D94CF5">
              <w:rPr>
                <w:color w:val="000000"/>
                <w:spacing w:val="1"/>
                <w:shd w:val="solid" w:color="000000" w:fill="000000"/>
                <w:fitText w:val="330" w:id="-1032131315"/>
                <w14:textFill>
                  <w14:solidFill>
                    <w14:srgbClr w14:val="000000">
                      <w14:alpha w14:val="100000"/>
                    </w14:srgbClr>
                  </w14:solidFill>
                </w14:textFill>
              </w:rPr>
              <w:t>|</w:t>
            </w:r>
            <w:r w:rsidR="005A547B">
              <w:rPr>
                <w:vertAlign w:val="superscript"/>
              </w:rPr>
              <w:t>2</w:t>
            </w:r>
          </w:p>
          <w:p w14:paraId="5FE52784" w14:textId="6B281668" w:rsidR="001A58A0" w:rsidRPr="0049396B" w:rsidRDefault="001A58A0" w:rsidP="00020E51">
            <w:pPr>
              <w:pStyle w:val="TableText0"/>
            </w:pPr>
            <w:r w:rsidRPr="0049396B">
              <w:t xml:space="preserve">Yr 4: </w:t>
            </w:r>
            <w:r w:rsidR="0015085A" w:rsidRPr="00D94CF5">
              <w:rPr>
                <w:color w:val="000000"/>
                <w:spacing w:val="53"/>
                <w:shd w:val="solid" w:color="000000" w:fill="000000"/>
                <w:fitText w:val="330" w:id="-1032131314"/>
                <w14:textFill>
                  <w14:solidFill>
                    <w14:srgbClr w14:val="000000">
                      <w14:alpha w14:val="100000"/>
                    </w14:srgbClr>
                  </w14:solidFill>
                </w14:textFill>
              </w:rPr>
              <w:t>|||</w:t>
            </w:r>
            <w:r w:rsidR="0015085A" w:rsidRPr="00D94CF5">
              <w:rPr>
                <w:color w:val="000000"/>
                <w:spacing w:val="1"/>
                <w:shd w:val="solid" w:color="000000" w:fill="000000"/>
                <w:fitText w:val="330" w:id="-1032131314"/>
                <w14:textFill>
                  <w14:solidFill>
                    <w14:srgbClr w14:val="000000">
                      <w14:alpha w14:val="100000"/>
                    </w14:srgbClr>
                  </w14:solidFill>
                </w14:textFill>
              </w:rPr>
              <w:t>|</w:t>
            </w:r>
            <w:r w:rsidR="005A547B">
              <w:rPr>
                <w:vertAlign w:val="superscript"/>
              </w:rPr>
              <w:t>2</w:t>
            </w:r>
          </w:p>
          <w:p w14:paraId="7529CE96" w14:textId="7782EC30" w:rsidR="001A58A0" w:rsidRPr="0049396B" w:rsidRDefault="001A58A0" w:rsidP="00020E51">
            <w:pPr>
              <w:pStyle w:val="TableText0"/>
            </w:pPr>
            <w:r w:rsidRPr="0049396B">
              <w:t xml:space="preserve">Yr 5: </w:t>
            </w:r>
            <w:r w:rsidR="0015085A" w:rsidRPr="00D94CF5">
              <w:rPr>
                <w:color w:val="000000"/>
                <w:spacing w:val="53"/>
                <w:shd w:val="solid" w:color="000000" w:fill="000000"/>
                <w:fitText w:val="330" w:id="-1032131313"/>
                <w14:textFill>
                  <w14:solidFill>
                    <w14:srgbClr w14:val="000000">
                      <w14:alpha w14:val="100000"/>
                    </w14:srgbClr>
                  </w14:solidFill>
                </w14:textFill>
              </w:rPr>
              <w:t>|||</w:t>
            </w:r>
            <w:r w:rsidR="0015085A" w:rsidRPr="00D94CF5">
              <w:rPr>
                <w:color w:val="000000"/>
                <w:spacing w:val="1"/>
                <w:shd w:val="solid" w:color="000000" w:fill="000000"/>
                <w:fitText w:val="330" w:id="-1032131313"/>
                <w14:textFill>
                  <w14:solidFill>
                    <w14:srgbClr w14:val="000000">
                      <w14:alpha w14:val="100000"/>
                    </w14:srgbClr>
                  </w14:solidFill>
                </w14:textFill>
              </w:rPr>
              <w:t>|</w:t>
            </w:r>
            <w:r w:rsidR="005A547B">
              <w:rPr>
                <w:vertAlign w:val="superscript"/>
              </w:rPr>
              <w:t>2</w:t>
            </w:r>
          </w:p>
          <w:p w14:paraId="5FE75650" w14:textId="509928D4" w:rsidR="001A58A0" w:rsidRPr="0049396B" w:rsidRDefault="001A58A0" w:rsidP="00020E51">
            <w:pPr>
              <w:pStyle w:val="TableText0"/>
            </w:pPr>
            <w:r w:rsidRPr="0049396B">
              <w:t xml:space="preserve">Yr 6: </w:t>
            </w:r>
            <w:r w:rsidR="0015085A" w:rsidRPr="00D94CF5">
              <w:rPr>
                <w:color w:val="000000"/>
                <w:spacing w:val="53"/>
                <w:shd w:val="solid" w:color="000000" w:fill="000000"/>
                <w:fitText w:val="330" w:id="-1032131312"/>
                <w14:textFill>
                  <w14:solidFill>
                    <w14:srgbClr w14:val="000000">
                      <w14:alpha w14:val="100000"/>
                    </w14:srgbClr>
                  </w14:solidFill>
                </w14:textFill>
              </w:rPr>
              <w:t>|||</w:t>
            </w:r>
            <w:r w:rsidR="0015085A" w:rsidRPr="00D94CF5">
              <w:rPr>
                <w:color w:val="000000"/>
                <w:spacing w:val="1"/>
                <w:shd w:val="solid" w:color="000000" w:fill="000000"/>
                <w:fitText w:val="330" w:id="-1032131312"/>
                <w14:textFill>
                  <w14:solidFill>
                    <w14:srgbClr w14:val="000000">
                      <w14:alpha w14:val="100000"/>
                    </w14:srgbClr>
                  </w14:solidFill>
                </w14:textFill>
              </w:rPr>
              <w:t>|</w:t>
            </w:r>
            <w:r w:rsidR="005A547B">
              <w:rPr>
                <w:vertAlign w:val="superscript"/>
              </w:rPr>
              <w:t>2</w:t>
            </w:r>
          </w:p>
        </w:tc>
        <w:tc>
          <w:tcPr>
            <w:tcW w:w="2410" w:type="dxa"/>
            <w:vAlign w:val="center"/>
          </w:tcPr>
          <w:p w14:paraId="48E724C9" w14:textId="77777777" w:rsidR="001A58A0" w:rsidRPr="0049396B" w:rsidRDefault="001A58A0" w:rsidP="00020E51">
            <w:pPr>
              <w:pStyle w:val="TableText0"/>
            </w:pPr>
            <w:r w:rsidRPr="0049396B">
              <w:t>ALS incidence 2.9 per 100,000 population based on Vucic 2020, applied to ABS population data for 2024-2029.</w:t>
            </w:r>
          </w:p>
          <w:p w14:paraId="667B182C" w14:textId="77777777" w:rsidR="001A58A0" w:rsidRPr="0049396B" w:rsidRDefault="001A58A0" w:rsidP="00020E51">
            <w:pPr>
              <w:pStyle w:val="TableText0"/>
            </w:pPr>
          </w:p>
          <w:p w14:paraId="1B5B3211" w14:textId="77777777" w:rsidR="001A58A0" w:rsidRPr="0049396B" w:rsidRDefault="001A58A0" w:rsidP="00020E51">
            <w:pPr>
              <w:pStyle w:val="TableText0"/>
            </w:pPr>
            <w:r w:rsidRPr="0049396B">
              <w:t>80% assumed to meet PBS criteria for breathing capacity based on expert opinion.</w:t>
            </w:r>
          </w:p>
        </w:tc>
        <w:tc>
          <w:tcPr>
            <w:tcW w:w="2202" w:type="dxa"/>
            <w:vAlign w:val="center"/>
          </w:tcPr>
          <w:p w14:paraId="3FD3610E" w14:textId="489083FF" w:rsidR="001A58A0" w:rsidRPr="0049396B" w:rsidRDefault="001A58A0" w:rsidP="00020E51">
            <w:pPr>
              <w:pStyle w:val="TableText0"/>
            </w:pPr>
            <w:r w:rsidRPr="0049396B">
              <w:t xml:space="preserve">The incidence rate was derived from AIHW data from 2007 to </w:t>
            </w:r>
            <w:r w:rsidR="00341CFB" w:rsidRPr="0049396B">
              <w:t>2016 and</w:t>
            </w:r>
            <w:r w:rsidRPr="0049396B">
              <w:t xml:space="preserve"> may not reflect a contemporary estimate based on the more recent Gold Coast criteria. The submission presented a sensitivity analysis assuming an incidence rate of 3.4 per 100,000.</w:t>
            </w:r>
          </w:p>
        </w:tc>
        <w:tc>
          <w:tcPr>
            <w:tcW w:w="2425" w:type="dxa"/>
          </w:tcPr>
          <w:p w14:paraId="0A02F41F" w14:textId="7B0C1327" w:rsidR="001A58A0" w:rsidRPr="0049396B" w:rsidRDefault="001A58A0" w:rsidP="001A58A0">
            <w:pPr>
              <w:pStyle w:val="TableText0"/>
              <w:ind w:right="118"/>
              <w:rPr>
                <w:iCs/>
                <w:szCs w:val="20"/>
              </w:rPr>
            </w:pPr>
            <w:r w:rsidRPr="0049396B">
              <w:rPr>
                <w:iCs/>
                <w:szCs w:val="20"/>
              </w:rPr>
              <w:t xml:space="preserve">DUSC agreed with the </w:t>
            </w:r>
            <w:r w:rsidR="003D06F9">
              <w:rPr>
                <w:iCs/>
                <w:szCs w:val="20"/>
              </w:rPr>
              <w:t>evaluation</w:t>
            </w:r>
            <w:r w:rsidRPr="0049396B">
              <w:rPr>
                <w:iCs/>
                <w:szCs w:val="20"/>
              </w:rPr>
              <w:t xml:space="preserve"> regarding the age of the data and the broader Gold Coast criteria noting that the inciden</w:t>
            </w:r>
            <w:r w:rsidR="00817E9E" w:rsidRPr="0049396B">
              <w:rPr>
                <w:iCs/>
                <w:szCs w:val="20"/>
              </w:rPr>
              <w:t>ce</w:t>
            </w:r>
            <w:r w:rsidRPr="0049396B">
              <w:rPr>
                <w:iCs/>
                <w:szCs w:val="20"/>
              </w:rPr>
              <w:t xml:space="preserve"> rate is potentially underestimated.</w:t>
            </w:r>
          </w:p>
          <w:p w14:paraId="2E5BF1F3" w14:textId="77777777" w:rsidR="001A58A0" w:rsidRPr="0049396B" w:rsidRDefault="001A58A0" w:rsidP="001A58A0">
            <w:pPr>
              <w:pStyle w:val="TableText0"/>
              <w:ind w:right="118"/>
              <w:rPr>
                <w:iCs/>
                <w:szCs w:val="20"/>
              </w:rPr>
            </w:pPr>
          </w:p>
          <w:p w14:paraId="6B16B55D" w14:textId="4613F629" w:rsidR="001A58A0" w:rsidRPr="0049396B" w:rsidRDefault="001A58A0" w:rsidP="001A58A0">
            <w:pPr>
              <w:pStyle w:val="TableText0"/>
              <w:rPr>
                <w:iCs/>
              </w:rPr>
            </w:pPr>
            <w:r w:rsidRPr="0049396B">
              <w:rPr>
                <w:iCs/>
                <w:szCs w:val="20"/>
              </w:rPr>
              <w:t xml:space="preserve">DUSC considered that the incident patients </w:t>
            </w:r>
            <w:r w:rsidR="003D06F9">
              <w:rPr>
                <w:iCs/>
                <w:szCs w:val="20"/>
              </w:rPr>
              <w:t>we</w:t>
            </w:r>
            <w:r w:rsidRPr="0049396B">
              <w:rPr>
                <w:iCs/>
                <w:szCs w:val="20"/>
              </w:rPr>
              <w:t>re underestimated across the 6 years.</w:t>
            </w:r>
          </w:p>
        </w:tc>
      </w:tr>
      <w:tr w:rsidR="001A58A0" w:rsidRPr="0049396B" w14:paraId="1AE03693" w14:textId="6138A261" w:rsidTr="00817E9E">
        <w:trPr>
          <w:cantSplit/>
        </w:trPr>
        <w:tc>
          <w:tcPr>
            <w:tcW w:w="988" w:type="dxa"/>
            <w:vAlign w:val="center"/>
          </w:tcPr>
          <w:p w14:paraId="2F8F0642" w14:textId="77777777" w:rsidR="001A58A0" w:rsidRPr="0049396B" w:rsidRDefault="001A58A0" w:rsidP="00020E51">
            <w:pPr>
              <w:pStyle w:val="TableText0"/>
              <w:keepNext w:val="0"/>
            </w:pPr>
            <w:r w:rsidRPr="0049396B">
              <w:lastRenderedPageBreak/>
              <w:t>Eligible prevalent patients</w:t>
            </w:r>
          </w:p>
        </w:tc>
        <w:tc>
          <w:tcPr>
            <w:tcW w:w="992" w:type="dxa"/>
            <w:vAlign w:val="center"/>
          </w:tcPr>
          <w:p w14:paraId="1CEFD7E3" w14:textId="639CA986" w:rsidR="001A58A0" w:rsidRPr="0049396B" w:rsidRDefault="001A58A0" w:rsidP="00020E51">
            <w:pPr>
              <w:pStyle w:val="TableText0"/>
            </w:pPr>
            <w:r w:rsidRPr="0049396B">
              <w:t xml:space="preserve">Yr 1: </w:t>
            </w:r>
            <w:r w:rsidR="0015085A" w:rsidRPr="00D94CF5">
              <w:rPr>
                <w:color w:val="000000"/>
                <w:spacing w:val="53"/>
                <w:shd w:val="solid" w:color="000000" w:fill="000000"/>
                <w:fitText w:val="330" w:id="-1032131328"/>
                <w14:textFill>
                  <w14:solidFill>
                    <w14:srgbClr w14:val="000000">
                      <w14:alpha w14:val="100000"/>
                    </w14:srgbClr>
                  </w14:solidFill>
                </w14:textFill>
              </w:rPr>
              <w:t>|||</w:t>
            </w:r>
            <w:r w:rsidR="0015085A" w:rsidRPr="00D94CF5">
              <w:rPr>
                <w:color w:val="000000"/>
                <w:spacing w:val="1"/>
                <w:shd w:val="solid" w:color="000000" w:fill="000000"/>
                <w:fitText w:val="330" w:id="-1032131328"/>
                <w14:textFill>
                  <w14:solidFill>
                    <w14:srgbClr w14:val="000000">
                      <w14:alpha w14:val="100000"/>
                    </w14:srgbClr>
                  </w14:solidFill>
                </w14:textFill>
              </w:rPr>
              <w:t>|</w:t>
            </w:r>
            <w:r w:rsidR="005A547B">
              <w:rPr>
                <w:vertAlign w:val="superscript"/>
              </w:rPr>
              <w:t>2</w:t>
            </w:r>
          </w:p>
          <w:p w14:paraId="3839E500" w14:textId="471A9E96" w:rsidR="001A58A0" w:rsidRPr="0049396B" w:rsidRDefault="001A58A0" w:rsidP="00020E51">
            <w:pPr>
              <w:pStyle w:val="TableText0"/>
            </w:pPr>
            <w:r w:rsidRPr="0049396B">
              <w:t xml:space="preserve">Yrs 2-6: </w:t>
            </w:r>
            <w:r w:rsidR="0015085A" w:rsidRPr="00D94CF5">
              <w:rPr>
                <w:color w:val="000000"/>
                <w:spacing w:val="53"/>
                <w:shd w:val="solid" w:color="000000" w:fill="000000"/>
                <w:fitText w:val="330" w:id="-1032131327"/>
                <w14:textFill>
                  <w14:solidFill>
                    <w14:srgbClr w14:val="000000">
                      <w14:alpha w14:val="100000"/>
                    </w14:srgbClr>
                  </w14:solidFill>
                </w14:textFill>
              </w:rPr>
              <w:t>|||</w:t>
            </w:r>
            <w:r w:rsidR="0015085A" w:rsidRPr="00D94CF5">
              <w:rPr>
                <w:color w:val="000000"/>
                <w:spacing w:val="1"/>
                <w:shd w:val="solid" w:color="000000" w:fill="000000"/>
                <w:fitText w:val="330" w:id="-1032131327"/>
                <w14:textFill>
                  <w14:solidFill>
                    <w14:srgbClr w14:val="000000">
                      <w14:alpha w14:val="100000"/>
                    </w14:srgbClr>
                  </w14:solidFill>
                </w14:textFill>
              </w:rPr>
              <w:t>|</w:t>
            </w:r>
            <w:r w:rsidR="005A547B" w:rsidRPr="005A547B">
              <w:rPr>
                <w:vertAlign w:val="superscript"/>
              </w:rPr>
              <w:t>1</w:t>
            </w:r>
          </w:p>
        </w:tc>
        <w:tc>
          <w:tcPr>
            <w:tcW w:w="2410" w:type="dxa"/>
            <w:vAlign w:val="center"/>
          </w:tcPr>
          <w:p w14:paraId="2012FA0F" w14:textId="77777777" w:rsidR="001A58A0" w:rsidRPr="0049396B" w:rsidRDefault="001A58A0" w:rsidP="00020E51">
            <w:pPr>
              <w:pStyle w:val="TableText0"/>
            </w:pPr>
            <w:r w:rsidRPr="0049396B">
              <w:t xml:space="preserve">ALS prevalence 10.8 per 100,000 population, calculated by multiplying number of MND cases reported in Park 2022 (2,806 in 2019) by proportion ALS in </w:t>
            </w:r>
            <w:proofErr w:type="spellStart"/>
            <w:r w:rsidRPr="0049396B">
              <w:t>Talman</w:t>
            </w:r>
            <w:proofErr w:type="spellEnd"/>
            <w:r w:rsidRPr="0049396B">
              <w:t xml:space="preserve"> 2016 (76%) and dividing this by the 100,000 adult population of Australia in 2019.</w:t>
            </w:r>
          </w:p>
          <w:p w14:paraId="130FC8C0" w14:textId="77777777" w:rsidR="001A58A0" w:rsidRPr="0049396B" w:rsidRDefault="001A58A0" w:rsidP="00020E51">
            <w:pPr>
              <w:pStyle w:val="TableText0"/>
            </w:pPr>
          </w:p>
          <w:p w14:paraId="5F95232C" w14:textId="77777777" w:rsidR="001A58A0" w:rsidRPr="0049396B" w:rsidRDefault="001A58A0" w:rsidP="00020E51">
            <w:pPr>
              <w:pStyle w:val="TableText0"/>
            </w:pPr>
            <w:r w:rsidRPr="0049396B">
              <w:t>67% assumed to not be diagnosed or ineligible for edaravone.</w:t>
            </w:r>
          </w:p>
        </w:tc>
        <w:tc>
          <w:tcPr>
            <w:tcW w:w="2202" w:type="dxa"/>
            <w:vAlign w:val="center"/>
          </w:tcPr>
          <w:p w14:paraId="28B85317" w14:textId="5CE1413C" w:rsidR="00BF0E84" w:rsidRDefault="001A58A0" w:rsidP="00020E51">
            <w:pPr>
              <w:pStyle w:val="TableText0"/>
            </w:pPr>
            <w:r w:rsidRPr="0049396B">
              <w:t xml:space="preserve">The submission estimated a prevalent pool </w:t>
            </w:r>
            <w:r w:rsidRPr="006522C1">
              <w:t>of 2,309</w:t>
            </w:r>
            <w:r w:rsidRPr="0049396B">
              <w:t xml:space="preserve"> patients in Year 1, and assumed a third of prevalent patients would meet the eligibility criteria (i.e. diagnosed within the past two years). However, it may be more appropriate to estimate number of prevalent patients in Year 1 from the estimated number of incident patients in the previous two years adjusted for survival.</w:t>
            </w:r>
          </w:p>
          <w:p w14:paraId="07703D2A" w14:textId="77777777" w:rsidR="00BF0E84" w:rsidRDefault="00BF0E84" w:rsidP="00020E51">
            <w:pPr>
              <w:pStyle w:val="TableText0"/>
            </w:pPr>
          </w:p>
          <w:p w14:paraId="199A1EB8" w14:textId="29809823" w:rsidR="00BF0E84" w:rsidRDefault="00BF0E84" w:rsidP="00BF0E84">
            <w:pPr>
              <w:pStyle w:val="TableText0"/>
              <w:rPr>
                <w:iCs/>
                <w:szCs w:val="20"/>
              </w:rPr>
            </w:pPr>
            <w:r>
              <w:t>PBS data provided by the DUSC Secretariat</w:t>
            </w:r>
            <w:r w:rsidRPr="0049396B">
              <w:t xml:space="preserve"> showed a stable market with approximately 1,200 to 1,400 patients receiving </w:t>
            </w:r>
            <w:proofErr w:type="spellStart"/>
            <w:r w:rsidRPr="0049396B">
              <w:t>riluzole</w:t>
            </w:r>
            <w:proofErr w:type="spellEnd"/>
            <w:r w:rsidRPr="0049396B">
              <w:t xml:space="preserve"> each year from 2012-2022</w:t>
            </w:r>
            <w:r>
              <w:t xml:space="preserve"> which the evaluation considered was</w:t>
            </w:r>
            <w:r w:rsidRPr="0049396B">
              <w:t xml:space="preserve"> a more accurate estimate of eligible patients.</w:t>
            </w:r>
          </w:p>
          <w:p w14:paraId="77733C60" w14:textId="4E2BF559" w:rsidR="001A58A0" w:rsidRPr="0049396B" w:rsidRDefault="001A58A0" w:rsidP="00020E51">
            <w:pPr>
              <w:pStyle w:val="TableText0"/>
            </w:pPr>
            <w:r w:rsidRPr="0049396B">
              <w:t xml:space="preserve"> </w:t>
            </w:r>
          </w:p>
        </w:tc>
        <w:tc>
          <w:tcPr>
            <w:tcW w:w="2425" w:type="dxa"/>
          </w:tcPr>
          <w:p w14:paraId="688FECA6" w14:textId="317CDFCF" w:rsidR="00771726" w:rsidRPr="0049396B" w:rsidRDefault="00771726" w:rsidP="00771726">
            <w:pPr>
              <w:pStyle w:val="TableText0"/>
              <w:rPr>
                <w:iCs/>
                <w:szCs w:val="20"/>
              </w:rPr>
            </w:pPr>
            <w:r w:rsidRPr="0049396B">
              <w:rPr>
                <w:iCs/>
                <w:szCs w:val="20"/>
              </w:rPr>
              <w:t>DUSC noted that the PSCR</w:t>
            </w:r>
            <w:r w:rsidR="00F25574">
              <w:rPr>
                <w:iCs/>
                <w:szCs w:val="20"/>
              </w:rPr>
              <w:t xml:space="preserve"> </w:t>
            </w:r>
            <w:r w:rsidRPr="0049396B">
              <w:rPr>
                <w:iCs/>
                <w:szCs w:val="20"/>
              </w:rPr>
              <w:t>stated that “the low prevalent eligibility of 33% (in year 1) is because patients must have had ALS for less than 2 years, at initiation. 20% of eligible prevalent patients are expected to use edaravone in 2024 (</w:t>
            </w:r>
            <w:r w:rsidR="0015085A" w:rsidRPr="0015085A">
              <w:rPr>
                <w:iCs/>
                <w:color w:val="000000"/>
                <w:spacing w:val="53"/>
                <w:szCs w:val="20"/>
                <w:shd w:val="solid" w:color="000000" w:fill="000000"/>
                <w:fitText w:val="330" w:id="-1032131326"/>
                <w14:textFill>
                  <w14:solidFill>
                    <w14:srgbClr w14:val="000000">
                      <w14:alpha w14:val="100000"/>
                    </w14:srgbClr>
                  </w14:solidFill>
                </w14:textFill>
              </w:rPr>
              <w:t>|||</w:t>
            </w:r>
            <w:r w:rsidR="0015085A" w:rsidRPr="0015085A">
              <w:rPr>
                <w:iCs/>
                <w:color w:val="000000"/>
                <w:spacing w:val="1"/>
                <w:szCs w:val="20"/>
                <w:shd w:val="solid" w:color="000000" w:fill="000000"/>
                <w:fitText w:val="330" w:id="-1032131326"/>
                <w14:textFill>
                  <w14:solidFill>
                    <w14:srgbClr w14:val="000000">
                      <w14:alpha w14:val="100000"/>
                    </w14:srgbClr>
                  </w14:solidFill>
                </w14:textFill>
              </w:rPr>
              <w:t>|</w:t>
            </w:r>
            <w:r w:rsidR="005A547B" w:rsidRPr="005A547B">
              <w:rPr>
                <w:vertAlign w:val="superscript"/>
              </w:rPr>
              <w:t>1</w:t>
            </w:r>
            <w:r w:rsidRPr="0049396B">
              <w:rPr>
                <w:iCs/>
                <w:szCs w:val="20"/>
              </w:rPr>
              <w:t xml:space="preserve"> patients) and 30% (rising to 80% over 6 years) of eligible incident patients are expected to use edaravone”.</w:t>
            </w:r>
          </w:p>
          <w:p w14:paraId="74768C78" w14:textId="77777777" w:rsidR="00771726" w:rsidRPr="0049396B" w:rsidRDefault="00771726" w:rsidP="00771726">
            <w:pPr>
              <w:pStyle w:val="TableText0"/>
              <w:rPr>
                <w:iCs/>
                <w:szCs w:val="20"/>
              </w:rPr>
            </w:pPr>
          </w:p>
          <w:p w14:paraId="724AE003" w14:textId="46B42A37" w:rsidR="001A58A0" w:rsidRDefault="00771726" w:rsidP="00771726">
            <w:pPr>
              <w:pStyle w:val="TableText0"/>
              <w:rPr>
                <w:iCs/>
                <w:szCs w:val="20"/>
              </w:rPr>
            </w:pPr>
            <w:r w:rsidRPr="0049396B">
              <w:rPr>
                <w:iCs/>
                <w:szCs w:val="20"/>
              </w:rPr>
              <w:t xml:space="preserve">DUSC agreed with the </w:t>
            </w:r>
            <w:r w:rsidR="00BF0E84">
              <w:rPr>
                <w:iCs/>
                <w:szCs w:val="20"/>
              </w:rPr>
              <w:t>evaluation</w:t>
            </w:r>
            <w:r w:rsidRPr="0049396B">
              <w:rPr>
                <w:iCs/>
                <w:szCs w:val="20"/>
              </w:rPr>
              <w:t xml:space="preserve"> that</w:t>
            </w:r>
            <w:r w:rsidR="00BF0E84">
              <w:rPr>
                <w:iCs/>
                <w:szCs w:val="20"/>
              </w:rPr>
              <w:t xml:space="preserve"> based on the epidemiological approach</w:t>
            </w:r>
            <w:r w:rsidRPr="0049396B">
              <w:rPr>
                <w:iCs/>
                <w:szCs w:val="20"/>
              </w:rPr>
              <w:t xml:space="preserve"> it would be more appropriate to estimate the number of incident patients in the previous two years adjusted for survival as this would avoid double counting incident patients</w:t>
            </w:r>
            <w:r w:rsidR="0049396B">
              <w:rPr>
                <w:iCs/>
                <w:szCs w:val="20"/>
              </w:rPr>
              <w:t xml:space="preserve">. </w:t>
            </w:r>
          </w:p>
          <w:p w14:paraId="0E036204" w14:textId="024A7B79" w:rsidR="00BF0E84" w:rsidRDefault="00BF0E84" w:rsidP="00771726">
            <w:pPr>
              <w:pStyle w:val="TableText0"/>
              <w:rPr>
                <w:iCs/>
                <w:szCs w:val="20"/>
              </w:rPr>
            </w:pPr>
          </w:p>
          <w:p w14:paraId="54BA3BE1" w14:textId="1DBFA9C9" w:rsidR="00BF0E84" w:rsidRPr="0049396B" w:rsidRDefault="00BF0E84" w:rsidP="00771726">
            <w:pPr>
              <w:pStyle w:val="TableText0"/>
              <w:rPr>
                <w:iCs/>
              </w:rPr>
            </w:pPr>
            <w:r>
              <w:rPr>
                <w:iCs/>
                <w:szCs w:val="20"/>
              </w:rPr>
              <w:t xml:space="preserve">DUSC and the </w:t>
            </w:r>
            <w:r w:rsidRPr="0049396B">
              <w:t xml:space="preserve">PBAC noted that the </w:t>
            </w:r>
            <w:proofErr w:type="spellStart"/>
            <w:r w:rsidRPr="0049396B">
              <w:t>riluzole</w:t>
            </w:r>
            <w:proofErr w:type="spellEnd"/>
            <w:r w:rsidRPr="0049396B">
              <w:t xml:space="preserve"> patient numbers provided by the DUSC Secretariat reflect the actual number of patients treated with </w:t>
            </w:r>
            <w:proofErr w:type="spellStart"/>
            <w:r w:rsidRPr="0049396B">
              <w:t>riluzole</w:t>
            </w:r>
            <w:proofErr w:type="spellEnd"/>
            <w:r w:rsidRPr="0049396B">
              <w:t xml:space="preserve"> in Australia in each year from 2012-2022 (based on the full PBS data</w:t>
            </w:r>
            <w:r>
              <w:t>set</w:t>
            </w:r>
            <w:r w:rsidRPr="0049396B">
              <w:t>) and were therefore a more reliable source of data.</w:t>
            </w:r>
          </w:p>
        </w:tc>
      </w:tr>
      <w:tr w:rsidR="001A58A0" w:rsidRPr="0049396B" w14:paraId="63112721" w14:textId="0797FC03" w:rsidTr="00817E9E">
        <w:trPr>
          <w:cantSplit/>
        </w:trPr>
        <w:tc>
          <w:tcPr>
            <w:tcW w:w="988" w:type="dxa"/>
            <w:vAlign w:val="center"/>
          </w:tcPr>
          <w:p w14:paraId="269A5715" w14:textId="77777777" w:rsidR="001A58A0" w:rsidRPr="0049396B" w:rsidRDefault="001A58A0" w:rsidP="00020E51">
            <w:pPr>
              <w:pStyle w:val="TableText0"/>
              <w:keepNext w:val="0"/>
            </w:pPr>
            <w:r w:rsidRPr="0049396B">
              <w:t>Total patients eligible to initiate treatment</w:t>
            </w:r>
          </w:p>
        </w:tc>
        <w:tc>
          <w:tcPr>
            <w:tcW w:w="992" w:type="dxa"/>
            <w:vAlign w:val="center"/>
          </w:tcPr>
          <w:p w14:paraId="0A0B8484" w14:textId="592B5F67" w:rsidR="001A58A0" w:rsidRPr="0049396B" w:rsidRDefault="001A58A0" w:rsidP="00020E51">
            <w:pPr>
              <w:pStyle w:val="TableText0"/>
            </w:pPr>
            <w:r w:rsidRPr="0049396B">
              <w:t>Yr 1:</w:t>
            </w:r>
            <w:r w:rsidR="0015085A">
              <w:t xml:space="preserve"> </w:t>
            </w:r>
            <w:r w:rsidR="0015085A" w:rsidRPr="00D94CF5">
              <w:rPr>
                <w:color w:val="000000"/>
                <w:spacing w:val="53"/>
                <w:shd w:val="solid" w:color="000000" w:fill="000000"/>
                <w:fitText w:val="330" w:id="-1032131325"/>
                <w14:textFill>
                  <w14:solidFill>
                    <w14:srgbClr w14:val="000000">
                      <w14:alpha w14:val="100000"/>
                    </w14:srgbClr>
                  </w14:solidFill>
                </w14:textFill>
              </w:rPr>
              <w:t>|||</w:t>
            </w:r>
            <w:r w:rsidR="0015085A" w:rsidRPr="00D94CF5">
              <w:rPr>
                <w:color w:val="000000"/>
                <w:spacing w:val="1"/>
                <w:shd w:val="solid" w:color="000000" w:fill="000000"/>
                <w:fitText w:val="330" w:id="-1032131325"/>
                <w14:textFill>
                  <w14:solidFill>
                    <w14:srgbClr w14:val="000000">
                      <w14:alpha w14:val="100000"/>
                    </w14:srgbClr>
                  </w14:solidFill>
                </w14:textFill>
              </w:rPr>
              <w:t>|</w:t>
            </w:r>
            <w:r w:rsidR="005A547B">
              <w:rPr>
                <w:vertAlign w:val="superscript"/>
              </w:rPr>
              <w:t>2</w:t>
            </w:r>
          </w:p>
          <w:p w14:paraId="76E78528" w14:textId="0E229BEC" w:rsidR="001A58A0" w:rsidRPr="0049396B" w:rsidRDefault="001A58A0" w:rsidP="00020E51">
            <w:pPr>
              <w:pStyle w:val="TableText0"/>
            </w:pPr>
            <w:r w:rsidRPr="0049396B">
              <w:t>Yr 2:</w:t>
            </w:r>
            <w:r w:rsidR="0015085A">
              <w:t xml:space="preserve"> </w:t>
            </w:r>
            <w:r w:rsidR="0015085A" w:rsidRPr="00D94CF5">
              <w:rPr>
                <w:color w:val="000000"/>
                <w:spacing w:val="53"/>
                <w:shd w:val="solid" w:color="000000" w:fill="000000"/>
                <w:fitText w:val="330" w:id="-1032131324"/>
                <w14:textFill>
                  <w14:solidFill>
                    <w14:srgbClr w14:val="000000">
                      <w14:alpha w14:val="100000"/>
                    </w14:srgbClr>
                  </w14:solidFill>
                </w14:textFill>
              </w:rPr>
              <w:t>|||</w:t>
            </w:r>
            <w:r w:rsidR="0015085A" w:rsidRPr="00D94CF5">
              <w:rPr>
                <w:color w:val="000000"/>
                <w:spacing w:val="1"/>
                <w:shd w:val="solid" w:color="000000" w:fill="000000"/>
                <w:fitText w:val="330" w:id="-1032131324"/>
                <w14:textFill>
                  <w14:solidFill>
                    <w14:srgbClr w14:val="000000">
                      <w14:alpha w14:val="100000"/>
                    </w14:srgbClr>
                  </w14:solidFill>
                </w14:textFill>
              </w:rPr>
              <w:t>|</w:t>
            </w:r>
            <w:r w:rsidR="005A547B">
              <w:rPr>
                <w:vertAlign w:val="superscript"/>
              </w:rPr>
              <w:t>2</w:t>
            </w:r>
          </w:p>
          <w:p w14:paraId="2AEC3B21" w14:textId="4B5AB1EF" w:rsidR="001A58A0" w:rsidRPr="0049396B" w:rsidRDefault="001A58A0" w:rsidP="00020E51">
            <w:pPr>
              <w:pStyle w:val="TableText0"/>
            </w:pPr>
            <w:r w:rsidRPr="0049396B">
              <w:t xml:space="preserve">Yr 3: </w:t>
            </w:r>
            <w:r w:rsidR="0015085A" w:rsidRPr="00D94CF5">
              <w:rPr>
                <w:color w:val="000000"/>
                <w:spacing w:val="53"/>
                <w:shd w:val="solid" w:color="000000" w:fill="000000"/>
                <w:fitText w:val="330" w:id="-1032131323"/>
                <w14:textFill>
                  <w14:solidFill>
                    <w14:srgbClr w14:val="000000">
                      <w14:alpha w14:val="100000"/>
                    </w14:srgbClr>
                  </w14:solidFill>
                </w14:textFill>
              </w:rPr>
              <w:t>|||</w:t>
            </w:r>
            <w:r w:rsidR="0015085A" w:rsidRPr="00D94CF5">
              <w:rPr>
                <w:color w:val="000000"/>
                <w:spacing w:val="1"/>
                <w:shd w:val="solid" w:color="000000" w:fill="000000"/>
                <w:fitText w:val="330" w:id="-1032131323"/>
                <w14:textFill>
                  <w14:solidFill>
                    <w14:srgbClr w14:val="000000">
                      <w14:alpha w14:val="100000"/>
                    </w14:srgbClr>
                  </w14:solidFill>
                </w14:textFill>
              </w:rPr>
              <w:t>|</w:t>
            </w:r>
            <w:r w:rsidR="005A547B">
              <w:rPr>
                <w:vertAlign w:val="superscript"/>
              </w:rPr>
              <w:t>2</w:t>
            </w:r>
          </w:p>
          <w:p w14:paraId="43A53489" w14:textId="324BD4FD" w:rsidR="001A58A0" w:rsidRPr="0049396B" w:rsidRDefault="001A58A0" w:rsidP="00020E51">
            <w:pPr>
              <w:pStyle w:val="TableText0"/>
            </w:pPr>
            <w:r w:rsidRPr="0049396B">
              <w:t xml:space="preserve">Yr 4: </w:t>
            </w:r>
            <w:r w:rsidR="0015085A" w:rsidRPr="00D94CF5">
              <w:rPr>
                <w:color w:val="000000"/>
                <w:spacing w:val="53"/>
                <w:shd w:val="solid" w:color="000000" w:fill="000000"/>
                <w:fitText w:val="330" w:id="-1032131322"/>
                <w14:textFill>
                  <w14:solidFill>
                    <w14:srgbClr w14:val="000000">
                      <w14:alpha w14:val="100000"/>
                    </w14:srgbClr>
                  </w14:solidFill>
                </w14:textFill>
              </w:rPr>
              <w:t>|||</w:t>
            </w:r>
            <w:r w:rsidR="0015085A" w:rsidRPr="00D94CF5">
              <w:rPr>
                <w:color w:val="000000"/>
                <w:spacing w:val="1"/>
                <w:shd w:val="solid" w:color="000000" w:fill="000000"/>
                <w:fitText w:val="330" w:id="-1032131322"/>
                <w14:textFill>
                  <w14:solidFill>
                    <w14:srgbClr w14:val="000000">
                      <w14:alpha w14:val="100000"/>
                    </w14:srgbClr>
                  </w14:solidFill>
                </w14:textFill>
              </w:rPr>
              <w:t>|</w:t>
            </w:r>
            <w:r w:rsidR="005A547B">
              <w:rPr>
                <w:vertAlign w:val="superscript"/>
              </w:rPr>
              <w:t>2</w:t>
            </w:r>
          </w:p>
          <w:p w14:paraId="33DD338D" w14:textId="11034DB0" w:rsidR="001A58A0" w:rsidRPr="0049396B" w:rsidRDefault="001A58A0" w:rsidP="00020E51">
            <w:pPr>
              <w:pStyle w:val="TableText0"/>
            </w:pPr>
            <w:r w:rsidRPr="0049396B">
              <w:t xml:space="preserve">Yr 5: </w:t>
            </w:r>
            <w:r w:rsidR="0015085A" w:rsidRPr="00D94CF5">
              <w:rPr>
                <w:color w:val="000000"/>
                <w:spacing w:val="53"/>
                <w:shd w:val="solid" w:color="000000" w:fill="000000"/>
                <w:fitText w:val="330" w:id="-1032131321"/>
                <w14:textFill>
                  <w14:solidFill>
                    <w14:srgbClr w14:val="000000">
                      <w14:alpha w14:val="100000"/>
                    </w14:srgbClr>
                  </w14:solidFill>
                </w14:textFill>
              </w:rPr>
              <w:t>|||</w:t>
            </w:r>
            <w:r w:rsidR="0015085A" w:rsidRPr="00D94CF5">
              <w:rPr>
                <w:color w:val="000000"/>
                <w:spacing w:val="1"/>
                <w:shd w:val="solid" w:color="000000" w:fill="000000"/>
                <w:fitText w:val="330" w:id="-1032131321"/>
                <w14:textFill>
                  <w14:solidFill>
                    <w14:srgbClr w14:val="000000">
                      <w14:alpha w14:val="100000"/>
                    </w14:srgbClr>
                  </w14:solidFill>
                </w14:textFill>
              </w:rPr>
              <w:t>|</w:t>
            </w:r>
            <w:r w:rsidR="005A547B">
              <w:rPr>
                <w:vertAlign w:val="superscript"/>
              </w:rPr>
              <w:t>2</w:t>
            </w:r>
          </w:p>
          <w:p w14:paraId="480F8283" w14:textId="73AC77D3" w:rsidR="001A58A0" w:rsidRPr="0049396B" w:rsidRDefault="001A58A0" w:rsidP="00020E51">
            <w:pPr>
              <w:pStyle w:val="TableText0"/>
            </w:pPr>
            <w:r w:rsidRPr="0049396B">
              <w:t xml:space="preserve">Yr 6: </w:t>
            </w:r>
            <w:r w:rsidR="0015085A" w:rsidRPr="00D94CF5">
              <w:rPr>
                <w:color w:val="000000"/>
                <w:spacing w:val="53"/>
                <w:shd w:val="solid" w:color="000000" w:fill="000000"/>
                <w:fitText w:val="330" w:id="-1032131320"/>
                <w14:textFill>
                  <w14:solidFill>
                    <w14:srgbClr w14:val="000000">
                      <w14:alpha w14:val="100000"/>
                    </w14:srgbClr>
                  </w14:solidFill>
                </w14:textFill>
              </w:rPr>
              <w:t>|||</w:t>
            </w:r>
            <w:r w:rsidR="0015085A" w:rsidRPr="00D94CF5">
              <w:rPr>
                <w:color w:val="000000"/>
                <w:spacing w:val="1"/>
                <w:shd w:val="solid" w:color="000000" w:fill="000000"/>
                <w:fitText w:val="330" w:id="-1032131320"/>
                <w14:textFill>
                  <w14:solidFill>
                    <w14:srgbClr w14:val="000000">
                      <w14:alpha w14:val="100000"/>
                    </w14:srgbClr>
                  </w14:solidFill>
                </w14:textFill>
              </w:rPr>
              <w:t>|</w:t>
            </w:r>
            <w:r w:rsidR="005A547B">
              <w:rPr>
                <w:vertAlign w:val="superscript"/>
              </w:rPr>
              <w:t>2</w:t>
            </w:r>
          </w:p>
        </w:tc>
        <w:tc>
          <w:tcPr>
            <w:tcW w:w="2410" w:type="dxa"/>
            <w:vAlign w:val="center"/>
          </w:tcPr>
          <w:p w14:paraId="160EB0B6" w14:textId="77777777" w:rsidR="001A58A0" w:rsidRPr="0049396B" w:rsidRDefault="001A58A0" w:rsidP="00020E51">
            <w:pPr>
              <w:pStyle w:val="TableText0"/>
            </w:pPr>
            <w:r w:rsidRPr="0049396B">
              <w:t>Sum of incident and prevalent patients.</w:t>
            </w:r>
          </w:p>
        </w:tc>
        <w:tc>
          <w:tcPr>
            <w:tcW w:w="2202" w:type="dxa"/>
            <w:vAlign w:val="center"/>
          </w:tcPr>
          <w:p w14:paraId="4C9DF6C8" w14:textId="77777777" w:rsidR="001A58A0" w:rsidRPr="0049396B" w:rsidRDefault="001A58A0" w:rsidP="00020E51">
            <w:pPr>
              <w:pStyle w:val="TableText0"/>
            </w:pPr>
            <w:r w:rsidRPr="0049396B">
              <w:t>Calculations were arithmetically correct.</w:t>
            </w:r>
          </w:p>
        </w:tc>
        <w:tc>
          <w:tcPr>
            <w:tcW w:w="2425" w:type="dxa"/>
          </w:tcPr>
          <w:p w14:paraId="6CABA753" w14:textId="2C9CFDC1" w:rsidR="001A58A0" w:rsidRPr="0049396B" w:rsidRDefault="00C47020" w:rsidP="00020E51">
            <w:pPr>
              <w:pStyle w:val="TableText0"/>
              <w:rPr>
                <w:iCs/>
              </w:rPr>
            </w:pPr>
            <w:r>
              <w:rPr>
                <w:iCs/>
                <w:szCs w:val="20"/>
              </w:rPr>
              <w:t>T</w:t>
            </w:r>
            <w:r w:rsidR="00F6592B" w:rsidRPr="0049396B">
              <w:rPr>
                <w:iCs/>
                <w:szCs w:val="20"/>
              </w:rPr>
              <w:t>he PBAC considered that the total number of patients appears to be overestimated due to double counting of incident patients.</w:t>
            </w:r>
          </w:p>
        </w:tc>
      </w:tr>
      <w:tr w:rsidR="001A58A0" w:rsidRPr="0049396B" w14:paraId="2080AF42" w14:textId="103F09C0" w:rsidTr="00771726">
        <w:trPr>
          <w:cantSplit/>
        </w:trPr>
        <w:tc>
          <w:tcPr>
            <w:tcW w:w="6592" w:type="dxa"/>
            <w:gridSpan w:val="4"/>
            <w:vAlign w:val="center"/>
          </w:tcPr>
          <w:p w14:paraId="2416F9FA" w14:textId="77777777" w:rsidR="001A58A0" w:rsidRPr="0049396B" w:rsidRDefault="001A58A0" w:rsidP="00020E51">
            <w:pPr>
              <w:pStyle w:val="TableText0"/>
              <w:keepNext w:val="0"/>
              <w:rPr>
                <w:b/>
              </w:rPr>
            </w:pPr>
            <w:r w:rsidRPr="0049396B">
              <w:rPr>
                <w:b/>
              </w:rPr>
              <w:t>Treatment utilisation</w:t>
            </w:r>
          </w:p>
        </w:tc>
        <w:tc>
          <w:tcPr>
            <w:tcW w:w="2425" w:type="dxa"/>
          </w:tcPr>
          <w:p w14:paraId="5D65C21F" w14:textId="77777777" w:rsidR="001A58A0" w:rsidRPr="0049396B" w:rsidRDefault="001A58A0" w:rsidP="00020E51">
            <w:pPr>
              <w:pStyle w:val="TableText0"/>
              <w:keepNext w:val="0"/>
              <w:rPr>
                <w:b/>
                <w:iCs/>
              </w:rPr>
            </w:pPr>
          </w:p>
        </w:tc>
      </w:tr>
      <w:tr w:rsidR="00771726" w:rsidRPr="0049396B" w14:paraId="4F72D351" w14:textId="23D50205" w:rsidTr="00817E9E">
        <w:trPr>
          <w:cantSplit/>
        </w:trPr>
        <w:tc>
          <w:tcPr>
            <w:tcW w:w="988" w:type="dxa"/>
            <w:vAlign w:val="center"/>
          </w:tcPr>
          <w:p w14:paraId="03D03CBD" w14:textId="77777777" w:rsidR="00771726" w:rsidRPr="0049396B" w:rsidRDefault="00771726" w:rsidP="00020E51">
            <w:pPr>
              <w:pStyle w:val="TableText0"/>
              <w:keepNext w:val="0"/>
            </w:pPr>
            <w:r w:rsidRPr="0049396B">
              <w:t xml:space="preserve">Uptake rate (incident) </w:t>
            </w:r>
          </w:p>
        </w:tc>
        <w:tc>
          <w:tcPr>
            <w:tcW w:w="992" w:type="dxa"/>
            <w:vAlign w:val="center"/>
          </w:tcPr>
          <w:p w14:paraId="66B6D641" w14:textId="186B8930" w:rsidR="00771726" w:rsidRPr="00AB1EAD" w:rsidRDefault="00771726" w:rsidP="00020E51">
            <w:pPr>
              <w:pStyle w:val="TableText0"/>
            </w:pPr>
            <w:r w:rsidRPr="00AB1EAD">
              <w:t xml:space="preserve">Yr 1: </w:t>
            </w:r>
            <w:r w:rsidR="00157755" w:rsidRPr="00D94CF5">
              <w:rPr>
                <w:color w:val="000000"/>
                <w:spacing w:val="53"/>
                <w:shd w:val="solid" w:color="000000" w:fill="000000"/>
                <w:fitText w:val="330" w:id="-1026288128"/>
                <w14:textFill>
                  <w14:solidFill>
                    <w14:srgbClr w14:val="000000">
                      <w14:alpha w14:val="100000"/>
                    </w14:srgbClr>
                  </w14:solidFill>
                </w14:textFill>
              </w:rPr>
              <w:t>|||</w:t>
            </w:r>
            <w:r w:rsidR="00157755" w:rsidRPr="00D94CF5">
              <w:rPr>
                <w:color w:val="000000"/>
                <w:spacing w:val="1"/>
                <w:shd w:val="solid" w:color="000000" w:fill="000000"/>
                <w:fitText w:val="330" w:id="-1026288128"/>
                <w14:textFill>
                  <w14:solidFill>
                    <w14:srgbClr w14:val="000000">
                      <w14:alpha w14:val="100000"/>
                    </w14:srgbClr>
                  </w14:solidFill>
                </w14:textFill>
              </w:rPr>
              <w:t>|</w:t>
            </w:r>
            <w:r w:rsidRPr="00AB1EAD">
              <w:t>%</w:t>
            </w:r>
          </w:p>
          <w:p w14:paraId="0F467347" w14:textId="19F05A68" w:rsidR="00771726" w:rsidRPr="00AB1EAD" w:rsidRDefault="00771726" w:rsidP="00020E51">
            <w:pPr>
              <w:pStyle w:val="TableText0"/>
            </w:pPr>
            <w:r w:rsidRPr="00AB1EAD">
              <w:t>Yr 2:</w:t>
            </w:r>
            <w:r w:rsidR="00157755">
              <w:t xml:space="preserve"> </w:t>
            </w:r>
            <w:r w:rsidR="00157755" w:rsidRPr="00D94CF5">
              <w:rPr>
                <w:color w:val="000000"/>
                <w:spacing w:val="53"/>
                <w:shd w:val="solid" w:color="000000" w:fill="000000"/>
                <w:fitText w:val="330" w:id="-1026288127"/>
                <w14:textFill>
                  <w14:solidFill>
                    <w14:srgbClr w14:val="000000">
                      <w14:alpha w14:val="100000"/>
                    </w14:srgbClr>
                  </w14:solidFill>
                </w14:textFill>
              </w:rPr>
              <w:t>|||</w:t>
            </w:r>
            <w:r w:rsidR="00157755" w:rsidRPr="00D94CF5">
              <w:rPr>
                <w:color w:val="000000"/>
                <w:spacing w:val="1"/>
                <w:shd w:val="solid" w:color="000000" w:fill="000000"/>
                <w:fitText w:val="330" w:id="-1026288127"/>
                <w14:textFill>
                  <w14:solidFill>
                    <w14:srgbClr w14:val="000000">
                      <w14:alpha w14:val="100000"/>
                    </w14:srgbClr>
                  </w14:solidFill>
                </w14:textFill>
              </w:rPr>
              <w:t>|</w:t>
            </w:r>
            <w:r w:rsidRPr="00AB1EAD">
              <w:t>%</w:t>
            </w:r>
          </w:p>
          <w:p w14:paraId="1CC12158" w14:textId="2911783D" w:rsidR="00771726" w:rsidRPr="00AB1EAD" w:rsidRDefault="00771726" w:rsidP="00020E51">
            <w:pPr>
              <w:pStyle w:val="TableText0"/>
            </w:pPr>
            <w:r w:rsidRPr="00AB1EAD">
              <w:t>Yr 3:</w:t>
            </w:r>
            <w:r w:rsidR="00157755">
              <w:t xml:space="preserve"> </w:t>
            </w:r>
            <w:r w:rsidR="00157755" w:rsidRPr="00D94CF5">
              <w:rPr>
                <w:color w:val="000000"/>
                <w:spacing w:val="53"/>
                <w:shd w:val="solid" w:color="000000" w:fill="000000"/>
                <w:fitText w:val="330" w:id="-1026288126"/>
                <w14:textFill>
                  <w14:solidFill>
                    <w14:srgbClr w14:val="000000">
                      <w14:alpha w14:val="100000"/>
                    </w14:srgbClr>
                  </w14:solidFill>
                </w14:textFill>
              </w:rPr>
              <w:t>|||</w:t>
            </w:r>
            <w:r w:rsidR="00157755" w:rsidRPr="00D94CF5">
              <w:rPr>
                <w:color w:val="000000"/>
                <w:spacing w:val="1"/>
                <w:shd w:val="solid" w:color="000000" w:fill="000000"/>
                <w:fitText w:val="330" w:id="-1026288126"/>
                <w14:textFill>
                  <w14:solidFill>
                    <w14:srgbClr w14:val="000000">
                      <w14:alpha w14:val="100000"/>
                    </w14:srgbClr>
                  </w14:solidFill>
                </w14:textFill>
              </w:rPr>
              <w:t>|</w:t>
            </w:r>
            <w:r w:rsidRPr="00AB1EAD">
              <w:t>%</w:t>
            </w:r>
          </w:p>
          <w:p w14:paraId="3828E970" w14:textId="01B27707" w:rsidR="00771726" w:rsidRPr="00AB1EAD" w:rsidRDefault="00771726" w:rsidP="00020E51">
            <w:pPr>
              <w:pStyle w:val="TableText0"/>
            </w:pPr>
            <w:r w:rsidRPr="00AB1EAD">
              <w:t>Yr 4:</w:t>
            </w:r>
            <w:r w:rsidR="00157755">
              <w:t xml:space="preserve"> </w:t>
            </w:r>
            <w:r w:rsidR="00157755" w:rsidRPr="00D94CF5">
              <w:rPr>
                <w:color w:val="000000"/>
                <w:spacing w:val="53"/>
                <w:shd w:val="solid" w:color="000000" w:fill="000000"/>
                <w:fitText w:val="330" w:id="-1026288125"/>
                <w14:textFill>
                  <w14:solidFill>
                    <w14:srgbClr w14:val="000000">
                      <w14:alpha w14:val="100000"/>
                    </w14:srgbClr>
                  </w14:solidFill>
                </w14:textFill>
              </w:rPr>
              <w:t>|||</w:t>
            </w:r>
            <w:r w:rsidR="00157755" w:rsidRPr="00D94CF5">
              <w:rPr>
                <w:color w:val="000000"/>
                <w:spacing w:val="1"/>
                <w:shd w:val="solid" w:color="000000" w:fill="000000"/>
                <w:fitText w:val="330" w:id="-1026288125"/>
                <w14:textFill>
                  <w14:solidFill>
                    <w14:srgbClr w14:val="000000">
                      <w14:alpha w14:val="100000"/>
                    </w14:srgbClr>
                  </w14:solidFill>
                </w14:textFill>
              </w:rPr>
              <w:t>|</w:t>
            </w:r>
            <w:r w:rsidRPr="00AB1EAD">
              <w:t>%</w:t>
            </w:r>
          </w:p>
          <w:p w14:paraId="14903792" w14:textId="0E65E586" w:rsidR="00771726" w:rsidRPr="00AB1EAD" w:rsidRDefault="00771726" w:rsidP="00020E51">
            <w:pPr>
              <w:pStyle w:val="TableText0"/>
            </w:pPr>
            <w:r w:rsidRPr="00AB1EAD">
              <w:t>Yr 5:</w:t>
            </w:r>
            <w:r w:rsidR="00157755">
              <w:t xml:space="preserve"> </w:t>
            </w:r>
            <w:r w:rsidR="00157755" w:rsidRPr="00D94CF5">
              <w:rPr>
                <w:color w:val="000000"/>
                <w:spacing w:val="53"/>
                <w:shd w:val="solid" w:color="000000" w:fill="000000"/>
                <w:fitText w:val="330" w:id="-1026288124"/>
                <w14:textFill>
                  <w14:solidFill>
                    <w14:srgbClr w14:val="000000">
                      <w14:alpha w14:val="100000"/>
                    </w14:srgbClr>
                  </w14:solidFill>
                </w14:textFill>
              </w:rPr>
              <w:t>|||</w:t>
            </w:r>
            <w:r w:rsidR="00157755" w:rsidRPr="00D94CF5">
              <w:rPr>
                <w:color w:val="000000"/>
                <w:spacing w:val="1"/>
                <w:shd w:val="solid" w:color="000000" w:fill="000000"/>
                <w:fitText w:val="330" w:id="-1026288124"/>
                <w14:textFill>
                  <w14:solidFill>
                    <w14:srgbClr w14:val="000000">
                      <w14:alpha w14:val="100000"/>
                    </w14:srgbClr>
                  </w14:solidFill>
                </w14:textFill>
              </w:rPr>
              <w:t>|</w:t>
            </w:r>
            <w:r w:rsidRPr="00AB1EAD">
              <w:t>%</w:t>
            </w:r>
          </w:p>
          <w:p w14:paraId="7BB09342" w14:textId="459C9104" w:rsidR="00771726" w:rsidRPr="00AB1EAD" w:rsidRDefault="00771726" w:rsidP="00020E51">
            <w:pPr>
              <w:pStyle w:val="TableText0"/>
              <w:keepNext w:val="0"/>
            </w:pPr>
            <w:r w:rsidRPr="00AB1EAD">
              <w:t xml:space="preserve">Yr 6: </w:t>
            </w:r>
            <w:r w:rsidR="00157755" w:rsidRPr="00D94CF5">
              <w:rPr>
                <w:color w:val="000000"/>
                <w:spacing w:val="53"/>
                <w:shd w:val="solid" w:color="000000" w:fill="000000"/>
                <w:fitText w:val="330" w:id="-1026288123"/>
                <w14:textFill>
                  <w14:solidFill>
                    <w14:srgbClr w14:val="000000">
                      <w14:alpha w14:val="100000"/>
                    </w14:srgbClr>
                  </w14:solidFill>
                </w14:textFill>
              </w:rPr>
              <w:t>|||</w:t>
            </w:r>
            <w:r w:rsidR="00157755" w:rsidRPr="00D94CF5">
              <w:rPr>
                <w:color w:val="000000"/>
                <w:spacing w:val="1"/>
                <w:shd w:val="solid" w:color="000000" w:fill="000000"/>
                <w:fitText w:val="330" w:id="-1026288123"/>
                <w14:textFill>
                  <w14:solidFill>
                    <w14:srgbClr w14:val="000000">
                      <w14:alpha w14:val="100000"/>
                    </w14:srgbClr>
                  </w14:solidFill>
                </w14:textFill>
              </w:rPr>
              <w:t>|</w:t>
            </w:r>
            <w:r w:rsidRPr="00AB1EAD">
              <w:t>%</w:t>
            </w:r>
          </w:p>
        </w:tc>
        <w:tc>
          <w:tcPr>
            <w:tcW w:w="2410" w:type="dxa"/>
            <w:vAlign w:val="center"/>
          </w:tcPr>
          <w:p w14:paraId="400E4629" w14:textId="77777777" w:rsidR="00771726" w:rsidRPr="0049396B" w:rsidRDefault="00771726" w:rsidP="00020E51">
            <w:pPr>
              <w:pStyle w:val="TableText0"/>
              <w:keepNext w:val="0"/>
            </w:pPr>
            <w:r w:rsidRPr="0049396B">
              <w:t>Uptake rate based on expert opinion.</w:t>
            </w:r>
          </w:p>
        </w:tc>
        <w:tc>
          <w:tcPr>
            <w:tcW w:w="2202" w:type="dxa"/>
            <w:vMerge w:val="restart"/>
            <w:vAlign w:val="center"/>
          </w:tcPr>
          <w:p w14:paraId="7EA65E0B" w14:textId="77777777" w:rsidR="00771726" w:rsidRPr="0049396B" w:rsidRDefault="00771726" w:rsidP="00020E51">
            <w:pPr>
              <w:pStyle w:val="TableText0"/>
              <w:keepNext w:val="0"/>
            </w:pPr>
            <w:r w:rsidRPr="0049396B">
              <w:t>In the absence of other treatments, uptake rate may be higher than presented. However, if emerging treatments were to be listed in the future (and not be available for combination use with edaravone), the uptake could reduce.</w:t>
            </w:r>
          </w:p>
        </w:tc>
        <w:tc>
          <w:tcPr>
            <w:tcW w:w="2425" w:type="dxa"/>
            <w:vMerge w:val="restart"/>
          </w:tcPr>
          <w:p w14:paraId="3DBB3CBA" w14:textId="6A3BC33D" w:rsidR="00771726" w:rsidRPr="0049396B" w:rsidRDefault="00771726" w:rsidP="00020E51">
            <w:pPr>
              <w:pStyle w:val="TableText0"/>
              <w:keepNext w:val="0"/>
              <w:rPr>
                <w:iCs/>
              </w:rPr>
            </w:pPr>
            <w:r w:rsidRPr="0049396B">
              <w:rPr>
                <w:iCs/>
                <w:szCs w:val="20"/>
              </w:rPr>
              <w:t xml:space="preserve">DUSC agreed with the </w:t>
            </w:r>
            <w:r w:rsidR="00721DF7">
              <w:rPr>
                <w:iCs/>
                <w:szCs w:val="20"/>
              </w:rPr>
              <w:t>evaluation</w:t>
            </w:r>
            <w:r w:rsidRPr="0049396B">
              <w:rPr>
                <w:iCs/>
                <w:szCs w:val="20"/>
              </w:rPr>
              <w:t xml:space="preserve"> and suggested that the uptake rates are potentially underestimated.</w:t>
            </w:r>
          </w:p>
        </w:tc>
      </w:tr>
      <w:tr w:rsidR="00771726" w:rsidRPr="0049396B" w14:paraId="64E96F5D" w14:textId="53158D47" w:rsidTr="00817E9E">
        <w:trPr>
          <w:cantSplit/>
        </w:trPr>
        <w:tc>
          <w:tcPr>
            <w:tcW w:w="988" w:type="dxa"/>
            <w:vAlign w:val="center"/>
          </w:tcPr>
          <w:p w14:paraId="0321A611" w14:textId="77777777" w:rsidR="00771726" w:rsidRPr="0049396B" w:rsidRDefault="00771726" w:rsidP="00020E51">
            <w:pPr>
              <w:pStyle w:val="TableText0"/>
              <w:keepNext w:val="0"/>
            </w:pPr>
            <w:r w:rsidRPr="0049396B">
              <w:t>Uptake rate (prevalent)</w:t>
            </w:r>
          </w:p>
        </w:tc>
        <w:tc>
          <w:tcPr>
            <w:tcW w:w="992" w:type="dxa"/>
            <w:vAlign w:val="center"/>
          </w:tcPr>
          <w:p w14:paraId="3CEC9346" w14:textId="5F8A30C8" w:rsidR="00771726" w:rsidRPr="00AB1EAD" w:rsidRDefault="00771726" w:rsidP="00020E51">
            <w:pPr>
              <w:pStyle w:val="TableText0"/>
              <w:keepNext w:val="0"/>
            </w:pPr>
            <w:r w:rsidRPr="00AB1EAD">
              <w:t xml:space="preserve">Yr 1: </w:t>
            </w:r>
            <w:r w:rsidR="00157755" w:rsidRPr="00D94CF5">
              <w:rPr>
                <w:color w:val="000000"/>
                <w:spacing w:val="53"/>
                <w:shd w:val="solid" w:color="000000" w:fill="000000"/>
                <w:fitText w:val="330" w:id="-1026288122"/>
                <w14:textFill>
                  <w14:solidFill>
                    <w14:srgbClr w14:val="000000">
                      <w14:alpha w14:val="100000"/>
                    </w14:srgbClr>
                  </w14:solidFill>
                </w14:textFill>
              </w:rPr>
              <w:t>|||</w:t>
            </w:r>
            <w:r w:rsidR="00157755" w:rsidRPr="00D94CF5">
              <w:rPr>
                <w:color w:val="000000"/>
                <w:spacing w:val="1"/>
                <w:shd w:val="solid" w:color="000000" w:fill="000000"/>
                <w:fitText w:val="330" w:id="-1026288122"/>
                <w14:textFill>
                  <w14:solidFill>
                    <w14:srgbClr w14:val="000000">
                      <w14:alpha w14:val="100000"/>
                    </w14:srgbClr>
                  </w14:solidFill>
                </w14:textFill>
              </w:rPr>
              <w:t>|</w:t>
            </w:r>
            <w:r w:rsidRPr="00AB1EAD">
              <w:t>%</w:t>
            </w:r>
          </w:p>
        </w:tc>
        <w:tc>
          <w:tcPr>
            <w:tcW w:w="2410" w:type="dxa"/>
            <w:vAlign w:val="center"/>
          </w:tcPr>
          <w:p w14:paraId="5ADAA7A4" w14:textId="77777777" w:rsidR="00771726" w:rsidRPr="0049396B" w:rsidRDefault="00771726" w:rsidP="00020E51">
            <w:pPr>
              <w:pStyle w:val="TableText0"/>
              <w:keepNext w:val="0"/>
            </w:pPr>
            <w:r w:rsidRPr="0049396B">
              <w:t>Uptake rate based on expert opinion.</w:t>
            </w:r>
          </w:p>
        </w:tc>
        <w:tc>
          <w:tcPr>
            <w:tcW w:w="2202" w:type="dxa"/>
            <w:vMerge/>
            <w:vAlign w:val="center"/>
          </w:tcPr>
          <w:p w14:paraId="115E2CCD" w14:textId="77777777" w:rsidR="00771726" w:rsidRPr="0049396B" w:rsidRDefault="00771726" w:rsidP="00020E51">
            <w:pPr>
              <w:pStyle w:val="TableText0"/>
              <w:keepNext w:val="0"/>
            </w:pPr>
          </w:p>
        </w:tc>
        <w:tc>
          <w:tcPr>
            <w:tcW w:w="2425" w:type="dxa"/>
            <w:vMerge/>
          </w:tcPr>
          <w:p w14:paraId="7CD9B13C" w14:textId="77777777" w:rsidR="00771726" w:rsidRPr="0049396B" w:rsidRDefault="00771726" w:rsidP="00020E51">
            <w:pPr>
              <w:pStyle w:val="TableText0"/>
              <w:keepNext w:val="0"/>
              <w:rPr>
                <w:iCs/>
              </w:rPr>
            </w:pPr>
          </w:p>
        </w:tc>
      </w:tr>
      <w:tr w:rsidR="001A58A0" w:rsidRPr="0049396B" w14:paraId="74FA87EC" w14:textId="46713FD6" w:rsidTr="00817E9E">
        <w:trPr>
          <w:cantSplit/>
        </w:trPr>
        <w:tc>
          <w:tcPr>
            <w:tcW w:w="988" w:type="dxa"/>
            <w:vAlign w:val="center"/>
          </w:tcPr>
          <w:p w14:paraId="6A623A25" w14:textId="77777777" w:rsidR="001A58A0" w:rsidRPr="0049396B" w:rsidRDefault="001A58A0" w:rsidP="00020E51">
            <w:pPr>
              <w:pStyle w:val="TableText0"/>
              <w:keepNext w:val="0"/>
            </w:pPr>
            <w:r w:rsidRPr="0049396B">
              <w:lastRenderedPageBreak/>
              <w:t>Number initiating treatment</w:t>
            </w:r>
          </w:p>
        </w:tc>
        <w:tc>
          <w:tcPr>
            <w:tcW w:w="992" w:type="dxa"/>
            <w:vAlign w:val="center"/>
          </w:tcPr>
          <w:p w14:paraId="555D84D7" w14:textId="34868BD2" w:rsidR="001A58A0" w:rsidRPr="0049396B" w:rsidRDefault="001A58A0" w:rsidP="00020E51">
            <w:pPr>
              <w:pStyle w:val="TableText0"/>
            </w:pPr>
            <w:r w:rsidRPr="0049396B">
              <w:t xml:space="preserve">Yr 1: </w:t>
            </w:r>
            <w:r w:rsidR="0015085A" w:rsidRPr="00D94CF5">
              <w:rPr>
                <w:color w:val="000000"/>
                <w:spacing w:val="53"/>
                <w:shd w:val="solid" w:color="000000" w:fill="000000"/>
                <w:fitText w:val="330" w:id="-1032131319"/>
                <w14:textFill>
                  <w14:solidFill>
                    <w14:srgbClr w14:val="000000">
                      <w14:alpha w14:val="100000"/>
                    </w14:srgbClr>
                  </w14:solidFill>
                </w14:textFill>
              </w:rPr>
              <w:t>|||</w:t>
            </w:r>
            <w:r w:rsidR="0015085A" w:rsidRPr="00D94CF5">
              <w:rPr>
                <w:color w:val="000000"/>
                <w:spacing w:val="1"/>
                <w:shd w:val="solid" w:color="000000" w:fill="000000"/>
                <w:fitText w:val="330" w:id="-1032131319"/>
                <w14:textFill>
                  <w14:solidFill>
                    <w14:srgbClr w14:val="000000">
                      <w14:alpha w14:val="100000"/>
                    </w14:srgbClr>
                  </w14:solidFill>
                </w14:textFill>
              </w:rPr>
              <w:t>|</w:t>
            </w:r>
            <w:r w:rsidR="005A547B" w:rsidRPr="005A547B">
              <w:rPr>
                <w:vertAlign w:val="superscript"/>
              </w:rPr>
              <w:t>1</w:t>
            </w:r>
          </w:p>
          <w:p w14:paraId="7FBE1F6B" w14:textId="73A73C80" w:rsidR="001A58A0" w:rsidRPr="0049396B" w:rsidRDefault="001A58A0" w:rsidP="00020E51">
            <w:pPr>
              <w:pStyle w:val="TableText0"/>
            </w:pPr>
            <w:r w:rsidRPr="0049396B">
              <w:t>Yr 2:</w:t>
            </w:r>
            <w:r w:rsidR="0015085A">
              <w:t xml:space="preserve"> </w:t>
            </w:r>
            <w:r w:rsidR="0015085A" w:rsidRPr="00D94CF5">
              <w:rPr>
                <w:color w:val="000000"/>
                <w:spacing w:val="53"/>
                <w:shd w:val="solid" w:color="000000" w:fill="000000"/>
                <w:fitText w:val="330" w:id="-1032131318"/>
                <w14:textFill>
                  <w14:solidFill>
                    <w14:srgbClr w14:val="000000">
                      <w14:alpha w14:val="100000"/>
                    </w14:srgbClr>
                  </w14:solidFill>
                </w14:textFill>
              </w:rPr>
              <w:t>|||</w:t>
            </w:r>
            <w:r w:rsidR="0015085A" w:rsidRPr="00D94CF5">
              <w:rPr>
                <w:color w:val="000000"/>
                <w:spacing w:val="1"/>
                <w:shd w:val="solid" w:color="000000" w:fill="000000"/>
                <w:fitText w:val="330" w:id="-1032131318"/>
                <w14:textFill>
                  <w14:solidFill>
                    <w14:srgbClr w14:val="000000">
                      <w14:alpha w14:val="100000"/>
                    </w14:srgbClr>
                  </w14:solidFill>
                </w14:textFill>
              </w:rPr>
              <w:t>|</w:t>
            </w:r>
            <w:r w:rsidR="005A547B" w:rsidRPr="005A547B">
              <w:rPr>
                <w:vertAlign w:val="superscript"/>
              </w:rPr>
              <w:t>1</w:t>
            </w:r>
          </w:p>
          <w:p w14:paraId="3BC83A9E" w14:textId="06DFD601" w:rsidR="001A58A0" w:rsidRPr="0049396B" w:rsidRDefault="001A58A0" w:rsidP="00020E51">
            <w:pPr>
              <w:pStyle w:val="TableText0"/>
            </w:pPr>
            <w:r w:rsidRPr="0049396B">
              <w:t>Yr 3:</w:t>
            </w:r>
            <w:r w:rsidR="0015085A">
              <w:t xml:space="preserve"> </w:t>
            </w:r>
            <w:r w:rsidR="0015085A" w:rsidRPr="00D94CF5">
              <w:rPr>
                <w:color w:val="000000"/>
                <w:spacing w:val="53"/>
                <w:shd w:val="solid" w:color="000000" w:fill="000000"/>
                <w:fitText w:val="330" w:id="-1032131317"/>
                <w14:textFill>
                  <w14:solidFill>
                    <w14:srgbClr w14:val="000000">
                      <w14:alpha w14:val="100000"/>
                    </w14:srgbClr>
                  </w14:solidFill>
                </w14:textFill>
              </w:rPr>
              <w:t>|||</w:t>
            </w:r>
            <w:r w:rsidR="0015085A" w:rsidRPr="00D94CF5">
              <w:rPr>
                <w:color w:val="000000"/>
                <w:spacing w:val="1"/>
                <w:shd w:val="solid" w:color="000000" w:fill="000000"/>
                <w:fitText w:val="330" w:id="-1032131317"/>
                <w14:textFill>
                  <w14:solidFill>
                    <w14:srgbClr w14:val="000000">
                      <w14:alpha w14:val="100000"/>
                    </w14:srgbClr>
                  </w14:solidFill>
                </w14:textFill>
              </w:rPr>
              <w:t>|</w:t>
            </w:r>
            <w:r w:rsidR="005A547B" w:rsidRPr="005A547B">
              <w:rPr>
                <w:vertAlign w:val="superscript"/>
              </w:rPr>
              <w:t>1</w:t>
            </w:r>
          </w:p>
          <w:p w14:paraId="0B7D84DC" w14:textId="755672FE" w:rsidR="001A58A0" w:rsidRPr="0049396B" w:rsidRDefault="001A58A0" w:rsidP="00020E51">
            <w:pPr>
              <w:pStyle w:val="TableText0"/>
            </w:pPr>
            <w:r w:rsidRPr="0049396B">
              <w:t>Yr 4:</w:t>
            </w:r>
            <w:r w:rsidR="0015085A">
              <w:t xml:space="preserve"> </w:t>
            </w:r>
            <w:r w:rsidR="0015085A" w:rsidRPr="00D94CF5">
              <w:rPr>
                <w:color w:val="000000"/>
                <w:spacing w:val="53"/>
                <w:shd w:val="solid" w:color="000000" w:fill="000000"/>
                <w:fitText w:val="330" w:id="-1032131316"/>
                <w14:textFill>
                  <w14:solidFill>
                    <w14:srgbClr w14:val="000000">
                      <w14:alpha w14:val="100000"/>
                    </w14:srgbClr>
                  </w14:solidFill>
                </w14:textFill>
              </w:rPr>
              <w:t>|||</w:t>
            </w:r>
            <w:r w:rsidR="0015085A" w:rsidRPr="00D94CF5">
              <w:rPr>
                <w:color w:val="000000"/>
                <w:spacing w:val="1"/>
                <w:shd w:val="solid" w:color="000000" w:fill="000000"/>
                <w:fitText w:val="330" w:id="-1032131316"/>
                <w14:textFill>
                  <w14:solidFill>
                    <w14:srgbClr w14:val="000000">
                      <w14:alpha w14:val="100000"/>
                    </w14:srgbClr>
                  </w14:solidFill>
                </w14:textFill>
              </w:rPr>
              <w:t>|</w:t>
            </w:r>
            <w:r w:rsidR="005A547B" w:rsidRPr="005A547B">
              <w:rPr>
                <w:vertAlign w:val="superscript"/>
              </w:rPr>
              <w:t>1</w:t>
            </w:r>
          </w:p>
          <w:p w14:paraId="695EAE02" w14:textId="11E76BF0" w:rsidR="001A58A0" w:rsidRPr="0049396B" w:rsidRDefault="001A58A0" w:rsidP="00020E51">
            <w:pPr>
              <w:pStyle w:val="TableText0"/>
            </w:pPr>
            <w:r w:rsidRPr="0049396B">
              <w:t>Yr 5:</w:t>
            </w:r>
            <w:r w:rsidR="0015085A">
              <w:t xml:space="preserve"> </w:t>
            </w:r>
            <w:r w:rsidR="0015085A" w:rsidRPr="00D94CF5">
              <w:rPr>
                <w:color w:val="000000"/>
                <w:spacing w:val="53"/>
                <w:shd w:val="solid" w:color="000000" w:fill="000000"/>
                <w:fitText w:val="330" w:id="-1032131315"/>
                <w14:textFill>
                  <w14:solidFill>
                    <w14:srgbClr w14:val="000000">
                      <w14:alpha w14:val="100000"/>
                    </w14:srgbClr>
                  </w14:solidFill>
                </w14:textFill>
              </w:rPr>
              <w:t>|||</w:t>
            </w:r>
            <w:r w:rsidR="0015085A" w:rsidRPr="00D94CF5">
              <w:rPr>
                <w:color w:val="000000"/>
                <w:spacing w:val="1"/>
                <w:shd w:val="solid" w:color="000000" w:fill="000000"/>
                <w:fitText w:val="330" w:id="-1032131315"/>
                <w14:textFill>
                  <w14:solidFill>
                    <w14:srgbClr w14:val="000000">
                      <w14:alpha w14:val="100000"/>
                    </w14:srgbClr>
                  </w14:solidFill>
                </w14:textFill>
              </w:rPr>
              <w:t>|</w:t>
            </w:r>
            <w:r w:rsidR="005A547B" w:rsidRPr="005A547B">
              <w:rPr>
                <w:vertAlign w:val="superscript"/>
              </w:rPr>
              <w:t>1</w:t>
            </w:r>
          </w:p>
          <w:p w14:paraId="70466481" w14:textId="121A9336" w:rsidR="001A58A0" w:rsidRPr="0049396B" w:rsidRDefault="001A58A0" w:rsidP="00020E51">
            <w:pPr>
              <w:pStyle w:val="TableText0"/>
              <w:keepNext w:val="0"/>
            </w:pPr>
            <w:r w:rsidRPr="0049396B">
              <w:t>Yr 6:</w:t>
            </w:r>
            <w:r w:rsidR="0015085A">
              <w:t xml:space="preserve"> </w:t>
            </w:r>
            <w:r w:rsidR="0015085A" w:rsidRPr="00D94CF5">
              <w:rPr>
                <w:color w:val="000000"/>
                <w:spacing w:val="53"/>
                <w:shd w:val="solid" w:color="000000" w:fill="000000"/>
                <w:fitText w:val="330" w:id="-1032131314"/>
                <w14:textFill>
                  <w14:solidFill>
                    <w14:srgbClr w14:val="000000">
                      <w14:alpha w14:val="100000"/>
                    </w14:srgbClr>
                  </w14:solidFill>
                </w14:textFill>
              </w:rPr>
              <w:t>|||</w:t>
            </w:r>
            <w:r w:rsidR="0015085A" w:rsidRPr="00D94CF5">
              <w:rPr>
                <w:color w:val="000000"/>
                <w:spacing w:val="1"/>
                <w:shd w:val="solid" w:color="000000" w:fill="000000"/>
                <w:fitText w:val="330" w:id="-1032131314"/>
                <w14:textFill>
                  <w14:solidFill>
                    <w14:srgbClr w14:val="000000">
                      <w14:alpha w14:val="100000"/>
                    </w14:srgbClr>
                  </w14:solidFill>
                </w14:textFill>
              </w:rPr>
              <w:t>|</w:t>
            </w:r>
            <w:r w:rsidR="005A547B" w:rsidRPr="005A547B">
              <w:rPr>
                <w:vertAlign w:val="superscript"/>
              </w:rPr>
              <w:t>1</w:t>
            </w:r>
          </w:p>
        </w:tc>
        <w:tc>
          <w:tcPr>
            <w:tcW w:w="2410" w:type="dxa"/>
            <w:vAlign w:val="center"/>
          </w:tcPr>
          <w:p w14:paraId="578AAAA3" w14:textId="77777777" w:rsidR="001A58A0" w:rsidRPr="0049396B" w:rsidRDefault="001A58A0" w:rsidP="00020E51">
            <w:pPr>
              <w:pStyle w:val="TableText0"/>
              <w:keepNext w:val="0"/>
            </w:pPr>
            <w:r w:rsidRPr="0049396B">
              <w:t>Number of eligible patients multiplied by uptake rate.</w:t>
            </w:r>
          </w:p>
        </w:tc>
        <w:tc>
          <w:tcPr>
            <w:tcW w:w="2202" w:type="dxa"/>
            <w:vAlign w:val="center"/>
          </w:tcPr>
          <w:p w14:paraId="7DC12021" w14:textId="77777777" w:rsidR="001A58A0" w:rsidRPr="0049396B" w:rsidRDefault="001A58A0" w:rsidP="00020E51">
            <w:pPr>
              <w:pStyle w:val="TableText0"/>
              <w:keepNext w:val="0"/>
            </w:pPr>
            <w:r w:rsidRPr="0049396B">
              <w:t>Calculations were arithmetically correct.</w:t>
            </w:r>
          </w:p>
        </w:tc>
        <w:tc>
          <w:tcPr>
            <w:tcW w:w="2425" w:type="dxa"/>
          </w:tcPr>
          <w:p w14:paraId="01AAC418" w14:textId="77777777" w:rsidR="001A58A0" w:rsidRPr="0049396B" w:rsidRDefault="001A58A0" w:rsidP="00020E51">
            <w:pPr>
              <w:pStyle w:val="TableText0"/>
              <w:keepNext w:val="0"/>
              <w:rPr>
                <w:iCs/>
              </w:rPr>
            </w:pPr>
          </w:p>
        </w:tc>
      </w:tr>
      <w:tr w:rsidR="001A58A0" w:rsidRPr="0049396B" w14:paraId="4CD37920" w14:textId="0F318DE9" w:rsidTr="00817E9E">
        <w:trPr>
          <w:cantSplit/>
        </w:trPr>
        <w:tc>
          <w:tcPr>
            <w:tcW w:w="988" w:type="dxa"/>
            <w:vAlign w:val="center"/>
          </w:tcPr>
          <w:p w14:paraId="4A3D6557" w14:textId="77777777" w:rsidR="001A58A0" w:rsidRPr="0049396B" w:rsidRDefault="001A58A0" w:rsidP="00020E51">
            <w:pPr>
              <w:pStyle w:val="TableText0"/>
              <w:keepNext w:val="0"/>
            </w:pPr>
            <w:r w:rsidRPr="0049396B">
              <w:t>Continuation rate after first treatment cycle</w:t>
            </w:r>
          </w:p>
        </w:tc>
        <w:tc>
          <w:tcPr>
            <w:tcW w:w="992" w:type="dxa"/>
            <w:vAlign w:val="center"/>
          </w:tcPr>
          <w:p w14:paraId="30659725" w14:textId="77777777" w:rsidR="001A58A0" w:rsidRPr="0049396B" w:rsidRDefault="001A58A0" w:rsidP="00020E51">
            <w:pPr>
              <w:pStyle w:val="TableText0"/>
            </w:pPr>
            <w:r w:rsidRPr="0049396B">
              <w:t>Yrs 1-6: 85%</w:t>
            </w:r>
          </w:p>
        </w:tc>
        <w:tc>
          <w:tcPr>
            <w:tcW w:w="2410" w:type="dxa"/>
            <w:vAlign w:val="center"/>
          </w:tcPr>
          <w:p w14:paraId="4464266E" w14:textId="77777777" w:rsidR="001A58A0" w:rsidRPr="0049396B" w:rsidRDefault="001A58A0" w:rsidP="00020E51">
            <w:pPr>
              <w:pStyle w:val="TableText0"/>
              <w:keepNext w:val="0"/>
            </w:pPr>
            <w:r w:rsidRPr="0049396B">
              <w:t xml:space="preserve">Assumed. </w:t>
            </w:r>
          </w:p>
        </w:tc>
        <w:tc>
          <w:tcPr>
            <w:tcW w:w="2202" w:type="dxa"/>
            <w:vAlign w:val="center"/>
          </w:tcPr>
          <w:p w14:paraId="51232872" w14:textId="04B73FBA" w:rsidR="001A58A0" w:rsidRPr="0049396B" w:rsidRDefault="001A58A0" w:rsidP="00020E51">
            <w:pPr>
              <w:pStyle w:val="TableText0"/>
              <w:keepNext w:val="0"/>
            </w:pPr>
            <w:r w:rsidRPr="0049396B">
              <w:t>Continuation in Study 19 was high, with 99% patients commencing 6 cycles of treatment, and therefore this continuation rate may be an underestimate. The submission presented a sensitivity where 100% patients continue treatment</w:t>
            </w:r>
            <w:r w:rsidR="0049396B">
              <w:t xml:space="preserve">. </w:t>
            </w:r>
          </w:p>
        </w:tc>
        <w:tc>
          <w:tcPr>
            <w:tcW w:w="2425" w:type="dxa"/>
          </w:tcPr>
          <w:p w14:paraId="7B1DD82B" w14:textId="39A81433" w:rsidR="001A58A0" w:rsidRPr="0049396B" w:rsidRDefault="00771726" w:rsidP="00B9725C">
            <w:pPr>
              <w:pStyle w:val="TableText0"/>
              <w:rPr>
                <w:iCs/>
                <w:szCs w:val="20"/>
              </w:rPr>
            </w:pPr>
            <w:r w:rsidRPr="0049396B">
              <w:rPr>
                <w:iCs/>
                <w:szCs w:val="20"/>
              </w:rPr>
              <w:t>DUSC considered that given the treatment burden, a continuation rate of 100% after the first cycle of treatment was an overestimate.</w:t>
            </w:r>
          </w:p>
        </w:tc>
      </w:tr>
      <w:tr w:rsidR="001A58A0" w:rsidRPr="0049396B" w14:paraId="332D98A7" w14:textId="42FAE720" w:rsidTr="00817E9E">
        <w:trPr>
          <w:cantSplit/>
        </w:trPr>
        <w:tc>
          <w:tcPr>
            <w:tcW w:w="988" w:type="dxa"/>
            <w:vAlign w:val="center"/>
          </w:tcPr>
          <w:p w14:paraId="67DAA70D" w14:textId="77777777" w:rsidR="001A58A0" w:rsidRPr="0049396B" w:rsidRDefault="001A58A0" w:rsidP="00020E51">
            <w:pPr>
              <w:pStyle w:val="TableText0"/>
              <w:keepNext w:val="0"/>
            </w:pPr>
            <w:r w:rsidRPr="0049396B">
              <w:t>Number continuing treatment</w:t>
            </w:r>
          </w:p>
        </w:tc>
        <w:tc>
          <w:tcPr>
            <w:tcW w:w="992" w:type="dxa"/>
            <w:vAlign w:val="center"/>
          </w:tcPr>
          <w:p w14:paraId="4A47832D" w14:textId="63C2ED4E" w:rsidR="001A58A0" w:rsidRPr="0049396B" w:rsidRDefault="001A58A0" w:rsidP="00020E51">
            <w:pPr>
              <w:pStyle w:val="TableText0"/>
            </w:pPr>
            <w:r w:rsidRPr="0049396B">
              <w:t>Yr 1:</w:t>
            </w:r>
            <w:r w:rsidR="0015085A">
              <w:t xml:space="preserve"> </w:t>
            </w:r>
            <w:r w:rsidR="0015085A" w:rsidRPr="00D94CF5">
              <w:rPr>
                <w:color w:val="000000"/>
                <w:spacing w:val="53"/>
                <w:shd w:val="solid" w:color="000000" w:fill="000000"/>
                <w:fitText w:val="330" w:id="-1032131313"/>
                <w14:textFill>
                  <w14:solidFill>
                    <w14:srgbClr w14:val="000000">
                      <w14:alpha w14:val="100000"/>
                    </w14:srgbClr>
                  </w14:solidFill>
                </w14:textFill>
              </w:rPr>
              <w:t>|||</w:t>
            </w:r>
            <w:r w:rsidR="0015085A" w:rsidRPr="00D94CF5">
              <w:rPr>
                <w:color w:val="000000"/>
                <w:spacing w:val="1"/>
                <w:shd w:val="solid" w:color="000000" w:fill="000000"/>
                <w:fitText w:val="330" w:id="-1032131313"/>
                <w14:textFill>
                  <w14:solidFill>
                    <w14:srgbClr w14:val="000000">
                      <w14:alpha w14:val="100000"/>
                    </w14:srgbClr>
                  </w14:solidFill>
                </w14:textFill>
              </w:rPr>
              <w:t>|</w:t>
            </w:r>
            <w:r w:rsidR="005A547B" w:rsidRPr="005A547B">
              <w:rPr>
                <w:vertAlign w:val="superscript"/>
              </w:rPr>
              <w:t>1</w:t>
            </w:r>
          </w:p>
          <w:p w14:paraId="34802CF1" w14:textId="43D685B6" w:rsidR="001A58A0" w:rsidRPr="0049396B" w:rsidRDefault="001A58A0" w:rsidP="00020E51">
            <w:pPr>
              <w:pStyle w:val="TableText0"/>
            </w:pPr>
            <w:r w:rsidRPr="0049396B">
              <w:t>Yr 2:</w:t>
            </w:r>
            <w:r w:rsidR="0015085A">
              <w:t xml:space="preserve"> </w:t>
            </w:r>
            <w:r w:rsidR="0015085A" w:rsidRPr="00D94CF5">
              <w:rPr>
                <w:color w:val="000000"/>
                <w:spacing w:val="53"/>
                <w:shd w:val="solid" w:color="000000" w:fill="000000"/>
                <w:fitText w:val="330" w:id="-1032131312"/>
                <w14:textFill>
                  <w14:solidFill>
                    <w14:srgbClr w14:val="000000">
                      <w14:alpha w14:val="100000"/>
                    </w14:srgbClr>
                  </w14:solidFill>
                </w14:textFill>
              </w:rPr>
              <w:t>|||</w:t>
            </w:r>
            <w:r w:rsidR="0015085A" w:rsidRPr="00D94CF5">
              <w:rPr>
                <w:color w:val="000000"/>
                <w:spacing w:val="1"/>
                <w:shd w:val="solid" w:color="000000" w:fill="000000"/>
                <w:fitText w:val="330" w:id="-1032131312"/>
                <w14:textFill>
                  <w14:solidFill>
                    <w14:srgbClr w14:val="000000">
                      <w14:alpha w14:val="100000"/>
                    </w14:srgbClr>
                  </w14:solidFill>
                </w14:textFill>
              </w:rPr>
              <w:t>|</w:t>
            </w:r>
            <w:r w:rsidR="005A547B" w:rsidRPr="005A547B">
              <w:rPr>
                <w:vertAlign w:val="superscript"/>
              </w:rPr>
              <w:t>1</w:t>
            </w:r>
          </w:p>
          <w:p w14:paraId="3448D9FD" w14:textId="1F56B36E" w:rsidR="001A58A0" w:rsidRPr="0049396B" w:rsidRDefault="001A58A0" w:rsidP="00020E51">
            <w:pPr>
              <w:pStyle w:val="TableText0"/>
            </w:pPr>
            <w:r w:rsidRPr="0049396B">
              <w:t>Yr 3:</w:t>
            </w:r>
            <w:r w:rsidR="0015085A">
              <w:t xml:space="preserve"> </w:t>
            </w:r>
            <w:r w:rsidR="0015085A" w:rsidRPr="00D94CF5">
              <w:rPr>
                <w:color w:val="000000"/>
                <w:spacing w:val="53"/>
                <w:shd w:val="solid" w:color="000000" w:fill="000000"/>
                <w:fitText w:val="330" w:id="-1032131328"/>
                <w14:textFill>
                  <w14:solidFill>
                    <w14:srgbClr w14:val="000000">
                      <w14:alpha w14:val="100000"/>
                    </w14:srgbClr>
                  </w14:solidFill>
                </w14:textFill>
              </w:rPr>
              <w:t>|||</w:t>
            </w:r>
            <w:r w:rsidR="0015085A" w:rsidRPr="00D94CF5">
              <w:rPr>
                <w:color w:val="000000"/>
                <w:spacing w:val="1"/>
                <w:shd w:val="solid" w:color="000000" w:fill="000000"/>
                <w:fitText w:val="330" w:id="-1032131328"/>
                <w14:textFill>
                  <w14:solidFill>
                    <w14:srgbClr w14:val="000000">
                      <w14:alpha w14:val="100000"/>
                    </w14:srgbClr>
                  </w14:solidFill>
                </w14:textFill>
              </w:rPr>
              <w:t>|</w:t>
            </w:r>
            <w:r w:rsidR="005A547B" w:rsidRPr="005A547B">
              <w:rPr>
                <w:vertAlign w:val="superscript"/>
              </w:rPr>
              <w:t>1</w:t>
            </w:r>
          </w:p>
          <w:p w14:paraId="69DFA0D7" w14:textId="3F0DFA98" w:rsidR="001A58A0" w:rsidRPr="0049396B" w:rsidRDefault="001A58A0" w:rsidP="00020E51">
            <w:pPr>
              <w:pStyle w:val="TableText0"/>
            </w:pPr>
            <w:r w:rsidRPr="0049396B">
              <w:t>Yr 4:</w:t>
            </w:r>
            <w:r w:rsidR="0015085A">
              <w:t xml:space="preserve"> </w:t>
            </w:r>
            <w:r w:rsidR="0015085A" w:rsidRPr="00D94CF5">
              <w:rPr>
                <w:color w:val="000000"/>
                <w:spacing w:val="53"/>
                <w:shd w:val="solid" w:color="000000" w:fill="000000"/>
                <w:fitText w:val="330" w:id="-1032131327"/>
                <w14:textFill>
                  <w14:solidFill>
                    <w14:srgbClr w14:val="000000">
                      <w14:alpha w14:val="100000"/>
                    </w14:srgbClr>
                  </w14:solidFill>
                </w14:textFill>
              </w:rPr>
              <w:t>|||</w:t>
            </w:r>
            <w:r w:rsidR="0015085A" w:rsidRPr="00D94CF5">
              <w:rPr>
                <w:color w:val="000000"/>
                <w:spacing w:val="1"/>
                <w:shd w:val="solid" w:color="000000" w:fill="000000"/>
                <w:fitText w:val="330" w:id="-1032131327"/>
                <w14:textFill>
                  <w14:solidFill>
                    <w14:srgbClr w14:val="000000">
                      <w14:alpha w14:val="100000"/>
                    </w14:srgbClr>
                  </w14:solidFill>
                </w14:textFill>
              </w:rPr>
              <w:t>|</w:t>
            </w:r>
            <w:r w:rsidR="005A547B" w:rsidRPr="005A547B">
              <w:rPr>
                <w:vertAlign w:val="superscript"/>
              </w:rPr>
              <w:t>1</w:t>
            </w:r>
          </w:p>
          <w:p w14:paraId="432A4174" w14:textId="61BFB06B" w:rsidR="001A58A0" w:rsidRPr="0049396B" w:rsidRDefault="001A58A0" w:rsidP="00020E51">
            <w:pPr>
              <w:pStyle w:val="TableText0"/>
            </w:pPr>
            <w:r w:rsidRPr="0049396B">
              <w:t>Yr 5:</w:t>
            </w:r>
            <w:r w:rsidR="0015085A">
              <w:t xml:space="preserve"> </w:t>
            </w:r>
            <w:r w:rsidR="0015085A" w:rsidRPr="00D94CF5">
              <w:rPr>
                <w:color w:val="000000"/>
                <w:spacing w:val="53"/>
                <w:shd w:val="solid" w:color="000000" w:fill="000000"/>
                <w:fitText w:val="330" w:id="-1032131326"/>
                <w14:textFill>
                  <w14:solidFill>
                    <w14:srgbClr w14:val="000000">
                      <w14:alpha w14:val="100000"/>
                    </w14:srgbClr>
                  </w14:solidFill>
                </w14:textFill>
              </w:rPr>
              <w:t>|||</w:t>
            </w:r>
            <w:r w:rsidR="0015085A" w:rsidRPr="00D94CF5">
              <w:rPr>
                <w:color w:val="000000"/>
                <w:spacing w:val="1"/>
                <w:shd w:val="solid" w:color="000000" w:fill="000000"/>
                <w:fitText w:val="330" w:id="-1032131326"/>
                <w14:textFill>
                  <w14:solidFill>
                    <w14:srgbClr w14:val="000000">
                      <w14:alpha w14:val="100000"/>
                    </w14:srgbClr>
                  </w14:solidFill>
                </w14:textFill>
              </w:rPr>
              <w:t>|</w:t>
            </w:r>
            <w:r w:rsidR="005A547B" w:rsidRPr="005A547B">
              <w:rPr>
                <w:vertAlign w:val="superscript"/>
              </w:rPr>
              <w:t>1</w:t>
            </w:r>
          </w:p>
          <w:p w14:paraId="471DE7D1" w14:textId="1CC2BE4F" w:rsidR="001A58A0" w:rsidRPr="0049396B" w:rsidRDefault="001A58A0" w:rsidP="00020E51">
            <w:pPr>
              <w:pStyle w:val="TableText0"/>
            </w:pPr>
            <w:r w:rsidRPr="0049396B">
              <w:t>Yr 6:</w:t>
            </w:r>
            <w:r w:rsidR="0015085A">
              <w:t xml:space="preserve"> </w:t>
            </w:r>
            <w:r w:rsidR="0015085A" w:rsidRPr="00D94CF5">
              <w:rPr>
                <w:color w:val="000000"/>
                <w:spacing w:val="53"/>
                <w:shd w:val="solid" w:color="000000" w:fill="000000"/>
                <w:fitText w:val="330" w:id="-1032131325"/>
                <w14:textFill>
                  <w14:solidFill>
                    <w14:srgbClr w14:val="000000">
                      <w14:alpha w14:val="100000"/>
                    </w14:srgbClr>
                  </w14:solidFill>
                </w14:textFill>
              </w:rPr>
              <w:t>|||</w:t>
            </w:r>
            <w:r w:rsidR="0015085A" w:rsidRPr="00D94CF5">
              <w:rPr>
                <w:color w:val="000000"/>
                <w:spacing w:val="1"/>
                <w:shd w:val="solid" w:color="000000" w:fill="000000"/>
                <w:fitText w:val="330" w:id="-1032131325"/>
                <w14:textFill>
                  <w14:solidFill>
                    <w14:srgbClr w14:val="000000">
                      <w14:alpha w14:val="100000"/>
                    </w14:srgbClr>
                  </w14:solidFill>
                </w14:textFill>
              </w:rPr>
              <w:t>|</w:t>
            </w:r>
            <w:r w:rsidR="005A547B" w:rsidRPr="005A547B">
              <w:rPr>
                <w:vertAlign w:val="superscript"/>
              </w:rPr>
              <w:t>1</w:t>
            </w:r>
          </w:p>
        </w:tc>
        <w:tc>
          <w:tcPr>
            <w:tcW w:w="2410" w:type="dxa"/>
            <w:vAlign w:val="center"/>
          </w:tcPr>
          <w:p w14:paraId="61530D3F" w14:textId="77777777" w:rsidR="001A58A0" w:rsidRPr="0049396B" w:rsidRDefault="001A58A0" w:rsidP="00020E51">
            <w:pPr>
              <w:pStyle w:val="TableText0"/>
              <w:keepNext w:val="0"/>
            </w:pPr>
            <w:r w:rsidRPr="0049396B">
              <w:t>Number initiating treatment multiplied by continuation rate.</w:t>
            </w:r>
          </w:p>
        </w:tc>
        <w:tc>
          <w:tcPr>
            <w:tcW w:w="2202" w:type="dxa"/>
            <w:vAlign w:val="center"/>
          </w:tcPr>
          <w:p w14:paraId="4A301F4D" w14:textId="77777777" w:rsidR="001A58A0" w:rsidRPr="0049396B" w:rsidRDefault="001A58A0" w:rsidP="00020E51">
            <w:pPr>
              <w:pStyle w:val="TableText0"/>
              <w:keepNext w:val="0"/>
            </w:pPr>
            <w:r w:rsidRPr="0049396B">
              <w:t>Calculations were arithmetically correct. However, the workbook did not allow for continuations beyond the year patients were initially treated.</w:t>
            </w:r>
          </w:p>
        </w:tc>
        <w:tc>
          <w:tcPr>
            <w:tcW w:w="2425" w:type="dxa"/>
          </w:tcPr>
          <w:p w14:paraId="2E819A0E" w14:textId="304D4319" w:rsidR="001A58A0" w:rsidRPr="0049396B" w:rsidRDefault="001A58A0" w:rsidP="00020E51">
            <w:pPr>
              <w:pStyle w:val="TableText0"/>
              <w:keepNext w:val="0"/>
              <w:rPr>
                <w:iCs/>
              </w:rPr>
            </w:pPr>
          </w:p>
        </w:tc>
      </w:tr>
      <w:tr w:rsidR="001A58A0" w:rsidRPr="0049396B" w14:paraId="0300BE41" w14:textId="3CFFE659" w:rsidTr="00817E9E">
        <w:trPr>
          <w:cantSplit/>
        </w:trPr>
        <w:tc>
          <w:tcPr>
            <w:tcW w:w="988" w:type="dxa"/>
            <w:vAlign w:val="center"/>
          </w:tcPr>
          <w:p w14:paraId="774603AD" w14:textId="77777777" w:rsidR="001A58A0" w:rsidRPr="0049396B" w:rsidRDefault="001A58A0" w:rsidP="00020E51">
            <w:pPr>
              <w:pStyle w:val="TableText0"/>
              <w:keepNext w:val="0"/>
            </w:pPr>
            <w:r w:rsidRPr="0049396B">
              <w:t>Time on edaravone</w:t>
            </w:r>
          </w:p>
        </w:tc>
        <w:tc>
          <w:tcPr>
            <w:tcW w:w="992" w:type="dxa"/>
            <w:vAlign w:val="center"/>
          </w:tcPr>
          <w:p w14:paraId="5407E8DA" w14:textId="77777777" w:rsidR="001A58A0" w:rsidRPr="0049396B" w:rsidRDefault="001A58A0" w:rsidP="00020E51">
            <w:pPr>
              <w:pStyle w:val="TableText0"/>
            </w:pPr>
            <w:r w:rsidRPr="0049396B">
              <w:t>9 months</w:t>
            </w:r>
          </w:p>
        </w:tc>
        <w:tc>
          <w:tcPr>
            <w:tcW w:w="2410" w:type="dxa"/>
            <w:vAlign w:val="center"/>
          </w:tcPr>
          <w:p w14:paraId="4E7CC757" w14:textId="77777777" w:rsidR="001A58A0" w:rsidRPr="0049396B" w:rsidRDefault="001A58A0" w:rsidP="00020E51">
            <w:pPr>
              <w:pStyle w:val="TableText0"/>
              <w:keepNext w:val="0"/>
            </w:pPr>
            <w:r w:rsidRPr="0049396B">
              <w:t>Median time to treatment discontinuation in Brooks 2022 (8.6 months).</w:t>
            </w:r>
          </w:p>
        </w:tc>
        <w:tc>
          <w:tcPr>
            <w:tcW w:w="2202" w:type="dxa"/>
            <w:vAlign w:val="center"/>
          </w:tcPr>
          <w:p w14:paraId="23F82DC6" w14:textId="29A0ED18" w:rsidR="001A58A0" w:rsidRPr="0049396B" w:rsidRDefault="001A58A0" w:rsidP="00020E51">
            <w:pPr>
              <w:pStyle w:val="TableText0"/>
              <w:keepNext w:val="0"/>
            </w:pPr>
            <w:r w:rsidRPr="0049396B">
              <w:t>With 15% discontinuation after the first cycle, mean time on treatment in the financial estimates was 7.8 months, similar to the economic analysis base case (7.2 months). As discussed in Section 3, this is likely to be a considerable underestimate of time on treatment.</w:t>
            </w:r>
          </w:p>
        </w:tc>
        <w:tc>
          <w:tcPr>
            <w:tcW w:w="2425" w:type="dxa"/>
          </w:tcPr>
          <w:p w14:paraId="7C123ABD" w14:textId="77777777" w:rsidR="00B9725C" w:rsidRPr="0049396B" w:rsidRDefault="00B9725C" w:rsidP="00BF257A">
            <w:pPr>
              <w:pStyle w:val="TableText0"/>
              <w:rPr>
                <w:iCs/>
                <w:szCs w:val="20"/>
              </w:rPr>
            </w:pPr>
            <w:r w:rsidRPr="0049396B">
              <w:rPr>
                <w:iCs/>
                <w:szCs w:val="20"/>
              </w:rPr>
              <w:t>DUSC considered that it was reasonable to assume that most patients will continue therapy after the first cycle.</w:t>
            </w:r>
          </w:p>
          <w:p w14:paraId="58BB9290" w14:textId="27259904" w:rsidR="00BF257A" w:rsidRPr="0049396B" w:rsidRDefault="00BF257A" w:rsidP="00BF257A">
            <w:pPr>
              <w:pStyle w:val="TableText0"/>
              <w:rPr>
                <w:iCs/>
                <w:szCs w:val="20"/>
              </w:rPr>
            </w:pPr>
            <w:r w:rsidRPr="0049396B">
              <w:rPr>
                <w:iCs/>
                <w:szCs w:val="20"/>
              </w:rPr>
              <w:t xml:space="preserve">DUSC commented that the time on treatment might be </w:t>
            </w:r>
            <w:r w:rsidR="00B9725C" w:rsidRPr="0049396B">
              <w:rPr>
                <w:iCs/>
                <w:szCs w:val="20"/>
              </w:rPr>
              <w:t>longer</w:t>
            </w:r>
            <w:r w:rsidRPr="0049396B">
              <w:rPr>
                <w:iCs/>
                <w:szCs w:val="20"/>
              </w:rPr>
              <w:t xml:space="preserve"> due to:</w:t>
            </w:r>
          </w:p>
          <w:p w14:paraId="2EF284E4" w14:textId="77777777" w:rsidR="00BF257A" w:rsidRPr="0049396B" w:rsidRDefault="00BF257A" w:rsidP="00BF257A">
            <w:pPr>
              <w:pStyle w:val="TableText0"/>
              <w:keepNext w:val="0"/>
              <w:numPr>
                <w:ilvl w:val="0"/>
                <w:numId w:val="29"/>
              </w:numPr>
              <w:spacing w:before="80" w:after="80"/>
              <w:ind w:left="253" w:hanging="142"/>
              <w:rPr>
                <w:iCs/>
                <w:szCs w:val="20"/>
              </w:rPr>
            </w:pPr>
            <w:r w:rsidRPr="0049396B">
              <w:rPr>
                <w:iCs/>
                <w:szCs w:val="20"/>
              </w:rPr>
              <w:t xml:space="preserve"> the broadened Gold Coast diagnostic criteria, which diagnoses patients earlier than other diagnostic criteria.</w:t>
            </w:r>
          </w:p>
          <w:p w14:paraId="4034C750" w14:textId="240F30F3" w:rsidR="00D21120" w:rsidRPr="0049396B" w:rsidRDefault="00BF257A" w:rsidP="00D21120">
            <w:pPr>
              <w:pStyle w:val="TableText0"/>
              <w:keepNext w:val="0"/>
              <w:numPr>
                <w:ilvl w:val="0"/>
                <w:numId w:val="29"/>
              </w:numPr>
              <w:spacing w:before="80" w:after="80"/>
              <w:ind w:left="253" w:hanging="142"/>
              <w:rPr>
                <w:iCs/>
                <w:szCs w:val="20"/>
              </w:rPr>
            </w:pPr>
            <w:r w:rsidRPr="0049396B">
              <w:rPr>
                <w:iCs/>
                <w:szCs w:val="20"/>
              </w:rPr>
              <w:t xml:space="preserve">Slower progression of disease. </w:t>
            </w:r>
          </w:p>
        </w:tc>
      </w:tr>
      <w:tr w:rsidR="001A58A0" w:rsidRPr="0049396B" w14:paraId="6A7AB248" w14:textId="43CF1FE1" w:rsidTr="00817E9E">
        <w:trPr>
          <w:cantSplit/>
        </w:trPr>
        <w:tc>
          <w:tcPr>
            <w:tcW w:w="988" w:type="dxa"/>
            <w:vAlign w:val="center"/>
          </w:tcPr>
          <w:p w14:paraId="4E8F755D" w14:textId="77777777" w:rsidR="001A58A0" w:rsidRPr="0049396B" w:rsidRDefault="001A58A0" w:rsidP="00020E51">
            <w:pPr>
              <w:pStyle w:val="TableText0"/>
              <w:keepNext w:val="0"/>
            </w:pPr>
            <w:r w:rsidRPr="0049396B">
              <w:t>Scripts dispensed</w:t>
            </w:r>
          </w:p>
          <w:p w14:paraId="70966200" w14:textId="77777777" w:rsidR="001A58A0" w:rsidRPr="0049396B" w:rsidRDefault="001A58A0" w:rsidP="00020E51">
            <w:pPr>
              <w:pStyle w:val="TableText0"/>
              <w:keepNext w:val="0"/>
            </w:pPr>
            <w:r w:rsidRPr="0049396B">
              <w:t>edaravone</w:t>
            </w:r>
          </w:p>
        </w:tc>
        <w:tc>
          <w:tcPr>
            <w:tcW w:w="992" w:type="dxa"/>
            <w:vAlign w:val="center"/>
          </w:tcPr>
          <w:p w14:paraId="543A9C73" w14:textId="073A98A5" w:rsidR="001A58A0" w:rsidRPr="0049396B" w:rsidRDefault="001A58A0" w:rsidP="00020E51">
            <w:pPr>
              <w:pStyle w:val="TableText0"/>
            </w:pPr>
            <w:r w:rsidRPr="0049396B">
              <w:t>Yr 1:</w:t>
            </w:r>
            <w:r w:rsidR="0015085A">
              <w:t xml:space="preserve"> </w:t>
            </w:r>
            <w:r w:rsidR="0015085A" w:rsidRPr="00D94CF5">
              <w:rPr>
                <w:color w:val="000000"/>
                <w:spacing w:val="53"/>
                <w:shd w:val="solid" w:color="000000" w:fill="000000"/>
                <w:fitText w:val="330" w:id="-1032131324"/>
                <w14:textFill>
                  <w14:solidFill>
                    <w14:srgbClr w14:val="000000">
                      <w14:alpha w14:val="100000"/>
                    </w14:srgbClr>
                  </w14:solidFill>
                </w14:textFill>
              </w:rPr>
              <w:t>|||</w:t>
            </w:r>
            <w:r w:rsidR="0015085A" w:rsidRPr="00D94CF5">
              <w:rPr>
                <w:color w:val="000000"/>
                <w:spacing w:val="1"/>
                <w:shd w:val="solid" w:color="000000" w:fill="000000"/>
                <w:fitText w:val="330" w:id="-1032131324"/>
                <w14:textFill>
                  <w14:solidFill>
                    <w14:srgbClr w14:val="000000">
                      <w14:alpha w14:val="100000"/>
                    </w14:srgbClr>
                  </w14:solidFill>
                </w14:textFill>
              </w:rPr>
              <w:t>|</w:t>
            </w:r>
            <w:r w:rsidR="005A547B">
              <w:rPr>
                <w:vertAlign w:val="superscript"/>
              </w:rPr>
              <w:t>2</w:t>
            </w:r>
          </w:p>
          <w:p w14:paraId="6790CAC1" w14:textId="6C56FCB1" w:rsidR="001A58A0" w:rsidRPr="0049396B" w:rsidRDefault="001A58A0" w:rsidP="00020E51">
            <w:pPr>
              <w:pStyle w:val="TableText0"/>
            </w:pPr>
            <w:r w:rsidRPr="0049396B">
              <w:t>Yr 2:</w:t>
            </w:r>
            <w:r w:rsidR="0015085A">
              <w:t xml:space="preserve"> </w:t>
            </w:r>
            <w:r w:rsidR="0015085A" w:rsidRPr="00D94CF5">
              <w:rPr>
                <w:color w:val="000000"/>
                <w:spacing w:val="53"/>
                <w:shd w:val="solid" w:color="000000" w:fill="000000"/>
                <w:fitText w:val="330" w:id="-1032131323"/>
                <w14:textFill>
                  <w14:solidFill>
                    <w14:srgbClr w14:val="000000">
                      <w14:alpha w14:val="100000"/>
                    </w14:srgbClr>
                  </w14:solidFill>
                </w14:textFill>
              </w:rPr>
              <w:t>|||</w:t>
            </w:r>
            <w:r w:rsidR="0015085A" w:rsidRPr="00D94CF5">
              <w:rPr>
                <w:color w:val="000000"/>
                <w:spacing w:val="1"/>
                <w:shd w:val="solid" w:color="000000" w:fill="000000"/>
                <w:fitText w:val="330" w:id="-1032131323"/>
                <w14:textFill>
                  <w14:solidFill>
                    <w14:srgbClr w14:val="000000">
                      <w14:alpha w14:val="100000"/>
                    </w14:srgbClr>
                  </w14:solidFill>
                </w14:textFill>
              </w:rPr>
              <w:t>|</w:t>
            </w:r>
            <w:r w:rsidR="005A547B">
              <w:rPr>
                <w:vertAlign w:val="superscript"/>
              </w:rPr>
              <w:t>2</w:t>
            </w:r>
          </w:p>
          <w:p w14:paraId="38BF4C4B" w14:textId="13803BF7" w:rsidR="001A58A0" w:rsidRPr="0049396B" w:rsidRDefault="001A58A0" w:rsidP="00020E51">
            <w:pPr>
              <w:pStyle w:val="TableText0"/>
            </w:pPr>
            <w:r w:rsidRPr="0049396B">
              <w:t>Yr 3:</w:t>
            </w:r>
            <w:r w:rsidR="0015085A">
              <w:t xml:space="preserve"> </w:t>
            </w:r>
            <w:r w:rsidR="0015085A" w:rsidRPr="00D94CF5">
              <w:rPr>
                <w:color w:val="000000"/>
                <w:spacing w:val="53"/>
                <w:shd w:val="solid" w:color="000000" w:fill="000000"/>
                <w:fitText w:val="330" w:id="-1032131322"/>
                <w14:textFill>
                  <w14:solidFill>
                    <w14:srgbClr w14:val="000000">
                      <w14:alpha w14:val="100000"/>
                    </w14:srgbClr>
                  </w14:solidFill>
                </w14:textFill>
              </w:rPr>
              <w:t>|||</w:t>
            </w:r>
            <w:r w:rsidR="0015085A" w:rsidRPr="00D94CF5">
              <w:rPr>
                <w:color w:val="000000"/>
                <w:spacing w:val="1"/>
                <w:shd w:val="solid" w:color="000000" w:fill="000000"/>
                <w:fitText w:val="330" w:id="-1032131322"/>
                <w14:textFill>
                  <w14:solidFill>
                    <w14:srgbClr w14:val="000000">
                      <w14:alpha w14:val="100000"/>
                    </w14:srgbClr>
                  </w14:solidFill>
                </w14:textFill>
              </w:rPr>
              <w:t>|</w:t>
            </w:r>
            <w:r w:rsidR="005A547B">
              <w:rPr>
                <w:vertAlign w:val="superscript"/>
              </w:rPr>
              <w:t>2</w:t>
            </w:r>
          </w:p>
          <w:p w14:paraId="1DDEAE98" w14:textId="27D46E51" w:rsidR="001A58A0" w:rsidRPr="0049396B" w:rsidRDefault="001A58A0" w:rsidP="00020E51">
            <w:pPr>
              <w:pStyle w:val="TableText0"/>
            </w:pPr>
            <w:r w:rsidRPr="0049396B">
              <w:t xml:space="preserve">Yr 4: </w:t>
            </w:r>
            <w:r w:rsidR="0015085A" w:rsidRPr="00D94CF5">
              <w:rPr>
                <w:color w:val="000000"/>
                <w:spacing w:val="53"/>
                <w:shd w:val="solid" w:color="000000" w:fill="000000"/>
                <w:fitText w:val="330" w:id="-1032131321"/>
                <w14:textFill>
                  <w14:solidFill>
                    <w14:srgbClr w14:val="000000">
                      <w14:alpha w14:val="100000"/>
                    </w14:srgbClr>
                  </w14:solidFill>
                </w14:textFill>
              </w:rPr>
              <w:t>|||</w:t>
            </w:r>
            <w:r w:rsidR="0015085A" w:rsidRPr="00D94CF5">
              <w:rPr>
                <w:color w:val="000000"/>
                <w:spacing w:val="1"/>
                <w:shd w:val="solid" w:color="000000" w:fill="000000"/>
                <w:fitText w:val="330" w:id="-1032131321"/>
                <w14:textFill>
                  <w14:solidFill>
                    <w14:srgbClr w14:val="000000">
                      <w14:alpha w14:val="100000"/>
                    </w14:srgbClr>
                  </w14:solidFill>
                </w14:textFill>
              </w:rPr>
              <w:t>|</w:t>
            </w:r>
            <w:r w:rsidR="005A547B">
              <w:rPr>
                <w:vertAlign w:val="superscript"/>
              </w:rPr>
              <w:t>2</w:t>
            </w:r>
          </w:p>
          <w:p w14:paraId="02DCAC6D" w14:textId="67DBA694" w:rsidR="001A58A0" w:rsidRPr="0049396B" w:rsidRDefault="001A58A0" w:rsidP="00020E51">
            <w:pPr>
              <w:pStyle w:val="TableText0"/>
            </w:pPr>
            <w:r w:rsidRPr="0049396B">
              <w:t>Yr 5:</w:t>
            </w:r>
            <w:r w:rsidR="0015085A">
              <w:t xml:space="preserve"> </w:t>
            </w:r>
            <w:r w:rsidR="0015085A" w:rsidRPr="00D94CF5">
              <w:rPr>
                <w:color w:val="000000"/>
                <w:spacing w:val="53"/>
                <w:shd w:val="solid" w:color="000000" w:fill="000000"/>
                <w:fitText w:val="330" w:id="-1032131320"/>
                <w14:textFill>
                  <w14:solidFill>
                    <w14:srgbClr w14:val="000000">
                      <w14:alpha w14:val="100000"/>
                    </w14:srgbClr>
                  </w14:solidFill>
                </w14:textFill>
              </w:rPr>
              <w:t>|||</w:t>
            </w:r>
            <w:r w:rsidR="0015085A" w:rsidRPr="00D94CF5">
              <w:rPr>
                <w:color w:val="000000"/>
                <w:spacing w:val="1"/>
                <w:shd w:val="solid" w:color="000000" w:fill="000000"/>
                <w:fitText w:val="330" w:id="-1032131320"/>
                <w14:textFill>
                  <w14:solidFill>
                    <w14:srgbClr w14:val="000000">
                      <w14:alpha w14:val="100000"/>
                    </w14:srgbClr>
                  </w14:solidFill>
                </w14:textFill>
              </w:rPr>
              <w:t>|</w:t>
            </w:r>
            <w:r w:rsidR="005A547B">
              <w:rPr>
                <w:vertAlign w:val="superscript"/>
              </w:rPr>
              <w:t>2</w:t>
            </w:r>
          </w:p>
          <w:p w14:paraId="66CF95B5" w14:textId="412F8C1E" w:rsidR="001A58A0" w:rsidRPr="0049396B" w:rsidRDefault="001A58A0" w:rsidP="00020E51">
            <w:pPr>
              <w:pStyle w:val="TableText0"/>
              <w:keepNext w:val="0"/>
            </w:pPr>
            <w:r w:rsidRPr="0049396B">
              <w:t>Yr 6:</w:t>
            </w:r>
            <w:r w:rsidR="0015085A">
              <w:t xml:space="preserve"> </w:t>
            </w:r>
            <w:r w:rsidR="0015085A" w:rsidRPr="00D94CF5">
              <w:rPr>
                <w:color w:val="000000"/>
                <w:spacing w:val="53"/>
                <w:shd w:val="solid" w:color="000000" w:fill="000000"/>
                <w:fitText w:val="330" w:id="-1032131319"/>
                <w14:textFill>
                  <w14:solidFill>
                    <w14:srgbClr w14:val="000000">
                      <w14:alpha w14:val="100000"/>
                    </w14:srgbClr>
                  </w14:solidFill>
                </w14:textFill>
              </w:rPr>
              <w:t>|||</w:t>
            </w:r>
            <w:r w:rsidR="0015085A" w:rsidRPr="00D94CF5">
              <w:rPr>
                <w:color w:val="000000"/>
                <w:spacing w:val="1"/>
                <w:shd w:val="solid" w:color="000000" w:fill="000000"/>
                <w:fitText w:val="330" w:id="-1032131319"/>
                <w14:textFill>
                  <w14:solidFill>
                    <w14:srgbClr w14:val="000000">
                      <w14:alpha w14:val="100000"/>
                    </w14:srgbClr>
                  </w14:solidFill>
                </w14:textFill>
              </w:rPr>
              <w:t>|</w:t>
            </w:r>
            <w:r w:rsidR="005A547B">
              <w:rPr>
                <w:vertAlign w:val="superscript"/>
              </w:rPr>
              <w:t>2</w:t>
            </w:r>
          </w:p>
        </w:tc>
        <w:tc>
          <w:tcPr>
            <w:tcW w:w="2410" w:type="dxa"/>
            <w:vAlign w:val="center"/>
          </w:tcPr>
          <w:p w14:paraId="44AF1EDE" w14:textId="77777777" w:rsidR="001A58A0" w:rsidRPr="0049396B" w:rsidRDefault="001A58A0" w:rsidP="00020E51">
            <w:pPr>
              <w:pStyle w:val="TableText0"/>
              <w:keepNext w:val="0"/>
            </w:pPr>
            <w:r w:rsidRPr="0049396B">
              <w:t>1x initial script for 100% patients, 8x subsequent scripts for 85% patients who continue.</w:t>
            </w:r>
          </w:p>
        </w:tc>
        <w:tc>
          <w:tcPr>
            <w:tcW w:w="2202" w:type="dxa"/>
            <w:vAlign w:val="center"/>
          </w:tcPr>
          <w:p w14:paraId="0D3FFA87" w14:textId="77777777" w:rsidR="001A58A0" w:rsidRPr="0049396B" w:rsidRDefault="001A58A0" w:rsidP="00020E51">
            <w:pPr>
              <w:pStyle w:val="TableText0"/>
              <w:keepNext w:val="0"/>
            </w:pPr>
            <w:r w:rsidRPr="0049396B">
              <w:t>Calculations were arithmetically correct.</w:t>
            </w:r>
          </w:p>
        </w:tc>
        <w:tc>
          <w:tcPr>
            <w:tcW w:w="2425" w:type="dxa"/>
          </w:tcPr>
          <w:p w14:paraId="7C06D014" w14:textId="00994437" w:rsidR="001A58A0" w:rsidRPr="0049396B" w:rsidRDefault="00BF257A" w:rsidP="00020E51">
            <w:pPr>
              <w:pStyle w:val="TableText0"/>
              <w:keepNext w:val="0"/>
              <w:rPr>
                <w:iCs/>
              </w:rPr>
            </w:pPr>
            <w:r w:rsidRPr="0049396B">
              <w:rPr>
                <w:iCs/>
                <w:szCs w:val="20"/>
              </w:rPr>
              <w:t>DUSC noted that the</w:t>
            </w:r>
            <w:r w:rsidR="005D50DB">
              <w:rPr>
                <w:iCs/>
                <w:szCs w:val="20"/>
              </w:rPr>
              <w:t xml:space="preserve"> incident and prevalent patients were summed to obtain the total number of eligible patients. As the number of prevalent patients already captured incident patients, there was likely double counting of incident patients. As such, the</w:t>
            </w:r>
            <w:r w:rsidRPr="0049396B">
              <w:rPr>
                <w:iCs/>
                <w:szCs w:val="20"/>
              </w:rPr>
              <w:t xml:space="preserve"> number of prescriptions dispensed in Year 1 may need to be adjusted if the prevalent pool already includes incident patients</w:t>
            </w:r>
            <w:r w:rsidR="005D50DB">
              <w:rPr>
                <w:iCs/>
                <w:szCs w:val="20"/>
              </w:rPr>
              <w:t>.</w:t>
            </w:r>
            <w:r w:rsidRPr="0049396B">
              <w:rPr>
                <w:iCs/>
                <w:szCs w:val="20"/>
              </w:rPr>
              <w:t>.</w:t>
            </w:r>
          </w:p>
        </w:tc>
      </w:tr>
      <w:tr w:rsidR="001A58A0" w:rsidRPr="0049396B" w14:paraId="51CCDDD8" w14:textId="2C698B33" w:rsidTr="00817E9E">
        <w:trPr>
          <w:cantSplit/>
        </w:trPr>
        <w:tc>
          <w:tcPr>
            <w:tcW w:w="988" w:type="dxa"/>
            <w:vAlign w:val="center"/>
          </w:tcPr>
          <w:p w14:paraId="00165890" w14:textId="77777777" w:rsidR="001A58A0" w:rsidRPr="0049396B" w:rsidRDefault="001A58A0" w:rsidP="00020E51">
            <w:pPr>
              <w:pStyle w:val="TableText0"/>
              <w:keepNext w:val="0"/>
            </w:pPr>
            <w:r w:rsidRPr="0049396B">
              <w:lastRenderedPageBreak/>
              <w:t xml:space="preserve">Scripts dispensed </w:t>
            </w:r>
            <w:proofErr w:type="spellStart"/>
            <w:r w:rsidRPr="0049396B">
              <w:t>riluzole</w:t>
            </w:r>
            <w:proofErr w:type="spellEnd"/>
            <w:r w:rsidRPr="0049396B">
              <w:t xml:space="preserve"> </w:t>
            </w:r>
          </w:p>
        </w:tc>
        <w:tc>
          <w:tcPr>
            <w:tcW w:w="992" w:type="dxa"/>
            <w:vAlign w:val="center"/>
          </w:tcPr>
          <w:p w14:paraId="74504F12" w14:textId="6CE914B3" w:rsidR="001A58A0" w:rsidRPr="0049396B" w:rsidRDefault="001A58A0" w:rsidP="00020E51">
            <w:pPr>
              <w:pStyle w:val="TableText0"/>
            </w:pPr>
            <w:r w:rsidRPr="0049396B">
              <w:t>Yr 1:</w:t>
            </w:r>
            <w:r w:rsidR="0015085A">
              <w:t xml:space="preserve"> </w:t>
            </w:r>
            <w:r w:rsidR="0015085A" w:rsidRPr="00D94CF5">
              <w:rPr>
                <w:color w:val="000000"/>
                <w:spacing w:val="53"/>
                <w:shd w:val="solid" w:color="000000" w:fill="000000"/>
                <w:fitText w:val="330" w:id="-1032131318"/>
                <w14:textFill>
                  <w14:solidFill>
                    <w14:srgbClr w14:val="000000">
                      <w14:alpha w14:val="100000"/>
                    </w14:srgbClr>
                  </w14:solidFill>
                </w14:textFill>
              </w:rPr>
              <w:t>|||</w:t>
            </w:r>
            <w:r w:rsidR="0015085A" w:rsidRPr="00D94CF5">
              <w:rPr>
                <w:color w:val="000000"/>
                <w:spacing w:val="1"/>
                <w:shd w:val="solid" w:color="000000" w:fill="000000"/>
                <w:fitText w:val="330" w:id="-1032131318"/>
                <w14:textFill>
                  <w14:solidFill>
                    <w14:srgbClr w14:val="000000">
                      <w14:alpha w14:val="100000"/>
                    </w14:srgbClr>
                  </w14:solidFill>
                </w14:textFill>
              </w:rPr>
              <w:t>|</w:t>
            </w:r>
            <w:r w:rsidR="005A547B">
              <w:rPr>
                <w:vertAlign w:val="superscript"/>
              </w:rPr>
              <w:t>2</w:t>
            </w:r>
          </w:p>
          <w:p w14:paraId="47F65FAC" w14:textId="0223C973" w:rsidR="001A58A0" w:rsidRPr="0049396B" w:rsidRDefault="001A58A0" w:rsidP="00020E51">
            <w:pPr>
              <w:pStyle w:val="TableText0"/>
            </w:pPr>
            <w:r w:rsidRPr="0049396B">
              <w:t>Yr 2:</w:t>
            </w:r>
            <w:r w:rsidR="0015085A">
              <w:t xml:space="preserve"> </w:t>
            </w:r>
            <w:r w:rsidR="0015085A" w:rsidRPr="00D94CF5">
              <w:rPr>
                <w:color w:val="000000"/>
                <w:spacing w:val="53"/>
                <w:shd w:val="solid" w:color="000000" w:fill="000000"/>
                <w:fitText w:val="330" w:id="-1032131317"/>
                <w14:textFill>
                  <w14:solidFill>
                    <w14:srgbClr w14:val="000000">
                      <w14:alpha w14:val="100000"/>
                    </w14:srgbClr>
                  </w14:solidFill>
                </w14:textFill>
              </w:rPr>
              <w:t>|||</w:t>
            </w:r>
            <w:r w:rsidR="0015085A" w:rsidRPr="00D94CF5">
              <w:rPr>
                <w:color w:val="000000"/>
                <w:spacing w:val="1"/>
                <w:shd w:val="solid" w:color="000000" w:fill="000000"/>
                <w:fitText w:val="330" w:id="-1032131317"/>
                <w14:textFill>
                  <w14:solidFill>
                    <w14:srgbClr w14:val="000000">
                      <w14:alpha w14:val="100000"/>
                    </w14:srgbClr>
                  </w14:solidFill>
                </w14:textFill>
              </w:rPr>
              <w:t>|</w:t>
            </w:r>
            <w:r w:rsidR="005A547B">
              <w:rPr>
                <w:vertAlign w:val="superscript"/>
              </w:rPr>
              <w:t>2</w:t>
            </w:r>
          </w:p>
          <w:p w14:paraId="51C133F5" w14:textId="3D0FC6D6" w:rsidR="001A58A0" w:rsidRPr="0049396B" w:rsidRDefault="001A58A0" w:rsidP="00020E51">
            <w:pPr>
              <w:pStyle w:val="TableText0"/>
            </w:pPr>
            <w:r w:rsidRPr="0049396B">
              <w:t>Yr 3:</w:t>
            </w:r>
            <w:r w:rsidR="0015085A">
              <w:t xml:space="preserve"> </w:t>
            </w:r>
            <w:r w:rsidR="0015085A" w:rsidRPr="00D94CF5">
              <w:rPr>
                <w:color w:val="000000"/>
                <w:spacing w:val="53"/>
                <w:shd w:val="solid" w:color="000000" w:fill="000000"/>
                <w:fitText w:val="330" w:id="-1032131316"/>
                <w14:textFill>
                  <w14:solidFill>
                    <w14:srgbClr w14:val="000000">
                      <w14:alpha w14:val="100000"/>
                    </w14:srgbClr>
                  </w14:solidFill>
                </w14:textFill>
              </w:rPr>
              <w:t>|||</w:t>
            </w:r>
            <w:r w:rsidR="0015085A" w:rsidRPr="00D94CF5">
              <w:rPr>
                <w:color w:val="000000"/>
                <w:spacing w:val="1"/>
                <w:shd w:val="solid" w:color="000000" w:fill="000000"/>
                <w:fitText w:val="330" w:id="-1032131316"/>
                <w14:textFill>
                  <w14:solidFill>
                    <w14:srgbClr w14:val="000000">
                      <w14:alpha w14:val="100000"/>
                    </w14:srgbClr>
                  </w14:solidFill>
                </w14:textFill>
              </w:rPr>
              <w:t>|</w:t>
            </w:r>
            <w:r w:rsidR="005A547B">
              <w:rPr>
                <w:vertAlign w:val="superscript"/>
              </w:rPr>
              <w:t>2</w:t>
            </w:r>
          </w:p>
          <w:p w14:paraId="7BF31C1C" w14:textId="602986DE" w:rsidR="001A58A0" w:rsidRPr="0049396B" w:rsidRDefault="001A58A0" w:rsidP="00020E51">
            <w:pPr>
              <w:pStyle w:val="TableText0"/>
            </w:pPr>
            <w:r w:rsidRPr="0049396B">
              <w:t>Yr 4:</w:t>
            </w:r>
            <w:r w:rsidR="0015085A">
              <w:t xml:space="preserve"> </w:t>
            </w:r>
            <w:r w:rsidR="0015085A" w:rsidRPr="00D94CF5">
              <w:rPr>
                <w:color w:val="000000"/>
                <w:spacing w:val="53"/>
                <w:shd w:val="solid" w:color="000000" w:fill="000000"/>
                <w:fitText w:val="330" w:id="-1032131315"/>
                <w14:textFill>
                  <w14:solidFill>
                    <w14:srgbClr w14:val="000000">
                      <w14:alpha w14:val="100000"/>
                    </w14:srgbClr>
                  </w14:solidFill>
                </w14:textFill>
              </w:rPr>
              <w:t>|||</w:t>
            </w:r>
            <w:r w:rsidR="0015085A" w:rsidRPr="00D94CF5">
              <w:rPr>
                <w:color w:val="000000"/>
                <w:spacing w:val="1"/>
                <w:shd w:val="solid" w:color="000000" w:fill="000000"/>
                <w:fitText w:val="330" w:id="-1032131315"/>
                <w14:textFill>
                  <w14:solidFill>
                    <w14:srgbClr w14:val="000000">
                      <w14:alpha w14:val="100000"/>
                    </w14:srgbClr>
                  </w14:solidFill>
                </w14:textFill>
              </w:rPr>
              <w:t>|</w:t>
            </w:r>
            <w:r w:rsidR="005A547B">
              <w:rPr>
                <w:vertAlign w:val="superscript"/>
              </w:rPr>
              <w:t>3</w:t>
            </w:r>
          </w:p>
          <w:p w14:paraId="388A63C5" w14:textId="61A3990D" w:rsidR="001A58A0" w:rsidRPr="0049396B" w:rsidRDefault="001A58A0" w:rsidP="00020E51">
            <w:pPr>
              <w:pStyle w:val="TableText0"/>
            </w:pPr>
            <w:r w:rsidRPr="0049396B">
              <w:t xml:space="preserve">Yr 5: </w:t>
            </w:r>
            <w:r w:rsidR="0015085A" w:rsidRPr="00D94CF5">
              <w:rPr>
                <w:color w:val="000000"/>
                <w:spacing w:val="53"/>
                <w:shd w:val="solid" w:color="000000" w:fill="000000"/>
                <w:fitText w:val="330" w:id="-1032131314"/>
                <w14:textFill>
                  <w14:solidFill>
                    <w14:srgbClr w14:val="000000">
                      <w14:alpha w14:val="100000"/>
                    </w14:srgbClr>
                  </w14:solidFill>
                </w14:textFill>
              </w:rPr>
              <w:t>|||</w:t>
            </w:r>
            <w:r w:rsidR="0015085A" w:rsidRPr="00D94CF5">
              <w:rPr>
                <w:color w:val="000000"/>
                <w:spacing w:val="1"/>
                <w:shd w:val="solid" w:color="000000" w:fill="000000"/>
                <w:fitText w:val="330" w:id="-1032131314"/>
                <w14:textFill>
                  <w14:solidFill>
                    <w14:srgbClr w14:val="000000">
                      <w14:alpha w14:val="100000"/>
                    </w14:srgbClr>
                  </w14:solidFill>
                </w14:textFill>
              </w:rPr>
              <w:t>|</w:t>
            </w:r>
            <w:r w:rsidR="005A547B">
              <w:rPr>
                <w:vertAlign w:val="superscript"/>
              </w:rPr>
              <w:t>3</w:t>
            </w:r>
          </w:p>
          <w:p w14:paraId="30225150" w14:textId="2AC1AFE0" w:rsidR="001A58A0" w:rsidRPr="0049396B" w:rsidRDefault="001A58A0" w:rsidP="00020E51">
            <w:pPr>
              <w:pStyle w:val="TableText0"/>
              <w:keepNext w:val="0"/>
            </w:pPr>
            <w:r w:rsidRPr="0049396B">
              <w:t>Yr 6:</w:t>
            </w:r>
            <w:r w:rsidR="0015085A">
              <w:t xml:space="preserve"> </w:t>
            </w:r>
            <w:r w:rsidR="0015085A" w:rsidRPr="00D94CF5">
              <w:rPr>
                <w:color w:val="000000"/>
                <w:spacing w:val="53"/>
                <w:shd w:val="solid" w:color="000000" w:fill="000000"/>
                <w:fitText w:val="330" w:id="-1032131313"/>
                <w14:textFill>
                  <w14:solidFill>
                    <w14:srgbClr w14:val="000000">
                      <w14:alpha w14:val="100000"/>
                    </w14:srgbClr>
                  </w14:solidFill>
                </w14:textFill>
              </w:rPr>
              <w:t>|||</w:t>
            </w:r>
            <w:r w:rsidR="0015085A" w:rsidRPr="00D94CF5">
              <w:rPr>
                <w:color w:val="000000"/>
                <w:spacing w:val="1"/>
                <w:shd w:val="solid" w:color="000000" w:fill="000000"/>
                <w:fitText w:val="330" w:id="-1032131313"/>
                <w14:textFill>
                  <w14:solidFill>
                    <w14:srgbClr w14:val="000000">
                      <w14:alpha w14:val="100000"/>
                    </w14:srgbClr>
                  </w14:solidFill>
                </w14:textFill>
              </w:rPr>
              <w:t>|</w:t>
            </w:r>
            <w:r w:rsidR="005A547B">
              <w:rPr>
                <w:vertAlign w:val="superscript"/>
              </w:rPr>
              <w:t>3</w:t>
            </w:r>
          </w:p>
        </w:tc>
        <w:tc>
          <w:tcPr>
            <w:tcW w:w="2410" w:type="dxa"/>
            <w:vAlign w:val="center"/>
          </w:tcPr>
          <w:p w14:paraId="2F962E40" w14:textId="77777777" w:rsidR="001A58A0" w:rsidRPr="0049396B" w:rsidRDefault="001A58A0" w:rsidP="00020E51">
            <w:pPr>
              <w:pStyle w:val="TableText0"/>
              <w:keepNext w:val="0"/>
            </w:pPr>
            <w:r w:rsidRPr="0049396B">
              <w:t xml:space="preserve">85% of patients receiving edaravone were assumed to also receive </w:t>
            </w:r>
            <w:proofErr w:type="spellStart"/>
            <w:r w:rsidRPr="0049396B">
              <w:t>riluzole</w:t>
            </w:r>
            <w:proofErr w:type="spellEnd"/>
            <w:r w:rsidRPr="0049396B">
              <w:t xml:space="preserve"> (78.71% tablet form, 6.29% oral liquid). Based on the economic analysis an additional 1.37 years of </w:t>
            </w:r>
            <w:proofErr w:type="spellStart"/>
            <w:r w:rsidRPr="0049396B">
              <w:t>riluzole</w:t>
            </w:r>
            <w:proofErr w:type="spellEnd"/>
            <w:r w:rsidRPr="0049396B">
              <w:t xml:space="preserve"> use was estimated per patient and accrued in the financial analysis during the year they initiated treatment with edaravone. Edaravone was not expected to displace current </w:t>
            </w:r>
            <w:proofErr w:type="spellStart"/>
            <w:r w:rsidRPr="0049396B">
              <w:t>riluzole</w:t>
            </w:r>
            <w:proofErr w:type="spellEnd"/>
            <w:r w:rsidRPr="0049396B">
              <w:t xml:space="preserve"> use.</w:t>
            </w:r>
          </w:p>
        </w:tc>
        <w:tc>
          <w:tcPr>
            <w:tcW w:w="2202" w:type="dxa"/>
            <w:vAlign w:val="center"/>
          </w:tcPr>
          <w:p w14:paraId="2F790BF7" w14:textId="77777777" w:rsidR="001A58A0" w:rsidRPr="0049396B" w:rsidRDefault="001A58A0" w:rsidP="00020E51">
            <w:pPr>
              <w:pStyle w:val="TableText0"/>
              <w:keepNext w:val="0"/>
            </w:pPr>
            <w:r w:rsidRPr="0049396B">
              <w:t xml:space="preserve">Calculations were arithmetically correct. The 1.37 years was based on expected total survival gain in the economic analysis (not additional time on </w:t>
            </w:r>
            <w:proofErr w:type="spellStart"/>
            <w:r w:rsidRPr="0049396B">
              <w:t>riluzole</w:t>
            </w:r>
            <w:proofErr w:type="spellEnd"/>
            <w:r w:rsidRPr="0049396B">
              <w:t xml:space="preserve">), and was likely an overestimate. Inclusion of additional </w:t>
            </w:r>
            <w:proofErr w:type="spellStart"/>
            <w:r w:rsidRPr="0049396B">
              <w:t>riluzole</w:t>
            </w:r>
            <w:proofErr w:type="spellEnd"/>
            <w:r w:rsidRPr="0049396B">
              <w:t xml:space="preserve"> costs was not a key driver of the financial estimates.</w:t>
            </w:r>
          </w:p>
        </w:tc>
        <w:tc>
          <w:tcPr>
            <w:tcW w:w="2425" w:type="dxa"/>
          </w:tcPr>
          <w:p w14:paraId="680DE7C9" w14:textId="77777777" w:rsidR="001A58A0" w:rsidRPr="0049396B" w:rsidRDefault="001A58A0" w:rsidP="00020E51">
            <w:pPr>
              <w:pStyle w:val="TableText0"/>
              <w:keepNext w:val="0"/>
              <w:rPr>
                <w:iCs/>
              </w:rPr>
            </w:pPr>
          </w:p>
        </w:tc>
      </w:tr>
      <w:tr w:rsidR="001A58A0" w:rsidRPr="0049396B" w14:paraId="0C208DA7" w14:textId="7881F610" w:rsidTr="00771726">
        <w:trPr>
          <w:cantSplit/>
        </w:trPr>
        <w:tc>
          <w:tcPr>
            <w:tcW w:w="6592" w:type="dxa"/>
            <w:gridSpan w:val="4"/>
            <w:vAlign w:val="center"/>
          </w:tcPr>
          <w:p w14:paraId="3B677C83" w14:textId="77777777" w:rsidR="001A58A0" w:rsidRPr="0049396B" w:rsidRDefault="001A58A0" w:rsidP="00020E51">
            <w:pPr>
              <w:pStyle w:val="TableText0"/>
              <w:keepNext w:val="0"/>
              <w:rPr>
                <w:b/>
              </w:rPr>
            </w:pPr>
            <w:r w:rsidRPr="0049396B">
              <w:rPr>
                <w:b/>
              </w:rPr>
              <w:t>Costs</w:t>
            </w:r>
          </w:p>
        </w:tc>
        <w:tc>
          <w:tcPr>
            <w:tcW w:w="2425" w:type="dxa"/>
          </w:tcPr>
          <w:p w14:paraId="2CC9C12B" w14:textId="77777777" w:rsidR="001A58A0" w:rsidRPr="0049396B" w:rsidRDefault="001A58A0" w:rsidP="00020E51">
            <w:pPr>
              <w:pStyle w:val="TableText0"/>
              <w:keepNext w:val="0"/>
              <w:rPr>
                <w:b/>
                <w:iCs/>
              </w:rPr>
            </w:pPr>
          </w:p>
        </w:tc>
      </w:tr>
      <w:tr w:rsidR="001A58A0" w:rsidRPr="0049396B" w14:paraId="0D7B4C0D" w14:textId="5304641D" w:rsidTr="00817E9E">
        <w:trPr>
          <w:cantSplit/>
        </w:trPr>
        <w:tc>
          <w:tcPr>
            <w:tcW w:w="988" w:type="dxa"/>
            <w:vAlign w:val="center"/>
          </w:tcPr>
          <w:p w14:paraId="57E6EDE6" w14:textId="77777777" w:rsidR="001A58A0" w:rsidRPr="0049396B" w:rsidRDefault="001A58A0" w:rsidP="00020E51">
            <w:pPr>
              <w:pStyle w:val="TableText0"/>
              <w:keepNext w:val="0"/>
            </w:pPr>
            <w:r w:rsidRPr="0049396B">
              <w:t>Edaravone (initial)</w:t>
            </w:r>
          </w:p>
        </w:tc>
        <w:tc>
          <w:tcPr>
            <w:tcW w:w="992" w:type="dxa"/>
            <w:vAlign w:val="center"/>
          </w:tcPr>
          <w:p w14:paraId="51416D2A" w14:textId="7A334271" w:rsidR="001A58A0" w:rsidRPr="0049396B" w:rsidRDefault="009B4DB9" w:rsidP="00020E51">
            <w:pPr>
              <w:pStyle w:val="TableText0"/>
              <w:keepNext w:val="0"/>
            </w:pPr>
            <w:r>
              <w:t>$</w:t>
            </w:r>
            <w:r w:rsidR="0015085A" w:rsidRPr="009B4DB9">
              <w:rPr>
                <w:color w:val="000000"/>
                <w:spacing w:val="49"/>
                <w:shd w:val="solid" w:color="000000" w:fill="000000"/>
                <w:fitText w:val="320" w:id="-1032131312"/>
                <w14:textFill>
                  <w14:solidFill>
                    <w14:srgbClr w14:val="000000">
                      <w14:alpha w14:val="100000"/>
                    </w14:srgbClr>
                  </w14:solidFill>
                </w14:textFill>
              </w:rPr>
              <w:t>|||</w:t>
            </w:r>
            <w:r w:rsidR="0015085A" w:rsidRPr="009B4DB9">
              <w:rPr>
                <w:color w:val="000000"/>
                <w:spacing w:val="3"/>
                <w:shd w:val="solid" w:color="000000" w:fill="000000"/>
                <w:fitText w:val="320" w:id="-1032131312"/>
                <w14:textFill>
                  <w14:solidFill>
                    <w14:srgbClr w14:val="000000">
                      <w14:alpha w14:val="100000"/>
                    </w14:srgbClr>
                  </w14:solidFill>
                </w14:textFill>
              </w:rPr>
              <w:t>|</w:t>
            </w:r>
            <w:r w:rsidR="001A58A0" w:rsidRPr="0049396B">
              <w:t xml:space="preserve"> </w:t>
            </w:r>
          </w:p>
        </w:tc>
        <w:tc>
          <w:tcPr>
            <w:tcW w:w="2410" w:type="dxa"/>
            <w:vAlign w:val="center"/>
          </w:tcPr>
          <w:p w14:paraId="5605D194" w14:textId="77777777" w:rsidR="001A58A0" w:rsidRPr="0049396B" w:rsidRDefault="001A58A0" w:rsidP="00020E51">
            <w:pPr>
              <w:pStyle w:val="TableText0"/>
              <w:keepNext w:val="0"/>
            </w:pPr>
            <w:r w:rsidRPr="0049396B">
              <w:t>Proposed DPMQ (private) for 28 x 30mg/20ml ampoules.</w:t>
            </w:r>
          </w:p>
          <w:p w14:paraId="3845F521" w14:textId="4DC98E38" w:rsidR="001A58A0" w:rsidRPr="0049396B" w:rsidRDefault="001A58A0" w:rsidP="00020E51">
            <w:pPr>
              <w:pStyle w:val="TableText0"/>
              <w:keepNext w:val="0"/>
            </w:pPr>
            <w:r w:rsidRPr="0049396B">
              <w:t xml:space="preserve">Based on AEMP </w:t>
            </w:r>
            <w:r w:rsidR="009B4DB9">
              <w:t>$</w:t>
            </w:r>
            <w:r w:rsidR="0015085A" w:rsidRPr="009B4DB9">
              <w:rPr>
                <w:color w:val="000000"/>
                <w:spacing w:val="49"/>
                <w:shd w:val="solid" w:color="000000" w:fill="000000"/>
                <w:fitText w:val="320" w:id="-1032131328"/>
                <w14:textFill>
                  <w14:solidFill>
                    <w14:srgbClr w14:val="000000">
                      <w14:alpha w14:val="100000"/>
                    </w14:srgbClr>
                  </w14:solidFill>
                </w14:textFill>
              </w:rPr>
              <w:t>|||</w:t>
            </w:r>
            <w:r w:rsidR="0015085A" w:rsidRPr="009B4DB9">
              <w:rPr>
                <w:color w:val="000000"/>
                <w:spacing w:val="3"/>
                <w:shd w:val="solid" w:color="000000" w:fill="000000"/>
                <w:fitText w:val="320" w:id="-1032131328"/>
                <w14:textFill>
                  <w14:solidFill>
                    <w14:srgbClr w14:val="000000">
                      <w14:alpha w14:val="100000"/>
                    </w14:srgbClr>
                  </w14:solidFill>
                </w14:textFill>
              </w:rPr>
              <w:t>|</w:t>
            </w:r>
            <w:r w:rsidRPr="0049396B">
              <w:t xml:space="preserve"> per ampoule.</w:t>
            </w:r>
          </w:p>
        </w:tc>
        <w:tc>
          <w:tcPr>
            <w:tcW w:w="2202" w:type="dxa"/>
            <w:vAlign w:val="center"/>
          </w:tcPr>
          <w:p w14:paraId="6ED9CF13" w14:textId="3626F567" w:rsidR="001A58A0" w:rsidRPr="0049396B" w:rsidRDefault="001A58A0" w:rsidP="00020E51">
            <w:pPr>
              <w:pStyle w:val="TableText0"/>
              <w:keepNext w:val="0"/>
            </w:pPr>
            <w:r w:rsidRPr="0049396B">
              <w:t xml:space="preserve">With July 2023 mark-ups cost was </w:t>
            </w:r>
            <w:r w:rsidR="009B4DB9">
              <w:t>$</w:t>
            </w:r>
            <w:r w:rsidR="0015085A" w:rsidRPr="009B4DB9">
              <w:rPr>
                <w:color w:val="000000"/>
                <w:spacing w:val="53"/>
                <w:shd w:val="solid" w:color="000000" w:fill="000000"/>
                <w:fitText w:val="330" w:id="-1032131327"/>
                <w14:textFill>
                  <w14:solidFill>
                    <w14:srgbClr w14:val="000000">
                      <w14:alpha w14:val="100000"/>
                    </w14:srgbClr>
                  </w14:solidFill>
                </w14:textFill>
              </w:rPr>
              <w:t>|||</w:t>
            </w:r>
            <w:r w:rsidR="0015085A" w:rsidRPr="009B4DB9">
              <w:rPr>
                <w:color w:val="000000"/>
                <w:spacing w:val="1"/>
                <w:shd w:val="solid" w:color="000000" w:fill="000000"/>
                <w:fitText w:val="330" w:id="-1032131327"/>
                <w14:textFill>
                  <w14:solidFill>
                    <w14:srgbClr w14:val="000000">
                      <w14:alpha w14:val="100000"/>
                    </w14:srgbClr>
                  </w14:solidFill>
                </w14:textFill>
              </w:rPr>
              <w:t>|</w:t>
            </w:r>
            <w:r w:rsidRPr="0049396B">
              <w:t>.</w:t>
            </w:r>
          </w:p>
          <w:p w14:paraId="34E9EECF" w14:textId="11072F45" w:rsidR="001A58A0" w:rsidRPr="0049396B" w:rsidRDefault="001A58A0" w:rsidP="00020E51">
            <w:pPr>
              <w:pStyle w:val="TableText0"/>
              <w:keepNext w:val="0"/>
            </w:pPr>
            <w:r w:rsidRPr="0049396B">
              <w:t>DPMQ (private) based on per pack AEMP (</w:t>
            </w:r>
            <w:r w:rsidR="009B4DB9">
              <w:t>$</w:t>
            </w:r>
            <w:r w:rsidR="0015085A" w:rsidRPr="009B4DB9">
              <w:rPr>
                <w:color w:val="000000"/>
                <w:spacing w:val="53"/>
                <w:shd w:val="solid" w:color="000000" w:fill="000000"/>
                <w:fitText w:val="330" w:id="-1032131326"/>
                <w14:textFill>
                  <w14:solidFill>
                    <w14:srgbClr w14:val="000000">
                      <w14:alpha w14:val="100000"/>
                    </w14:srgbClr>
                  </w14:solidFill>
                </w14:textFill>
              </w:rPr>
              <w:t>|||</w:t>
            </w:r>
            <w:r w:rsidR="0015085A" w:rsidRPr="009B4DB9">
              <w:rPr>
                <w:color w:val="000000"/>
                <w:spacing w:val="1"/>
                <w:shd w:val="solid" w:color="000000" w:fill="000000"/>
                <w:fitText w:val="330" w:id="-1032131326"/>
                <w14:textFill>
                  <w14:solidFill>
                    <w14:srgbClr w14:val="000000">
                      <w14:alpha w14:val="100000"/>
                    </w14:srgbClr>
                  </w14:solidFill>
                </w14:textFill>
              </w:rPr>
              <w:t>|</w:t>
            </w:r>
            <w:r w:rsidRPr="0049396B">
              <w:t xml:space="preserve">) for 3x10 ampoule pack is </w:t>
            </w:r>
            <w:r w:rsidR="009B4DB9">
              <w:t>$</w:t>
            </w:r>
            <w:r w:rsidR="0015085A" w:rsidRPr="009B4DB9">
              <w:rPr>
                <w:color w:val="000000"/>
                <w:spacing w:val="53"/>
                <w:shd w:val="solid" w:color="000000" w:fill="000000"/>
                <w:fitText w:val="330" w:id="-1032131325"/>
                <w14:textFill>
                  <w14:solidFill>
                    <w14:srgbClr w14:val="000000">
                      <w14:alpha w14:val="100000"/>
                    </w14:srgbClr>
                  </w14:solidFill>
                </w14:textFill>
              </w:rPr>
              <w:t>|||</w:t>
            </w:r>
            <w:r w:rsidR="0015085A" w:rsidRPr="009B4DB9">
              <w:rPr>
                <w:color w:val="000000"/>
                <w:spacing w:val="1"/>
                <w:shd w:val="solid" w:color="000000" w:fill="000000"/>
                <w:fitText w:val="330" w:id="-1032131325"/>
                <w14:textFill>
                  <w14:solidFill>
                    <w14:srgbClr w14:val="000000">
                      <w14:alpha w14:val="100000"/>
                    </w14:srgbClr>
                  </w14:solidFill>
                </w14:textFill>
              </w:rPr>
              <w:t>|</w:t>
            </w:r>
          </w:p>
        </w:tc>
        <w:tc>
          <w:tcPr>
            <w:tcW w:w="2425" w:type="dxa"/>
          </w:tcPr>
          <w:p w14:paraId="6A81900A" w14:textId="77777777" w:rsidR="001A58A0" w:rsidRPr="0049396B" w:rsidRDefault="001A58A0" w:rsidP="00020E51">
            <w:pPr>
              <w:pStyle w:val="TableText0"/>
              <w:keepNext w:val="0"/>
              <w:rPr>
                <w:iCs/>
              </w:rPr>
            </w:pPr>
          </w:p>
        </w:tc>
      </w:tr>
      <w:tr w:rsidR="001A58A0" w:rsidRPr="0049396B" w14:paraId="62399858" w14:textId="077FB1DE" w:rsidTr="00817E9E">
        <w:trPr>
          <w:cantSplit/>
        </w:trPr>
        <w:tc>
          <w:tcPr>
            <w:tcW w:w="988" w:type="dxa"/>
            <w:vAlign w:val="center"/>
          </w:tcPr>
          <w:p w14:paraId="4E2141D3" w14:textId="77777777" w:rsidR="001A58A0" w:rsidRPr="0049396B" w:rsidRDefault="001A58A0" w:rsidP="00020E51">
            <w:pPr>
              <w:pStyle w:val="TableText0"/>
              <w:keepNext w:val="0"/>
            </w:pPr>
            <w:r w:rsidRPr="0049396B">
              <w:t>Edaravone (continuing)</w:t>
            </w:r>
          </w:p>
        </w:tc>
        <w:tc>
          <w:tcPr>
            <w:tcW w:w="992" w:type="dxa"/>
            <w:vAlign w:val="center"/>
          </w:tcPr>
          <w:p w14:paraId="6CE710D8" w14:textId="2990F8E0" w:rsidR="001A58A0" w:rsidRPr="0049396B" w:rsidRDefault="009B4DB9" w:rsidP="00020E51">
            <w:pPr>
              <w:pStyle w:val="TableText0"/>
              <w:keepNext w:val="0"/>
            </w:pPr>
            <w:r>
              <w:t>$</w:t>
            </w:r>
            <w:r w:rsidR="0015085A" w:rsidRPr="009B4DB9">
              <w:rPr>
                <w:color w:val="000000"/>
                <w:spacing w:val="49"/>
                <w:shd w:val="solid" w:color="000000" w:fill="000000"/>
                <w:fitText w:val="320" w:id="-1032131324"/>
                <w14:textFill>
                  <w14:solidFill>
                    <w14:srgbClr w14:val="000000">
                      <w14:alpha w14:val="100000"/>
                    </w14:srgbClr>
                  </w14:solidFill>
                </w14:textFill>
              </w:rPr>
              <w:t>|||</w:t>
            </w:r>
            <w:r w:rsidR="0015085A" w:rsidRPr="009B4DB9">
              <w:rPr>
                <w:color w:val="000000"/>
                <w:spacing w:val="3"/>
                <w:shd w:val="solid" w:color="000000" w:fill="000000"/>
                <w:fitText w:val="320" w:id="-1032131324"/>
                <w14:textFill>
                  <w14:solidFill>
                    <w14:srgbClr w14:val="000000">
                      <w14:alpha w14:val="100000"/>
                    </w14:srgbClr>
                  </w14:solidFill>
                </w14:textFill>
              </w:rPr>
              <w:t>|</w:t>
            </w:r>
            <w:r w:rsidR="001A58A0" w:rsidRPr="0049396B">
              <w:t xml:space="preserve"> </w:t>
            </w:r>
          </w:p>
        </w:tc>
        <w:tc>
          <w:tcPr>
            <w:tcW w:w="2410" w:type="dxa"/>
            <w:vAlign w:val="center"/>
          </w:tcPr>
          <w:p w14:paraId="777E1C76" w14:textId="77777777" w:rsidR="001A58A0" w:rsidRPr="0049396B" w:rsidRDefault="001A58A0" w:rsidP="00020E51">
            <w:pPr>
              <w:pStyle w:val="TableText0"/>
              <w:keepNext w:val="0"/>
            </w:pPr>
            <w:r w:rsidRPr="0049396B">
              <w:t>Proposed DPMQ (private) for 20 x 30mg/20ml ampoules.</w:t>
            </w:r>
          </w:p>
          <w:p w14:paraId="3C16CD95" w14:textId="0399CAB6" w:rsidR="001A58A0" w:rsidRPr="0049396B" w:rsidRDefault="001A58A0" w:rsidP="00020E51">
            <w:pPr>
              <w:pStyle w:val="TableText0"/>
              <w:keepNext w:val="0"/>
            </w:pPr>
            <w:r w:rsidRPr="0049396B">
              <w:t xml:space="preserve">Based on AEMP </w:t>
            </w:r>
            <w:r w:rsidR="009B4DB9">
              <w:t>$</w:t>
            </w:r>
            <w:r w:rsidR="0015085A" w:rsidRPr="009B4DB9">
              <w:rPr>
                <w:color w:val="000000"/>
                <w:spacing w:val="49"/>
                <w:shd w:val="solid" w:color="000000" w:fill="000000"/>
                <w:fitText w:val="320" w:id="-1032131323"/>
                <w14:textFill>
                  <w14:solidFill>
                    <w14:srgbClr w14:val="000000">
                      <w14:alpha w14:val="100000"/>
                    </w14:srgbClr>
                  </w14:solidFill>
                </w14:textFill>
              </w:rPr>
              <w:t>|||</w:t>
            </w:r>
            <w:r w:rsidR="0015085A" w:rsidRPr="009B4DB9">
              <w:rPr>
                <w:color w:val="000000"/>
                <w:spacing w:val="3"/>
                <w:shd w:val="solid" w:color="000000" w:fill="000000"/>
                <w:fitText w:val="320" w:id="-1032131323"/>
                <w14:textFill>
                  <w14:solidFill>
                    <w14:srgbClr w14:val="000000">
                      <w14:alpha w14:val="100000"/>
                    </w14:srgbClr>
                  </w14:solidFill>
                </w14:textFill>
              </w:rPr>
              <w:t>|</w:t>
            </w:r>
            <w:r w:rsidRPr="0049396B">
              <w:t xml:space="preserve"> per ampoule.</w:t>
            </w:r>
          </w:p>
        </w:tc>
        <w:tc>
          <w:tcPr>
            <w:tcW w:w="2202" w:type="dxa"/>
            <w:vAlign w:val="center"/>
          </w:tcPr>
          <w:p w14:paraId="51D9AA90" w14:textId="0D2BC999" w:rsidR="001A58A0" w:rsidRPr="0049396B" w:rsidRDefault="001A58A0" w:rsidP="00020E51">
            <w:pPr>
              <w:pStyle w:val="TableText0"/>
              <w:keepNext w:val="0"/>
            </w:pPr>
            <w:r w:rsidRPr="0049396B">
              <w:t xml:space="preserve">With July 2023 mark-ups cost was </w:t>
            </w:r>
            <w:r w:rsidR="009B4DB9">
              <w:t>$</w:t>
            </w:r>
            <w:r w:rsidR="0015085A" w:rsidRPr="009B4DB9">
              <w:rPr>
                <w:color w:val="000000"/>
                <w:spacing w:val="53"/>
                <w:shd w:val="solid" w:color="000000" w:fill="000000"/>
                <w:fitText w:val="330" w:id="-1032131322"/>
                <w14:textFill>
                  <w14:solidFill>
                    <w14:srgbClr w14:val="000000">
                      <w14:alpha w14:val="100000"/>
                    </w14:srgbClr>
                  </w14:solidFill>
                </w14:textFill>
              </w:rPr>
              <w:t>|||</w:t>
            </w:r>
            <w:r w:rsidR="0015085A" w:rsidRPr="009B4DB9">
              <w:rPr>
                <w:color w:val="000000"/>
                <w:spacing w:val="1"/>
                <w:shd w:val="solid" w:color="000000" w:fill="000000"/>
                <w:fitText w:val="330" w:id="-1032131322"/>
                <w14:textFill>
                  <w14:solidFill>
                    <w14:srgbClr w14:val="000000">
                      <w14:alpha w14:val="100000"/>
                    </w14:srgbClr>
                  </w14:solidFill>
                </w14:textFill>
              </w:rPr>
              <w:t>|</w:t>
            </w:r>
          </w:p>
          <w:p w14:paraId="2671438F" w14:textId="695F0A40" w:rsidR="001A58A0" w:rsidRPr="0049396B" w:rsidRDefault="001A58A0" w:rsidP="00020E51">
            <w:pPr>
              <w:pStyle w:val="TableText0"/>
              <w:keepNext w:val="0"/>
            </w:pPr>
            <w:r w:rsidRPr="0049396B">
              <w:t>DPMQ (private) based on per pack AEMP (</w:t>
            </w:r>
            <w:r w:rsidR="009B4DB9">
              <w:t>$</w:t>
            </w:r>
            <w:r w:rsidR="0015085A" w:rsidRPr="009B4DB9">
              <w:rPr>
                <w:color w:val="000000"/>
                <w:spacing w:val="53"/>
                <w:shd w:val="solid" w:color="000000" w:fill="000000"/>
                <w:fitText w:val="330" w:id="-1032131321"/>
                <w14:textFill>
                  <w14:solidFill>
                    <w14:srgbClr w14:val="000000">
                      <w14:alpha w14:val="100000"/>
                    </w14:srgbClr>
                  </w14:solidFill>
                </w14:textFill>
              </w:rPr>
              <w:t>|||</w:t>
            </w:r>
            <w:r w:rsidR="0015085A" w:rsidRPr="009B4DB9">
              <w:rPr>
                <w:color w:val="000000"/>
                <w:spacing w:val="1"/>
                <w:shd w:val="solid" w:color="000000" w:fill="000000"/>
                <w:fitText w:val="330" w:id="-1032131321"/>
                <w14:textFill>
                  <w14:solidFill>
                    <w14:srgbClr w14:val="000000">
                      <w14:alpha w14:val="100000"/>
                    </w14:srgbClr>
                  </w14:solidFill>
                </w14:textFill>
              </w:rPr>
              <w:t>|</w:t>
            </w:r>
            <w:r w:rsidRPr="0049396B">
              <w:t xml:space="preserve">) for 2x10 ampoule pack is </w:t>
            </w:r>
            <w:r w:rsidR="009B4DB9">
              <w:t>$</w:t>
            </w:r>
            <w:r w:rsidR="0015085A" w:rsidRPr="009B4DB9">
              <w:rPr>
                <w:color w:val="000000"/>
                <w:spacing w:val="53"/>
                <w:shd w:val="solid" w:color="000000" w:fill="000000"/>
                <w:fitText w:val="330" w:id="-1032131320"/>
                <w14:textFill>
                  <w14:solidFill>
                    <w14:srgbClr w14:val="000000">
                      <w14:alpha w14:val="100000"/>
                    </w14:srgbClr>
                  </w14:solidFill>
                </w14:textFill>
              </w:rPr>
              <w:t>|||</w:t>
            </w:r>
            <w:r w:rsidR="0015085A" w:rsidRPr="009B4DB9">
              <w:rPr>
                <w:color w:val="000000"/>
                <w:spacing w:val="1"/>
                <w:shd w:val="solid" w:color="000000" w:fill="000000"/>
                <w:fitText w:val="330" w:id="-1032131320"/>
                <w14:textFill>
                  <w14:solidFill>
                    <w14:srgbClr w14:val="000000">
                      <w14:alpha w14:val="100000"/>
                    </w14:srgbClr>
                  </w14:solidFill>
                </w14:textFill>
              </w:rPr>
              <w:t>|</w:t>
            </w:r>
            <w:r w:rsidRPr="0049396B">
              <w:t>.</w:t>
            </w:r>
          </w:p>
        </w:tc>
        <w:tc>
          <w:tcPr>
            <w:tcW w:w="2425" w:type="dxa"/>
          </w:tcPr>
          <w:p w14:paraId="48D74A25" w14:textId="77777777" w:rsidR="001A58A0" w:rsidRPr="0049396B" w:rsidRDefault="001A58A0" w:rsidP="00020E51">
            <w:pPr>
              <w:pStyle w:val="TableText0"/>
              <w:keepNext w:val="0"/>
            </w:pPr>
          </w:p>
        </w:tc>
      </w:tr>
      <w:tr w:rsidR="001A58A0" w:rsidRPr="0049396B" w14:paraId="3BDBCAC3" w14:textId="064445A3" w:rsidTr="00817E9E">
        <w:trPr>
          <w:cantSplit/>
        </w:trPr>
        <w:tc>
          <w:tcPr>
            <w:tcW w:w="988" w:type="dxa"/>
            <w:vAlign w:val="center"/>
          </w:tcPr>
          <w:p w14:paraId="5696482D" w14:textId="77777777" w:rsidR="001A58A0" w:rsidRPr="0049396B" w:rsidRDefault="001A58A0" w:rsidP="00020E51">
            <w:pPr>
              <w:pStyle w:val="TableText0"/>
              <w:keepNext w:val="0"/>
            </w:pPr>
            <w:proofErr w:type="spellStart"/>
            <w:r w:rsidRPr="0049396B">
              <w:t>Riluzole</w:t>
            </w:r>
            <w:proofErr w:type="spellEnd"/>
          </w:p>
        </w:tc>
        <w:tc>
          <w:tcPr>
            <w:tcW w:w="992" w:type="dxa"/>
            <w:vAlign w:val="center"/>
          </w:tcPr>
          <w:p w14:paraId="5E5BC8E0" w14:textId="77777777" w:rsidR="001A58A0" w:rsidRPr="00942C23" w:rsidRDefault="001A58A0" w:rsidP="00020E51">
            <w:pPr>
              <w:pStyle w:val="TableText0"/>
              <w:keepNext w:val="0"/>
            </w:pPr>
            <w:r w:rsidRPr="0049396B">
              <w:t>$</w:t>
            </w:r>
            <w:r w:rsidRPr="00942C23">
              <w:t>174.30 56x50mg tablets</w:t>
            </w:r>
          </w:p>
          <w:p w14:paraId="0236341D" w14:textId="77777777" w:rsidR="001A58A0" w:rsidRPr="0049396B" w:rsidRDefault="001A58A0" w:rsidP="00020E51">
            <w:pPr>
              <w:pStyle w:val="TableText0"/>
              <w:keepNext w:val="0"/>
            </w:pPr>
            <w:r w:rsidRPr="00942C23">
              <w:t>$244.52</w:t>
            </w:r>
            <w:r w:rsidRPr="0049396B">
              <w:t xml:space="preserve"> 2x300ml (50mg/10ml)</w:t>
            </w:r>
          </w:p>
        </w:tc>
        <w:tc>
          <w:tcPr>
            <w:tcW w:w="2410" w:type="dxa"/>
            <w:vAlign w:val="center"/>
          </w:tcPr>
          <w:p w14:paraId="7479DDE0" w14:textId="77777777" w:rsidR="001A58A0" w:rsidRPr="0049396B" w:rsidRDefault="001A58A0" w:rsidP="00020E51">
            <w:pPr>
              <w:pStyle w:val="TableText0"/>
              <w:keepNext w:val="0"/>
            </w:pPr>
            <w:r w:rsidRPr="0049396B">
              <w:t>PBS item 8664B, 11662T.</w:t>
            </w:r>
          </w:p>
          <w:p w14:paraId="0241D411" w14:textId="77777777" w:rsidR="001A58A0" w:rsidRPr="0049396B" w:rsidRDefault="001A58A0" w:rsidP="00020E51">
            <w:pPr>
              <w:pStyle w:val="TableText0"/>
              <w:keepNext w:val="0"/>
            </w:pPr>
            <w:r w:rsidRPr="0049396B">
              <w:t>Proportion of tablet/oral liquid form was based on PBS/RPBS use for 2022.</w:t>
            </w:r>
          </w:p>
        </w:tc>
        <w:tc>
          <w:tcPr>
            <w:tcW w:w="2202" w:type="dxa"/>
            <w:vAlign w:val="center"/>
          </w:tcPr>
          <w:p w14:paraId="327133C5" w14:textId="341AEC25" w:rsidR="001A58A0" w:rsidRPr="0049396B" w:rsidRDefault="001A58A0" w:rsidP="00020E51">
            <w:pPr>
              <w:pStyle w:val="TableText0"/>
              <w:keepNext w:val="0"/>
            </w:pPr>
            <w:r w:rsidRPr="0049396B">
              <w:t>Current DPMQ for PBS items 8664B and 11662T are $175.15 and $245.37 respectively, slightly more than in the financial estimates.</w:t>
            </w:r>
          </w:p>
        </w:tc>
        <w:tc>
          <w:tcPr>
            <w:tcW w:w="2425" w:type="dxa"/>
          </w:tcPr>
          <w:p w14:paraId="043029AD" w14:textId="77777777" w:rsidR="001A58A0" w:rsidRPr="0049396B" w:rsidRDefault="001A58A0" w:rsidP="00020E51">
            <w:pPr>
              <w:pStyle w:val="TableText0"/>
              <w:keepNext w:val="0"/>
            </w:pPr>
          </w:p>
        </w:tc>
      </w:tr>
      <w:tr w:rsidR="001A58A0" w:rsidRPr="0049396B" w14:paraId="4D96E2FB" w14:textId="46BB92CF" w:rsidTr="00817E9E">
        <w:trPr>
          <w:cantSplit/>
          <w:trHeight w:val="710"/>
        </w:trPr>
        <w:tc>
          <w:tcPr>
            <w:tcW w:w="988" w:type="dxa"/>
            <w:vAlign w:val="center"/>
          </w:tcPr>
          <w:p w14:paraId="79FE5C2D" w14:textId="77777777" w:rsidR="001A58A0" w:rsidRPr="0049396B" w:rsidRDefault="001A58A0" w:rsidP="00020E51">
            <w:pPr>
              <w:pStyle w:val="TableText0"/>
              <w:keepNext w:val="0"/>
            </w:pPr>
            <w:r w:rsidRPr="0049396B">
              <w:t>PBS/RPBS split</w:t>
            </w:r>
          </w:p>
        </w:tc>
        <w:tc>
          <w:tcPr>
            <w:tcW w:w="992" w:type="dxa"/>
            <w:vAlign w:val="center"/>
          </w:tcPr>
          <w:p w14:paraId="2E23132C" w14:textId="77777777" w:rsidR="001A58A0" w:rsidRPr="0049396B" w:rsidRDefault="001A58A0" w:rsidP="00020E51">
            <w:pPr>
              <w:pStyle w:val="TableText0"/>
              <w:keepNext w:val="0"/>
            </w:pPr>
            <w:r w:rsidRPr="0049396B">
              <w:t>98.25%/1.75%</w:t>
            </w:r>
          </w:p>
        </w:tc>
        <w:tc>
          <w:tcPr>
            <w:tcW w:w="2410" w:type="dxa"/>
            <w:vAlign w:val="center"/>
          </w:tcPr>
          <w:p w14:paraId="12A35D52" w14:textId="77777777" w:rsidR="001A58A0" w:rsidRPr="0049396B" w:rsidRDefault="001A58A0" w:rsidP="00020E51">
            <w:pPr>
              <w:pStyle w:val="TableText0"/>
              <w:keepNext w:val="0"/>
            </w:pPr>
            <w:r w:rsidRPr="0049396B">
              <w:t xml:space="preserve">PBS/RPBS </w:t>
            </w:r>
            <w:proofErr w:type="spellStart"/>
            <w:r w:rsidRPr="0049396B">
              <w:t>riluzole</w:t>
            </w:r>
            <w:proofErr w:type="spellEnd"/>
            <w:r w:rsidRPr="0049396B">
              <w:t xml:space="preserve"> scripts for 2022.</w:t>
            </w:r>
          </w:p>
        </w:tc>
        <w:tc>
          <w:tcPr>
            <w:tcW w:w="2202" w:type="dxa"/>
            <w:vAlign w:val="center"/>
          </w:tcPr>
          <w:p w14:paraId="203FE091" w14:textId="77777777" w:rsidR="001A58A0" w:rsidRPr="0049396B" w:rsidRDefault="001A58A0" w:rsidP="00020E51">
            <w:pPr>
              <w:pStyle w:val="TableText0"/>
              <w:keepNext w:val="0"/>
            </w:pPr>
            <w:r w:rsidRPr="0049396B">
              <w:t>Appropriate.</w:t>
            </w:r>
          </w:p>
        </w:tc>
        <w:tc>
          <w:tcPr>
            <w:tcW w:w="2425" w:type="dxa"/>
          </w:tcPr>
          <w:p w14:paraId="24FBFB8C" w14:textId="77777777" w:rsidR="001A58A0" w:rsidRPr="0049396B" w:rsidRDefault="001A58A0" w:rsidP="00020E51">
            <w:pPr>
              <w:pStyle w:val="TableText0"/>
              <w:keepNext w:val="0"/>
            </w:pPr>
          </w:p>
        </w:tc>
      </w:tr>
      <w:tr w:rsidR="001A58A0" w:rsidRPr="0049396B" w14:paraId="15EC1B2E" w14:textId="71EDF65C" w:rsidTr="00817E9E">
        <w:trPr>
          <w:cantSplit/>
        </w:trPr>
        <w:tc>
          <w:tcPr>
            <w:tcW w:w="988" w:type="dxa"/>
            <w:vAlign w:val="center"/>
          </w:tcPr>
          <w:p w14:paraId="308E9BE3" w14:textId="77777777" w:rsidR="001A58A0" w:rsidRPr="0049396B" w:rsidRDefault="001A58A0" w:rsidP="00020E51">
            <w:pPr>
              <w:pStyle w:val="TableText0"/>
              <w:keepNext w:val="0"/>
            </w:pPr>
            <w:r w:rsidRPr="0049396B">
              <w:t>Public/ private split</w:t>
            </w:r>
          </w:p>
        </w:tc>
        <w:tc>
          <w:tcPr>
            <w:tcW w:w="992" w:type="dxa"/>
            <w:vAlign w:val="center"/>
          </w:tcPr>
          <w:p w14:paraId="69FF3219" w14:textId="77777777" w:rsidR="001A58A0" w:rsidRPr="0049396B" w:rsidRDefault="001A58A0" w:rsidP="00020E51">
            <w:pPr>
              <w:pStyle w:val="TableText0"/>
              <w:keepNext w:val="0"/>
            </w:pPr>
            <w:r w:rsidRPr="0049396B">
              <w:t>100% private</w:t>
            </w:r>
          </w:p>
        </w:tc>
        <w:tc>
          <w:tcPr>
            <w:tcW w:w="2410" w:type="dxa"/>
            <w:vAlign w:val="center"/>
          </w:tcPr>
          <w:p w14:paraId="7E31D2BA" w14:textId="77777777" w:rsidR="001A58A0" w:rsidRPr="0049396B" w:rsidRDefault="001A58A0" w:rsidP="00020E51">
            <w:pPr>
              <w:pStyle w:val="TableText0"/>
              <w:keepNext w:val="0"/>
            </w:pPr>
            <w:r w:rsidRPr="0049396B">
              <w:t>Assumed.</w:t>
            </w:r>
          </w:p>
        </w:tc>
        <w:tc>
          <w:tcPr>
            <w:tcW w:w="2202" w:type="dxa"/>
            <w:vAlign w:val="center"/>
          </w:tcPr>
          <w:p w14:paraId="586E2E1E" w14:textId="07E20782" w:rsidR="001A58A0" w:rsidRPr="0049396B" w:rsidRDefault="001A58A0" w:rsidP="00020E51">
            <w:pPr>
              <w:pStyle w:val="TableText0"/>
              <w:keepNext w:val="0"/>
            </w:pPr>
            <w:r w:rsidRPr="0049396B">
              <w:t xml:space="preserve">This made little difference to the financial estimates. </w:t>
            </w:r>
          </w:p>
        </w:tc>
        <w:tc>
          <w:tcPr>
            <w:tcW w:w="2425" w:type="dxa"/>
          </w:tcPr>
          <w:p w14:paraId="511112B8" w14:textId="77777777" w:rsidR="001A58A0" w:rsidRPr="0049396B" w:rsidRDefault="001A58A0" w:rsidP="00020E51">
            <w:pPr>
              <w:pStyle w:val="TableText0"/>
              <w:keepNext w:val="0"/>
            </w:pPr>
          </w:p>
        </w:tc>
      </w:tr>
      <w:tr w:rsidR="001A58A0" w:rsidRPr="0049396B" w14:paraId="777DC872" w14:textId="1707FAE2" w:rsidTr="00817E9E">
        <w:trPr>
          <w:cantSplit/>
        </w:trPr>
        <w:tc>
          <w:tcPr>
            <w:tcW w:w="988" w:type="dxa"/>
            <w:vAlign w:val="center"/>
          </w:tcPr>
          <w:p w14:paraId="1DDB64DE" w14:textId="0546C552" w:rsidR="001A58A0" w:rsidRPr="0049396B" w:rsidRDefault="001A58A0" w:rsidP="00020E51">
            <w:pPr>
              <w:pStyle w:val="TableText0"/>
              <w:keepNext w:val="0"/>
            </w:pPr>
            <w:r w:rsidRPr="0049396B">
              <w:t xml:space="preserve">Patient </w:t>
            </w:r>
            <w:r w:rsidR="00341CFB" w:rsidRPr="0049396B">
              <w:t>co-payment</w:t>
            </w:r>
          </w:p>
        </w:tc>
        <w:tc>
          <w:tcPr>
            <w:tcW w:w="992" w:type="dxa"/>
            <w:vAlign w:val="center"/>
          </w:tcPr>
          <w:p w14:paraId="04B9521F" w14:textId="77777777" w:rsidR="001A58A0" w:rsidRPr="0049396B" w:rsidRDefault="001A58A0" w:rsidP="00020E51">
            <w:pPr>
              <w:pStyle w:val="TableText0"/>
              <w:keepNext w:val="0"/>
            </w:pPr>
            <w:r w:rsidRPr="0049396B">
              <w:t>PBS $14.69 RPBS $5.76</w:t>
            </w:r>
          </w:p>
        </w:tc>
        <w:tc>
          <w:tcPr>
            <w:tcW w:w="2410" w:type="dxa"/>
            <w:vAlign w:val="center"/>
          </w:tcPr>
          <w:p w14:paraId="54902EF3" w14:textId="3C89A841" w:rsidR="001A58A0" w:rsidRPr="0049396B" w:rsidRDefault="001A58A0" w:rsidP="00020E51">
            <w:pPr>
              <w:pStyle w:val="TableText0"/>
              <w:keepNext w:val="0"/>
            </w:pPr>
            <w:r w:rsidRPr="0049396B">
              <w:t xml:space="preserve">Based on </w:t>
            </w:r>
            <w:r w:rsidR="00341CFB" w:rsidRPr="0049396B">
              <w:t>co-payment</w:t>
            </w:r>
            <w:r w:rsidRPr="0049396B">
              <w:t xml:space="preserve"> for </w:t>
            </w:r>
            <w:proofErr w:type="spellStart"/>
            <w:r w:rsidRPr="0049396B">
              <w:t>riluzole</w:t>
            </w:r>
            <w:proofErr w:type="spellEnd"/>
            <w:r w:rsidRPr="0049396B">
              <w:t>.</w:t>
            </w:r>
          </w:p>
        </w:tc>
        <w:tc>
          <w:tcPr>
            <w:tcW w:w="2202" w:type="dxa"/>
            <w:vAlign w:val="center"/>
          </w:tcPr>
          <w:p w14:paraId="3A660941" w14:textId="77777777" w:rsidR="001A58A0" w:rsidRPr="0049396B" w:rsidRDefault="001A58A0" w:rsidP="00020E51">
            <w:pPr>
              <w:pStyle w:val="TableText0"/>
              <w:keepNext w:val="0"/>
            </w:pPr>
            <w:r w:rsidRPr="0049396B">
              <w:t>Appropriate.</w:t>
            </w:r>
          </w:p>
        </w:tc>
        <w:tc>
          <w:tcPr>
            <w:tcW w:w="2425" w:type="dxa"/>
          </w:tcPr>
          <w:p w14:paraId="28306201" w14:textId="77777777" w:rsidR="001A58A0" w:rsidRPr="0049396B" w:rsidRDefault="001A58A0" w:rsidP="00020E51">
            <w:pPr>
              <w:pStyle w:val="TableText0"/>
              <w:keepNext w:val="0"/>
            </w:pPr>
          </w:p>
        </w:tc>
      </w:tr>
      <w:tr w:rsidR="001A58A0" w:rsidRPr="0049396B" w14:paraId="3642C494" w14:textId="632C9927" w:rsidTr="00817E9E">
        <w:trPr>
          <w:cantSplit/>
        </w:trPr>
        <w:tc>
          <w:tcPr>
            <w:tcW w:w="988" w:type="dxa"/>
            <w:vAlign w:val="center"/>
          </w:tcPr>
          <w:p w14:paraId="2F7FA258" w14:textId="77777777" w:rsidR="001A58A0" w:rsidRPr="0049396B" w:rsidRDefault="001A58A0" w:rsidP="00020E51">
            <w:pPr>
              <w:pStyle w:val="TableText0"/>
              <w:keepNext w:val="0"/>
            </w:pPr>
            <w:r w:rsidRPr="0049396B">
              <w:t>MBS costs</w:t>
            </w:r>
          </w:p>
        </w:tc>
        <w:tc>
          <w:tcPr>
            <w:tcW w:w="992" w:type="dxa"/>
            <w:vAlign w:val="center"/>
          </w:tcPr>
          <w:p w14:paraId="4E83D738" w14:textId="77777777" w:rsidR="001A58A0" w:rsidRPr="0049396B" w:rsidRDefault="001A58A0" w:rsidP="00020E51">
            <w:pPr>
              <w:pStyle w:val="TableText0"/>
              <w:keepNext w:val="0"/>
            </w:pPr>
            <w:r w:rsidRPr="0049396B">
              <w:t xml:space="preserve">Insertion of </w:t>
            </w:r>
            <w:proofErr w:type="spellStart"/>
            <w:r w:rsidRPr="0049396B">
              <w:t>portacath</w:t>
            </w:r>
            <w:proofErr w:type="spellEnd"/>
            <w:r w:rsidRPr="0049396B">
              <w:t xml:space="preserve"> $288.00 + removal of </w:t>
            </w:r>
            <w:proofErr w:type="spellStart"/>
            <w:r w:rsidRPr="0049396B">
              <w:t>portacath</w:t>
            </w:r>
            <w:proofErr w:type="spellEnd"/>
            <w:r w:rsidRPr="0049396B">
              <w:t xml:space="preserve"> $215.90 for each initiating patients</w:t>
            </w:r>
          </w:p>
        </w:tc>
        <w:tc>
          <w:tcPr>
            <w:tcW w:w="2410" w:type="dxa"/>
            <w:vAlign w:val="center"/>
          </w:tcPr>
          <w:p w14:paraId="32E46399" w14:textId="77777777" w:rsidR="001A58A0" w:rsidRPr="0049396B" w:rsidRDefault="001A58A0" w:rsidP="00020E51">
            <w:pPr>
              <w:pStyle w:val="TableText0"/>
              <w:keepNext w:val="0"/>
            </w:pPr>
            <w:r w:rsidRPr="0049396B">
              <w:t>MBS items 34528, 34530. 80% rebate applied to costs in the estimates.</w:t>
            </w:r>
          </w:p>
        </w:tc>
        <w:tc>
          <w:tcPr>
            <w:tcW w:w="2202" w:type="dxa"/>
            <w:vAlign w:val="center"/>
          </w:tcPr>
          <w:p w14:paraId="7ECDBFC4" w14:textId="77777777" w:rsidR="001A58A0" w:rsidRPr="0049396B" w:rsidRDefault="001A58A0" w:rsidP="00020E51">
            <w:pPr>
              <w:pStyle w:val="TableText0"/>
              <w:keepNext w:val="0"/>
            </w:pPr>
            <w:r w:rsidRPr="0049396B">
              <w:t>Current MBS costs $298.35 (item 34528) and $223.65 (item 34530). The sponsor intends to cover the cost of infusion.</w:t>
            </w:r>
          </w:p>
        </w:tc>
        <w:tc>
          <w:tcPr>
            <w:tcW w:w="2425" w:type="dxa"/>
          </w:tcPr>
          <w:p w14:paraId="40FC5060" w14:textId="77777777" w:rsidR="001A58A0" w:rsidRPr="0049396B" w:rsidRDefault="001A58A0" w:rsidP="00020E51">
            <w:pPr>
              <w:pStyle w:val="TableText0"/>
              <w:keepNext w:val="0"/>
            </w:pPr>
          </w:p>
        </w:tc>
      </w:tr>
    </w:tbl>
    <w:p w14:paraId="3A7C3DB4" w14:textId="77777777" w:rsidR="00DF6726" w:rsidRPr="0049396B" w:rsidRDefault="00DF6726" w:rsidP="00DF6726">
      <w:pPr>
        <w:pStyle w:val="TableFigureFooter"/>
      </w:pPr>
      <w:r w:rsidRPr="0049396B">
        <w:t>Source: Section 4.2-4.4, pp209-216 of the submission</w:t>
      </w:r>
    </w:p>
    <w:p w14:paraId="4B57F75C" w14:textId="78B04178" w:rsidR="00DF6726" w:rsidRDefault="00DF6726" w:rsidP="00F015D7">
      <w:pPr>
        <w:pStyle w:val="TableFigureFooter"/>
        <w:spacing w:after="0"/>
      </w:pPr>
      <w:r w:rsidRPr="0049396B">
        <w:t>DPMQ=dispensed price for maximum quantity, TTD=time to treatment discontinuation, yr=year</w:t>
      </w:r>
    </w:p>
    <w:p w14:paraId="6E037364" w14:textId="77777777" w:rsidR="005A547B" w:rsidRPr="009A6D58" w:rsidRDefault="005A547B" w:rsidP="005A547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156EB8D2" w14:textId="77777777" w:rsidR="005A547B" w:rsidRPr="009A6D58" w:rsidRDefault="005A547B" w:rsidP="005A547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5A547B">
        <w:rPr>
          <w:rFonts w:ascii="Arial Narrow" w:hAnsi="Arial Narrow"/>
          <w:i/>
          <w:sz w:val="18"/>
          <w:szCs w:val="18"/>
        </w:rPr>
        <w:t>&lt; 500</w:t>
      </w:r>
    </w:p>
    <w:p w14:paraId="53B4FC92" w14:textId="77777777" w:rsidR="005A547B" w:rsidRPr="009A6D58" w:rsidRDefault="005A547B" w:rsidP="005A547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A547B">
        <w:rPr>
          <w:rFonts w:ascii="Arial Narrow" w:hAnsi="Arial Narrow"/>
          <w:i/>
          <w:sz w:val="18"/>
          <w:szCs w:val="18"/>
        </w:rPr>
        <w:t>500 to &lt; 5,000</w:t>
      </w:r>
    </w:p>
    <w:p w14:paraId="1CCC8B29" w14:textId="177C9944" w:rsidR="005A547B" w:rsidRPr="005A547B" w:rsidRDefault="005A547B" w:rsidP="005A547B">
      <w:pPr>
        <w:spacing w:after="120"/>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5A547B">
        <w:rPr>
          <w:rFonts w:ascii="Arial Narrow" w:hAnsi="Arial Narrow"/>
          <w:i/>
          <w:sz w:val="18"/>
          <w:szCs w:val="18"/>
        </w:rPr>
        <w:t>5,000 to &lt; 10,000</w:t>
      </w:r>
    </w:p>
    <w:p w14:paraId="2508609F" w14:textId="2D5FF09F" w:rsidR="00DD57ED" w:rsidRPr="005A547B" w:rsidRDefault="00D93F0C" w:rsidP="005A547B">
      <w:pPr>
        <w:pStyle w:val="3-BodyText"/>
        <w:rPr>
          <w:b/>
          <w:bCs/>
          <w:iCs/>
        </w:rPr>
      </w:pPr>
      <w:r w:rsidRPr="0049396B">
        <w:lastRenderedPageBreak/>
        <w:t>The evaluation considered that d</w:t>
      </w:r>
      <w:r w:rsidR="00480ECE" w:rsidRPr="0049396B">
        <w:t xml:space="preserve">ata on </w:t>
      </w:r>
      <w:proofErr w:type="spellStart"/>
      <w:r w:rsidR="00480ECE" w:rsidRPr="0049396B">
        <w:t>riluzole</w:t>
      </w:r>
      <w:proofErr w:type="spellEnd"/>
      <w:r w:rsidR="00480ECE" w:rsidRPr="0049396B">
        <w:t xml:space="preserve"> use provided during the evaluation by the DUSC Secretariat may provide a more accurate estimate of eligible patients. The data showed a stable market with approximately 1,200 to 1,400 patients receiving </w:t>
      </w:r>
      <w:proofErr w:type="spellStart"/>
      <w:r w:rsidR="00480ECE" w:rsidRPr="0049396B">
        <w:t>riluzole</w:t>
      </w:r>
      <w:proofErr w:type="spellEnd"/>
      <w:r w:rsidR="00480ECE" w:rsidRPr="0049396B">
        <w:t xml:space="preserve"> each year from 2012-2022. Given patients remained on treatment for approximately 12 months (median 9.4 months), this would suggest a total population of close to 1,200 to 1,400 patients, of whom, some would also be eligible for treatment with edaravone. </w:t>
      </w:r>
      <w:r w:rsidR="001A58A0" w:rsidRPr="0049396B">
        <w:rPr>
          <w:bCs/>
          <w:iCs/>
        </w:rPr>
        <w:t>DUSC agreed with the proposed commentary figures of 1,200</w:t>
      </w:r>
      <w:r w:rsidR="005A547B">
        <w:rPr>
          <w:bCs/>
          <w:iCs/>
        </w:rPr>
        <w:t xml:space="preserve"> to </w:t>
      </w:r>
      <w:r w:rsidR="001A58A0" w:rsidRPr="0049396B">
        <w:rPr>
          <w:bCs/>
          <w:iCs/>
        </w:rPr>
        <w:t>1,400 for incident patients</w:t>
      </w:r>
      <w:r w:rsidR="00F6592B" w:rsidRPr="0049396B">
        <w:rPr>
          <w:bCs/>
          <w:iCs/>
        </w:rPr>
        <w:t xml:space="preserve">, but </w:t>
      </w:r>
      <w:r w:rsidRPr="0049396B">
        <w:rPr>
          <w:bCs/>
          <w:iCs/>
        </w:rPr>
        <w:t xml:space="preserve">also </w:t>
      </w:r>
      <w:r w:rsidR="00F6592B" w:rsidRPr="0049396B">
        <w:rPr>
          <w:bCs/>
          <w:iCs/>
        </w:rPr>
        <w:t>noted that incident patients are likely to have been captured in the prevalence estimates</w:t>
      </w:r>
      <w:r w:rsidR="001A58A0" w:rsidRPr="0049396B">
        <w:rPr>
          <w:bCs/>
          <w:iCs/>
        </w:rPr>
        <w:t xml:space="preserve">. DUSC noted that the PSCR suggested that the </w:t>
      </w:r>
      <w:proofErr w:type="spellStart"/>
      <w:r w:rsidR="001A58A0" w:rsidRPr="0049396B">
        <w:rPr>
          <w:bCs/>
          <w:iCs/>
        </w:rPr>
        <w:t>riluzole</w:t>
      </w:r>
      <w:proofErr w:type="spellEnd"/>
      <w:r w:rsidR="001A58A0" w:rsidRPr="0049396B">
        <w:rPr>
          <w:bCs/>
          <w:iCs/>
        </w:rPr>
        <w:t xml:space="preserve"> patient count should be around </w:t>
      </w:r>
      <w:r w:rsidR="005A547B" w:rsidRPr="005A547B">
        <w:rPr>
          <w:bCs/>
          <w:iCs/>
        </w:rPr>
        <w:t>500 to &lt; 5,000</w:t>
      </w:r>
      <w:r w:rsidR="001A58A0" w:rsidRPr="005A547B">
        <w:rPr>
          <w:bCs/>
          <w:iCs/>
        </w:rPr>
        <w:t xml:space="preserve"> instead of 1</w:t>
      </w:r>
      <w:r w:rsidR="00F6592B" w:rsidRPr="005A547B">
        <w:rPr>
          <w:bCs/>
          <w:iCs/>
        </w:rPr>
        <w:t>,</w:t>
      </w:r>
      <w:r w:rsidR="001A58A0" w:rsidRPr="005A547B">
        <w:rPr>
          <w:bCs/>
          <w:iCs/>
        </w:rPr>
        <w:t>200</w:t>
      </w:r>
      <w:r w:rsidR="00F6592B" w:rsidRPr="005A547B">
        <w:rPr>
          <w:bCs/>
          <w:iCs/>
        </w:rPr>
        <w:t>,</w:t>
      </w:r>
      <w:r w:rsidR="001A58A0" w:rsidRPr="005A547B">
        <w:rPr>
          <w:bCs/>
          <w:iCs/>
        </w:rPr>
        <w:t xml:space="preserve"> </w:t>
      </w:r>
      <w:r w:rsidRPr="005A547B">
        <w:rPr>
          <w:bCs/>
          <w:iCs/>
        </w:rPr>
        <w:t>based on</w:t>
      </w:r>
      <w:r w:rsidR="001A58A0" w:rsidRPr="005A547B">
        <w:rPr>
          <w:bCs/>
          <w:iCs/>
        </w:rPr>
        <w:t xml:space="preserve"> </w:t>
      </w:r>
      <w:proofErr w:type="spellStart"/>
      <w:r w:rsidRPr="005A547B">
        <w:rPr>
          <w:bCs/>
          <w:iCs/>
        </w:rPr>
        <w:t>riluzole</w:t>
      </w:r>
      <w:proofErr w:type="spellEnd"/>
      <w:r w:rsidRPr="005A547B">
        <w:rPr>
          <w:bCs/>
          <w:iCs/>
        </w:rPr>
        <w:t xml:space="preserve"> </w:t>
      </w:r>
      <w:r w:rsidR="001A58A0" w:rsidRPr="005A547B">
        <w:rPr>
          <w:bCs/>
          <w:iCs/>
        </w:rPr>
        <w:t>script numbers</w:t>
      </w:r>
      <w:r w:rsidR="00D10008" w:rsidRPr="005A547B">
        <w:rPr>
          <w:bCs/>
          <w:iCs/>
        </w:rPr>
        <w:t xml:space="preserve"> and assuming that patients receive the recommended dose</w:t>
      </w:r>
      <w:r w:rsidR="001A58A0" w:rsidRPr="005A547B">
        <w:rPr>
          <w:bCs/>
          <w:iCs/>
        </w:rPr>
        <w:t xml:space="preserve">. The </w:t>
      </w:r>
      <w:r w:rsidR="00F25574" w:rsidRPr="005A547B">
        <w:rPr>
          <w:bCs/>
          <w:iCs/>
        </w:rPr>
        <w:t>p</w:t>
      </w:r>
      <w:r w:rsidR="001A58A0" w:rsidRPr="005A547B">
        <w:rPr>
          <w:bCs/>
          <w:iCs/>
        </w:rPr>
        <w:t xml:space="preserve">re-PBAC response also </w:t>
      </w:r>
      <w:r w:rsidR="00F6592B" w:rsidRPr="005A547B">
        <w:rPr>
          <w:bCs/>
          <w:iCs/>
        </w:rPr>
        <w:t>argued</w:t>
      </w:r>
      <w:r w:rsidR="001A58A0" w:rsidRPr="005A547B">
        <w:rPr>
          <w:bCs/>
          <w:iCs/>
        </w:rPr>
        <w:t xml:space="preserve"> the submission’s estimate of </w:t>
      </w:r>
      <w:r w:rsidR="005A547B" w:rsidRPr="005A547B">
        <w:rPr>
          <w:bCs/>
          <w:iCs/>
        </w:rPr>
        <w:t>500 to &lt; 5,000</w:t>
      </w:r>
      <w:r w:rsidR="001A58A0" w:rsidRPr="005A547B">
        <w:rPr>
          <w:bCs/>
          <w:iCs/>
        </w:rPr>
        <w:t xml:space="preserve"> </w:t>
      </w:r>
      <w:r w:rsidRPr="005A547B">
        <w:rPr>
          <w:bCs/>
          <w:iCs/>
        </w:rPr>
        <w:t xml:space="preserve">prevalent patients </w:t>
      </w:r>
      <w:r w:rsidR="001A58A0" w:rsidRPr="005A547B">
        <w:rPr>
          <w:bCs/>
          <w:iCs/>
        </w:rPr>
        <w:t xml:space="preserve">was likely to be accurate, arguing that this was consistent with </w:t>
      </w:r>
      <w:r w:rsidR="001A58A0" w:rsidRPr="0049396B">
        <w:t>around 620 prevalent ALS patients based on an incidence rate of 2.9/100,000 (Park 2022,</w:t>
      </w:r>
      <w:r w:rsidR="00341CFB">
        <w:t xml:space="preserve"> </w:t>
      </w:r>
      <w:r w:rsidR="001A58A0" w:rsidRPr="0049396B">
        <w:t xml:space="preserve">Vucic 2020) over 2 years adjusted for a 50% survival at 2 years, or around 930 prevalent patients after adjusting for a 75% survival at 2 years (based on </w:t>
      </w:r>
      <w:proofErr w:type="spellStart"/>
      <w:r w:rsidR="001A58A0" w:rsidRPr="0049396B">
        <w:rPr>
          <w:rStyle w:val="eop"/>
        </w:rPr>
        <w:t>Talman</w:t>
      </w:r>
      <w:proofErr w:type="spellEnd"/>
      <w:r w:rsidR="001A58A0" w:rsidRPr="0049396B">
        <w:rPr>
          <w:rStyle w:val="eop"/>
        </w:rPr>
        <w:t xml:space="preserve">, Duong et al. </w:t>
      </w:r>
      <w:r w:rsidR="00F6592B" w:rsidRPr="0049396B">
        <w:rPr>
          <w:rStyle w:val="eop"/>
        </w:rPr>
        <w:t>(</w:t>
      </w:r>
      <w:r w:rsidR="001A58A0" w:rsidRPr="0049396B">
        <w:rPr>
          <w:rStyle w:val="eop"/>
        </w:rPr>
        <w:t>2016) - t</w:t>
      </w:r>
      <w:r w:rsidR="001A58A0" w:rsidRPr="0049396B">
        <w:t xml:space="preserve">he Australian MND registry for ALS patients). </w:t>
      </w:r>
    </w:p>
    <w:p w14:paraId="0D200B54" w14:textId="51EDD0B4" w:rsidR="00BF0E84" w:rsidRDefault="00D93F0C" w:rsidP="001A054D">
      <w:pPr>
        <w:pStyle w:val="3-BodyText"/>
      </w:pPr>
      <w:r w:rsidRPr="0049396B">
        <w:t xml:space="preserve">The PBAC noted that there was a high level of uncertainty in the incidence rate, which may also be underestimated due to changes in diagnosis criteria. There was also a high level of uncertainty regarding the prevalence rate, the proportion of prevalent patients who would be eligible for treatment, and the potential for double counting of these patients. </w:t>
      </w:r>
      <w:r w:rsidR="001A58A0" w:rsidRPr="0049396B">
        <w:t xml:space="preserve">The PBAC noted that the </w:t>
      </w:r>
      <w:proofErr w:type="spellStart"/>
      <w:r w:rsidR="003F7C63" w:rsidRPr="0049396B">
        <w:t>riluzole</w:t>
      </w:r>
      <w:proofErr w:type="spellEnd"/>
      <w:r w:rsidR="003F7C63" w:rsidRPr="0049396B">
        <w:t xml:space="preserve"> </w:t>
      </w:r>
      <w:r w:rsidR="001A58A0" w:rsidRPr="0049396B">
        <w:t xml:space="preserve">patient numbers provided by </w:t>
      </w:r>
      <w:r w:rsidR="003F7C63" w:rsidRPr="0049396B">
        <w:t xml:space="preserve">the </w:t>
      </w:r>
      <w:r w:rsidR="001A58A0" w:rsidRPr="0049396B">
        <w:t>DUSC</w:t>
      </w:r>
      <w:r w:rsidR="003F7C63" w:rsidRPr="0049396B">
        <w:t xml:space="preserve"> Secretariat</w:t>
      </w:r>
      <w:r w:rsidR="001A58A0" w:rsidRPr="0049396B">
        <w:t xml:space="preserve"> reflect the actual number of patients treated with </w:t>
      </w:r>
      <w:proofErr w:type="spellStart"/>
      <w:r w:rsidR="001A58A0" w:rsidRPr="0049396B">
        <w:t>riluzole</w:t>
      </w:r>
      <w:proofErr w:type="spellEnd"/>
      <w:r w:rsidR="001A58A0" w:rsidRPr="0049396B">
        <w:t xml:space="preserve"> in Australia in each year from 2012-2022 </w:t>
      </w:r>
      <w:r w:rsidR="00081192" w:rsidRPr="0049396B">
        <w:t>(based on the full PBS data</w:t>
      </w:r>
      <w:r w:rsidR="00341CFB">
        <w:t>set</w:t>
      </w:r>
      <w:r w:rsidR="00081192" w:rsidRPr="0049396B">
        <w:t xml:space="preserve">) </w:t>
      </w:r>
      <w:r w:rsidR="001A58A0" w:rsidRPr="0049396B">
        <w:t xml:space="preserve">and were therefore </w:t>
      </w:r>
      <w:r w:rsidR="00FB6A7A" w:rsidRPr="0049396B">
        <w:t>a more</w:t>
      </w:r>
      <w:r w:rsidR="001A58A0" w:rsidRPr="0049396B">
        <w:t xml:space="preserve"> reliable source of data. </w:t>
      </w:r>
    </w:p>
    <w:p w14:paraId="7E3AB7B6" w14:textId="4B4EB64A" w:rsidR="00480ECE" w:rsidRPr="005A547B" w:rsidRDefault="00480ECE" w:rsidP="005A547B">
      <w:pPr>
        <w:pStyle w:val="3-BodyText"/>
        <w:rPr>
          <w:b/>
          <w:bCs/>
        </w:rPr>
      </w:pPr>
      <w:r w:rsidRPr="0049396B">
        <w:t xml:space="preserve">The PBAC noted that around 35% of patients </w:t>
      </w:r>
      <w:r w:rsidR="00FB6A7A" w:rsidRPr="0049396B">
        <w:t xml:space="preserve">enrolled in Study 16 </w:t>
      </w:r>
      <w:r w:rsidRPr="0049396B">
        <w:t xml:space="preserve">fit the dpEESP2y criteria. The PBAC considered that the proportion of patients meeting the PBS eligibility criteria </w:t>
      </w:r>
      <w:r w:rsidR="003F7C63" w:rsidRPr="0049396B">
        <w:t xml:space="preserve">(revised as outlined in paragraphs </w:t>
      </w:r>
      <w:r w:rsidR="003F7C63" w:rsidRPr="0049396B">
        <w:fldChar w:fldCharType="begin" w:fldLock="1"/>
      </w:r>
      <w:r w:rsidR="003F7C63" w:rsidRPr="0049396B">
        <w:instrText xml:space="preserve"> REF _Ref151723188 \r \h </w:instrText>
      </w:r>
      <w:r w:rsidR="003F7C63" w:rsidRPr="0049396B">
        <w:fldChar w:fldCharType="separate"/>
      </w:r>
      <w:r w:rsidR="003F7C63" w:rsidRPr="0049396B">
        <w:t>3.5</w:t>
      </w:r>
      <w:r w:rsidR="003F7C63" w:rsidRPr="0049396B">
        <w:fldChar w:fldCharType="end"/>
      </w:r>
      <w:r w:rsidR="003F7C63" w:rsidRPr="0049396B">
        <w:t>-</w:t>
      </w:r>
      <w:r w:rsidR="003F7C63" w:rsidRPr="0049396B">
        <w:fldChar w:fldCharType="begin" w:fldLock="1"/>
      </w:r>
      <w:r w:rsidR="003F7C63" w:rsidRPr="0049396B">
        <w:instrText xml:space="preserve"> REF _Ref151723191 \r \h </w:instrText>
      </w:r>
      <w:r w:rsidR="003F7C63" w:rsidRPr="0049396B">
        <w:fldChar w:fldCharType="separate"/>
      </w:r>
      <w:r w:rsidR="003F7C63" w:rsidRPr="0049396B">
        <w:t>3.7</w:t>
      </w:r>
      <w:r w:rsidR="003F7C63" w:rsidRPr="0049396B">
        <w:fldChar w:fldCharType="end"/>
      </w:r>
      <w:r w:rsidR="003F7C63" w:rsidRPr="0049396B">
        <w:t xml:space="preserve">) </w:t>
      </w:r>
      <w:r w:rsidRPr="0049396B">
        <w:t xml:space="preserve">is likely to be no more than 35% of </w:t>
      </w:r>
      <w:r w:rsidR="00FB6A7A" w:rsidRPr="0049396B">
        <w:t>incident patients</w:t>
      </w:r>
      <w:r w:rsidR="00F6592B" w:rsidRPr="0049396B">
        <w:t xml:space="preserve"> </w:t>
      </w:r>
      <w:r w:rsidR="00FB6A7A" w:rsidRPr="0049396B">
        <w:t>(</w:t>
      </w:r>
      <w:r w:rsidR="005A547B" w:rsidRPr="005A547B">
        <w:t>&lt; 500</w:t>
      </w:r>
      <w:r w:rsidR="00FB6A7A" w:rsidRPr="0049396B">
        <w:t xml:space="preserve"> patients in year 1 based on the incidence in Vucic 2020 or </w:t>
      </w:r>
      <w:r w:rsidR="005A547B" w:rsidRPr="005A547B">
        <w:t>&lt; 500</w:t>
      </w:r>
      <w:r w:rsidR="005A547B" w:rsidRPr="00D94CF5">
        <w:t xml:space="preserve"> </w:t>
      </w:r>
      <w:r w:rsidR="00FB6A7A" w:rsidRPr="0049396B">
        <w:t xml:space="preserve">patients based on </w:t>
      </w:r>
      <w:proofErr w:type="spellStart"/>
      <w:r w:rsidR="00FB6A7A" w:rsidRPr="0049396B">
        <w:t>riluzole</w:t>
      </w:r>
      <w:proofErr w:type="spellEnd"/>
      <w:r w:rsidR="00FB6A7A" w:rsidRPr="0049396B">
        <w:t xml:space="preserve"> patient numbers). </w:t>
      </w:r>
      <w:r w:rsidR="00341CFB" w:rsidRPr="0049396B">
        <w:t>Therefore,</w:t>
      </w:r>
      <w:r w:rsidR="00D21120" w:rsidRPr="0049396B">
        <w:t xml:space="preserve"> the submission’s estimated </w:t>
      </w:r>
      <w:r w:rsidR="00747CE0" w:rsidRPr="0049396B">
        <w:t xml:space="preserve">number of </w:t>
      </w:r>
      <w:r w:rsidR="00D21120" w:rsidRPr="0049396B">
        <w:t>eligible patients appear</w:t>
      </w:r>
      <w:r w:rsidR="00747CE0" w:rsidRPr="0049396B">
        <w:t>s</w:t>
      </w:r>
      <w:r w:rsidR="00D21120" w:rsidRPr="0049396B">
        <w:t xml:space="preserve"> too high</w:t>
      </w:r>
      <w:r w:rsidRPr="0049396B">
        <w:t xml:space="preserve">. </w:t>
      </w:r>
      <w:r w:rsidR="00282114" w:rsidRPr="005A547B">
        <w:rPr>
          <w:iCs/>
        </w:rPr>
        <w:t xml:space="preserve">DUSC also suggested </w:t>
      </w:r>
      <w:r w:rsidR="00787D7F" w:rsidRPr="005A547B">
        <w:rPr>
          <w:iCs/>
        </w:rPr>
        <w:t xml:space="preserve">that </w:t>
      </w:r>
      <w:r w:rsidR="00282114" w:rsidRPr="005A547B">
        <w:rPr>
          <w:iCs/>
        </w:rPr>
        <w:t>using the Pooled Resource Open-Access ALS Clinical Trials (PRO-</w:t>
      </w:r>
      <w:r w:rsidR="00282114" w:rsidRPr="0049396B">
        <w:t>ACT) database data might assist with deriving better estimates of eligibility rate.</w:t>
      </w:r>
      <w:r w:rsidR="003F7C63" w:rsidRPr="0049396B">
        <w:t xml:space="preserve"> </w:t>
      </w:r>
    </w:p>
    <w:p w14:paraId="17227B1A" w14:textId="351AED78" w:rsidR="00747CE0" w:rsidRPr="005A547B" w:rsidRDefault="00747CE0" w:rsidP="005A547B">
      <w:pPr>
        <w:pStyle w:val="3-BodyText"/>
        <w:rPr>
          <w:b/>
          <w:bCs/>
        </w:rPr>
      </w:pPr>
      <w:r w:rsidRPr="0049396B">
        <w:t xml:space="preserve">The PBAC considered that there is likely to be very few prevalent ALS patients who meet the narrower revised PBS restriction criteria reflecting the trial criteria, particularly the requirement for patient to have had symptoms for less than 2 years, given that there is often a substantial delay (10-12 months) between symptom onset and diagnosis. </w:t>
      </w:r>
      <w:r w:rsidR="00F23A7A" w:rsidRPr="00F23A7A">
        <w:t>The PBAC considered that it would be reasonable to include a small number of additional prevalent patients in year 1</w:t>
      </w:r>
      <w:r w:rsidR="00F23A7A">
        <w:t>,</w:t>
      </w:r>
      <w:r w:rsidR="00F23A7A" w:rsidRPr="00F23A7A">
        <w:t xml:space="preserve"> the PBAC considered this would be no more than 17.5% of patients treated with </w:t>
      </w:r>
      <w:proofErr w:type="spellStart"/>
      <w:r w:rsidR="00F23A7A" w:rsidRPr="00F23A7A">
        <w:t>riluzole</w:t>
      </w:r>
      <w:proofErr w:type="spellEnd"/>
      <w:r w:rsidR="00F23A7A" w:rsidRPr="00F23A7A">
        <w:t xml:space="preserve"> from the year prior to listing (approximately </w:t>
      </w:r>
      <w:r w:rsidR="005A547B" w:rsidRPr="005A547B">
        <w:t>&lt; 500</w:t>
      </w:r>
      <w:r w:rsidR="005A547B">
        <w:rPr>
          <w:b/>
          <w:bCs/>
        </w:rPr>
        <w:t xml:space="preserve"> </w:t>
      </w:r>
      <w:r w:rsidR="00F23A7A" w:rsidRPr="00F23A7A">
        <w:t xml:space="preserve">patients). </w:t>
      </w:r>
    </w:p>
    <w:p w14:paraId="08B95D84" w14:textId="5754A765" w:rsidR="00DF6726" w:rsidRPr="0049396B" w:rsidRDefault="001C0AB9" w:rsidP="00DF6726">
      <w:pPr>
        <w:pStyle w:val="3-BodyText"/>
      </w:pPr>
      <w:r>
        <w:lastRenderedPageBreak/>
        <w:fldChar w:fldCharType="begin" w:fldLock="1"/>
      </w:r>
      <w:r>
        <w:instrText xml:space="preserve"> REF _Ref144397205 </w:instrText>
      </w:r>
      <w:r>
        <w:fldChar w:fldCharType="separate"/>
      </w:r>
      <w:r w:rsidR="00DF6726" w:rsidRPr="0049396B">
        <w:t>Table 14</w:t>
      </w:r>
      <w:r>
        <w:fldChar w:fldCharType="end"/>
      </w:r>
      <w:r w:rsidR="00DF6726" w:rsidRPr="0049396B">
        <w:t xml:space="preserve"> summarises the estimated net financial implications to the PBS for the proposed listing of edaravone for ALS over the first six years (assumed 2024-2029) of listing, based on assumptions and data sources listed in</w:t>
      </w:r>
      <w:r w:rsidR="00FA46E4">
        <w:t xml:space="preserve"> </w:t>
      </w:r>
      <w:r w:rsidR="00FA46E4">
        <w:rPr>
          <w:highlight w:val="yellow"/>
        </w:rPr>
        <w:fldChar w:fldCharType="begin" w:fldLock="1"/>
      </w:r>
      <w:r w:rsidR="00FA46E4">
        <w:instrText xml:space="preserve"> REF _Ref104805262 \h </w:instrText>
      </w:r>
      <w:r w:rsidR="00FA46E4">
        <w:rPr>
          <w:highlight w:val="yellow"/>
        </w:rPr>
      </w:r>
      <w:r w:rsidR="00FA46E4">
        <w:rPr>
          <w:highlight w:val="yellow"/>
        </w:rPr>
        <w:fldChar w:fldCharType="separate"/>
      </w:r>
      <w:r w:rsidR="00FA46E4" w:rsidRPr="0049396B">
        <w:t>Table 13</w:t>
      </w:r>
      <w:r w:rsidR="00FA46E4">
        <w:rPr>
          <w:highlight w:val="yellow"/>
        </w:rPr>
        <w:fldChar w:fldCharType="end"/>
      </w:r>
      <w:r w:rsidR="00DF6726" w:rsidRPr="0049396B">
        <w:t xml:space="preserve">. </w:t>
      </w:r>
      <w:r w:rsidR="00DF6726" w:rsidRPr="0049396B">
        <w:rPr>
          <w:iCs/>
        </w:rPr>
        <w:t>Note no patients were expected to receive edaravone beyond their initiating year.</w:t>
      </w:r>
    </w:p>
    <w:p w14:paraId="4A45434E" w14:textId="77777777" w:rsidR="00DF6726" w:rsidRPr="0049396B" w:rsidRDefault="00DF6726" w:rsidP="005C5151">
      <w:pPr>
        <w:pStyle w:val="TableFigureHeading"/>
        <w:keepLines/>
        <w:rPr>
          <w:szCs w:val="20"/>
        </w:rPr>
      </w:pPr>
      <w:bookmarkStart w:id="85" w:name="_Ref144397205"/>
      <w:r w:rsidRPr="0049396B">
        <w:lastRenderedPageBreak/>
        <w:t xml:space="preserve">Table </w:t>
      </w:r>
      <w:r w:rsidR="001C0AB9">
        <w:fldChar w:fldCharType="begin" w:fldLock="1"/>
      </w:r>
      <w:r w:rsidR="001C0AB9">
        <w:instrText xml:space="preserve"> SEQ Table \* ARABIC </w:instrText>
      </w:r>
      <w:r w:rsidR="001C0AB9">
        <w:fldChar w:fldCharType="separate"/>
      </w:r>
      <w:r w:rsidRPr="0049396B">
        <w:t>14</w:t>
      </w:r>
      <w:r w:rsidR="001C0AB9">
        <w:fldChar w:fldCharType="end"/>
      </w:r>
      <w:bookmarkEnd w:id="85"/>
      <w:r w:rsidRPr="0049396B">
        <w:t>:</w:t>
      </w:r>
      <w:r w:rsidRPr="0049396B">
        <w:rPr>
          <w:rStyle w:val="CommentReference"/>
        </w:rPr>
        <w:t xml:space="preserve"> </w:t>
      </w:r>
      <w:r w:rsidRPr="0049396B">
        <w:rPr>
          <w:szCs w:val="20"/>
        </w:rPr>
        <w:t>Estimation of use and financial impact of the proposed medicine</w:t>
      </w:r>
    </w:p>
    <w:tbl>
      <w:tblPr>
        <w:tblStyle w:val="ASDTable2"/>
        <w:tblW w:w="5000" w:type="pct"/>
        <w:tblLayout w:type="fixed"/>
        <w:tblCellMar>
          <w:left w:w="28" w:type="dxa"/>
          <w:right w:w="28" w:type="dxa"/>
        </w:tblCellMar>
        <w:tblLook w:val="04A0" w:firstRow="1" w:lastRow="0" w:firstColumn="1" w:lastColumn="0" w:noHBand="0" w:noVBand="1"/>
      </w:tblPr>
      <w:tblGrid>
        <w:gridCol w:w="2972"/>
        <w:gridCol w:w="1134"/>
        <w:gridCol w:w="992"/>
        <w:gridCol w:w="993"/>
        <w:gridCol w:w="992"/>
        <w:gridCol w:w="992"/>
        <w:gridCol w:w="942"/>
      </w:tblGrid>
      <w:tr w:rsidR="00DF6726" w:rsidRPr="0049396B" w14:paraId="442426A3" w14:textId="77777777" w:rsidTr="00D94CF5">
        <w:tc>
          <w:tcPr>
            <w:tcW w:w="2972" w:type="dxa"/>
            <w:shd w:val="clear" w:color="auto" w:fill="auto"/>
            <w:vAlign w:val="center"/>
          </w:tcPr>
          <w:p w14:paraId="5E33E392" w14:textId="77777777" w:rsidR="00DF6726" w:rsidRPr="0049396B" w:rsidRDefault="00DF6726" w:rsidP="005C5151">
            <w:pPr>
              <w:pStyle w:val="TableText0"/>
              <w:keepLines/>
              <w:rPr>
                <w:szCs w:val="20"/>
              </w:rPr>
            </w:pPr>
          </w:p>
        </w:tc>
        <w:tc>
          <w:tcPr>
            <w:tcW w:w="1134" w:type="dxa"/>
            <w:shd w:val="clear" w:color="auto" w:fill="auto"/>
            <w:vAlign w:val="center"/>
          </w:tcPr>
          <w:p w14:paraId="07AE48E3" w14:textId="77777777" w:rsidR="00DF6726" w:rsidRPr="0049396B" w:rsidRDefault="00DF6726" w:rsidP="005C5151">
            <w:pPr>
              <w:pStyle w:val="TableText0"/>
              <w:keepLines/>
              <w:jc w:val="center"/>
              <w:rPr>
                <w:b/>
                <w:szCs w:val="20"/>
              </w:rPr>
            </w:pPr>
            <w:r w:rsidRPr="0049396B">
              <w:rPr>
                <w:b/>
                <w:szCs w:val="20"/>
              </w:rPr>
              <w:t>2024</w:t>
            </w:r>
          </w:p>
        </w:tc>
        <w:tc>
          <w:tcPr>
            <w:tcW w:w="992" w:type="dxa"/>
            <w:shd w:val="clear" w:color="auto" w:fill="auto"/>
            <w:vAlign w:val="center"/>
          </w:tcPr>
          <w:p w14:paraId="442ECEB5" w14:textId="77777777" w:rsidR="00DF6726" w:rsidRPr="0049396B" w:rsidRDefault="00DF6726" w:rsidP="005C5151">
            <w:pPr>
              <w:pStyle w:val="TableText0"/>
              <w:keepLines/>
              <w:jc w:val="center"/>
              <w:rPr>
                <w:b/>
                <w:szCs w:val="20"/>
              </w:rPr>
            </w:pPr>
            <w:r w:rsidRPr="0049396B">
              <w:rPr>
                <w:b/>
                <w:szCs w:val="20"/>
              </w:rPr>
              <w:t>2025</w:t>
            </w:r>
          </w:p>
        </w:tc>
        <w:tc>
          <w:tcPr>
            <w:tcW w:w="993" w:type="dxa"/>
            <w:shd w:val="clear" w:color="auto" w:fill="auto"/>
            <w:vAlign w:val="center"/>
          </w:tcPr>
          <w:p w14:paraId="52BCCFF7" w14:textId="77777777" w:rsidR="00DF6726" w:rsidRPr="0049396B" w:rsidRDefault="00DF6726" w:rsidP="005C5151">
            <w:pPr>
              <w:pStyle w:val="TableText0"/>
              <w:keepLines/>
              <w:jc w:val="center"/>
              <w:rPr>
                <w:b/>
                <w:szCs w:val="20"/>
              </w:rPr>
            </w:pPr>
            <w:r w:rsidRPr="0049396B">
              <w:rPr>
                <w:b/>
                <w:szCs w:val="20"/>
              </w:rPr>
              <w:t>2026</w:t>
            </w:r>
          </w:p>
        </w:tc>
        <w:tc>
          <w:tcPr>
            <w:tcW w:w="992" w:type="dxa"/>
            <w:shd w:val="clear" w:color="auto" w:fill="auto"/>
            <w:vAlign w:val="center"/>
          </w:tcPr>
          <w:p w14:paraId="30832B3F" w14:textId="77777777" w:rsidR="00DF6726" w:rsidRPr="0049396B" w:rsidRDefault="00DF6726" w:rsidP="005C5151">
            <w:pPr>
              <w:pStyle w:val="TableText0"/>
              <w:keepLines/>
              <w:jc w:val="center"/>
              <w:rPr>
                <w:b/>
                <w:szCs w:val="20"/>
              </w:rPr>
            </w:pPr>
            <w:r w:rsidRPr="0049396B">
              <w:rPr>
                <w:b/>
                <w:szCs w:val="20"/>
              </w:rPr>
              <w:t>2027</w:t>
            </w:r>
          </w:p>
        </w:tc>
        <w:tc>
          <w:tcPr>
            <w:tcW w:w="992" w:type="dxa"/>
            <w:shd w:val="clear" w:color="auto" w:fill="auto"/>
            <w:vAlign w:val="center"/>
          </w:tcPr>
          <w:p w14:paraId="331ED4AC" w14:textId="77777777" w:rsidR="00DF6726" w:rsidRPr="0049396B" w:rsidRDefault="00DF6726" w:rsidP="005C5151">
            <w:pPr>
              <w:pStyle w:val="TableText0"/>
              <w:keepLines/>
              <w:jc w:val="center"/>
              <w:rPr>
                <w:b/>
                <w:szCs w:val="20"/>
              </w:rPr>
            </w:pPr>
            <w:r w:rsidRPr="0049396B">
              <w:rPr>
                <w:b/>
                <w:szCs w:val="20"/>
              </w:rPr>
              <w:t>2028</w:t>
            </w:r>
          </w:p>
        </w:tc>
        <w:tc>
          <w:tcPr>
            <w:tcW w:w="942" w:type="dxa"/>
            <w:shd w:val="clear" w:color="auto" w:fill="auto"/>
            <w:vAlign w:val="center"/>
          </w:tcPr>
          <w:p w14:paraId="40D19A95" w14:textId="77777777" w:rsidR="00DF6726" w:rsidRPr="0049396B" w:rsidRDefault="00DF6726" w:rsidP="005C5151">
            <w:pPr>
              <w:pStyle w:val="TableText0"/>
              <w:keepLines/>
              <w:jc w:val="center"/>
              <w:rPr>
                <w:b/>
                <w:szCs w:val="20"/>
              </w:rPr>
            </w:pPr>
            <w:r w:rsidRPr="0049396B">
              <w:rPr>
                <w:b/>
                <w:szCs w:val="20"/>
              </w:rPr>
              <w:t>2029</w:t>
            </w:r>
          </w:p>
        </w:tc>
      </w:tr>
      <w:tr w:rsidR="00DF6726" w:rsidRPr="0049396B" w14:paraId="0A4E8EDD" w14:textId="77777777" w:rsidTr="00814D88">
        <w:tc>
          <w:tcPr>
            <w:tcW w:w="9017" w:type="dxa"/>
            <w:gridSpan w:val="7"/>
            <w:tcBorders>
              <w:bottom w:val="single" w:sz="4" w:space="0" w:color="auto"/>
            </w:tcBorders>
            <w:shd w:val="clear" w:color="auto" w:fill="auto"/>
            <w:vAlign w:val="center"/>
          </w:tcPr>
          <w:p w14:paraId="39EB1342" w14:textId="77777777" w:rsidR="00DF6726" w:rsidRPr="0049396B" w:rsidRDefault="00DF6726" w:rsidP="005C5151">
            <w:pPr>
              <w:pStyle w:val="TableText0"/>
              <w:keepLines/>
              <w:rPr>
                <w:b/>
                <w:szCs w:val="20"/>
              </w:rPr>
            </w:pPr>
            <w:r w:rsidRPr="0049396B">
              <w:rPr>
                <w:b/>
                <w:szCs w:val="20"/>
              </w:rPr>
              <w:t>Estimation of number of treated patients</w:t>
            </w:r>
          </w:p>
        </w:tc>
      </w:tr>
      <w:tr w:rsidR="00DF6726" w:rsidRPr="0049396B" w14:paraId="70C90762" w14:textId="77777777" w:rsidTr="00D94CF5">
        <w:tc>
          <w:tcPr>
            <w:tcW w:w="2972" w:type="dxa"/>
            <w:tcBorders>
              <w:right w:val="nil"/>
            </w:tcBorders>
            <w:shd w:val="clear" w:color="auto" w:fill="auto"/>
            <w:vAlign w:val="center"/>
          </w:tcPr>
          <w:p w14:paraId="02CB7D7F" w14:textId="77777777" w:rsidR="00DF6726" w:rsidRPr="0049396B" w:rsidRDefault="00DF6726" w:rsidP="005C5151">
            <w:pPr>
              <w:pStyle w:val="TableText0"/>
              <w:keepLines/>
              <w:rPr>
                <w:b/>
                <w:szCs w:val="20"/>
              </w:rPr>
            </w:pPr>
            <w:r w:rsidRPr="0049396B">
              <w:rPr>
                <w:b/>
                <w:szCs w:val="20"/>
              </w:rPr>
              <w:t>Incident population</w:t>
            </w:r>
          </w:p>
        </w:tc>
        <w:tc>
          <w:tcPr>
            <w:tcW w:w="1134" w:type="dxa"/>
            <w:tcBorders>
              <w:left w:val="nil"/>
              <w:right w:val="nil"/>
            </w:tcBorders>
            <w:shd w:val="clear" w:color="auto" w:fill="auto"/>
            <w:vAlign w:val="center"/>
          </w:tcPr>
          <w:p w14:paraId="539A1002" w14:textId="77777777" w:rsidR="00DF6726" w:rsidRPr="0049396B" w:rsidRDefault="00DF6726" w:rsidP="005C5151">
            <w:pPr>
              <w:pStyle w:val="TableText0"/>
              <w:keepLines/>
              <w:rPr>
                <w:szCs w:val="20"/>
              </w:rPr>
            </w:pPr>
          </w:p>
        </w:tc>
        <w:tc>
          <w:tcPr>
            <w:tcW w:w="992" w:type="dxa"/>
            <w:tcBorders>
              <w:left w:val="nil"/>
              <w:right w:val="nil"/>
            </w:tcBorders>
            <w:shd w:val="clear" w:color="auto" w:fill="auto"/>
            <w:vAlign w:val="center"/>
          </w:tcPr>
          <w:p w14:paraId="5864F046" w14:textId="77777777" w:rsidR="00DF6726" w:rsidRPr="0049396B" w:rsidRDefault="00DF6726" w:rsidP="005C5151">
            <w:pPr>
              <w:pStyle w:val="TableText0"/>
              <w:keepLines/>
              <w:rPr>
                <w:szCs w:val="20"/>
              </w:rPr>
            </w:pPr>
          </w:p>
        </w:tc>
        <w:tc>
          <w:tcPr>
            <w:tcW w:w="993" w:type="dxa"/>
            <w:tcBorders>
              <w:left w:val="nil"/>
              <w:right w:val="nil"/>
            </w:tcBorders>
            <w:shd w:val="clear" w:color="auto" w:fill="auto"/>
            <w:vAlign w:val="center"/>
          </w:tcPr>
          <w:p w14:paraId="33628C37" w14:textId="77777777" w:rsidR="00DF6726" w:rsidRPr="0049396B" w:rsidRDefault="00DF6726" w:rsidP="005C5151">
            <w:pPr>
              <w:pStyle w:val="TableText0"/>
              <w:keepLines/>
              <w:rPr>
                <w:szCs w:val="20"/>
              </w:rPr>
            </w:pPr>
          </w:p>
        </w:tc>
        <w:tc>
          <w:tcPr>
            <w:tcW w:w="992" w:type="dxa"/>
            <w:tcBorders>
              <w:left w:val="nil"/>
              <w:right w:val="nil"/>
            </w:tcBorders>
            <w:shd w:val="clear" w:color="auto" w:fill="auto"/>
            <w:vAlign w:val="center"/>
          </w:tcPr>
          <w:p w14:paraId="66A9EB33" w14:textId="77777777" w:rsidR="00DF6726" w:rsidRPr="0049396B" w:rsidRDefault="00DF6726" w:rsidP="005C5151">
            <w:pPr>
              <w:pStyle w:val="TableText0"/>
              <w:keepLines/>
              <w:rPr>
                <w:szCs w:val="20"/>
              </w:rPr>
            </w:pPr>
          </w:p>
        </w:tc>
        <w:tc>
          <w:tcPr>
            <w:tcW w:w="992" w:type="dxa"/>
            <w:tcBorders>
              <w:left w:val="nil"/>
              <w:right w:val="nil"/>
            </w:tcBorders>
            <w:shd w:val="clear" w:color="auto" w:fill="auto"/>
            <w:vAlign w:val="center"/>
          </w:tcPr>
          <w:p w14:paraId="1FB0FFD6" w14:textId="77777777" w:rsidR="00DF6726" w:rsidRPr="0049396B" w:rsidRDefault="00DF6726" w:rsidP="005C5151">
            <w:pPr>
              <w:pStyle w:val="TableText0"/>
              <w:keepLines/>
              <w:rPr>
                <w:szCs w:val="20"/>
              </w:rPr>
            </w:pPr>
          </w:p>
        </w:tc>
        <w:tc>
          <w:tcPr>
            <w:tcW w:w="942" w:type="dxa"/>
            <w:tcBorders>
              <w:left w:val="nil"/>
            </w:tcBorders>
            <w:shd w:val="clear" w:color="auto" w:fill="auto"/>
            <w:vAlign w:val="center"/>
          </w:tcPr>
          <w:p w14:paraId="64537554" w14:textId="77777777" w:rsidR="00DF6726" w:rsidRPr="0049396B" w:rsidRDefault="00DF6726" w:rsidP="005C5151">
            <w:pPr>
              <w:pStyle w:val="TableText0"/>
              <w:keepLines/>
              <w:rPr>
                <w:szCs w:val="20"/>
              </w:rPr>
            </w:pPr>
          </w:p>
        </w:tc>
      </w:tr>
      <w:tr w:rsidR="00DF6726" w:rsidRPr="0049396B" w14:paraId="49710D57" w14:textId="77777777" w:rsidTr="00D94CF5">
        <w:tc>
          <w:tcPr>
            <w:tcW w:w="2972" w:type="dxa"/>
            <w:vAlign w:val="center"/>
          </w:tcPr>
          <w:p w14:paraId="6B2D1BB5" w14:textId="77777777" w:rsidR="00DF6726" w:rsidRPr="0049396B" w:rsidRDefault="00DF6726" w:rsidP="005C5151">
            <w:pPr>
              <w:pStyle w:val="TableText0"/>
              <w:keepLines/>
              <w:rPr>
                <w:szCs w:val="20"/>
              </w:rPr>
            </w:pPr>
            <w:r w:rsidRPr="0049396B">
              <w:rPr>
                <w:szCs w:val="20"/>
              </w:rPr>
              <w:t xml:space="preserve">Incident ALS population </w:t>
            </w:r>
          </w:p>
        </w:tc>
        <w:tc>
          <w:tcPr>
            <w:tcW w:w="1134" w:type="dxa"/>
          </w:tcPr>
          <w:p w14:paraId="3C8CD82E" w14:textId="3C84184A" w:rsidR="00DF6726" w:rsidRPr="00942C23" w:rsidRDefault="0015085A" w:rsidP="005C5151">
            <w:pPr>
              <w:pStyle w:val="TableText0"/>
              <w:keepLines/>
              <w:jc w:val="center"/>
              <w:rPr>
                <w:szCs w:val="20"/>
                <w:highlight w:val="darkGray"/>
                <w:vertAlign w:val="superscript"/>
              </w:rPr>
            </w:pPr>
            <w:r>
              <w:rPr>
                <w:szCs w:val="20"/>
              </w:rPr>
              <w:t xml:space="preserve"> </w:t>
            </w:r>
            <w:r w:rsidRPr="0015085A">
              <w:rPr>
                <w:rFonts w:hint="eastAsia"/>
                <w:color w:val="000000"/>
                <w:w w:val="29"/>
                <w:szCs w:val="20"/>
                <w:shd w:val="solid" w:color="000000" w:fill="000000"/>
                <w:fitText w:val="130" w:id="-1032131319"/>
                <w14:textFill>
                  <w14:solidFill>
                    <w14:srgbClr w14:val="000000">
                      <w14:alpha w14:val="100000"/>
                    </w14:srgbClr>
                  </w14:solidFill>
                </w14:textFill>
              </w:rPr>
              <w:t xml:space="preserve">　</w:t>
            </w:r>
            <w:r w:rsidRPr="0015085A">
              <w:rPr>
                <w:color w:val="000000"/>
                <w:w w:val="29"/>
                <w:szCs w:val="20"/>
                <w:shd w:val="solid" w:color="000000" w:fill="000000"/>
                <w:fitText w:val="130" w:id="-1032131319"/>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319"/>
                <w14:textFill>
                  <w14:solidFill>
                    <w14:srgbClr w14:val="000000">
                      <w14:alpha w14:val="100000"/>
                    </w14:srgbClr>
                  </w14:solidFill>
                </w14:textFill>
              </w:rPr>
              <w:t xml:space="preserve">　</w:t>
            </w:r>
            <w:r w:rsidR="00DF6726" w:rsidRPr="00942C23">
              <w:rPr>
                <w:szCs w:val="20"/>
              </w:rPr>
              <w:t xml:space="preserve"> </w:t>
            </w:r>
            <w:r w:rsidR="00942C23" w:rsidRPr="00942C23">
              <w:rPr>
                <w:szCs w:val="20"/>
                <w:vertAlign w:val="superscript"/>
              </w:rPr>
              <w:t>1</w:t>
            </w:r>
          </w:p>
        </w:tc>
        <w:tc>
          <w:tcPr>
            <w:tcW w:w="992" w:type="dxa"/>
          </w:tcPr>
          <w:p w14:paraId="024E2612" w14:textId="37AE22F3"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318"/>
                <w14:textFill>
                  <w14:solidFill>
                    <w14:srgbClr w14:val="000000">
                      <w14:alpha w14:val="100000"/>
                    </w14:srgbClr>
                  </w14:solidFill>
                </w14:textFill>
              </w:rPr>
              <w:t xml:space="preserve">　</w:t>
            </w:r>
            <w:r w:rsidRPr="0015085A">
              <w:rPr>
                <w:color w:val="000000"/>
                <w:w w:val="29"/>
                <w:szCs w:val="20"/>
                <w:shd w:val="solid" w:color="000000" w:fill="000000"/>
                <w:fitText w:val="130" w:id="-103213131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318"/>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3" w:type="dxa"/>
          </w:tcPr>
          <w:p w14:paraId="0B172D5A" w14:textId="5B6B37D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317"/>
                <w14:textFill>
                  <w14:solidFill>
                    <w14:srgbClr w14:val="000000">
                      <w14:alpha w14:val="100000"/>
                    </w14:srgbClr>
                  </w14:solidFill>
                </w14:textFill>
              </w:rPr>
              <w:t xml:space="preserve">　</w:t>
            </w:r>
            <w:r w:rsidRPr="0015085A">
              <w:rPr>
                <w:color w:val="000000"/>
                <w:w w:val="29"/>
                <w:szCs w:val="20"/>
                <w:shd w:val="solid" w:color="000000" w:fill="000000"/>
                <w:fitText w:val="130" w:id="-1032131317"/>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317"/>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13337AA4" w14:textId="70E1559A"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316"/>
                <w14:textFill>
                  <w14:solidFill>
                    <w14:srgbClr w14:val="000000">
                      <w14:alpha w14:val="100000"/>
                    </w14:srgbClr>
                  </w14:solidFill>
                </w14:textFill>
              </w:rPr>
              <w:t xml:space="preserve">　</w:t>
            </w:r>
            <w:r w:rsidRPr="0015085A">
              <w:rPr>
                <w:color w:val="000000"/>
                <w:w w:val="29"/>
                <w:szCs w:val="20"/>
                <w:shd w:val="solid" w:color="000000" w:fill="000000"/>
                <w:fitText w:val="130" w:id="-103213131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316"/>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38F49EBD" w14:textId="58798250"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315"/>
                <w14:textFill>
                  <w14:solidFill>
                    <w14:srgbClr w14:val="000000">
                      <w14:alpha w14:val="100000"/>
                    </w14:srgbClr>
                  </w14:solidFill>
                </w14:textFill>
              </w:rPr>
              <w:t xml:space="preserve">　</w:t>
            </w:r>
            <w:r w:rsidRPr="0015085A">
              <w:rPr>
                <w:color w:val="000000"/>
                <w:w w:val="29"/>
                <w:szCs w:val="20"/>
                <w:shd w:val="solid" w:color="000000" w:fill="000000"/>
                <w:fitText w:val="130" w:id="-1032131315"/>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315"/>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42" w:type="dxa"/>
          </w:tcPr>
          <w:p w14:paraId="1B7A99F5" w14:textId="3E177E53"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314"/>
                <w14:textFill>
                  <w14:solidFill>
                    <w14:srgbClr w14:val="000000">
                      <w14:alpha w14:val="100000"/>
                    </w14:srgbClr>
                  </w14:solidFill>
                </w14:textFill>
              </w:rPr>
              <w:t xml:space="preserve">　</w:t>
            </w:r>
            <w:r w:rsidRPr="0015085A">
              <w:rPr>
                <w:color w:val="000000"/>
                <w:w w:val="29"/>
                <w:szCs w:val="20"/>
                <w:shd w:val="solid" w:color="000000" w:fill="000000"/>
                <w:fitText w:val="130" w:id="-1032131314"/>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314"/>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r>
      <w:tr w:rsidR="00DF6726" w:rsidRPr="0049396B" w14:paraId="47904961" w14:textId="77777777" w:rsidTr="00D94CF5">
        <w:tc>
          <w:tcPr>
            <w:tcW w:w="2972" w:type="dxa"/>
            <w:vAlign w:val="center"/>
          </w:tcPr>
          <w:p w14:paraId="1119AB6F" w14:textId="77777777" w:rsidR="00DF6726" w:rsidRPr="0049396B" w:rsidDel="00E722D4" w:rsidRDefault="00DF6726" w:rsidP="005C5151">
            <w:pPr>
              <w:pStyle w:val="TableText0"/>
              <w:keepLines/>
              <w:rPr>
                <w:szCs w:val="20"/>
              </w:rPr>
            </w:pPr>
            <w:r w:rsidRPr="0049396B">
              <w:rPr>
                <w:szCs w:val="20"/>
              </w:rPr>
              <w:t>Total incident patients eligible</w:t>
            </w:r>
          </w:p>
        </w:tc>
        <w:tc>
          <w:tcPr>
            <w:tcW w:w="1134" w:type="dxa"/>
          </w:tcPr>
          <w:p w14:paraId="20D27939" w14:textId="0E06F773"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313"/>
                <w14:textFill>
                  <w14:solidFill>
                    <w14:srgbClr w14:val="000000">
                      <w14:alpha w14:val="100000"/>
                    </w14:srgbClr>
                  </w14:solidFill>
                </w14:textFill>
              </w:rPr>
              <w:t xml:space="preserve">　</w:t>
            </w:r>
            <w:r w:rsidRPr="0015085A">
              <w:rPr>
                <w:color w:val="000000"/>
                <w:w w:val="29"/>
                <w:szCs w:val="20"/>
                <w:shd w:val="solid" w:color="000000" w:fill="000000"/>
                <w:fitText w:val="130" w:id="-1032131313"/>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313"/>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45814684" w14:textId="69F60632"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2"/>
                <w14:textFill>
                  <w14:solidFill>
                    <w14:srgbClr w14:val="000000">
                      <w14:alpha w14:val="100000"/>
                    </w14:srgbClr>
                  </w14:solidFill>
                </w14:textFill>
              </w:rPr>
              <w:t xml:space="preserve">　</w:t>
            </w:r>
            <w:r w:rsidRPr="0015085A">
              <w:rPr>
                <w:color w:val="000000"/>
                <w:w w:val="29"/>
                <w:szCs w:val="20"/>
                <w:shd w:val="solid" w:color="000000" w:fill="000000"/>
                <w:fitText w:val="130" w:id="-1032131072"/>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2"/>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3" w:type="dxa"/>
          </w:tcPr>
          <w:p w14:paraId="0B7B0262" w14:textId="40812DCF"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1"/>
                <w14:textFill>
                  <w14:solidFill>
                    <w14:srgbClr w14:val="000000">
                      <w14:alpha w14:val="100000"/>
                    </w14:srgbClr>
                  </w14:solidFill>
                </w14:textFill>
              </w:rPr>
              <w:t xml:space="preserve">　</w:t>
            </w:r>
            <w:r w:rsidRPr="0015085A">
              <w:rPr>
                <w:color w:val="000000"/>
                <w:w w:val="29"/>
                <w:szCs w:val="20"/>
                <w:shd w:val="solid" w:color="000000" w:fill="000000"/>
                <w:fitText w:val="130" w:id="-1032131071"/>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1"/>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09172792" w14:textId="2697C1C3"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0"/>
                <w14:textFill>
                  <w14:solidFill>
                    <w14:srgbClr w14:val="000000">
                      <w14:alpha w14:val="100000"/>
                    </w14:srgbClr>
                  </w14:solidFill>
                </w14:textFill>
              </w:rPr>
              <w:t xml:space="preserve">　</w:t>
            </w:r>
            <w:r w:rsidRPr="0015085A">
              <w:rPr>
                <w:color w:val="000000"/>
                <w:w w:val="29"/>
                <w:szCs w:val="20"/>
                <w:shd w:val="solid" w:color="000000" w:fill="000000"/>
                <w:fitText w:val="130" w:id="-103213107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0"/>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5855C7D5" w14:textId="59FC780F"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9"/>
                <w14:textFill>
                  <w14:solidFill>
                    <w14:srgbClr w14:val="000000">
                      <w14:alpha w14:val="100000"/>
                    </w14:srgbClr>
                  </w14:solidFill>
                </w14:textFill>
              </w:rPr>
              <w:t xml:space="preserve">　</w:t>
            </w:r>
            <w:r w:rsidRPr="0015085A">
              <w:rPr>
                <w:color w:val="000000"/>
                <w:w w:val="29"/>
                <w:szCs w:val="20"/>
                <w:shd w:val="solid" w:color="000000" w:fill="000000"/>
                <w:fitText w:val="130" w:id="-1032131069"/>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9"/>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42" w:type="dxa"/>
          </w:tcPr>
          <w:p w14:paraId="6DE00E44" w14:textId="0BD3AC6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8"/>
                <w14:textFill>
                  <w14:solidFill>
                    <w14:srgbClr w14:val="000000">
                      <w14:alpha w14:val="100000"/>
                    </w14:srgbClr>
                  </w14:solidFill>
                </w14:textFill>
              </w:rPr>
              <w:t xml:space="preserve">　</w:t>
            </w:r>
            <w:r w:rsidRPr="0015085A">
              <w:rPr>
                <w:color w:val="000000"/>
                <w:w w:val="29"/>
                <w:szCs w:val="20"/>
                <w:shd w:val="solid" w:color="000000" w:fill="000000"/>
                <w:fitText w:val="130" w:id="-103213106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8"/>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r>
      <w:tr w:rsidR="00DF6726" w:rsidRPr="0049396B" w14:paraId="0E3CC747" w14:textId="77777777" w:rsidTr="00D94CF5">
        <w:tc>
          <w:tcPr>
            <w:tcW w:w="2972" w:type="dxa"/>
            <w:tcBorders>
              <w:bottom w:val="single" w:sz="4" w:space="0" w:color="auto"/>
            </w:tcBorders>
            <w:vAlign w:val="center"/>
          </w:tcPr>
          <w:p w14:paraId="055BDFB0" w14:textId="77777777" w:rsidR="00DF6726" w:rsidRPr="0049396B" w:rsidRDefault="00DF6726" w:rsidP="005C5151">
            <w:pPr>
              <w:pStyle w:val="TableText0"/>
              <w:keepLines/>
              <w:rPr>
                <w:szCs w:val="20"/>
              </w:rPr>
            </w:pPr>
            <w:r w:rsidRPr="0049396B">
              <w:rPr>
                <w:szCs w:val="20"/>
              </w:rPr>
              <w:t>Total incident patients initiate edaravone</w:t>
            </w:r>
          </w:p>
        </w:tc>
        <w:tc>
          <w:tcPr>
            <w:tcW w:w="1134" w:type="dxa"/>
            <w:tcBorders>
              <w:bottom w:val="single" w:sz="4" w:space="0" w:color="auto"/>
            </w:tcBorders>
          </w:tcPr>
          <w:p w14:paraId="30A1276C" w14:textId="53B4630D"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7"/>
                <w14:textFill>
                  <w14:solidFill>
                    <w14:srgbClr w14:val="000000">
                      <w14:alpha w14:val="100000"/>
                    </w14:srgbClr>
                  </w14:solidFill>
                </w14:textFill>
              </w:rPr>
              <w:t xml:space="preserve">　</w:t>
            </w:r>
            <w:r w:rsidRPr="0015085A">
              <w:rPr>
                <w:color w:val="000000"/>
                <w:w w:val="29"/>
                <w:szCs w:val="20"/>
                <w:shd w:val="solid" w:color="000000" w:fill="000000"/>
                <w:fitText w:val="130" w:id="-1032131067"/>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7"/>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Borders>
              <w:bottom w:val="single" w:sz="4" w:space="0" w:color="auto"/>
            </w:tcBorders>
          </w:tcPr>
          <w:p w14:paraId="317234D3" w14:textId="7E22CC87"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6"/>
                <w14:textFill>
                  <w14:solidFill>
                    <w14:srgbClr w14:val="000000">
                      <w14:alpha w14:val="100000"/>
                    </w14:srgbClr>
                  </w14:solidFill>
                </w14:textFill>
              </w:rPr>
              <w:t xml:space="preserve">　</w:t>
            </w:r>
            <w:r w:rsidRPr="0015085A">
              <w:rPr>
                <w:color w:val="000000"/>
                <w:w w:val="29"/>
                <w:szCs w:val="20"/>
                <w:shd w:val="solid" w:color="000000" w:fill="000000"/>
                <w:fitText w:val="130" w:id="-103213106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6"/>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3" w:type="dxa"/>
            <w:tcBorders>
              <w:bottom w:val="single" w:sz="4" w:space="0" w:color="auto"/>
            </w:tcBorders>
          </w:tcPr>
          <w:p w14:paraId="05614D49" w14:textId="101BF9F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5"/>
                <w14:textFill>
                  <w14:solidFill>
                    <w14:srgbClr w14:val="000000">
                      <w14:alpha w14:val="100000"/>
                    </w14:srgbClr>
                  </w14:solidFill>
                </w14:textFill>
              </w:rPr>
              <w:t xml:space="preserve">　</w:t>
            </w:r>
            <w:r w:rsidRPr="0015085A">
              <w:rPr>
                <w:color w:val="000000"/>
                <w:w w:val="29"/>
                <w:szCs w:val="20"/>
                <w:shd w:val="solid" w:color="000000" w:fill="000000"/>
                <w:fitText w:val="130" w:id="-1032131065"/>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5"/>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Borders>
              <w:bottom w:val="single" w:sz="4" w:space="0" w:color="auto"/>
            </w:tcBorders>
          </w:tcPr>
          <w:p w14:paraId="00DE99B4" w14:textId="0456EDA2"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4"/>
                <w14:textFill>
                  <w14:solidFill>
                    <w14:srgbClr w14:val="000000">
                      <w14:alpha w14:val="100000"/>
                    </w14:srgbClr>
                  </w14:solidFill>
                </w14:textFill>
              </w:rPr>
              <w:t xml:space="preserve">　</w:t>
            </w:r>
            <w:r w:rsidRPr="0015085A">
              <w:rPr>
                <w:color w:val="000000"/>
                <w:w w:val="29"/>
                <w:szCs w:val="20"/>
                <w:shd w:val="solid" w:color="000000" w:fill="000000"/>
                <w:fitText w:val="130" w:id="-1032131064"/>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4"/>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Borders>
              <w:bottom w:val="single" w:sz="4" w:space="0" w:color="auto"/>
            </w:tcBorders>
          </w:tcPr>
          <w:p w14:paraId="76BB39FF" w14:textId="71B9DB7C"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3"/>
                <w14:textFill>
                  <w14:solidFill>
                    <w14:srgbClr w14:val="000000">
                      <w14:alpha w14:val="100000"/>
                    </w14:srgbClr>
                  </w14:solidFill>
                </w14:textFill>
              </w:rPr>
              <w:t xml:space="preserve">　</w:t>
            </w:r>
            <w:r w:rsidRPr="0015085A">
              <w:rPr>
                <w:color w:val="000000"/>
                <w:w w:val="29"/>
                <w:szCs w:val="20"/>
                <w:shd w:val="solid" w:color="000000" w:fill="000000"/>
                <w:fitText w:val="130" w:id="-1032131063"/>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3"/>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42" w:type="dxa"/>
            <w:tcBorders>
              <w:bottom w:val="single" w:sz="4" w:space="0" w:color="auto"/>
            </w:tcBorders>
          </w:tcPr>
          <w:p w14:paraId="07ACE0E8" w14:textId="25754904"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2"/>
                <w14:textFill>
                  <w14:solidFill>
                    <w14:srgbClr w14:val="000000">
                      <w14:alpha w14:val="100000"/>
                    </w14:srgbClr>
                  </w14:solidFill>
                </w14:textFill>
              </w:rPr>
              <w:t xml:space="preserve">　</w:t>
            </w:r>
            <w:r w:rsidRPr="0015085A">
              <w:rPr>
                <w:color w:val="000000"/>
                <w:w w:val="29"/>
                <w:szCs w:val="20"/>
                <w:shd w:val="solid" w:color="000000" w:fill="000000"/>
                <w:fitText w:val="130" w:id="-1032131062"/>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2"/>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48F6A9E9" w14:textId="77777777" w:rsidTr="00D94CF5">
        <w:tc>
          <w:tcPr>
            <w:tcW w:w="2972" w:type="dxa"/>
            <w:tcBorders>
              <w:bottom w:val="single" w:sz="4" w:space="0" w:color="auto"/>
            </w:tcBorders>
            <w:vAlign w:val="center"/>
          </w:tcPr>
          <w:p w14:paraId="4CB59B9A" w14:textId="77777777" w:rsidR="00DF6726" w:rsidRPr="0049396B" w:rsidRDefault="00DF6726" w:rsidP="005C5151">
            <w:pPr>
              <w:pStyle w:val="TableText0"/>
              <w:keepLines/>
              <w:rPr>
                <w:szCs w:val="20"/>
              </w:rPr>
            </w:pPr>
            <w:r w:rsidRPr="0049396B">
              <w:rPr>
                <w:szCs w:val="20"/>
              </w:rPr>
              <w:t>Total incident patients continue edaravone</w:t>
            </w:r>
          </w:p>
        </w:tc>
        <w:tc>
          <w:tcPr>
            <w:tcW w:w="1134" w:type="dxa"/>
            <w:tcBorders>
              <w:bottom w:val="single" w:sz="4" w:space="0" w:color="auto"/>
            </w:tcBorders>
          </w:tcPr>
          <w:p w14:paraId="6E1F2E3F" w14:textId="3859F1C9"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1"/>
                <w14:textFill>
                  <w14:solidFill>
                    <w14:srgbClr w14:val="000000">
                      <w14:alpha w14:val="100000"/>
                    </w14:srgbClr>
                  </w14:solidFill>
                </w14:textFill>
              </w:rPr>
              <w:t xml:space="preserve">　</w:t>
            </w:r>
            <w:r w:rsidRPr="0015085A">
              <w:rPr>
                <w:color w:val="000000"/>
                <w:w w:val="29"/>
                <w:szCs w:val="20"/>
                <w:shd w:val="solid" w:color="000000" w:fill="000000"/>
                <w:fitText w:val="130" w:id="-1032131061"/>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1"/>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Borders>
              <w:bottom w:val="single" w:sz="4" w:space="0" w:color="auto"/>
            </w:tcBorders>
          </w:tcPr>
          <w:p w14:paraId="3D3E15C8" w14:textId="0F7494BA"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0"/>
                <w14:textFill>
                  <w14:solidFill>
                    <w14:srgbClr w14:val="000000">
                      <w14:alpha w14:val="100000"/>
                    </w14:srgbClr>
                  </w14:solidFill>
                </w14:textFill>
              </w:rPr>
              <w:t xml:space="preserve">　</w:t>
            </w:r>
            <w:r w:rsidRPr="0015085A">
              <w:rPr>
                <w:color w:val="000000"/>
                <w:w w:val="29"/>
                <w:szCs w:val="20"/>
                <w:shd w:val="solid" w:color="000000" w:fill="000000"/>
                <w:fitText w:val="130" w:id="-103213106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0"/>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3" w:type="dxa"/>
            <w:tcBorders>
              <w:bottom w:val="single" w:sz="4" w:space="0" w:color="auto"/>
            </w:tcBorders>
          </w:tcPr>
          <w:p w14:paraId="11D66CE8" w14:textId="2FAD5AA2"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9"/>
                <w14:textFill>
                  <w14:solidFill>
                    <w14:srgbClr w14:val="000000">
                      <w14:alpha w14:val="100000"/>
                    </w14:srgbClr>
                  </w14:solidFill>
                </w14:textFill>
              </w:rPr>
              <w:t xml:space="preserve">　</w:t>
            </w:r>
            <w:r w:rsidRPr="0015085A">
              <w:rPr>
                <w:color w:val="000000"/>
                <w:w w:val="29"/>
                <w:szCs w:val="20"/>
                <w:shd w:val="solid" w:color="000000" w:fill="000000"/>
                <w:fitText w:val="130" w:id="-1032131059"/>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9"/>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Borders>
              <w:bottom w:val="single" w:sz="4" w:space="0" w:color="auto"/>
            </w:tcBorders>
          </w:tcPr>
          <w:p w14:paraId="6A1CAC30" w14:textId="1200189E"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8"/>
                <w14:textFill>
                  <w14:solidFill>
                    <w14:srgbClr w14:val="000000">
                      <w14:alpha w14:val="100000"/>
                    </w14:srgbClr>
                  </w14:solidFill>
                </w14:textFill>
              </w:rPr>
              <w:t xml:space="preserve">　</w:t>
            </w:r>
            <w:r w:rsidRPr="0015085A">
              <w:rPr>
                <w:color w:val="000000"/>
                <w:w w:val="29"/>
                <w:szCs w:val="20"/>
                <w:shd w:val="solid" w:color="000000" w:fill="000000"/>
                <w:fitText w:val="130" w:id="-103213105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8"/>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Borders>
              <w:bottom w:val="single" w:sz="4" w:space="0" w:color="auto"/>
            </w:tcBorders>
          </w:tcPr>
          <w:p w14:paraId="69069835" w14:textId="7CC6D07A"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7"/>
                <w14:textFill>
                  <w14:solidFill>
                    <w14:srgbClr w14:val="000000">
                      <w14:alpha w14:val="100000"/>
                    </w14:srgbClr>
                  </w14:solidFill>
                </w14:textFill>
              </w:rPr>
              <w:t xml:space="preserve">　</w:t>
            </w:r>
            <w:r w:rsidRPr="0015085A">
              <w:rPr>
                <w:color w:val="000000"/>
                <w:w w:val="29"/>
                <w:szCs w:val="20"/>
                <w:shd w:val="solid" w:color="000000" w:fill="000000"/>
                <w:fitText w:val="130" w:id="-1032131057"/>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7"/>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42" w:type="dxa"/>
            <w:tcBorders>
              <w:bottom w:val="single" w:sz="4" w:space="0" w:color="auto"/>
            </w:tcBorders>
          </w:tcPr>
          <w:p w14:paraId="3D0A233D" w14:textId="100A5F25"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6"/>
                <w14:textFill>
                  <w14:solidFill>
                    <w14:srgbClr w14:val="000000">
                      <w14:alpha w14:val="100000"/>
                    </w14:srgbClr>
                  </w14:solidFill>
                </w14:textFill>
              </w:rPr>
              <w:t xml:space="preserve">　</w:t>
            </w:r>
            <w:r w:rsidRPr="0015085A">
              <w:rPr>
                <w:color w:val="000000"/>
                <w:w w:val="29"/>
                <w:szCs w:val="20"/>
                <w:shd w:val="solid" w:color="000000" w:fill="000000"/>
                <w:fitText w:val="130" w:id="-103213105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6"/>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5135BF58" w14:textId="77777777" w:rsidTr="00D94CF5">
        <w:tc>
          <w:tcPr>
            <w:tcW w:w="2972" w:type="dxa"/>
            <w:tcBorders>
              <w:right w:val="nil"/>
            </w:tcBorders>
            <w:vAlign w:val="center"/>
          </w:tcPr>
          <w:p w14:paraId="39E125D0" w14:textId="77777777" w:rsidR="00DF6726" w:rsidRPr="0049396B" w:rsidRDefault="00DF6726" w:rsidP="005C5151">
            <w:pPr>
              <w:pStyle w:val="TableText0"/>
              <w:keepLines/>
              <w:rPr>
                <w:b/>
                <w:szCs w:val="20"/>
              </w:rPr>
            </w:pPr>
            <w:r w:rsidRPr="0049396B">
              <w:rPr>
                <w:b/>
                <w:szCs w:val="20"/>
              </w:rPr>
              <w:t>Prevalent population</w:t>
            </w:r>
          </w:p>
        </w:tc>
        <w:tc>
          <w:tcPr>
            <w:tcW w:w="1134" w:type="dxa"/>
            <w:tcBorders>
              <w:left w:val="nil"/>
              <w:right w:val="nil"/>
            </w:tcBorders>
            <w:vAlign w:val="center"/>
          </w:tcPr>
          <w:p w14:paraId="0D74720F" w14:textId="77777777" w:rsidR="00DF6726" w:rsidRPr="0049396B" w:rsidRDefault="00DF6726" w:rsidP="005C5151">
            <w:pPr>
              <w:pStyle w:val="TableText0"/>
              <w:keepLines/>
              <w:jc w:val="center"/>
              <w:rPr>
                <w:szCs w:val="20"/>
              </w:rPr>
            </w:pPr>
          </w:p>
        </w:tc>
        <w:tc>
          <w:tcPr>
            <w:tcW w:w="992" w:type="dxa"/>
            <w:tcBorders>
              <w:left w:val="nil"/>
              <w:right w:val="nil"/>
            </w:tcBorders>
            <w:vAlign w:val="center"/>
          </w:tcPr>
          <w:p w14:paraId="47486697" w14:textId="77777777" w:rsidR="00DF6726" w:rsidRPr="0049396B" w:rsidRDefault="00DF6726" w:rsidP="005C5151">
            <w:pPr>
              <w:pStyle w:val="TableText0"/>
              <w:keepLines/>
              <w:jc w:val="center"/>
              <w:rPr>
                <w:szCs w:val="20"/>
              </w:rPr>
            </w:pPr>
          </w:p>
        </w:tc>
        <w:tc>
          <w:tcPr>
            <w:tcW w:w="993" w:type="dxa"/>
            <w:tcBorders>
              <w:left w:val="nil"/>
              <w:right w:val="nil"/>
            </w:tcBorders>
            <w:vAlign w:val="center"/>
          </w:tcPr>
          <w:p w14:paraId="3F949116" w14:textId="77777777" w:rsidR="00DF6726" w:rsidRPr="0049396B" w:rsidRDefault="00DF6726" w:rsidP="005C5151">
            <w:pPr>
              <w:pStyle w:val="TableText0"/>
              <w:keepLines/>
              <w:jc w:val="center"/>
              <w:rPr>
                <w:szCs w:val="20"/>
              </w:rPr>
            </w:pPr>
          </w:p>
        </w:tc>
        <w:tc>
          <w:tcPr>
            <w:tcW w:w="992" w:type="dxa"/>
            <w:tcBorders>
              <w:left w:val="nil"/>
              <w:right w:val="nil"/>
            </w:tcBorders>
            <w:vAlign w:val="center"/>
          </w:tcPr>
          <w:p w14:paraId="418ED7DA" w14:textId="77777777" w:rsidR="00DF6726" w:rsidRPr="0049396B" w:rsidRDefault="00DF6726" w:rsidP="005C5151">
            <w:pPr>
              <w:pStyle w:val="TableText0"/>
              <w:keepLines/>
              <w:jc w:val="center"/>
              <w:rPr>
                <w:szCs w:val="20"/>
              </w:rPr>
            </w:pPr>
          </w:p>
        </w:tc>
        <w:tc>
          <w:tcPr>
            <w:tcW w:w="992" w:type="dxa"/>
            <w:tcBorders>
              <w:left w:val="nil"/>
              <w:right w:val="nil"/>
            </w:tcBorders>
            <w:vAlign w:val="center"/>
          </w:tcPr>
          <w:p w14:paraId="1FFB9E63" w14:textId="77777777" w:rsidR="00DF6726" w:rsidRPr="0049396B" w:rsidRDefault="00DF6726" w:rsidP="005C5151">
            <w:pPr>
              <w:pStyle w:val="TableText0"/>
              <w:keepLines/>
              <w:jc w:val="center"/>
              <w:rPr>
                <w:szCs w:val="20"/>
              </w:rPr>
            </w:pPr>
          </w:p>
        </w:tc>
        <w:tc>
          <w:tcPr>
            <w:tcW w:w="942" w:type="dxa"/>
            <w:tcBorders>
              <w:left w:val="nil"/>
            </w:tcBorders>
            <w:vAlign w:val="center"/>
          </w:tcPr>
          <w:p w14:paraId="12F80DCA" w14:textId="77777777" w:rsidR="00DF6726" w:rsidRPr="0049396B" w:rsidRDefault="00DF6726" w:rsidP="005C5151">
            <w:pPr>
              <w:pStyle w:val="TableText0"/>
              <w:keepLines/>
              <w:jc w:val="center"/>
              <w:rPr>
                <w:szCs w:val="20"/>
              </w:rPr>
            </w:pPr>
          </w:p>
        </w:tc>
      </w:tr>
      <w:tr w:rsidR="00DF6726" w:rsidRPr="0049396B" w14:paraId="463BA753" w14:textId="77777777" w:rsidTr="00D94CF5">
        <w:tc>
          <w:tcPr>
            <w:tcW w:w="2972" w:type="dxa"/>
            <w:vAlign w:val="center"/>
          </w:tcPr>
          <w:p w14:paraId="15FA7F51" w14:textId="77777777" w:rsidR="00DF6726" w:rsidRPr="0049396B" w:rsidRDefault="00DF6726" w:rsidP="005C5151">
            <w:pPr>
              <w:pStyle w:val="TableText0"/>
              <w:keepLines/>
              <w:rPr>
                <w:szCs w:val="20"/>
              </w:rPr>
            </w:pPr>
            <w:r w:rsidRPr="0049396B">
              <w:rPr>
                <w:szCs w:val="20"/>
              </w:rPr>
              <w:t xml:space="preserve">Prevalent ALS population </w:t>
            </w:r>
          </w:p>
        </w:tc>
        <w:tc>
          <w:tcPr>
            <w:tcW w:w="1134" w:type="dxa"/>
          </w:tcPr>
          <w:p w14:paraId="45F312ED" w14:textId="5FA9F212"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2"/>
                <w14:textFill>
                  <w14:solidFill>
                    <w14:srgbClr w14:val="000000">
                      <w14:alpha w14:val="100000"/>
                    </w14:srgbClr>
                  </w14:solidFill>
                </w14:textFill>
              </w:rPr>
              <w:t xml:space="preserve">　</w:t>
            </w:r>
            <w:r w:rsidRPr="0015085A">
              <w:rPr>
                <w:color w:val="000000"/>
                <w:w w:val="29"/>
                <w:szCs w:val="20"/>
                <w:shd w:val="solid" w:color="000000" w:fill="000000"/>
                <w:fitText w:val="130" w:id="-1032131072"/>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2"/>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1929F966" w14:textId="742F6123"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1"/>
                <w14:textFill>
                  <w14:solidFill>
                    <w14:srgbClr w14:val="000000">
                      <w14:alpha w14:val="100000"/>
                    </w14:srgbClr>
                  </w14:solidFill>
                </w14:textFill>
              </w:rPr>
              <w:t xml:space="preserve">　</w:t>
            </w:r>
            <w:r w:rsidRPr="0015085A">
              <w:rPr>
                <w:color w:val="000000"/>
                <w:w w:val="29"/>
                <w:szCs w:val="20"/>
                <w:shd w:val="solid" w:color="000000" w:fill="000000"/>
                <w:fitText w:val="130" w:id="-1032131071"/>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1"/>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3" w:type="dxa"/>
          </w:tcPr>
          <w:p w14:paraId="7A5175B9" w14:textId="3D0D6B9C"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0"/>
                <w14:textFill>
                  <w14:solidFill>
                    <w14:srgbClr w14:val="000000">
                      <w14:alpha w14:val="100000"/>
                    </w14:srgbClr>
                  </w14:solidFill>
                </w14:textFill>
              </w:rPr>
              <w:t xml:space="preserve">　</w:t>
            </w:r>
            <w:r w:rsidRPr="0015085A">
              <w:rPr>
                <w:color w:val="000000"/>
                <w:w w:val="29"/>
                <w:szCs w:val="20"/>
                <w:shd w:val="solid" w:color="000000" w:fill="000000"/>
                <w:fitText w:val="130" w:id="-103213107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0"/>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221E38D7" w14:textId="04B90E86"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9"/>
                <w14:textFill>
                  <w14:solidFill>
                    <w14:srgbClr w14:val="000000">
                      <w14:alpha w14:val="100000"/>
                    </w14:srgbClr>
                  </w14:solidFill>
                </w14:textFill>
              </w:rPr>
              <w:t xml:space="preserve">　</w:t>
            </w:r>
            <w:r w:rsidRPr="0015085A">
              <w:rPr>
                <w:color w:val="000000"/>
                <w:w w:val="29"/>
                <w:szCs w:val="20"/>
                <w:shd w:val="solid" w:color="000000" w:fill="000000"/>
                <w:fitText w:val="130" w:id="-1032131069"/>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9"/>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7C7742AE" w14:textId="63FADB7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8"/>
                <w14:textFill>
                  <w14:solidFill>
                    <w14:srgbClr w14:val="000000">
                      <w14:alpha w14:val="100000"/>
                    </w14:srgbClr>
                  </w14:solidFill>
                </w14:textFill>
              </w:rPr>
              <w:t xml:space="preserve">　</w:t>
            </w:r>
            <w:r w:rsidRPr="0015085A">
              <w:rPr>
                <w:color w:val="000000"/>
                <w:w w:val="29"/>
                <w:szCs w:val="20"/>
                <w:shd w:val="solid" w:color="000000" w:fill="000000"/>
                <w:fitText w:val="130" w:id="-103213106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8"/>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42" w:type="dxa"/>
          </w:tcPr>
          <w:p w14:paraId="0645FE5B" w14:textId="24F3BAE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7"/>
                <w14:textFill>
                  <w14:solidFill>
                    <w14:srgbClr w14:val="000000">
                      <w14:alpha w14:val="100000"/>
                    </w14:srgbClr>
                  </w14:solidFill>
                </w14:textFill>
              </w:rPr>
              <w:t xml:space="preserve">　</w:t>
            </w:r>
            <w:r w:rsidRPr="0015085A">
              <w:rPr>
                <w:color w:val="000000"/>
                <w:w w:val="29"/>
                <w:szCs w:val="20"/>
                <w:shd w:val="solid" w:color="000000" w:fill="000000"/>
                <w:fitText w:val="130" w:id="-1032131067"/>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7"/>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r>
      <w:tr w:rsidR="00DF6726" w:rsidRPr="0049396B" w14:paraId="6B880B9E" w14:textId="77777777" w:rsidTr="00D94CF5">
        <w:tc>
          <w:tcPr>
            <w:tcW w:w="2972" w:type="dxa"/>
            <w:vAlign w:val="center"/>
          </w:tcPr>
          <w:p w14:paraId="798EF2D1" w14:textId="77777777" w:rsidR="00DF6726" w:rsidRPr="0049396B" w:rsidDel="00E722D4" w:rsidRDefault="00DF6726" w:rsidP="005C5151">
            <w:pPr>
              <w:pStyle w:val="TableText0"/>
              <w:keepLines/>
              <w:rPr>
                <w:szCs w:val="20"/>
              </w:rPr>
            </w:pPr>
            <w:r w:rsidRPr="0049396B">
              <w:rPr>
                <w:szCs w:val="20"/>
              </w:rPr>
              <w:t>Total prevalent patients eligible</w:t>
            </w:r>
          </w:p>
        </w:tc>
        <w:tc>
          <w:tcPr>
            <w:tcW w:w="1134" w:type="dxa"/>
          </w:tcPr>
          <w:p w14:paraId="7C0629B1" w14:textId="6602D4A3"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6"/>
                <w14:textFill>
                  <w14:solidFill>
                    <w14:srgbClr w14:val="000000">
                      <w14:alpha w14:val="100000"/>
                    </w14:srgbClr>
                  </w14:solidFill>
                </w14:textFill>
              </w:rPr>
              <w:t xml:space="preserve">　</w:t>
            </w:r>
            <w:r w:rsidRPr="0015085A">
              <w:rPr>
                <w:color w:val="000000"/>
                <w:w w:val="29"/>
                <w:szCs w:val="20"/>
                <w:shd w:val="solid" w:color="000000" w:fill="000000"/>
                <w:fitText w:val="130" w:id="-103213106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6"/>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137A6F8D" w14:textId="1D122244"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5"/>
                <w14:textFill>
                  <w14:solidFill>
                    <w14:srgbClr w14:val="000000">
                      <w14:alpha w14:val="100000"/>
                    </w14:srgbClr>
                  </w14:solidFill>
                </w14:textFill>
              </w:rPr>
              <w:t xml:space="preserve">　</w:t>
            </w:r>
            <w:r w:rsidRPr="0015085A">
              <w:rPr>
                <w:color w:val="000000"/>
                <w:w w:val="29"/>
                <w:szCs w:val="20"/>
                <w:shd w:val="solid" w:color="000000" w:fill="000000"/>
                <w:fitText w:val="130" w:id="-1032131065"/>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5"/>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3" w:type="dxa"/>
          </w:tcPr>
          <w:p w14:paraId="5B163EA0" w14:textId="62C69B33"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4"/>
                <w14:textFill>
                  <w14:solidFill>
                    <w14:srgbClr w14:val="000000">
                      <w14:alpha w14:val="100000"/>
                    </w14:srgbClr>
                  </w14:solidFill>
                </w14:textFill>
              </w:rPr>
              <w:t xml:space="preserve">　</w:t>
            </w:r>
            <w:r w:rsidRPr="0015085A">
              <w:rPr>
                <w:color w:val="000000"/>
                <w:w w:val="29"/>
                <w:szCs w:val="20"/>
                <w:shd w:val="solid" w:color="000000" w:fill="000000"/>
                <w:fitText w:val="130" w:id="-1032131064"/>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4"/>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7F6D681F" w14:textId="33C226F5"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3"/>
                <w14:textFill>
                  <w14:solidFill>
                    <w14:srgbClr w14:val="000000">
                      <w14:alpha w14:val="100000"/>
                    </w14:srgbClr>
                  </w14:solidFill>
                </w14:textFill>
              </w:rPr>
              <w:t xml:space="preserve">　</w:t>
            </w:r>
            <w:r w:rsidRPr="0015085A">
              <w:rPr>
                <w:color w:val="000000"/>
                <w:w w:val="29"/>
                <w:szCs w:val="20"/>
                <w:shd w:val="solid" w:color="000000" w:fill="000000"/>
                <w:fitText w:val="130" w:id="-1032131063"/>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3"/>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234071F6" w14:textId="734AA6F6"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2"/>
                <w14:textFill>
                  <w14:solidFill>
                    <w14:srgbClr w14:val="000000">
                      <w14:alpha w14:val="100000"/>
                    </w14:srgbClr>
                  </w14:solidFill>
                </w14:textFill>
              </w:rPr>
              <w:t xml:space="preserve">　</w:t>
            </w:r>
            <w:r w:rsidRPr="0015085A">
              <w:rPr>
                <w:color w:val="000000"/>
                <w:w w:val="29"/>
                <w:szCs w:val="20"/>
                <w:shd w:val="solid" w:color="000000" w:fill="000000"/>
                <w:fitText w:val="130" w:id="-1032131062"/>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2"/>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42" w:type="dxa"/>
          </w:tcPr>
          <w:p w14:paraId="7A60B837" w14:textId="627DC4AE"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1"/>
                <w14:textFill>
                  <w14:solidFill>
                    <w14:srgbClr w14:val="000000">
                      <w14:alpha w14:val="100000"/>
                    </w14:srgbClr>
                  </w14:solidFill>
                </w14:textFill>
              </w:rPr>
              <w:t xml:space="preserve">　</w:t>
            </w:r>
            <w:r w:rsidRPr="0015085A">
              <w:rPr>
                <w:color w:val="000000"/>
                <w:w w:val="29"/>
                <w:szCs w:val="20"/>
                <w:shd w:val="solid" w:color="000000" w:fill="000000"/>
                <w:fitText w:val="130" w:id="-1032131061"/>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1"/>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7BFA9739" w14:textId="77777777" w:rsidTr="00D94CF5">
        <w:tc>
          <w:tcPr>
            <w:tcW w:w="2972" w:type="dxa"/>
            <w:vAlign w:val="center"/>
          </w:tcPr>
          <w:p w14:paraId="5D328D21" w14:textId="77777777" w:rsidR="00DF6726" w:rsidRPr="0049396B" w:rsidRDefault="00DF6726" w:rsidP="005C5151">
            <w:pPr>
              <w:pStyle w:val="TableText0"/>
              <w:keepLines/>
              <w:rPr>
                <w:szCs w:val="20"/>
              </w:rPr>
            </w:pPr>
            <w:r w:rsidRPr="0049396B">
              <w:rPr>
                <w:szCs w:val="20"/>
              </w:rPr>
              <w:t>Total prevalent patients initiate with edaravone</w:t>
            </w:r>
          </w:p>
        </w:tc>
        <w:tc>
          <w:tcPr>
            <w:tcW w:w="1134" w:type="dxa"/>
          </w:tcPr>
          <w:p w14:paraId="775D1802" w14:textId="517550EF"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0"/>
                <w14:textFill>
                  <w14:solidFill>
                    <w14:srgbClr w14:val="000000">
                      <w14:alpha w14:val="100000"/>
                    </w14:srgbClr>
                  </w14:solidFill>
                </w14:textFill>
              </w:rPr>
              <w:t xml:space="preserve">　</w:t>
            </w:r>
            <w:r w:rsidRPr="0015085A">
              <w:rPr>
                <w:color w:val="000000"/>
                <w:w w:val="29"/>
                <w:szCs w:val="20"/>
                <w:shd w:val="solid" w:color="000000" w:fill="000000"/>
                <w:fitText w:val="130" w:id="-103213106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0"/>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496EE994" w14:textId="31D712EB"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9"/>
                <w14:textFill>
                  <w14:solidFill>
                    <w14:srgbClr w14:val="000000">
                      <w14:alpha w14:val="100000"/>
                    </w14:srgbClr>
                  </w14:solidFill>
                </w14:textFill>
              </w:rPr>
              <w:t xml:space="preserve">　</w:t>
            </w:r>
            <w:r w:rsidRPr="0015085A">
              <w:rPr>
                <w:color w:val="000000"/>
                <w:w w:val="29"/>
                <w:szCs w:val="20"/>
                <w:shd w:val="solid" w:color="000000" w:fill="000000"/>
                <w:fitText w:val="130" w:id="-1032131059"/>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9"/>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3" w:type="dxa"/>
          </w:tcPr>
          <w:p w14:paraId="3F03BF7D" w14:textId="23F361C9"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8"/>
                <w14:textFill>
                  <w14:solidFill>
                    <w14:srgbClr w14:val="000000">
                      <w14:alpha w14:val="100000"/>
                    </w14:srgbClr>
                  </w14:solidFill>
                </w14:textFill>
              </w:rPr>
              <w:t xml:space="preserve">　</w:t>
            </w:r>
            <w:r w:rsidRPr="0015085A">
              <w:rPr>
                <w:color w:val="000000"/>
                <w:w w:val="29"/>
                <w:szCs w:val="20"/>
                <w:shd w:val="solid" w:color="000000" w:fill="000000"/>
                <w:fitText w:val="130" w:id="-103213105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8"/>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0DD5E765" w14:textId="5E5A47EE"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7"/>
                <w14:textFill>
                  <w14:solidFill>
                    <w14:srgbClr w14:val="000000">
                      <w14:alpha w14:val="100000"/>
                    </w14:srgbClr>
                  </w14:solidFill>
                </w14:textFill>
              </w:rPr>
              <w:t xml:space="preserve">　</w:t>
            </w:r>
            <w:r w:rsidRPr="0015085A">
              <w:rPr>
                <w:color w:val="000000"/>
                <w:w w:val="29"/>
                <w:szCs w:val="20"/>
                <w:shd w:val="solid" w:color="000000" w:fill="000000"/>
                <w:fitText w:val="130" w:id="-1032131057"/>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7"/>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621ABE05" w14:textId="42C9A79F"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6"/>
                <w14:textFill>
                  <w14:solidFill>
                    <w14:srgbClr w14:val="000000">
                      <w14:alpha w14:val="100000"/>
                    </w14:srgbClr>
                  </w14:solidFill>
                </w14:textFill>
              </w:rPr>
              <w:t xml:space="preserve">　</w:t>
            </w:r>
            <w:r w:rsidRPr="0015085A">
              <w:rPr>
                <w:color w:val="000000"/>
                <w:w w:val="29"/>
                <w:szCs w:val="20"/>
                <w:shd w:val="solid" w:color="000000" w:fill="000000"/>
                <w:fitText w:val="130" w:id="-103213105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6"/>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42" w:type="dxa"/>
          </w:tcPr>
          <w:p w14:paraId="36F8A5BA" w14:textId="031066A1"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2"/>
                <w14:textFill>
                  <w14:solidFill>
                    <w14:srgbClr w14:val="000000">
                      <w14:alpha w14:val="100000"/>
                    </w14:srgbClr>
                  </w14:solidFill>
                </w14:textFill>
              </w:rPr>
              <w:t xml:space="preserve">　</w:t>
            </w:r>
            <w:r w:rsidRPr="0015085A">
              <w:rPr>
                <w:color w:val="000000"/>
                <w:w w:val="29"/>
                <w:szCs w:val="20"/>
                <w:shd w:val="solid" w:color="000000" w:fill="000000"/>
                <w:fitText w:val="130" w:id="-1032131072"/>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2"/>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753D3C85" w14:textId="77777777" w:rsidTr="00D94CF5">
        <w:tc>
          <w:tcPr>
            <w:tcW w:w="2972" w:type="dxa"/>
            <w:vAlign w:val="center"/>
          </w:tcPr>
          <w:p w14:paraId="578870EC" w14:textId="77777777" w:rsidR="00DF6726" w:rsidRPr="0049396B" w:rsidRDefault="00DF6726" w:rsidP="005C5151">
            <w:pPr>
              <w:pStyle w:val="TableText0"/>
              <w:keepLines/>
              <w:rPr>
                <w:szCs w:val="20"/>
              </w:rPr>
            </w:pPr>
            <w:r w:rsidRPr="0049396B">
              <w:rPr>
                <w:szCs w:val="20"/>
              </w:rPr>
              <w:t>Total prevalent patients continue with edaravone</w:t>
            </w:r>
          </w:p>
        </w:tc>
        <w:tc>
          <w:tcPr>
            <w:tcW w:w="1134" w:type="dxa"/>
          </w:tcPr>
          <w:p w14:paraId="2860FA75" w14:textId="556DC217"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1"/>
                <w14:textFill>
                  <w14:solidFill>
                    <w14:srgbClr w14:val="000000">
                      <w14:alpha w14:val="100000"/>
                    </w14:srgbClr>
                  </w14:solidFill>
                </w14:textFill>
              </w:rPr>
              <w:t xml:space="preserve">　</w:t>
            </w:r>
            <w:r w:rsidRPr="0015085A">
              <w:rPr>
                <w:color w:val="000000"/>
                <w:w w:val="29"/>
                <w:szCs w:val="20"/>
                <w:shd w:val="solid" w:color="000000" w:fill="000000"/>
                <w:fitText w:val="130" w:id="-1032131071"/>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1"/>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2B75237C" w14:textId="70F6615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0"/>
                <w14:textFill>
                  <w14:solidFill>
                    <w14:srgbClr w14:val="000000">
                      <w14:alpha w14:val="100000"/>
                    </w14:srgbClr>
                  </w14:solidFill>
                </w14:textFill>
              </w:rPr>
              <w:t xml:space="preserve">　</w:t>
            </w:r>
            <w:r w:rsidRPr="0015085A">
              <w:rPr>
                <w:color w:val="000000"/>
                <w:w w:val="29"/>
                <w:szCs w:val="20"/>
                <w:shd w:val="solid" w:color="000000" w:fill="000000"/>
                <w:fitText w:val="130" w:id="-103213107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0"/>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3" w:type="dxa"/>
          </w:tcPr>
          <w:p w14:paraId="47DF22BD" w14:textId="2FB46CCA"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9"/>
                <w14:textFill>
                  <w14:solidFill>
                    <w14:srgbClr w14:val="000000">
                      <w14:alpha w14:val="100000"/>
                    </w14:srgbClr>
                  </w14:solidFill>
                </w14:textFill>
              </w:rPr>
              <w:t xml:space="preserve">　</w:t>
            </w:r>
            <w:r w:rsidRPr="0015085A">
              <w:rPr>
                <w:color w:val="000000"/>
                <w:w w:val="29"/>
                <w:szCs w:val="20"/>
                <w:shd w:val="solid" w:color="000000" w:fill="000000"/>
                <w:fitText w:val="130" w:id="-1032131069"/>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9"/>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56448C91" w14:textId="523E0B26"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8"/>
                <w14:textFill>
                  <w14:solidFill>
                    <w14:srgbClr w14:val="000000">
                      <w14:alpha w14:val="100000"/>
                    </w14:srgbClr>
                  </w14:solidFill>
                </w14:textFill>
              </w:rPr>
              <w:t xml:space="preserve">　</w:t>
            </w:r>
            <w:r w:rsidRPr="0015085A">
              <w:rPr>
                <w:color w:val="000000"/>
                <w:w w:val="29"/>
                <w:szCs w:val="20"/>
                <w:shd w:val="solid" w:color="000000" w:fill="000000"/>
                <w:fitText w:val="130" w:id="-103213106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8"/>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1ED183B3" w14:textId="523B8306"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7"/>
                <w14:textFill>
                  <w14:solidFill>
                    <w14:srgbClr w14:val="000000">
                      <w14:alpha w14:val="100000"/>
                    </w14:srgbClr>
                  </w14:solidFill>
                </w14:textFill>
              </w:rPr>
              <w:t xml:space="preserve">　</w:t>
            </w:r>
            <w:r w:rsidRPr="0015085A">
              <w:rPr>
                <w:color w:val="000000"/>
                <w:w w:val="29"/>
                <w:szCs w:val="20"/>
                <w:shd w:val="solid" w:color="000000" w:fill="000000"/>
                <w:fitText w:val="130" w:id="-1032131067"/>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7"/>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42" w:type="dxa"/>
          </w:tcPr>
          <w:p w14:paraId="66B62884" w14:textId="4379620B"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6"/>
                <w14:textFill>
                  <w14:solidFill>
                    <w14:srgbClr w14:val="000000">
                      <w14:alpha w14:val="100000"/>
                    </w14:srgbClr>
                  </w14:solidFill>
                </w14:textFill>
              </w:rPr>
              <w:t xml:space="preserve">　</w:t>
            </w:r>
            <w:r w:rsidRPr="0015085A">
              <w:rPr>
                <w:color w:val="000000"/>
                <w:w w:val="29"/>
                <w:szCs w:val="20"/>
                <w:shd w:val="solid" w:color="000000" w:fill="000000"/>
                <w:fitText w:val="130" w:id="-103213106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6"/>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2C139E7F" w14:textId="77777777" w:rsidTr="00D94CF5">
        <w:trPr>
          <w:trHeight w:val="58"/>
        </w:trPr>
        <w:tc>
          <w:tcPr>
            <w:tcW w:w="2972" w:type="dxa"/>
            <w:vAlign w:val="center"/>
          </w:tcPr>
          <w:p w14:paraId="4947C216" w14:textId="77777777" w:rsidR="00DF6726" w:rsidRPr="0049396B" w:rsidRDefault="00DF6726" w:rsidP="005C5151">
            <w:pPr>
              <w:pStyle w:val="TableText0"/>
              <w:keepLines/>
              <w:rPr>
                <w:b/>
                <w:szCs w:val="20"/>
              </w:rPr>
            </w:pPr>
            <w:r w:rsidRPr="0049396B">
              <w:rPr>
                <w:b/>
                <w:szCs w:val="20"/>
              </w:rPr>
              <w:t xml:space="preserve">Total patients initiate edaravone </w:t>
            </w:r>
          </w:p>
        </w:tc>
        <w:tc>
          <w:tcPr>
            <w:tcW w:w="1134" w:type="dxa"/>
          </w:tcPr>
          <w:p w14:paraId="60EDA4ED" w14:textId="2EEC11C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5"/>
                <w14:textFill>
                  <w14:solidFill>
                    <w14:srgbClr w14:val="000000">
                      <w14:alpha w14:val="100000"/>
                    </w14:srgbClr>
                  </w14:solidFill>
                </w14:textFill>
              </w:rPr>
              <w:t xml:space="preserve">　</w:t>
            </w:r>
            <w:r w:rsidRPr="0015085A">
              <w:rPr>
                <w:color w:val="000000"/>
                <w:w w:val="29"/>
                <w:szCs w:val="20"/>
                <w:shd w:val="solid" w:color="000000" w:fill="000000"/>
                <w:fitText w:val="130" w:id="-1032131065"/>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5"/>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17DCF742" w14:textId="280283E5"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4"/>
                <w14:textFill>
                  <w14:solidFill>
                    <w14:srgbClr w14:val="000000">
                      <w14:alpha w14:val="100000"/>
                    </w14:srgbClr>
                  </w14:solidFill>
                </w14:textFill>
              </w:rPr>
              <w:t xml:space="preserve">　</w:t>
            </w:r>
            <w:r w:rsidRPr="0015085A">
              <w:rPr>
                <w:color w:val="000000"/>
                <w:w w:val="29"/>
                <w:szCs w:val="20"/>
                <w:shd w:val="solid" w:color="000000" w:fill="000000"/>
                <w:fitText w:val="130" w:id="-1032131064"/>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4"/>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r>
              <w:rPr>
                <w:szCs w:val="20"/>
              </w:rPr>
              <w:t xml:space="preserve"> </w:t>
            </w:r>
          </w:p>
        </w:tc>
        <w:tc>
          <w:tcPr>
            <w:tcW w:w="993" w:type="dxa"/>
          </w:tcPr>
          <w:p w14:paraId="13066CAE" w14:textId="36564E31"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2"/>
                <w14:textFill>
                  <w14:solidFill>
                    <w14:srgbClr w14:val="000000">
                      <w14:alpha w14:val="100000"/>
                    </w14:srgbClr>
                  </w14:solidFill>
                </w14:textFill>
              </w:rPr>
              <w:t xml:space="preserve">　</w:t>
            </w:r>
            <w:r w:rsidRPr="0015085A">
              <w:rPr>
                <w:color w:val="000000"/>
                <w:w w:val="29"/>
                <w:szCs w:val="20"/>
                <w:shd w:val="solid" w:color="000000" w:fill="000000"/>
                <w:fitText w:val="130" w:id="-1032131062"/>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2"/>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r>
              <w:rPr>
                <w:szCs w:val="20"/>
              </w:rPr>
              <w:t xml:space="preserve"> </w:t>
            </w:r>
          </w:p>
        </w:tc>
        <w:tc>
          <w:tcPr>
            <w:tcW w:w="992" w:type="dxa"/>
          </w:tcPr>
          <w:p w14:paraId="7884108C" w14:textId="12829337"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60"/>
                <w14:textFill>
                  <w14:solidFill>
                    <w14:srgbClr w14:val="000000">
                      <w14:alpha w14:val="100000"/>
                    </w14:srgbClr>
                  </w14:solidFill>
                </w14:textFill>
              </w:rPr>
              <w:t xml:space="preserve">　</w:t>
            </w:r>
            <w:r w:rsidRPr="0015085A">
              <w:rPr>
                <w:color w:val="000000"/>
                <w:w w:val="29"/>
                <w:szCs w:val="20"/>
                <w:shd w:val="solid" w:color="000000" w:fill="000000"/>
                <w:fitText w:val="130" w:id="-103213106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60"/>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7D7BB3AE" w14:textId="559A10C7"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8"/>
                <w14:textFill>
                  <w14:solidFill>
                    <w14:srgbClr w14:val="000000">
                      <w14:alpha w14:val="100000"/>
                    </w14:srgbClr>
                  </w14:solidFill>
                </w14:textFill>
              </w:rPr>
              <w:t xml:space="preserve">　</w:t>
            </w:r>
            <w:r w:rsidRPr="0015085A">
              <w:rPr>
                <w:color w:val="000000"/>
                <w:w w:val="29"/>
                <w:szCs w:val="20"/>
                <w:shd w:val="solid" w:color="000000" w:fill="000000"/>
                <w:fitText w:val="130" w:id="-103213105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8"/>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r>
              <w:rPr>
                <w:szCs w:val="20"/>
              </w:rPr>
              <w:t xml:space="preserve"> </w:t>
            </w:r>
          </w:p>
        </w:tc>
        <w:tc>
          <w:tcPr>
            <w:tcW w:w="942" w:type="dxa"/>
          </w:tcPr>
          <w:p w14:paraId="0DA91EEA" w14:textId="51D438F6"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56"/>
                <w14:textFill>
                  <w14:solidFill>
                    <w14:srgbClr w14:val="000000">
                      <w14:alpha w14:val="100000"/>
                    </w14:srgbClr>
                  </w14:solidFill>
                </w14:textFill>
              </w:rPr>
              <w:t xml:space="preserve">　</w:t>
            </w:r>
            <w:r w:rsidRPr="0015085A">
              <w:rPr>
                <w:color w:val="000000"/>
                <w:w w:val="29"/>
                <w:szCs w:val="20"/>
                <w:shd w:val="solid" w:color="000000" w:fill="000000"/>
                <w:fitText w:val="130" w:id="-103213105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56"/>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4D4DFCC1" w14:textId="77777777" w:rsidTr="00D94CF5">
        <w:trPr>
          <w:trHeight w:val="230"/>
        </w:trPr>
        <w:tc>
          <w:tcPr>
            <w:tcW w:w="2972" w:type="dxa"/>
            <w:vAlign w:val="center"/>
          </w:tcPr>
          <w:p w14:paraId="07B43D6A" w14:textId="77777777" w:rsidR="00DF6726" w:rsidRPr="0049396B" w:rsidRDefault="00DF6726" w:rsidP="005C5151">
            <w:pPr>
              <w:pStyle w:val="TableText0"/>
              <w:keepLines/>
              <w:rPr>
                <w:b/>
                <w:szCs w:val="20"/>
              </w:rPr>
            </w:pPr>
            <w:r w:rsidRPr="0049396B">
              <w:rPr>
                <w:b/>
                <w:szCs w:val="20"/>
              </w:rPr>
              <w:t>Total patients continue edaravone</w:t>
            </w:r>
          </w:p>
        </w:tc>
        <w:tc>
          <w:tcPr>
            <w:tcW w:w="1134" w:type="dxa"/>
          </w:tcPr>
          <w:p w14:paraId="28A4C5BB" w14:textId="04AFD194"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1"/>
                <w14:textFill>
                  <w14:solidFill>
                    <w14:srgbClr w14:val="000000">
                      <w14:alpha w14:val="100000"/>
                    </w14:srgbClr>
                  </w14:solidFill>
                </w14:textFill>
              </w:rPr>
              <w:t xml:space="preserve">　</w:t>
            </w:r>
            <w:r w:rsidRPr="0015085A">
              <w:rPr>
                <w:color w:val="000000"/>
                <w:w w:val="29"/>
                <w:szCs w:val="20"/>
                <w:shd w:val="solid" w:color="000000" w:fill="000000"/>
                <w:fitText w:val="130" w:id="-1032131071"/>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1"/>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54424F94" w14:textId="5C435141"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1070"/>
                <w14:textFill>
                  <w14:solidFill>
                    <w14:srgbClr w14:val="000000">
                      <w14:alpha w14:val="100000"/>
                    </w14:srgbClr>
                  </w14:solidFill>
                </w14:textFill>
              </w:rPr>
              <w:t xml:space="preserve">　</w:t>
            </w:r>
            <w:r w:rsidRPr="0015085A">
              <w:rPr>
                <w:color w:val="000000"/>
                <w:w w:val="29"/>
                <w:szCs w:val="20"/>
                <w:shd w:val="solid" w:color="000000" w:fill="000000"/>
                <w:fitText w:val="130" w:id="-103213107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1070"/>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3" w:type="dxa"/>
          </w:tcPr>
          <w:p w14:paraId="0EF3C6E5" w14:textId="6F21102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816"/>
                <w14:textFill>
                  <w14:solidFill>
                    <w14:srgbClr w14:val="000000">
                      <w14:alpha w14:val="100000"/>
                    </w14:srgbClr>
                  </w14:solidFill>
                </w14:textFill>
              </w:rPr>
              <w:t xml:space="preserve">　</w:t>
            </w:r>
            <w:r w:rsidRPr="0015085A">
              <w:rPr>
                <w:color w:val="000000"/>
                <w:w w:val="29"/>
                <w:szCs w:val="20"/>
                <w:shd w:val="solid" w:color="000000" w:fill="000000"/>
                <w:fitText w:val="130" w:id="-103213081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6"/>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392208C6" w14:textId="432F9D8B"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815"/>
                <w14:textFill>
                  <w14:solidFill>
                    <w14:srgbClr w14:val="000000">
                      <w14:alpha w14:val="100000"/>
                    </w14:srgbClr>
                  </w14:solidFill>
                </w14:textFill>
              </w:rPr>
              <w:t xml:space="preserve">　</w:t>
            </w:r>
            <w:r w:rsidRPr="0015085A">
              <w:rPr>
                <w:color w:val="000000"/>
                <w:w w:val="29"/>
                <w:szCs w:val="20"/>
                <w:shd w:val="solid" w:color="000000" w:fill="000000"/>
                <w:fitText w:val="130" w:id="-1032130815"/>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5"/>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69B755A4" w14:textId="41CF5437"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814"/>
                <w14:textFill>
                  <w14:solidFill>
                    <w14:srgbClr w14:val="000000">
                      <w14:alpha w14:val="100000"/>
                    </w14:srgbClr>
                  </w14:solidFill>
                </w14:textFill>
              </w:rPr>
              <w:t xml:space="preserve">　</w:t>
            </w:r>
            <w:r w:rsidRPr="0015085A">
              <w:rPr>
                <w:color w:val="000000"/>
                <w:w w:val="29"/>
                <w:szCs w:val="20"/>
                <w:shd w:val="solid" w:color="000000" w:fill="000000"/>
                <w:fitText w:val="130" w:id="-1032130814"/>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4"/>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42" w:type="dxa"/>
          </w:tcPr>
          <w:p w14:paraId="395D59E2" w14:textId="2BD0C42D"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813"/>
                <w14:textFill>
                  <w14:solidFill>
                    <w14:srgbClr w14:val="000000">
                      <w14:alpha w14:val="100000"/>
                    </w14:srgbClr>
                  </w14:solidFill>
                </w14:textFill>
              </w:rPr>
              <w:t xml:space="preserve">　</w:t>
            </w:r>
            <w:r w:rsidRPr="0015085A">
              <w:rPr>
                <w:color w:val="000000"/>
                <w:w w:val="29"/>
                <w:szCs w:val="20"/>
                <w:shd w:val="solid" w:color="000000" w:fill="000000"/>
                <w:fitText w:val="130" w:id="-1032130813"/>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3"/>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79104AB6" w14:textId="77777777" w:rsidTr="00814D88">
        <w:trPr>
          <w:trHeight w:val="230"/>
        </w:trPr>
        <w:tc>
          <w:tcPr>
            <w:tcW w:w="9017" w:type="dxa"/>
            <w:gridSpan w:val="7"/>
            <w:vAlign w:val="center"/>
          </w:tcPr>
          <w:p w14:paraId="43E66728" w14:textId="77777777" w:rsidR="00DF6726" w:rsidRPr="0049396B" w:rsidRDefault="00DF6726" w:rsidP="005C5151">
            <w:pPr>
              <w:pStyle w:val="TableText0"/>
              <w:keepLines/>
              <w:rPr>
                <w:b/>
                <w:szCs w:val="20"/>
              </w:rPr>
            </w:pPr>
            <w:r w:rsidRPr="0049396B">
              <w:rPr>
                <w:b/>
                <w:szCs w:val="20"/>
              </w:rPr>
              <w:t>Estimated number of edaravone scripts (PBS/RPBS)</w:t>
            </w:r>
          </w:p>
        </w:tc>
      </w:tr>
      <w:tr w:rsidR="00DF6726" w:rsidRPr="0049396B" w14:paraId="00D4FAE5" w14:textId="77777777" w:rsidTr="00D94CF5">
        <w:trPr>
          <w:trHeight w:val="230"/>
        </w:trPr>
        <w:tc>
          <w:tcPr>
            <w:tcW w:w="2972" w:type="dxa"/>
            <w:vAlign w:val="center"/>
          </w:tcPr>
          <w:p w14:paraId="010F1884" w14:textId="77777777" w:rsidR="00DF6726" w:rsidRPr="0049396B" w:rsidRDefault="00DF6726" w:rsidP="005C5151">
            <w:pPr>
              <w:pStyle w:val="TableText0"/>
              <w:keepLines/>
              <w:rPr>
                <w:szCs w:val="20"/>
              </w:rPr>
            </w:pPr>
            <w:r w:rsidRPr="0049396B">
              <w:rPr>
                <w:szCs w:val="20"/>
              </w:rPr>
              <w:t>Incident</w:t>
            </w:r>
          </w:p>
        </w:tc>
        <w:tc>
          <w:tcPr>
            <w:tcW w:w="1134" w:type="dxa"/>
          </w:tcPr>
          <w:p w14:paraId="3B2C1EC0" w14:textId="6562E4D8"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12"/>
                <w14:textFill>
                  <w14:solidFill>
                    <w14:srgbClr w14:val="000000">
                      <w14:alpha w14:val="100000"/>
                    </w14:srgbClr>
                  </w14:solidFill>
                </w14:textFill>
              </w:rPr>
              <w:t xml:space="preserve">　</w:t>
            </w:r>
            <w:r w:rsidRPr="0015085A">
              <w:rPr>
                <w:color w:val="000000"/>
                <w:w w:val="29"/>
                <w:szCs w:val="20"/>
                <w:shd w:val="solid" w:color="000000" w:fill="000000"/>
                <w:fitText w:val="130" w:id="-1032130812"/>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2"/>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26A47854" w14:textId="30B7FDCA"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11"/>
                <w14:textFill>
                  <w14:solidFill>
                    <w14:srgbClr w14:val="000000">
                      <w14:alpha w14:val="100000"/>
                    </w14:srgbClr>
                  </w14:solidFill>
                </w14:textFill>
              </w:rPr>
              <w:t xml:space="preserve">　</w:t>
            </w:r>
            <w:r w:rsidRPr="0015085A">
              <w:rPr>
                <w:color w:val="000000"/>
                <w:w w:val="29"/>
                <w:szCs w:val="20"/>
                <w:shd w:val="solid" w:color="000000" w:fill="000000"/>
                <w:fitText w:val="130" w:id="-1032130811"/>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1"/>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3" w:type="dxa"/>
          </w:tcPr>
          <w:p w14:paraId="0EA905E3" w14:textId="4ACAEE85"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10"/>
                <w14:textFill>
                  <w14:solidFill>
                    <w14:srgbClr w14:val="000000">
                      <w14:alpha w14:val="100000"/>
                    </w14:srgbClr>
                  </w14:solidFill>
                </w14:textFill>
              </w:rPr>
              <w:t xml:space="preserve">　</w:t>
            </w:r>
            <w:r w:rsidRPr="0015085A">
              <w:rPr>
                <w:color w:val="000000"/>
                <w:w w:val="29"/>
                <w:szCs w:val="20"/>
                <w:shd w:val="solid" w:color="000000" w:fill="000000"/>
                <w:fitText w:val="130" w:id="-103213081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0"/>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05538101" w14:textId="61EFB202"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09"/>
                <w14:textFill>
                  <w14:solidFill>
                    <w14:srgbClr w14:val="000000">
                      <w14:alpha w14:val="100000"/>
                    </w14:srgbClr>
                  </w14:solidFill>
                </w14:textFill>
              </w:rPr>
              <w:t xml:space="preserve">　</w:t>
            </w:r>
            <w:r w:rsidRPr="0015085A">
              <w:rPr>
                <w:color w:val="000000"/>
                <w:w w:val="29"/>
                <w:szCs w:val="20"/>
                <w:shd w:val="solid" w:color="000000" w:fill="000000"/>
                <w:fitText w:val="130" w:id="-1032130809"/>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9"/>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6F88A4EE" w14:textId="646FB050"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08"/>
                <w14:textFill>
                  <w14:solidFill>
                    <w14:srgbClr w14:val="000000">
                      <w14:alpha w14:val="100000"/>
                    </w14:srgbClr>
                  </w14:solidFill>
                </w14:textFill>
              </w:rPr>
              <w:t xml:space="preserve">　</w:t>
            </w:r>
            <w:r w:rsidRPr="0015085A">
              <w:rPr>
                <w:color w:val="000000"/>
                <w:w w:val="29"/>
                <w:szCs w:val="20"/>
                <w:shd w:val="solid" w:color="000000" w:fill="000000"/>
                <w:fitText w:val="130" w:id="-103213080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8"/>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42" w:type="dxa"/>
          </w:tcPr>
          <w:p w14:paraId="682C26AF" w14:textId="1208B3B6"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07"/>
                <w14:textFill>
                  <w14:solidFill>
                    <w14:srgbClr w14:val="000000">
                      <w14:alpha w14:val="100000"/>
                    </w14:srgbClr>
                  </w14:solidFill>
                </w14:textFill>
              </w:rPr>
              <w:t xml:space="preserve">　</w:t>
            </w:r>
            <w:r w:rsidRPr="0015085A">
              <w:rPr>
                <w:color w:val="000000"/>
                <w:w w:val="29"/>
                <w:szCs w:val="20"/>
                <w:shd w:val="solid" w:color="000000" w:fill="000000"/>
                <w:fitText w:val="130" w:id="-1032130807"/>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7"/>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r>
      <w:tr w:rsidR="00DF6726" w:rsidRPr="0049396B" w14:paraId="2836289D" w14:textId="77777777" w:rsidTr="00D94CF5">
        <w:trPr>
          <w:trHeight w:val="230"/>
        </w:trPr>
        <w:tc>
          <w:tcPr>
            <w:tcW w:w="2972" w:type="dxa"/>
            <w:vAlign w:val="center"/>
          </w:tcPr>
          <w:p w14:paraId="05A9C536" w14:textId="77777777" w:rsidR="00DF6726" w:rsidRPr="0049396B" w:rsidRDefault="00DF6726" w:rsidP="005C5151">
            <w:pPr>
              <w:pStyle w:val="TableText0"/>
              <w:keepLines/>
              <w:rPr>
                <w:szCs w:val="20"/>
              </w:rPr>
            </w:pPr>
            <w:r w:rsidRPr="0049396B">
              <w:rPr>
                <w:szCs w:val="20"/>
              </w:rPr>
              <w:t>Prevalent</w:t>
            </w:r>
          </w:p>
        </w:tc>
        <w:tc>
          <w:tcPr>
            <w:tcW w:w="1134" w:type="dxa"/>
          </w:tcPr>
          <w:p w14:paraId="5CFF6DED" w14:textId="3114EA53"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06"/>
                <w14:textFill>
                  <w14:solidFill>
                    <w14:srgbClr w14:val="000000">
                      <w14:alpha w14:val="100000"/>
                    </w14:srgbClr>
                  </w14:solidFill>
                </w14:textFill>
              </w:rPr>
              <w:t xml:space="preserve">　</w:t>
            </w:r>
            <w:r w:rsidRPr="0015085A">
              <w:rPr>
                <w:color w:val="000000"/>
                <w:w w:val="29"/>
                <w:szCs w:val="20"/>
                <w:shd w:val="solid" w:color="000000" w:fill="000000"/>
                <w:fitText w:val="130" w:id="-103213080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6"/>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4E29031B" w14:textId="2611B4D3"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05"/>
                <w14:textFill>
                  <w14:solidFill>
                    <w14:srgbClr w14:val="000000">
                      <w14:alpha w14:val="100000"/>
                    </w14:srgbClr>
                  </w14:solidFill>
                </w14:textFill>
              </w:rPr>
              <w:t xml:space="preserve">　</w:t>
            </w:r>
            <w:r w:rsidRPr="0015085A">
              <w:rPr>
                <w:color w:val="000000"/>
                <w:w w:val="29"/>
                <w:szCs w:val="20"/>
                <w:shd w:val="solid" w:color="000000" w:fill="000000"/>
                <w:fitText w:val="130" w:id="-1032130805"/>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5"/>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3" w:type="dxa"/>
          </w:tcPr>
          <w:p w14:paraId="166913E1" w14:textId="460FA481"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04"/>
                <w14:textFill>
                  <w14:solidFill>
                    <w14:srgbClr w14:val="000000">
                      <w14:alpha w14:val="100000"/>
                    </w14:srgbClr>
                  </w14:solidFill>
                </w14:textFill>
              </w:rPr>
              <w:t xml:space="preserve">　</w:t>
            </w:r>
            <w:r w:rsidRPr="0015085A">
              <w:rPr>
                <w:color w:val="000000"/>
                <w:w w:val="29"/>
                <w:szCs w:val="20"/>
                <w:shd w:val="solid" w:color="000000" w:fill="000000"/>
                <w:fitText w:val="130" w:id="-1032130804"/>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4"/>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582C55E2" w14:textId="6CD00E79"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03"/>
                <w14:textFill>
                  <w14:solidFill>
                    <w14:srgbClr w14:val="000000">
                      <w14:alpha w14:val="100000"/>
                    </w14:srgbClr>
                  </w14:solidFill>
                </w14:textFill>
              </w:rPr>
              <w:t xml:space="preserve">　</w:t>
            </w:r>
            <w:r w:rsidRPr="0015085A">
              <w:rPr>
                <w:color w:val="000000"/>
                <w:w w:val="29"/>
                <w:szCs w:val="20"/>
                <w:shd w:val="solid" w:color="000000" w:fill="000000"/>
                <w:fitText w:val="130" w:id="-1032130803"/>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3"/>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37E7B351" w14:textId="6F897D74"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02"/>
                <w14:textFill>
                  <w14:solidFill>
                    <w14:srgbClr w14:val="000000">
                      <w14:alpha w14:val="100000"/>
                    </w14:srgbClr>
                  </w14:solidFill>
                </w14:textFill>
              </w:rPr>
              <w:t xml:space="preserve">　</w:t>
            </w:r>
            <w:r w:rsidRPr="0015085A">
              <w:rPr>
                <w:color w:val="000000"/>
                <w:w w:val="29"/>
                <w:szCs w:val="20"/>
                <w:shd w:val="solid" w:color="000000" w:fill="000000"/>
                <w:fitText w:val="130" w:id="-1032130802"/>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2"/>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42" w:type="dxa"/>
          </w:tcPr>
          <w:p w14:paraId="4ED6F9B3" w14:textId="0A16D1F3" w:rsidR="00DF6726" w:rsidRPr="005A547B" w:rsidRDefault="0015085A" w:rsidP="005C5151">
            <w:pPr>
              <w:pStyle w:val="TableText0"/>
              <w:keepLines/>
              <w:jc w:val="center"/>
              <w:rPr>
                <w:i/>
                <w:iCs/>
                <w:szCs w:val="20"/>
                <w:highlight w:val="darkGray"/>
              </w:rPr>
            </w:pPr>
            <w:r>
              <w:rPr>
                <w:szCs w:val="20"/>
              </w:rPr>
              <w:t xml:space="preserve"> </w:t>
            </w:r>
            <w:r w:rsidRPr="0015085A">
              <w:rPr>
                <w:rFonts w:hint="eastAsia"/>
                <w:color w:val="000000"/>
                <w:w w:val="29"/>
                <w:szCs w:val="20"/>
                <w:shd w:val="solid" w:color="000000" w:fill="000000"/>
                <w:fitText w:val="130" w:id="-1032130801"/>
                <w14:textFill>
                  <w14:solidFill>
                    <w14:srgbClr w14:val="000000">
                      <w14:alpha w14:val="100000"/>
                    </w14:srgbClr>
                  </w14:solidFill>
                </w14:textFill>
              </w:rPr>
              <w:t xml:space="preserve">　</w:t>
            </w:r>
            <w:r w:rsidRPr="0015085A">
              <w:rPr>
                <w:color w:val="000000"/>
                <w:w w:val="29"/>
                <w:szCs w:val="20"/>
                <w:shd w:val="solid" w:color="000000" w:fill="000000"/>
                <w:fitText w:val="130" w:id="-1032130801"/>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1"/>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1D802AD9" w14:textId="77777777" w:rsidTr="00D94CF5">
        <w:trPr>
          <w:trHeight w:val="230"/>
        </w:trPr>
        <w:tc>
          <w:tcPr>
            <w:tcW w:w="2972" w:type="dxa"/>
            <w:vAlign w:val="center"/>
          </w:tcPr>
          <w:p w14:paraId="40C0C7AE" w14:textId="77777777" w:rsidR="00DF6726" w:rsidRPr="0049396B" w:rsidRDefault="00DF6726" w:rsidP="005C5151">
            <w:pPr>
              <w:pStyle w:val="TableText0"/>
              <w:keepLines/>
              <w:rPr>
                <w:b/>
                <w:szCs w:val="20"/>
              </w:rPr>
            </w:pPr>
            <w:r w:rsidRPr="0049396B">
              <w:rPr>
                <w:b/>
                <w:szCs w:val="20"/>
              </w:rPr>
              <w:t>Total edaravone</w:t>
            </w:r>
          </w:p>
        </w:tc>
        <w:tc>
          <w:tcPr>
            <w:tcW w:w="1134" w:type="dxa"/>
          </w:tcPr>
          <w:p w14:paraId="3EB94457" w14:textId="21036F76" w:rsidR="00DF6726" w:rsidRPr="005A547B" w:rsidRDefault="0015085A" w:rsidP="005C5151">
            <w:pPr>
              <w:pStyle w:val="TableText0"/>
              <w:keepLines/>
              <w:jc w:val="center"/>
              <w:rPr>
                <w:b/>
                <w:szCs w:val="20"/>
                <w:highlight w:val="darkGray"/>
              </w:rPr>
            </w:pPr>
            <w:r>
              <w:rPr>
                <w:szCs w:val="20"/>
              </w:rPr>
              <w:t xml:space="preserve"> </w:t>
            </w:r>
            <w:r w:rsidRPr="0015085A">
              <w:rPr>
                <w:rFonts w:hint="eastAsia"/>
                <w:color w:val="000000"/>
                <w:w w:val="29"/>
                <w:szCs w:val="20"/>
                <w:shd w:val="solid" w:color="000000" w:fill="000000"/>
                <w:fitText w:val="130" w:id="-1032130800"/>
                <w14:textFill>
                  <w14:solidFill>
                    <w14:srgbClr w14:val="000000">
                      <w14:alpha w14:val="100000"/>
                    </w14:srgbClr>
                  </w14:solidFill>
                </w14:textFill>
              </w:rPr>
              <w:t xml:space="preserve">　</w:t>
            </w:r>
            <w:r w:rsidRPr="0015085A">
              <w:rPr>
                <w:color w:val="000000"/>
                <w:w w:val="29"/>
                <w:szCs w:val="20"/>
                <w:shd w:val="solid" w:color="000000" w:fill="000000"/>
                <w:fitText w:val="130" w:id="-103213080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00"/>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647F872F" w14:textId="17CD377C" w:rsidR="00DF6726" w:rsidRPr="005A547B" w:rsidRDefault="0015085A" w:rsidP="005C5151">
            <w:pPr>
              <w:pStyle w:val="TableText0"/>
              <w:keepLines/>
              <w:jc w:val="center"/>
              <w:rPr>
                <w:b/>
                <w:szCs w:val="20"/>
                <w:highlight w:val="darkGray"/>
              </w:rPr>
            </w:pPr>
            <w:r>
              <w:rPr>
                <w:szCs w:val="20"/>
              </w:rPr>
              <w:t xml:space="preserve"> </w:t>
            </w:r>
            <w:r w:rsidRPr="0015085A">
              <w:rPr>
                <w:rFonts w:hint="eastAsia"/>
                <w:color w:val="000000"/>
                <w:w w:val="29"/>
                <w:szCs w:val="20"/>
                <w:shd w:val="solid" w:color="000000" w:fill="000000"/>
                <w:fitText w:val="130" w:id="-1032130816"/>
                <w14:textFill>
                  <w14:solidFill>
                    <w14:srgbClr w14:val="000000">
                      <w14:alpha w14:val="100000"/>
                    </w14:srgbClr>
                  </w14:solidFill>
                </w14:textFill>
              </w:rPr>
              <w:t xml:space="preserve">　</w:t>
            </w:r>
            <w:r w:rsidRPr="0015085A">
              <w:rPr>
                <w:color w:val="000000"/>
                <w:w w:val="29"/>
                <w:szCs w:val="20"/>
                <w:shd w:val="solid" w:color="000000" w:fill="000000"/>
                <w:fitText w:val="130" w:id="-103213081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6"/>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3" w:type="dxa"/>
          </w:tcPr>
          <w:p w14:paraId="0B71FE27" w14:textId="747EB5B4" w:rsidR="00DF6726" w:rsidRPr="005A547B" w:rsidRDefault="0015085A" w:rsidP="005C5151">
            <w:pPr>
              <w:pStyle w:val="TableText0"/>
              <w:keepLines/>
              <w:jc w:val="center"/>
              <w:rPr>
                <w:b/>
                <w:szCs w:val="20"/>
                <w:highlight w:val="darkGray"/>
              </w:rPr>
            </w:pPr>
            <w:r>
              <w:rPr>
                <w:szCs w:val="20"/>
              </w:rPr>
              <w:t xml:space="preserve"> </w:t>
            </w:r>
            <w:r w:rsidRPr="0015085A">
              <w:rPr>
                <w:rFonts w:hint="eastAsia"/>
                <w:color w:val="000000"/>
                <w:w w:val="29"/>
                <w:szCs w:val="20"/>
                <w:shd w:val="solid" w:color="000000" w:fill="000000"/>
                <w:fitText w:val="130" w:id="-1032130815"/>
                <w14:textFill>
                  <w14:solidFill>
                    <w14:srgbClr w14:val="000000">
                      <w14:alpha w14:val="100000"/>
                    </w14:srgbClr>
                  </w14:solidFill>
                </w14:textFill>
              </w:rPr>
              <w:t xml:space="preserve">　</w:t>
            </w:r>
            <w:r w:rsidRPr="0015085A">
              <w:rPr>
                <w:color w:val="000000"/>
                <w:w w:val="29"/>
                <w:szCs w:val="20"/>
                <w:shd w:val="solid" w:color="000000" w:fill="000000"/>
                <w:fitText w:val="130" w:id="-1032130815"/>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5"/>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2F2FDD1C" w14:textId="241E1634" w:rsidR="00DF6726" w:rsidRPr="005A547B" w:rsidRDefault="0015085A" w:rsidP="005C5151">
            <w:pPr>
              <w:pStyle w:val="TableText0"/>
              <w:keepLines/>
              <w:jc w:val="center"/>
              <w:rPr>
                <w:b/>
                <w:szCs w:val="20"/>
                <w:highlight w:val="darkGray"/>
              </w:rPr>
            </w:pPr>
            <w:r>
              <w:rPr>
                <w:szCs w:val="20"/>
              </w:rPr>
              <w:t xml:space="preserve"> </w:t>
            </w:r>
            <w:r w:rsidRPr="0015085A">
              <w:rPr>
                <w:rFonts w:hint="eastAsia"/>
                <w:color w:val="000000"/>
                <w:w w:val="29"/>
                <w:szCs w:val="20"/>
                <w:shd w:val="solid" w:color="000000" w:fill="000000"/>
                <w:fitText w:val="130" w:id="-1032130814"/>
                <w14:textFill>
                  <w14:solidFill>
                    <w14:srgbClr w14:val="000000">
                      <w14:alpha w14:val="100000"/>
                    </w14:srgbClr>
                  </w14:solidFill>
                </w14:textFill>
              </w:rPr>
              <w:t xml:space="preserve">　</w:t>
            </w:r>
            <w:r w:rsidRPr="0015085A">
              <w:rPr>
                <w:color w:val="000000"/>
                <w:w w:val="29"/>
                <w:szCs w:val="20"/>
                <w:shd w:val="solid" w:color="000000" w:fill="000000"/>
                <w:fitText w:val="130" w:id="-1032130814"/>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4"/>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92" w:type="dxa"/>
          </w:tcPr>
          <w:p w14:paraId="5A4244D3" w14:textId="0522DD1A" w:rsidR="00DF6726" w:rsidRPr="005A547B" w:rsidRDefault="0015085A" w:rsidP="005C5151">
            <w:pPr>
              <w:pStyle w:val="TableText0"/>
              <w:keepLines/>
              <w:jc w:val="center"/>
              <w:rPr>
                <w:b/>
                <w:szCs w:val="20"/>
                <w:highlight w:val="darkGray"/>
              </w:rPr>
            </w:pPr>
            <w:r>
              <w:rPr>
                <w:szCs w:val="20"/>
              </w:rPr>
              <w:t xml:space="preserve"> </w:t>
            </w:r>
            <w:r w:rsidRPr="0015085A">
              <w:rPr>
                <w:rFonts w:hint="eastAsia"/>
                <w:color w:val="000000"/>
                <w:w w:val="29"/>
                <w:szCs w:val="20"/>
                <w:shd w:val="solid" w:color="000000" w:fill="000000"/>
                <w:fitText w:val="130" w:id="-1032130813"/>
                <w14:textFill>
                  <w14:solidFill>
                    <w14:srgbClr w14:val="000000">
                      <w14:alpha w14:val="100000"/>
                    </w14:srgbClr>
                  </w14:solidFill>
                </w14:textFill>
              </w:rPr>
              <w:t xml:space="preserve">　</w:t>
            </w:r>
            <w:r w:rsidRPr="0015085A">
              <w:rPr>
                <w:color w:val="000000"/>
                <w:w w:val="29"/>
                <w:szCs w:val="20"/>
                <w:shd w:val="solid" w:color="000000" w:fill="000000"/>
                <w:fitText w:val="130" w:id="-1032130813"/>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3"/>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c>
          <w:tcPr>
            <w:tcW w:w="942" w:type="dxa"/>
          </w:tcPr>
          <w:p w14:paraId="3B5741B2" w14:textId="161726B2" w:rsidR="00DF6726" w:rsidRPr="005A547B" w:rsidRDefault="0015085A" w:rsidP="005C5151">
            <w:pPr>
              <w:pStyle w:val="TableText0"/>
              <w:keepLines/>
              <w:jc w:val="center"/>
              <w:rPr>
                <w:b/>
                <w:szCs w:val="20"/>
                <w:highlight w:val="darkGray"/>
              </w:rPr>
            </w:pPr>
            <w:r>
              <w:rPr>
                <w:szCs w:val="20"/>
              </w:rPr>
              <w:t xml:space="preserve"> </w:t>
            </w:r>
            <w:r w:rsidRPr="0015085A">
              <w:rPr>
                <w:rFonts w:hint="eastAsia"/>
                <w:color w:val="000000"/>
                <w:w w:val="29"/>
                <w:szCs w:val="20"/>
                <w:shd w:val="solid" w:color="000000" w:fill="000000"/>
                <w:fitText w:val="130" w:id="-1032130812"/>
                <w14:textFill>
                  <w14:solidFill>
                    <w14:srgbClr w14:val="000000">
                      <w14:alpha w14:val="100000"/>
                    </w14:srgbClr>
                  </w14:solidFill>
                </w14:textFill>
              </w:rPr>
              <w:t xml:space="preserve">　</w:t>
            </w:r>
            <w:r w:rsidRPr="0015085A">
              <w:rPr>
                <w:color w:val="000000"/>
                <w:w w:val="29"/>
                <w:szCs w:val="20"/>
                <w:shd w:val="solid" w:color="000000" w:fill="000000"/>
                <w:fitText w:val="130" w:id="-1032130812"/>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812"/>
                <w14:textFill>
                  <w14:solidFill>
                    <w14:srgbClr w14:val="000000">
                      <w14:alpha w14:val="100000"/>
                    </w14:srgbClr>
                  </w14:solidFill>
                </w14:textFill>
              </w:rPr>
              <w:t xml:space="preserve">　</w:t>
            </w:r>
            <w:r w:rsidR="00942C23" w:rsidRPr="00942C23">
              <w:rPr>
                <w:szCs w:val="20"/>
              </w:rPr>
              <w:t xml:space="preserve"> </w:t>
            </w:r>
            <w:r w:rsidR="00942C23" w:rsidRPr="00942C23">
              <w:rPr>
                <w:szCs w:val="20"/>
                <w:vertAlign w:val="superscript"/>
              </w:rPr>
              <w:t>1</w:t>
            </w:r>
          </w:p>
        </w:tc>
      </w:tr>
      <w:tr w:rsidR="00DF6726" w:rsidRPr="0049396B" w14:paraId="52DA3371" w14:textId="77777777" w:rsidTr="00814D88">
        <w:trPr>
          <w:trHeight w:val="230"/>
        </w:trPr>
        <w:tc>
          <w:tcPr>
            <w:tcW w:w="9017" w:type="dxa"/>
            <w:gridSpan w:val="7"/>
            <w:vAlign w:val="center"/>
          </w:tcPr>
          <w:p w14:paraId="58F890DC" w14:textId="77777777" w:rsidR="00DF6726" w:rsidRPr="0049396B" w:rsidRDefault="00DF6726" w:rsidP="005C5151">
            <w:pPr>
              <w:pStyle w:val="TableText0"/>
              <w:keepLines/>
              <w:rPr>
                <w:b/>
                <w:szCs w:val="20"/>
              </w:rPr>
            </w:pPr>
            <w:r w:rsidRPr="0049396B">
              <w:rPr>
                <w:b/>
                <w:szCs w:val="20"/>
              </w:rPr>
              <w:t>Estimated effective cost of edaravone to PBS/RPBS</w:t>
            </w:r>
          </w:p>
        </w:tc>
      </w:tr>
      <w:tr w:rsidR="00DF6726" w:rsidRPr="0049396B" w14:paraId="65284038" w14:textId="77777777" w:rsidTr="00D94CF5">
        <w:trPr>
          <w:trHeight w:val="230"/>
        </w:trPr>
        <w:tc>
          <w:tcPr>
            <w:tcW w:w="2972" w:type="dxa"/>
            <w:vAlign w:val="center"/>
          </w:tcPr>
          <w:p w14:paraId="17F468FE" w14:textId="5EB0A4DC" w:rsidR="00DF6726" w:rsidRPr="0049396B" w:rsidRDefault="00DF6726" w:rsidP="005C5151">
            <w:pPr>
              <w:pStyle w:val="TableText0"/>
              <w:keepLines/>
              <w:rPr>
                <w:szCs w:val="20"/>
              </w:rPr>
            </w:pPr>
            <w:r w:rsidRPr="0049396B">
              <w:rPr>
                <w:szCs w:val="20"/>
              </w:rPr>
              <w:t>Net cost edaravone</w:t>
            </w:r>
            <w:r w:rsidR="005A547B">
              <w:rPr>
                <w:szCs w:val="20"/>
              </w:rPr>
              <w:t xml:space="preserve"> ($)</w:t>
            </w:r>
          </w:p>
        </w:tc>
        <w:tc>
          <w:tcPr>
            <w:tcW w:w="1134" w:type="dxa"/>
          </w:tcPr>
          <w:p w14:paraId="166CA42E" w14:textId="612C6135"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11"/>
                <w14:textFill>
                  <w14:solidFill>
                    <w14:srgbClr w14:val="000000">
                      <w14:alpha w14:val="100000"/>
                    </w14:srgbClr>
                  </w14:solidFill>
                </w14:textFill>
              </w:rPr>
              <w:t xml:space="preserve">　</w:t>
            </w:r>
            <w:r w:rsidRPr="0015085A">
              <w:rPr>
                <w:color w:val="000000"/>
                <w:w w:val="22"/>
                <w:szCs w:val="20"/>
                <w:shd w:val="solid" w:color="000000" w:fill="000000"/>
                <w:fitText w:val="100" w:id="-1032130811"/>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11"/>
                <w14:textFill>
                  <w14:solidFill>
                    <w14:srgbClr w14:val="000000">
                      <w14:alpha w14:val="100000"/>
                    </w14:srgbClr>
                  </w14:solidFill>
                </w14:textFill>
              </w:rPr>
              <w:t xml:space="preserve">　</w:t>
            </w:r>
            <w:r w:rsidR="00942C23">
              <w:rPr>
                <w:szCs w:val="20"/>
                <w:vertAlign w:val="superscript"/>
              </w:rPr>
              <w:t>3</w:t>
            </w:r>
          </w:p>
        </w:tc>
        <w:tc>
          <w:tcPr>
            <w:tcW w:w="992" w:type="dxa"/>
          </w:tcPr>
          <w:p w14:paraId="60E32C43" w14:textId="7F178672"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10"/>
                <w14:textFill>
                  <w14:solidFill>
                    <w14:srgbClr w14:val="000000">
                      <w14:alpha w14:val="100000"/>
                    </w14:srgbClr>
                  </w14:solidFill>
                </w14:textFill>
              </w:rPr>
              <w:t xml:space="preserve">　</w:t>
            </w:r>
            <w:r w:rsidRPr="0015085A">
              <w:rPr>
                <w:color w:val="000000"/>
                <w:w w:val="22"/>
                <w:szCs w:val="20"/>
                <w:shd w:val="solid" w:color="000000" w:fill="000000"/>
                <w:fitText w:val="100" w:id="-1032130810"/>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10"/>
                <w14:textFill>
                  <w14:solidFill>
                    <w14:srgbClr w14:val="000000">
                      <w14:alpha w14:val="100000"/>
                    </w14:srgbClr>
                  </w14:solidFill>
                </w14:textFill>
              </w:rPr>
              <w:t xml:space="preserve">　</w:t>
            </w:r>
            <w:r w:rsidR="00942C23">
              <w:rPr>
                <w:szCs w:val="20"/>
                <w:vertAlign w:val="superscript"/>
              </w:rPr>
              <w:t>3</w:t>
            </w:r>
          </w:p>
        </w:tc>
        <w:tc>
          <w:tcPr>
            <w:tcW w:w="993" w:type="dxa"/>
          </w:tcPr>
          <w:p w14:paraId="0625DEFC" w14:textId="7086B910"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9"/>
                <w14:textFill>
                  <w14:solidFill>
                    <w14:srgbClr w14:val="000000">
                      <w14:alpha w14:val="100000"/>
                    </w14:srgbClr>
                  </w14:solidFill>
                </w14:textFill>
              </w:rPr>
              <w:t xml:space="preserve">　</w:t>
            </w:r>
            <w:r w:rsidRPr="0015085A">
              <w:rPr>
                <w:color w:val="000000"/>
                <w:w w:val="22"/>
                <w:szCs w:val="20"/>
                <w:shd w:val="solid" w:color="000000" w:fill="000000"/>
                <w:fitText w:val="100" w:id="-1032130809"/>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9"/>
                <w14:textFill>
                  <w14:solidFill>
                    <w14:srgbClr w14:val="000000">
                      <w14:alpha w14:val="100000"/>
                    </w14:srgbClr>
                  </w14:solidFill>
                </w14:textFill>
              </w:rPr>
              <w:t xml:space="preserve">　</w:t>
            </w:r>
            <w:r w:rsidR="00942C23">
              <w:rPr>
                <w:szCs w:val="20"/>
                <w:vertAlign w:val="superscript"/>
              </w:rPr>
              <w:t>3</w:t>
            </w:r>
          </w:p>
        </w:tc>
        <w:tc>
          <w:tcPr>
            <w:tcW w:w="992" w:type="dxa"/>
          </w:tcPr>
          <w:p w14:paraId="75E81873" w14:textId="47C25A67"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8"/>
                <w14:textFill>
                  <w14:solidFill>
                    <w14:srgbClr w14:val="000000">
                      <w14:alpha w14:val="100000"/>
                    </w14:srgbClr>
                  </w14:solidFill>
                </w14:textFill>
              </w:rPr>
              <w:t xml:space="preserve">　</w:t>
            </w:r>
            <w:r w:rsidRPr="0015085A">
              <w:rPr>
                <w:color w:val="000000"/>
                <w:w w:val="22"/>
                <w:szCs w:val="20"/>
                <w:shd w:val="solid" w:color="000000" w:fill="000000"/>
                <w:fitText w:val="100" w:id="-1032130808"/>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8"/>
                <w14:textFill>
                  <w14:solidFill>
                    <w14:srgbClr w14:val="000000">
                      <w14:alpha w14:val="100000"/>
                    </w14:srgbClr>
                  </w14:solidFill>
                </w14:textFill>
              </w:rPr>
              <w:t xml:space="preserve">　</w:t>
            </w:r>
            <w:r w:rsidR="00942C23">
              <w:rPr>
                <w:szCs w:val="20"/>
                <w:vertAlign w:val="superscript"/>
              </w:rPr>
              <w:t>3</w:t>
            </w:r>
          </w:p>
        </w:tc>
        <w:tc>
          <w:tcPr>
            <w:tcW w:w="992" w:type="dxa"/>
          </w:tcPr>
          <w:p w14:paraId="63FEE8BD" w14:textId="7DBF77BC"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7"/>
                <w14:textFill>
                  <w14:solidFill>
                    <w14:srgbClr w14:val="000000">
                      <w14:alpha w14:val="100000"/>
                    </w14:srgbClr>
                  </w14:solidFill>
                </w14:textFill>
              </w:rPr>
              <w:t xml:space="preserve">　</w:t>
            </w:r>
            <w:r w:rsidRPr="0015085A">
              <w:rPr>
                <w:color w:val="000000"/>
                <w:w w:val="22"/>
                <w:szCs w:val="20"/>
                <w:shd w:val="solid" w:color="000000" w:fill="000000"/>
                <w:fitText w:val="100" w:id="-1032130807"/>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7"/>
                <w14:textFill>
                  <w14:solidFill>
                    <w14:srgbClr w14:val="000000">
                      <w14:alpha w14:val="100000"/>
                    </w14:srgbClr>
                  </w14:solidFill>
                </w14:textFill>
              </w:rPr>
              <w:t xml:space="preserve">　</w:t>
            </w:r>
            <w:r w:rsidR="00942C23">
              <w:rPr>
                <w:szCs w:val="20"/>
                <w:vertAlign w:val="superscript"/>
              </w:rPr>
              <w:t>4</w:t>
            </w:r>
          </w:p>
        </w:tc>
        <w:tc>
          <w:tcPr>
            <w:tcW w:w="942" w:type="dxa"/>
          </w:tcPr>
          <w:p w14:paraId="45338954" w14:textId="6913210E"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6"/>
                <w14:textFill>
                  <w14:solidFill>
                    <w14:srgbClr w14:val="000000">
                      <w14:alpha w14:val="100000"/>
                    </w14:srgbClr>
                  </w14:solidFill>
                </w14:textFill>
              </w:rPr>
              <w:t xml:space="preserve">　</w:t>
            </w:r>
            <w:r w:rsidRPr="0015085A">
              <w:rPr>
                <w:color w:val="000000"/>
                <w:w w:val="22"/>
                <w:szCs w:val="20"/>
                <w:shd w:val="solid" w:color="000000" w:fill="000000"/>
                <w:fitText w:val="100" w:id="-1032130806"/>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6"/>
                <w14:textFill>
                  <w14:solidFill>
                    <w14:srgbClr w14:val="000000">
                      <w14:alpha w14:val="100000"/>
                    </w14:srgbClr>
                  </w14:solidFill>
                </w14:textFill>
              </w:rPr>
              <w:t xml:space="preserve">　</w:t>
            </w:r>
            <w:r w:rsidR="00942C23">
              <w:rPr>
                <w:szCs w:val="20"/>
                <w:vertAlign w:val="superscript"/>
              </w:rPr>
              <w:t>4</w:t>
            </w:r>
          </w:p>
        </w:tc>
      </w:tr>
      <w:tr w:rsidR="00DF6726" w:rsidRPr="0049396B" w14:paraId="7D919A77" w14:textId="77777777" w:rsidTr="00814D88">
        <w:trPr>
          <w:trHeight w:val="230"/>
        </w:trPr>
        <w:tc>
          <w:tcPr>
            <w:tcW w:w="9017" w:type="dxa"/>
            <w:gridSpan w:val="7"/>
            <w:vAlign w:val="center"/>
          </w:tcPr>
          <w:p w14:paraId="543482FA" w14:textId="77777777" w:rsidR="00DF6726" w:rsidRPr="0049396B" w:rsidRDefault="00DF6726" w:rsidP="005C5151">
            <w:pPr>
              <w:pStyle w:val="TableText0"/>
              <w:keepLines/>
              <w:rPr>
                <w:szCs w:val="20"/>
              </w:rPr>
            </w:pPr>
            <w:r w:rsidRPr="0049396B">
              <w:rPr>
                <w:b/>
                <w:szCs w:val="20"/>
              </w:rPr>
              <w:t>Estimation changes in use and financial impact of currently listed treatments</w:t>
            </w:r>
          </w:p>
        </w:tc>
      </w:tr>
      <w:tr w:rsidR="00DF6726" w:rsidRPr="0049396B" w14:paraId="4998FFB6" w14:textId="77777777" w:rsidTr="00D94CF5">
        <w:trPr>
          <w:trHeight w:val="230"/>
        </w:trPr>
        <w:tc>
          <w:tcPr>
            <w:tcW w:w="2972" w:type="dxa"/>
            <w:vAlign w:val="center"/>
          </w:tcPr>
          <w:p w14:paraId="5D606DCC" w14:textId="77777777" w:rsidR="00DF6726" w:rsidRPr="0049396B" w:rsidRDefault="00DF6726" w:rsidP="005C5151">
            <w:pPr>
              <w:pStyle w:val="TableText0"/>
              <w:keepLines/>
              <w:rPr>
                <w:szCs w:val="20"/>
              </w:rPr>
            </w:pPr>
            <w:r w:rsidRPr="0049396B">
              <w:rPr>
                <w:szCs w:val="20"/>
              </w:rPr>
              <w:t xml:space="preserve">Total number of </w:t>
            </w:r>
            <w:r w:rsidRPr="00341CFB">
              <w:rPr>
                <w:b/>
                <w:bCs w:val="0"/>
                <w:szCs w:val="20"/>
              </w:rPr>
              <w:t>increased</w:t>
            </w:r>
            <w:r w:rsidRPr="0049396B">
              <w:rPr>
                <w:szCs w:val="20"/>
                <w:u w:val="single"/>
              </w:rPr>
              <w:t xml:space="preserve"> </w:t>
            </w:r>
            <w:r w:rsidRPr="0049396B">
              <w:rPr>
                <w:szCs w:val="20"/>
              </w:rPr>
              <w:t>RILUZOLE scripts</w:t>
            </w:r>
          </w:p>
        </w:tc>
        <w:tc>
          <w:tcPr>
            <w:tcW w:w="1134" w:type="dxa"/>
          </w:tcPr>
          <w:p w14:paraId="57611A3A" w14:textId="2B331C65"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5"/>
                <w14:textFill>
                  <w14:solidFill>
                    <w14:srgbClr w14:val="000000">
                      <w14:alpha w14:val="100000"/>
                    </w14:srgbClr>
                  </w14:solidFill>
                </w14:textFill>
              </w:rPr>
              <w:t xml:space="preserve">　</w:t>
            </w:r>
            <w:r w:rsidRPr="0015085A">
              <w:rPr>
                <w:color w:val="000000"/>
                <w:w w:val="22"/>
                <w:szCs w:val="20"/>
                <w:shd w:val="solid" w:color="000000" w:fill="000000"/>
                <w:fitText w:val="100" w:id="-1032130805"/>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5"/>
                <w14:textFill>
                  <w14:solidFill>
                    <w14:srgbClr w14:val="000000">
                      <w14:alpha w14:val="100000"/>
                    </w14:srgbClr>
                  </w14:solidFill>
                </w14:textFill>
              </w:rPr>
              <w:t xml:space="preserve">　</w:t>
            </w:r>
            <w:r w:rsidR="00942C23" w:rsidRPr="00942C23">
              <w:rPr>
                <w:szCs w:val="20"/>
                <w:vertAlign w:val="superscript"/>
              </w:rPr>
              <w:t>1</w:t>
            </w:r>
          </w:p>
        </w:tc>
        <w:tc>
          <w:tcPr>
            <w:tcW w:w="992" w:type="dxa"/>
          </w:tcPr>
          <w:p w14:paraId="43380B39" w14:textId="4446EFF1"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4"/>
                <w14:textFill>
                  <w14:solidFill>
                    <w14:srgbClr w14:val="000000">
                      <w14:alpha w14:val="100000"/>
                    </w14:srgbClr>
                  </w14:solidFill>
                </w14:textFill>
              </w:rPr>
              <w:t xml:space="preserve">　</w:t>
            </w:r>
            <w:r w:rsidRPr="0015085A">
              <w:rPr>
                <w:color w:val="000000"/>
                <w:w w:val="22"/>
                <w:szCs w:val="20"/>
                <w:shd w:val="solid" w:color="000000" w:fill="000000"/>
                <w:fitText w:val="100" w:id="-1032130804"/>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4"/>
                <w14:textFill>
                  <w14:solidFill>
                    <w14:srgbClr w14:val="000000">
                      <w14:alpha w14:val="100000"/>
                    </w14:srgbClr>
                  </w14:solidFill>
                </w14:textFill>
              </w:rPr>
              <w:t xml:space="preserve">　</w:t>
            </w:r>
            <w:r w:rsidR="00942C23" w:rsidRPr="00942C23">
              <w:rPr>
                <w:szCs w:val="20"/>
                <w:vertAlign w:val="superscript"/>
              </w:rPr>
              <w:t>1</w:t>
            </w:r>
          </w:p>
        </w:tc>
        <w:tc>
          <w:tcPr>
            <w:tcW w:w="993" w:type="dxa"/>
          </w:tcPr>
          <w:p w14:paraId="58134F9D" w14:textId="2C136EC4"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3"/>
                <w14:textFill>
                  <w14:solidFill>
                    <w14:srgbClr w14:val="000000">
                      <w14:alpha w14:val="100000"/>
                    </w14:srgbClr>
                  </w14:solidFill>
                </w14:textFill>
              </w:rPr>
              <w:t xml:space="preserve">　</w:t>
            </w:r>
            <w:r w:rsidRPr="0015085A">
              <w:rPr>
                <w:color w:val="000000"/>
                <w:w w:val="22"/>
                <w:szCs w:val="20"/>
                <w:shd w:val="solid" w:color="000000" w:fill="000000"/>
                <w:fitText w:val="100" w:id="-1032130803"/>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3"/>
                <w14:textFill>
                  <w14:solidFill>
                    <w14:srgbClr w14:val="000000">
                      <w14:alpha w14:val="100000"/>
                    </w14:srgbClr>
                  </w14:solidFill>
                </w14:textFill>
              </w:rPr>
              <w:t xml:space="preserve">　</w:t>
            </w:r>
            <w:r w:rsidR="00942C23" w:rsidRPr="00942C23">
              <w:rPr>
                <w:szCs w:val="20"/>
                <w:vertAlign w:val="superscript"/>
              </w:rPr>
              <w:t>1</w:t>
            </w:r>
          </w:p>
        </w:tc>
        <w:tc>
          <w:tcPr>
            <w:tcW w:w="992" w:type="dxa"/>
          </w:tcPr>
          <w:p w14:paraId="77E225EE" w14:textId="17026874"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2"/>
                <w14:textFill>
                  <w14:solidFill>
                    <w14:srgbClr w14:val="000000">
                      <w14:alpha w14:val="100000"/>
                    </w14:srgbClr>
                  </w14:solidFill>
                </w14:textFill>
              </w:rPr>
              <w:t xml:space="preserve">　</w:t>
            </w:r>
            <w:r w:rsidRPr="0015085A">
              <w:rPr>
                <w:color w:val="000000"/>
                <w:w w:val="22"/>
                <w:szCs w:val="20"/>
                <w:shd w:val="solid" w:color="000000" w:fill="000000"/>
                <w:fitText w:val="100" w:id="-1032130802"/>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2"/>
                <w14:textFill>
                  <w14:solidFill>
                    <w14:srgbClr w14:val="000000">
                      <w14:alpha w14:val="100000"/>
                    </w14:srgbClr>
                  </w14:solidFill>
                </w14:textFill>
              </w:rPr>
              <w:t xml:space="preserve">　</w:t>
            </w:r>
            <w:r w:rsidR="00942C23">
              <w:rPr>
                <w:szCs w:val="20"/>
                <w:vertAlign w:val="superscript"/>
              </w:rPr>
              <w:t>5</w:t>
            </w:r>
          </w:p>
        </w:tc>
        <w:tc>
          <w:tcPr>
            <w:tcW w:w="992" w:type="dxa"/>
          </w:tcPr>
          <w:p w14:paraId="39D60AE1" w14:textId="432DDF3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1"/>
                <w14:textFill>
                  <w14:solidFill>
                    <w14:srgbClr w14:val="000000">
                      <w14:alpha w14:val="100000"/>
                    </w14:srgbClr>
                  </w14:solidFill>
                </w14:textFill>
              </w:rPr>
              <w:t xml:space="preserve">　</w:t>
            </w:r>
            <w:r w:rsidRPr="0015085A">
              <w:rPr>
                <w:color w:val="000000"/>
                <w:w w:val="22"/>
                <w:szCs w:val="20"/>
                <w:shd w:val="solid" w:color="000000" w:fill="000000"/>
                <w:fitText w:val="100" w:id="-1032130801"/>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1"/>
                <w14:textFill>
                  <w14:solidFill>
                    <w14:srgbClr w14:val="000000">
                      <w14:alpha w14:val="100000"/>
                    </w14:srgbClr>
                  </w14:solidFill>
                </w14:textFill>
              </w:rPr>
              <w:t xml:space="preserve">　</w:t>
            </w:r>
            <w:r w:rsidR="00942C23">
              <w:rPr>
                <w:szCs w:val="20"/>
                <w:vertAlign w:val="superscript"/>
              </w:rPr>
              <w:t>5</w:t>
            </w:r>
          </w:p>
        </w:tc>
        <w:tc>
          <w:tcPr>
            <w:tcW w:w="942" w:type="dxa"/>
          </w:tcPr>
          <w:p w14:paraId="636C3779" w14:textId="108B2419"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0"/>
                <w14:textFill>
                  <w14:solidFill>
                    <w14:srgbClr w14:val="000000">
                      <w14:alpha w14:val="100000"/>
                    </w14:srgbClr>
                  </w14:solidFill>
                </w14:textFill>
              </w:rPr>
              <w:t xml:space="preserve">　</w:t>
            </w:r>
            <w:r w:rsidRPr="0015085A">
              <w:rPr>
                <w:color w:val="000000"/>
                <w:w w:val="22"/>
                <w:szCs w:val="20"/>
                <w:shd w:val="solid" w:color="000000" w:fill="000000"/>
                <w:fitText w:val="100" w:id="-1032130800"/>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0"/>
                <w14:textFill>
                  <w14:solidFill>
                    <w14:srgbClr w14:val="000000">
                      <w14:alpha w14:val="100000"/>
                    </w14:srgbClr>
                  </w14:solidFill>
                </w14:textFill>
              </w:rPr>
              <w:t xml:space="preserve">　</w:t>
            </w:r>
            <w:r w:rsidR="00942C23">
              <w:rPr>
                <w:szCs w:val="20"/>
                <w:vertAlign w:val="superscript"/>
              </w:rPr>
              <w:t>5</w:t>
            </w:r>
          </w:p>
        </w:tc>
      </w:tr>
      <w:tr w:rsidR="00DF6726" w:rsidRPr="0049396B" w14:paraId="2235C409" w14:textId="77777777" w:rsidTr="00D94CF5">
        <w:trPr>
          <w:trHeight w:val="230"/>
        </w:trPr>
        <w:tc>
          <w:tcPr>
            <w:tcW w:w="2972" w:type="dxa"/>
            <w:vAlign w:val="center"/>
          </w:tcPr>
          <w:p w14:paraId="0D96D265" w14:textId="53D3D477" w:rsidR="00DF6726" w:rsidRPr="0049396B" w:rsidRDefault="00DF6726" w:rsidP="005C5151">
            <w:pPr>
              <w:pStyle w:val="TableText0"/>
              <w:keepLines/>
              <w:rPr>
                <w:szCs w:val="20"/>
              </w:rPr>
            </w:pPr>
            <w:r w:rsidRPr="0049396B">
              <w:rPr>
                <w:szCs w:val="20"/>
              </w:rPr>
              <w:t>Total additional cost to PBS/RPBS</w:t>
            </w:r>
            <w:r w:rsidR="005A547B">
              <w:rPr>
                <w:szCs w:val="20"/>
              </w:rPr>
              <w:t xml:space="preserve"> ($)</w:t>
            </w:r>
          </w:p>
        </w:tc>
        <w:tc>
          <w:tcPr>
            <w:tcW w:w="1134" w:type="dxa"/>
          </w:tcPr>
          <w:p w14:paraId="6E122808" w14:textId="60BB595A"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16"/>
                <w14:textFill>
                  <w14:solidFill>
                    <w14:srgbClr w14:val="000000">
                      <w14:alpha w14:val="100000"/>
                    </w14:srgbClr>
                  </w14:solidFill>
                </w14:textFill>
              </w:rPr>
              <w:t xml:space="preserve">　</w:t>
            </w:r>
            <w:r w:rsidRPr="0015085A">
              <w:rPr>
                <w:color w:val="000000"/>
                <w:w w:val="22"/>
                <w:szCs w:val="20"/>
                <w:shd w:val="solid" w:color="000000" w:fill="000000"/>
                <w:fitText w:val="100" w:id="-1032130816"/>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16"/>
                <w14:textFill>
                  <w14:solidFill>
                    <w14:srgbClr w14:val="000000">
                      <w14:alpha w14:val="100000"/>
                    </w14:srgbClr>
                  </w14:solidFill>
                </w14:textFill>
              </w:rPr>
              <w:t xml:space="preserve">　</w:t>
            </w:r>
            <w:r w:rsidR="00942C23">
              <w:rPr>
                <w:szCs w:val="20"/>
                <w:vertAlign w:val="superscript"/>
              </w:rPr>
              <w:t>6</w:t>
            </w:r>
          </w:p>
        </w:tc>
        <w:tc>
          <w:tcPr>
            <w:tcW w:w="992" w:type="dxa"/>
          </w:tcPr>
          <w:p w14:paraId="4996B5B7" w14:textId="5C4916A8"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15"/>
                <w14:textFill>
                  <w14:solidFill>
                    <w14:srgbClr w14:val="000000">
                      <w14:alpha w14:val="100000"/>
                    </w14:srgbClr>
                  </w14:solidFill>
                </w14:textFill>
              </w:rPr>
              <w:t xml:space="preserve">　</w:t>
            </w:r>
            <w:r w:rsidRPr="0015085A">
              <w:rPr>
                <w:color w:val="000000"/>
                <w:w w:val="22"/>
                <w:szCs w:val="20"/>
                <w:shd w:val="solid" w:color="000000" w:fill="000000"/>
                <w:fitText w:val="100" w:id="-1032130815"/>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15"/>
                <w14:textFill>
                  <w14:solidFill>
                    <w14:srgbClr w14:val="000000">
                      <w14:alpha w14:val="100000"/>
                    </w14:srgbClr>
                  </w14:solidFill>
                </w14:textFill>
              </w:rPr>
              <w:t xml:space="preserve">　</w:t>
            </w:r>
            <w:r w:rsidR="00942C23">
              <w:rPr>
                <w:szCs w:val="20"/>
                <w:vertAlign w:val="superscript"/>
              </w:rPr>
              <w:t>6</w:t>
            </w:r>
          </w:p>
        </w:tc>
        <w:tc>
          <w:tcPr>
            <w:tcW w:w="993" w:type="dxa"/>
          </w:tcPr>
          <w:p w14:paraId="35C5FC3B" w14:textId="2A095AD6"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14"/>
                <w14:textFill>
                  <w14:solidFill>
                    <w14:srgbClr w14:val="000000">
                      <w14:alpha w14:val="100000"/>
                    </w14:srgbClr>
                  </w14:solidFill>
                </w14:textFill>
              </w:rPr>
              <w:t xml:space="preserve">　</w:t>
            </w:r>
            <w:r w:rsidRPr="0015085A">
              <w:rPr>
                <w:color w:val="000000"/>
                <w:w w:val="22"/>
                <w:szCs w:val="20"/>
                <w:shd w:val="solid" w:color="000000" w:fill="000000"/>
                <w:fitText w:val="100" w:id="-1032130814"/>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14"/>
                <w14:textFill>
                  <w14:solidFill>
                    <w14:srgbClr w14:val="000000">
                      <w14:alpha w14:val="100000"/>
                    </w14:srgbClr>
                  </w14:solidFill>
                </w14:textFill>
              </w:rPr>
              <w:t xml:space="preserve">　</w:t>
            </w:r>
            <w:r w:rsidR="00942C23">
              <w:rPr>
                <w:szCs w:val="20"/>
                <w:vertAlign w:val="superscript"/>
              </w:rPr>
              <w:t>6</w:t>
            </w:r>
          </w:p>
        </w:tc>
        <w:tc>
          <w:tcPr>
            <w:tcW w:w="992" w:type="dxa"/>
          </w:tcPr>
          <w:p w14:paraId="076A399B" w14:textId="529E3E8A"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13"/>
                <w14:textFill>
                  <w14:solidFill>
                    <w14:srgbClr w14:val="000000">
                      <w14:alpha w14:val="100000"/>
                    </w14:srgbClr>
                  </w14:solidFill>
                </w14:textFill>
              </w:rPr>
              <w:t xml:space="preserve">　</w:t>
            </w:r>
            <w:r w:rsidRPr="0015085A">
              <w:rPr>
                <w:color w:val="000000"/>
                <w:w w:val="22"/>
                <w:szCs w:val="20"/>
                <w:shd w:val="solid" w:color="000000" w:fill="000000"/>
                <w:fitText w:val="100" w:id="-1032130813"/>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13"/>
                <w14:textFill>
                  <w14:solidFill>
                    <w14:srgbClr w14:val="000000">
                      <w14:alpha w14:val="100000"/>
                    </w14:srgbClr>
                  </w14:solidFill>
                </w14:textFill>
              </w:rPr>
              <w:t xml:space="preserve">　</w:t>
            </w:r>
            <w:r w:rsidR="00942C23">
              <w:rPr>
                <w:szCs w:val="20"/>
                <w:vertAlign w:val="superscript"/>
              </w:rPr>
              <w:t>6</w:t>
            </w:r>
          </w:p>
        </w:tc>
        <w:tc>
          <w:tcPr>
            <w:tcW w:w="992" w:type="dxa"/>
          </w:tcPr>
          <w:p w14:paraId="11309E71" w14:textId="5EA24D86"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12"/>
                <w14:textFill>
                  <w14:solidFill>
                    <w14:srgbClr w14:val="000000">
                      <w14:alpha w14:val="100000"/>
                    </w14:srgbClr>
                  </w14:solidFill>
                </w14:textFill>
              </w:rPr>
              <w:t xml:space="preserve">　</w:t>
            </w:r>
            <w:r w:rsidRPr="0015085A">
              <w:rPr>
                <w:color w:val="000000"/>
                <w:w w:val="22"/>
                <w:szCs w:val="20"/>
                <w:shd w:val="solid" w:color="000000" w:fill="000000"/>
                <w:fitText w:val="100" w:id="-1032130812"/>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12"/>
                <w14:textFill>
                  <w14:solidFill>
                    <w14:srgbClr w14:val="000000">
                      <w14:alpha w14:val="100000"/>
                    </w14:srgbClr>
                  </w14:solidFill>
                </w14:textFill>
              </w:rPr>
              <w:t xml:space="preserve">　</w:t>
            </w:r>
            <w:r w:rsidR="00942C23">
              <w:rPr>
                <w:szCs w:val="20"/>
                <w:vertAlign w:val="superscript"/>
              </w:rPr>
              <w:t>6</w:t>
            </w:r>
          </w:p>
        </w:tc>
        <w:tc>
          <w:tcPr>
            <w:tcW w:w="942" w:type="dxa"/>
          </w:tcPr>
          <w:p w14:paraId="113B1232" w14:textId="4F1B6C8B" w:rsidR="00DF6726" w:rsidRPr="005A547B" w:rsidRDefault="0015085A" w:rsidP="005C5151">
            <w:pPr>
              <w:pStyle w:val="TableText0"/>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11"/>
                <w14:textFill>
                  <w14:solidFill>
                    <w14:srgbClr w14:val="000000">
                      <w14:alpha w14:val="100000"/>
                    </w14:srgbClr>
                  </w14:solidFill>
                </w14:textFill>
              </w:rPr>
              <w:t xml:space="preserve">　</w:t>
            </w:r>
            <w:r w:rsidRPr="0015085A">
              <w:rPr>
                <w:color w:val="000000"/>
                <w:w w:val="22"/>
                <w:szCs w:val="20"/>
                <w:shd w:val="solid" w:color="000000" w:fill="000000"/>
                <w:fitText w:val="100" w:id="-1032130811"/>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11"/>
                <w14:textFill>
                  <w14:solidFill>
                    <w14:srgbClr w14:val="000000">
                      <w14:alpha w14:val="100000"/>
                    </w14:srgbClr>
                  </w14:solidFill>
                </w14:textFill>
              </w:rPr>
              <w:t xml:space="preserve">　</w:t>
            </w:r>
            <w:r w:rsidR="00942C23">
              <w:rPr>
                <w:szCs w:val="20"/>
                <w:vertAlign w:val="superscript"/>
              </w:rPr>
              <w:t>6</w:t>
            </w:r>
          </w:p>
        </w:tc>
      </w:tr>
      <w:tr w:rsidR="00DF6726" w:rsidRPr="0049396B" w14:paraId="4FB74865" w14:textId="77777777" w:rsidTr="00814D88">
        <w:trPr>
          <w:trHeight w:val="230"/>
        </w:trPr>
        <w:tc>
          <w:tcPr>
            <w:tcW w:w="9017" w:type="dxa"/>
            <w:gridSpan w:val="7"/>
            <w:vAlign w:val="center"/>
          </w:tcPr>
          <w:p w14:paraId="03AE45C5" w14:textId="77777777" w:rsidR="00DF6726" w:rsidRPr="0049396B" w:rsidRDefault="00DF6726" w:rsidP="005C5151">
            <w:pPr>
              <w:pStyle w:val="TableText0"/>
              <w:keepLines/>
              <w:rPr>
                <w:szCs w:val="20"/>
              </w:rPr>
            </w:pPr>
            <w:r w:rsidRPr="0049396B">
              <w:rPr>
                <w:b/>
                <w:szCs w:val="20"/>
              </w:rPr>
              <w:t>Estimated financial implications for the PBS/RPBS and the health budget</w:t>
            </w:r>
          </w:p>
        </w:tc>
      </w:tr>
      <w:tr w:rsidR="00DF6726" w:rsidRPr="0049396B" w14:paraId="31A0DDCB" w14:textId="77777777" w:rsidTr="00D94CF5">
        <w:trPr>
          <w:trHeight w:val="230"/>
        </w:trPr>
        <w:tc>
          <w:tcPr>
            <w:tcW w:w="2972" w:type="dxa"/>
            <w:vAlign w:val="center"/>
          </w:tcPr>
          <w:p w14:paraId="45611C83" w14:textId="77777777" w:rsidR="00DF6726" w:rsidRPr="0049396B" w:rsidRDefault="00DF6726" w:rsidP="005C5151">
            <w:pPr>
              <w:pStyle w:val="TableText0"/>
              <w:keepLines/>
              <w:rPr>
                <w:szCs w:val="20"/>
              </w:rPr>
            </w:pPr>
            <w:r w:rsidRPr="0049396B">
              <w:rPr>
                <w:szCs w:val="20"/>
              </w:rPr>
              <w:t xml:space="preserve">Net change in scripts </w:t>
            </w:r>
          </w:p>
        </w:tc>
        <w:tc>
          <w:tcPr>
            <w:tcW w:w="1134" w:type="dxa"/>
          </w:tcPr>
          <w:p w14:paraId="398FB4EB" w14:textId="038AB6B8"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10"/>
                <w14:textFill>
                  <w14:solidFill>
                    <w14:srgbClr w14:val="000000">
                      <w14:alpha w14:val="100000"/>
                    </w14:srgbClr>
                  </w14:solidFill>
                </w14:textFill>
              </w:rPr>
              <w:t xml:space="preserve">　</w:t>
            </w:r>
            <w:r w:rsidRPr="0015085A">
              <w:rPr>
                <w:color w:val="000000"/>
                <w:w w:val="22"/>
                <w:szCs w:val="20"/>
                <w:shd w:val="solid" w:color="000000" w:fill="000000"/>
                <w:fitText w:val="100" w:id="-1032130810"/>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10"/>
                <w14:textFill>
                  <w14:solidFill>
                    <w14:srgbClr w14:val="000000">
                      <w14:alpha w14:val="100000"/>
                    </w14:srgbClr>
                  </w14:solidFill>
                </w14:textFill>
              </w:rPr>
              <w:t xml:space="preserve">　</w:t>
            </w:r>
            <w:r w:rsidR="00942C23">
              <w:rPr>
                <w:szCs w:val="20"/>
                <w:vertAlign w:val="superscript"/>
              </w:rPr>
              <w:t>5</w:t>
            </w:r>
            <w:r>
              <w:rPr>
                <w:szCs w:val="20"/>
              </w:rPr>
              <w:t xml:space="preserve"> </w:t>
            </w:r>
          </w:p>
        </w:tc>
        <w:tc>
          <w:tcPr>
            <w:tcW w:w="992" w:type="dxa"/>
          </w:tcPr>
          <w:p w14:paraId="591C615A" w14:textId="0A528573"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808"/>
                <w14:textFill>
                  <w14:solidFill>
                    <w14:srgbClr w14:val="000000">
                      <w14:alpha w14:val="100000"/>
                    </w14:srgbClr>
                  </w14:solidFill>
                </w14:textFill>
              </w:rPr>
              <w:t xml:space="preserve">　</w:t>
            </w:r>
            <w:r w:rsidRPr="0015085A">
              <w:rPr>
                <w:color w:val="000000"/>
                <w:w w:val="22"/>
                <w:szCs w:val="20"/>
                <w:shd w:val="solid" w:color="000000" w:fill="000000"/>
                <w:fitText w:val="100" w:id="-1032130808"/>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808"/>
                <w14:textFill>
                  <w14:solidFill>
                    <w14:srgbClr w14:val="000000">
                      <w14:alpha w14:val="100000"/>
                    </w14:srgbClr>
                  </w14:solidFill>
                </w14:textFill>
              </w:rPr>
              <w:t xml:space="preserve">　</w:t>
            </w:r>
            <w:r w:rsidR="00942C23">
              <w:rPr>
                <w:szCs w:val="20"/>
                <w:vertAlign w:val="superscript"/>
              </w:rPr>
              <w:t>5</w:t>
            </w:r>
          </w:p>
        </w:tc>
        <w:tc>
          <w:tcPr>
            <w:tcW w:w="993" w:type="dxa"/>
          </w:tcPr>
          <w:p w14:paraId="30CFAC90" w14:textId="24264749"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60"/>
                <w14:textFill>
                  <w14:solidFill>
                    <w14:srgbClr w14:val="000000">
                      <w14:alpha w14:val="100000"/>
                    </w14:srgbClr>
                  </w14:solidFill>
                </w14:textFill>
              </w:rPr>
              <w:t xml:space="preserve">　</w:t>
            </w:r>
            <w:r w:rsidRPr="0015085A">
              <w:rPr>
                <w:color w:val="000000"/>
                <w:w w:val="22"/>
                <w:szCs w:val="20"/>
                <w:shd w:val="solid" w:color="000000" w:fill="000000"/>
                <w:fitText w:val="100" w:id="-1032130560"/>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60"/>
                <w14:textFill>
                  <w14:solidFill>
                    <w14:srgbClr w14:val="000000">
                      <w14:alpha w14:val="100000"/>
                    </w14:srgbClr>
                  </w14:solidFill>
                </w14:textFill>
              </w:rPr>
              <w:t xml:space="preserve">　</w:t>
            </w:r>
            <w:r w:rsidR="00942C23">
              <w:rPr>
                <w:szCs w:val="20"/>
                <w:vertAlign w:val="superscript"/>
              </w:rPr>
              <w:t>5</w:t>
            </w:r>
          </w:p>
        </w:tc>
        <w:tc>
          <w:tcPr>
            <w:tcW w:w="992" w:type="dxa"/>
          </w:tcPr>
          <w:p w14:paraId="2A1BD540" w14:textId="125D5577"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9"/>
                <w14:textFill>
                  <w14:solidFill>
                    <w14:srgbClr w14:val="000000">
                      <w14:alpha w14:val="100000"/>
                    </w14:srgbClr>
                  </w14:solidFill>
                </w14:textFill>
              </w:rPr>
              <w:t xml:space="preserve">　</w:t>
            </w:r>
            <w:r w:rsidRPr="0015085A">
              <w:rPr>
                <w:color w:val="000000"/>
                <w:w w:val="22"/>
                <w:szCs w:val="20"/>
                <w:shd w:val="solid" w:color="000000" w:fill="000000"/>
                <w:fitText w:val="100" w:id="-1032130559"/>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9"/>
                <w14:textFill>
                  <w14:solidFill>
                    <w14:srgbClr w14:val="000000">
                      <w14:alpha w14:val="100000"/>
                    </w14:srgbClr>
                  </w14:solidFill>
                </w14:textFill>
              </w:rPr>
              <w:t xml:space="preserve">　</w:t>
            </w:r>
            <w:r w:rsidR="00942C23">
              <w:rPr>
                <w:szCs w:val="20"/>
                <w:vertAlign w:val="superscript"/>
              </w:rPr>
              <w:t>5</w:t>
            </w:r>
          </w:p>
        </w:tc>
        <w:tc>
          <w:tcPr>
            <w:tcW w:w="992" w:type="dxa"/>
          </w:tcPr>
          <w:p w14:paraId="08D0AFED" w14:textId="6171F090"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8"/>
                <w14:textFill>
                  <w14:solidFill>
                    <w14:srgbClr w14:val="000000">
                      <w14:alpha w14:val="100000"/>
                    </w14:srgbClr>
                  </w14:solidFill>
                </w14:textFill>
              </w:rPr>
              <w:t xml:space="preserve">　</w:t>
            </w:r>
            <w:r w:rsidRPr="0015085A">
              <w:rPr>
                <w:color w:val="000000"/>
                <w:w w:val="22"/>
                <w:szCs w:val="20"/>
                <w:shd w:val="solid" w:color="000000" w:fill="000000"/>
                <w:fitText w:val="100" w:id="-1032130558"/>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8"/>
                <w14:textFill>
                  <w14:solidFill>
                    <w14:srgbClr w14:val="000000">
                      <w14:alpha w14:val="100000"/>
                    </w14:srgbClr>
                  </w14:solidFill>
                </w14:textFill>
              </w:rPr>
              <w:t xml:space="preserve">　</w:t>
            </w:r>
            <w:r w:rsidR="00942C23">
              <w:rPr>
                <w:szCs w:val="20"/>
                <w:vertAlign w:val="superscript"/>
              </w:rPr>
              <w:t>5</w:t>
            </w:r>
          </w:p>
        </w:tc>
        <w:tc>
          <w:tcPr>
            <w:tcW w:w="942" w:type="dxa"/>
          </w:tcPr>
          <w:p w14:paraId="48F9C900" w14:textId="68C02981"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7"/>
                <w14:textFill>
                  <w14:solidFill>
                    <w14:srgbClr w14:val="000000">
                      <w14:alpha w14:val="100000"/>
                    </w14:srgbClr>
                  </w14:solidFill>
                </w14:textFill>
              </w:rPr>
              <w:t xml:space="preserve">　</w:t>
            </w:r>
            <w:r w:rsidRPr="0015085A">
              <w:rPr>
                <w:color w:val="000000"/>
                <w:w w:val="22"/>
                <w:szCs w:val="20"/>
                <w:shd w:val="solid" w:color="000000" w:fill="000000"/>
                <w:fitText w:val="100" w:id="-1032130557"/>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7"/>
                <w14:textFill>
                  <w14:solidFill>
                    <w14:srgbClr w14:val="000000">
                      <w14:alpha w14:val="100000"/>
                    </w14:srgbClr>
                  </w14:solidFill>
                </w14:textFill>
              </w:rPr>
              <w:t xml:space="preserve">　</w:t>
            </w:r>
            <w:r w:rsidR="00942C23">
              <w:rPr>
                <w:szCs w:val="20"/>
                <w:vertAlign w:val="superscript"/>
              </w:rPr>
              <w:t>5</w:t>
            </w:r>
          </w:p>
        </w:tc>
      </w:tr>
      <w:tr w:rsidR="00DF6726" w:rsidRPr="0049396B" w14:paraId="76B54323" w14:textId="77777777" w:rsidTr="00D94CF5">
        <w:trPr>
          <w:trHeight w:val="230"/>
        </w:trPr>
        <w:tc>
          <w:tcPr>
            <w:tcW w:w="2972" w:type="dxa"/>
            <w:vAlign w:val="center"/>
          </w:tcPr>
          <w:p w14:paraId="03697198" w14:textId="4D9E4154" w:rsidR="00DF6726" w:rsidRPr="0049396B" w:rsidRDefault="00DF6726" w:rsidP="005C5151">
            <w:pPr>
              <w:pStyle w:val="TableText0"/>
              <w:keepLines/>
              <w:rPr>
                <w:szCs w:val="20"/>
              </w:rPr>
            </w:pPr>
            <w:r w:rsidRPr="0049396B">
              <w:rPr>
                <w:szCs w:val="20"/>
              </w:rPr>
              <w:t>Net cost PBS/RPBS, proposed listing (net cost offsets)</w:t>
            </w:r>
            <w:r w:rsidR="005A547B">
              <w:rPr>
                <w:szCs w:val="20"/>
              </w:rPr>
              <w:t xml:space="preserve"> ($)</w:t>
            </w:r>
          </w:p>
        </w:tc>
        <w:tc>
          <w:tcPr>
            <w:tcW w:w="1134" w:type="dxa"/>
          </w:tcPr>
          <w:p w14:paraId="7F377436" w14:textId="5D4BAF2F"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6"/>
                <w14:textFill>
                  <w14:solidFill>
                    <w14:srgbClr w14:val="000000">
                      <w14:alpha w14:val="100000"/>
                    </w14:srgbClr>
                  </w14:solidFill>
                </w14:textFill>
              </w:rPr>
              <w:t xml:space="preserve">　</w:t>
            </w:r>
            <w:r w:rsidRPr="0015085A">
              <w:rPr>
                <w:color w:val="000000"/>
                <w:w w:val="22"/>
                <w:szCs w:val="20"/>
                <w:shd w:val="solid" w:color="000000" w:fill="000000"/>
                <w:fitText w:val="100" w:id="-1032130556"/>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6"/>
                <w14:textFill>
                  <w14:solidFill>
                    <w14:srgbClr w14:val="000000">
                      <w14:alpha w14:val="100000"/>
                    </w14:srgbClr>
                  </w14:solidFill>
                </w14:textFill>
              </w:rPr>
              <w:t xml:space="preserve">　</w:t>
            </w:r>
            <w:r w:rsidR="00942C23">
              <w:rPr>
                <w:szCs w:val="20"/>
                <w:vertAlign w:val="superscript"/>
              </w:rPr>
              <w:t>3</w:t>
            </w:r>
          </w:p>
        </w:tc>
        <w:tc>
          <w:tcPr>
            <w:tcW w:w="992" w:type="dxa"/>
          </w:tcPr>
          <w:p w14:paraId="0D722AF7" w14:textId="46DDBA58"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5"/>
                <w14:textFill>
                  <w14:solidFill>
                    <w14:srgbClr w14:val="000000">
                      <w14:alpha w14:val="100000"/>
                    </w14:srgbClr>
                  </w14:solidFill>
                </w14:textFill>
              </w:rPr>
              <w:t xml:space="preserve">　</w:t>
            </w:r>
            <w:r w:rsidRPr="0015085A">
              <w:rPr>
                <w:color w:val="000000"/>
                <w:w w:val="22"/>
                <w:szCs w:val="20"/>
                <w:shd w:val="solid" w:color="000000" w:fill="000000"/>
                <w:fitText w:val="100" w:id="-1032130555"/>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5"/>
                <w14:textFill>
                  <w14:solidFill>
                    <w14:srgbClr w14:val="000000">
                      <w14:alpha w14:val="100000"/>
                    </w14:srgbClr>
                  </w14:solidFill>
                </w14:textFill>
              </w:rPr>
              <w:t xml:space="preserve">　</w:t>
            </w:r>
            <w:r w:rsidR="00942C23">
              <w:rPr>
                <w:szCs w:val="20"/>
                <w:vertAlign w:val="superscript"/>
              </w:rPr>
              <w:t>3</w:t>
            </w:r>
          </w:p>
        </w:tc>
        <w:tc>
          <w:tcPr>
            <w:tcW w:w="993" w:type="dxa"/>
          </w:tcPr>
          <w:p w14:paraId="6FE6F635" w14:textId="5EA7C661"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4"/>
                <w14:textFill>
                  <w14:solidFill>
                    <w14:srgbClr w14:val="000000">
                      <w14:alpha w14:val="100000"/>
                    </w14:srgbClr>
                  </w14:solidFill>
                </w14:textFill>
              </w:rPr>
              <w:t xml:space="preserve">　</w:t>
            </w:r>
            <w:r w:rsidRPr="0015085A">
              <w:rPr>
                <w:color w:val="000000"/>
                <w:w w:val="22"/>
                <w:szCs w:val="20"/>
                <w:shd w:val="solid" w:color="000000" w:fill="000000"/>
                <w:fitText w:val="100" w:id="-1032130554"/>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4"/>
                <w14:textFill>
                  <w14:solidFill>
                    <w14:srgbClr w14:val="000000">
                      <w14:alpha w14:val="100000"/>
                    </w14:srgbClr>
                  </w14:solidFill>
                </w14:textFill>
              </w:rPr>
              <w:t xml:space="preserve">　</w:t>
            </w:r>
            <w:r w:rsidR="00942C23">
              <w:rPr>
                <w:szCs w:val="20"/>
                <w:vertAlign w:val="superscript"/>
              </w:rPr>
              <w:t>3</w:t>
            </w:r>
          </w:p>
        </w:tc>
        <w:tc>
          <w:tcPr>
            <w:tcW w:w="992" w:type="dxa"/>
          </w:tcPr>
          <w:p w14:paraId="0A803D1A" w14:textId="6830650C"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3"/>
                <w14:textFill>
                  <w14:solidFill>
                    <w14:srgbClr w14:val="000000">
                      <w14:alpha w14:val="100000"/>
                    </w14:srgbClr>
                  </w14:solidFill>
                </w14:textFill>
              </w:rPr>
              <w:t xml:space="preserve">　</w:t>
            </w:r>
            <w:r w:rsidRPr="0015085A">
              <w:rPr>
                <w:color w:val="000000"/>
                <w:w w:val="22"/>
                <w:szCs w:val="20"/>
                <w:shd w:val="solid" w:color="000000" w:fill="000000"/>
                <w:fitText w:val="100" w:id="-1032130553"/>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3"/>
                <w14:textFill>
                  <w14:solidFill>
                    <w14:srgbClr w14:val="000000">
                      <w14:alpha w14:val="100000"/>
                    </w14:srgbClr>
                  </w14:solidFill>
                </w14:textFill>
              </w:rPr>
              <w:t xml:space="preserve">　</w:t>
            </w:r>
            <w:r w:rsidR="00942C23">
              <w:rPr>
                <w:szCs w:val="20"/>
                <w:vertAlign w:val="superscript"/>
              </w:rPr>
              <w:t>4</w:t>
            </w:r>
          </w:p>
        </w:tc>
        <w:tc>
          <w:tcPr>
            <w:tcW w:w="992" w:type="dxa"/>
          </w:tcPr>
          <w:p w14:paraId="74B4CD02" w14:textId="270C2CA7"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2"/>
                <w14:textFill>
                  <w14:solidFill>
                    <w14:srgbClr w14:val="000000">
                      <w14:alpha w14:val="100000"/>
                    </w14:srgbClr>
                  </w14:solidFill>
                </w14:textFill>
              </w:rPr>
              <w:t xml:space="preserve">　</w:t>
            </w:r>
            <w:r w:rsidRPr="0015085A">
              <w:rPr>
                <w:color w:val="000000"/>
                <w:w w:val="22"/>
                <w:szCs w:val="20"/>
                <w:shd w:val="solid" w:color="000000" w:fill="000000"/>
                <w:fitText w:val="100" w:id="-1032130552"/>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2"/>
                <w14:textFill>
                  <w14:solidFill>
                    <w14:srgbClr w14:val="000000">
                      <w14:alpha w14:val="100000"/>
                    </w14:srgbClr>
                  </w14:solidFill>
                </w14:textFill>
              </w:rPr>
              <w:t xml:space="preserve">　</w:t>
            </w:r>
            <w:r w:rsidR="00942C23">
              <w:rPr>
                <w:szCs w:val="20"/>
                <w:vertAlign w:val="superscript"/>
              </w:rPr>
              <w:t>4</w:t>
            </w:r>
          </w:p>
        </w:tc>
        <w:tc>
          <w:tcPr>
            <w:tcW w:w="942" w:type="dxa"/>
          </w:tcPr>
          <w:p w14:paraId="5729B944" w14:textId="5DFB953B"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1"/>
                <w14:textFill>
                  <w14:solidFill>
                    <w14:srgbClr w14:val="000000">
                      <w14:alpha w14:val="100000"/>
                    </w14:srgbClr>
                  </w14:solidFill>
                </w14:textFill>
              </w:rPr>
              <w:t xml:space="preserve">　</w:t>
            </w:r>
            <w:r w:rsidRPr="0015085A">
              <w:rPr>
                <w:color w:val="000000"/>
                <w:w w:val="22"/>
                <w:szCs w:val="20"/>
                <w:shd w:val="solid" w:color="000000" w:fill="000000"/>
                <w:fitText w:val="100" w:id="-1032130551"/>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1"/>
                <w14:textFill>
                  <w14:solidFill>
                    <w14:srgbClr w14:val="000000">
                      <w14:alpha w14:val="100000"/>
                    </w14:srgbClr>
                  </w14:solidFill>
                </w14:textFill>
              </w:rPr>
              <w:t xml:space="preserve">　</w:t>
            </w:r>
            <w:r w:rsidR="00942C23">
              <w:rPr>
                <w:szCs w:val="20"/>
                <w:vertAlign w:val="superscript"/>
              </w:rPr>
              <w:t>4</w:t>
            </w:r>
          </w:p>
        </w:tc>
      </w:tr>
      <w:tr w:rsidR="005A547B" w:rsidRPr="0049396B" w14:paraId="778F7964" w14:textId="77777777" w:rsidTr="00200DE5">
        <w:trPr>
          <w:trHeight w:val="230"/>
        </w:trPr>
        <w:tc>
          <w:tcPr>
            <w:tcW w:w="9017" w:type="dxa"/>
            <w:gridSpan w:val="7"/>
            <w:vAlign w:val="center"/>
          </w:tcPr>
          <w:p w14:paraId="31A73B02" w14:textId="2EA519D4" w:rsidR="005A547B" w:rsidRPr="005A547B" w:rsidRDefault="005A547B" w:rsidP="005C5151">
            <w:pPr>
              <w:pStyle w:val="Tabletext"/>
              <w:keepNext/>
              <w:keepLines/>
              <w:rPr>
                <w:b/>
                <w:bCs/>
                <w:szCs w:val="20"/>
              </w:rPr>
            </w:pPr>
            <w:r w:rsidRPr="005A547B">
              <w:rPr>
                <w:b/>
                <w:bCs/>
                <w:szCs w:val="20"/>
              </w:rPr>
              <w:t xml:space="preserve">Number of MBS services </w:t>
            </w:r>
          </w:p>
        </w:tc>
      </w:tr>
      <w:tr w:rsidR="00DF6726" w:rsidRPr="0049396B" w14:paraId="01AB28F2" w14:textId="77777777" w:rsidTr="00D94CF5">
        <w:trPr>
          <w:trHeight w:val="230"/>
        </w:trPr>
        <w:tc>
          <w:tcPr>
            <w:tcW w:w="2972" w:type="dxa"/>
            <w:vAlign w:val="center"/>
          </w:tcPr>
          <w:p w14:paraId="5630DDF9" w14:textId="77777777" w:rsidR="00DF6726" w:rsidRPr="0049396B" w:rsidRDefault="00DF6726" w:rsidP="005C5151">
            <w:pPr>
              <w:pStyle w:val="TableText0"/>
              <w:keepLines/>
              <w:rPr>
                <w:szCs w:val="20"/>
              </w:rPr>
            </w:pPr>
            <w:r w:rsidRPr="0049396B">
              <w:rPr>
                <w:szCs w:val="20"/>
              </w:rPr>
              <w:t xml:space="preserve">Item 34528 </w:t>
            </w:r>
          </w:p>
        </w:tc>
        <w:tc>
          <w:tcPr>
            <w:tcW w:w="1134" w:type="dxa"/>
          </w:tcPr>
          <w:p w14:paraId="2BC081FC" w14:textId="07D64941"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50"/>
                <w14:textFill>
                  <w14:solidFill>
                    <w14:srgbClr w14:val="000000">
                      <w14:alpha w14:val="100000"/>
                    </w14:srgbClr>
                  </w14:solidFill>
                </w14:textFill>
              </w:rPr>
              <w:t xml:space="preserve">　</w:t>
            </w:r>
            <w:r w:rsidRPr="0015085A">
              <w:rPr>
                <w:color w:val="000000"/>
                <w:w w:val="29"/>
                <w:szCs w:val="20"/>
                <w:shd w:val="solid" w:color="000000" w:fill="000000"/>
                <w:fitText w:val="130" w:id="-103213055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50"/>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134762F0" w14:textId="144830B8"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49"/>
                <w14:textFill>
                  <w14:solidFill>
                    <w14:srgbClr w14:val="000000">
                      <w14:alpha w14:val="100000"/>
                    </w14:srgbClr>
                  </w14:solidFill>
                </w14:textFill>
              </w:rPr>
              <w:t xml:space="preserve">　</w:t>
            </w:r>
            <w:r w:rsidRPr="0015085A">
              <w:rPr>
                <w:color w:val="000000"/>
                <w:w w:val="29"/>
                <w:szCs w:val="20"/>
                <w:shd w:val="solid" w:color="000000" w:fill="000000"/>
                <w:fitText w:val="130" w:id="-1032130549"/>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49"/>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3" w:type="dxa"/>
          </w:tcPr>
          <w:p w14:paraId="34AB421E" w14:textId="0F827780"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48"/>
                <w14:textFill>
                  <w14:solidFill>
                    <w14:srgbClr w14:val="000000">
                      <w14:alpha w14:val="100000"/>
                    </w14:srgbClr>
                  </w14:solidFill>
                </w14:textFill>
              </w:rPr>
              <w:t xml:space="preserve">　</w:t>
            </w:r>
            <w:r w:rsidRPr="0015085A">
              <w:rPr>
                <w:color w:val="000000"/>
                <w:w w:val="29"/>
                <w:szCs w:val="20"/>
                <w:shd w:val="solid" w:color="000000" w:fill="000000"/>
                <w:fitText w:val="130" w:id="-103213054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48"/>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291443D4" w14:textId="659FD83A"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47"/>
                <w14:textFill>
                  <w14:solidFill>
                    <w14:srgbClr w14:val="000000">
                      <w14:alpha w14:val="100000"/>
                    </w14:srgbClr>
                  </w14:solidFill>
                </w14:textFill>
              </w:rPr>
              <w:t xml:space="preserve">　</w:t>
            </w:r>
            <w:r w:rsidRPr="0015085A">
              <w:rPr>
                <w:color w:val="000000"/>
                <w:w w:val="29"/>
                <w:szCs w:val="20"/>
                <w:shd w:val="solid" w:color="000000" w:fill="000000"/>
                <w:fitText w:val="130" w:id="-1032130547"/>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47"/>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097AE812" w14:textId="50570499"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46"/>
                <w14:textFill>
                  <w14:solidFill>
                    <w14:srgbClr w14:val="000000">
                      <w14:alpha w14:val="100000"/>
                    </w14:srgbClr>
                  </w14:solidFill>
                </w14:textFill>
              </w:rPr>
              <w:t xml:space="preserve">　</w:t>
            </w:r>
            <w:r w:rsidRPr="0015085A">
              <w:rPr>
                <w:color w:val="000000"/>
                <w:w w:val="29"/>
                <w:szCs w:val="20"/>
                <w:shd w:val="solid" w:color="000000" w:fill="000000"/>
                <w:fitText w:val="130" w:id="-103213054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46"/>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42" w:type="dxa"/>
          </w:tcPr>
          <w:p w14:paraId="4B25BC07" w14:textId="320957EE"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45"/>
                <w14:textFill>
                  <w14:solidFill>
                    <w14:srgbClr w14:val="000000">
                      <w14:alpha w14:val="100000"/>
                    </w14:srgbClr>
                  </w14:solidFill>
                </w14:textFill>
              </w:rPr>
              <w:t xml:space="preserve">　</w:t>
            </w:r>
            <w:r w:rsidRPr="0015085A">
              <w:rPr>
                <w:color w:val="000000"/>
                <w:w w:val="29"/>
                <w:szCs w:val="20"/>
                <w:shd w:val="solid" w:color="000000" w:fill="000000"/>
                <w:fitText w:val="130" w:id="-1032130545"/>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45"/>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243345CF" w14:textId="77777777" w:rsidTr="00D94CF5">
        <w:trPr>
          <w:trHeight w:val="230"/>
        </w:trPr>
        <w:tc>
          <w:tcPr>
            <w:tcW w:w="2972" w:type="dxa"/>
            <w:vAlign w:val="center"/>
          </w:tcPr>
          <w:p w14:paraId="1E4E7B92" w14:textId="77777777" w:rsidR="00DF6726" w:rsidRPr="0049396B" w:rsidRDefault="00DF6726" w:rsidP="005C5151">
            <w:pPr>
              <w:pStyle w:val="TableText0"/>
              <w:keepLines/>
              <w:rPr>
                <w:szCs w:val="20"/>
              </w:rPr>
            </w:pPr>
            <w:r w:rsidRPr="0049396B">
              <w:rPr>
                <w:szCs w:val="20"/>
              </w:rPr>
              <w:t>Item 34530</w:t>
            </w:r>
          </w:p>
        </w:tc>
        <w:tc>
          <w:tcPr>
            <w:tcW w:w="1134" w:type="dxa"/>
          </w:tcPr>
          <w:p w14:paraId="43E75799" w14:textId="5B5EF4A9"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44"/>
                <w14:textFill>
                  <w14:solidFill>
                    <w14:srgbClr w14:val="000000">
                      <w14:alpha w14:val="100000"/>
                    </w14:srgbClr>
                  </w14:solidFill>
                </w14:textFill>
              </w:rPr>
              <w:t xml:space="preserve">　</w:t>
            </w:r>
            <w:r w:rsidRPr="0015085A">
              <w:rPr>
                <w:color w:val="000000"/>
                <w:w w:val="29"/>
                <w:szCs w:val="20"/>
                <w:shd w:val="solid" w:color="000000" w:fill="000000"/>
                <w:fitText w:val="130" w:id="-1032130544"/>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44"/>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1D1864F9" w14:textId="602C6EF0"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60"/>
                <w14:textFill>
                  <w14:solidFill>
                    <w14:srgbClr w14:val="000000">
                      <w14:alpha w14:val="100000"/>
                    </w14:srgbClr>
                  </w14:solidFill>
                </w14:textFill>
              </w:rPr>
              <w:t xml:space="preserve">　</w:t>
            </w:r>
            <w:r w:rsidRPr="0015085A">
              <w:rPr>
                <w:color w:val="000000"/>
                <w:w w:val="29"/>
                <w:szCs w:val="20"/>
                <w:shd w:val="solid" w:color="000000" w:fill="000000"/>
                <w:fitText w:val="130" w:id="-1032130560"/>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60"/>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3" w:type="dxa"/>
          </w:tcPr>
          <w:p w14:paraId="4BE65682" w14:textId="73BFE6B3"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59"/>
                <w14:textFill>
                  <w14:solidFill>
                    <w14:srgbClr w14:val="000000">
                      <w14:alpha w14:val="100000"/>
                    </w14:srgbClr>
                  </w14:solidFill>
                </w14:textFill>
              </w:rPr>
              <w:t xml:space="preserve">　</w:t>
            </w:r>
            <w:r w:rsidRPr="0015085A">
              <w:rPr>
                <w:color w:val="000000"/>
                <w:w w:val="29"/>
                <w:szCs w:val="20"/>
                <w:shd w:val="solid" w:color="000000" w:fill="000000"/>
                <w:fitText w:val="130" w:id="-1032130559"/>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59"/>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5E919FF4" w14:textId="26F6F8F4"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58"/>
                <w14:textFill>
                  <w14:solidFill>
                    <w14:srgbClr w14:val="000000">
                      <w14:alpha w14:val="100000"/>
                    </w14:srgbClr>
                  </w14:solidFill>
                </w14:textFill>
              </w:rPr>
              <w:t xml:space="preserve">　</w:t>
            </w:r>
            <w:r w:rsidRPr="0015085A">
              <w:rPr>
                <w:color w:val="000000"/>
                <w:w w:val="29"/>
                <w:szCs w:val="20"/>
                <w:shd w:val="solid" w:color="000000" w:fill="000000"/>
                <w:fitText w:val="130" w:id="-1032130558"/>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58"/>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92" w:type="dxa"/>
          </w:tcPr>
          <w:p w14:paraId="13B22E9B" w14:textId="36039281"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57"/>
                <w14:textFill>
                  <w14:solidFill>
                    <w14:srgbClr w14:val="000000">
                      <w14:alpha w14:val="100000"/>
                    </w14:srgbClr>
                  </w14:solidFill>
                </w14:textFill>
              </w:rPr>
              <w:t xml:space="preserve">　</w:t>
            </w:r>
            <w:r w:rsidRPr="0015085A">
              <w:rPr>
                <w:color w:val="000000"/>
                <w:w w:val="29"/>
                <w:szCs w:val="20"/>
                <w:shd w:val="solid" w:color="000000" w:fill="000000"/>
                <w:fitText w:val="130" w:id="-1032130557"/>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57"/>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c>
          <w:tcPr>
            <w:tcW w:w="942" w:type="dxa"/>
          </w:tcPr>
          <w:p w14:paraId="35B2B76B" w14:textId="718B0964"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9"/>
                <w:szCs w:val="20"/>
                <w:shd w:val="solid" w:color="000000" w:fill="000000"/>
                <w:fitText w:val="130" w:id="-1032130556"/>
                <w14:textFill>
                  <w14:solidFill>
                    <w14:srgbClr w14:val="000000">
                      <w14:alpha w14:val="100000"/>
                    </w14:srgbClr>
                  </w14:solidFill>
                </w14:textFill>
              </w:rPr>
              <w:t xml:space="preserve">　</w:t>
            </w:r>
            <w:r w:rsidRPr="0015085A">
              <w:rPr>
                <w:color w:val="000000"/>
                <w:w w:val="29"/>
                <w:szCs w:val="20"/>
                <w:shd w:val="solid" w:color="000000" w:fill="000000"/>
                <w:fitText w:val="130" w:id="-1032130556"/>
                <w14:textFill>
                  <w14:solidFill>
                    <w14:srgbClr w14:val="000000">
                      <w14:alpha w14:val="100000"/>
                    </w14:srgbClr>
                  </w14:solidFill>
                </w14:textFill>
              </w:rPr>
              <w:t>|</w:t>
            </w:r>
            <w:r w:rsidRPr="0015085A">
              <w:rPr>
                <w:rFonts w:hint="eastAsia"/>
                <w:color w:val="000000"/>
                <w:spacing w:val="2"/>
                <w:w w:val="29"/>
                <w:szCs w:val="20"/>
                <w:shd w:val="solid" w:color="000000" w:fill="000000"/>
                <w:fitText w:val="130" w:id="-1032130556"/>
                <w14:textFill>
                  <w14:solidFill>
                    <w14:srgbClr w14:val="000000">
                      <w14:alpha w14:val="100000"/>
                    </w14:srgbClr>
                  </w14:solidFill>
                </w14:textFill>
              </w:rPr>
              <w:t xml:space="preserve">　</w:t>
            </w:r>
            <w:r w:rsidR="00942C23" w:rsidRPr="00942C23">
              <w:rPr>
                <w:szCs w:val="20"/>
              </w:rPr>
              <w:t xml:space="preserve"> </w:t>
            </w:r>
            <w:r w:rsidR="00942C23">
              <w:rPr>
                <w:szCs w:val="20"/>
                <w:vertAlign w:val="superscript"/>
              </w:rPr>
              <w:t>2</w:t>
            </w:r>
          </w:p>
        </w:tc>
      </w:tr>
      <w:tr w:rsidR="00DF6726" w:rsidRPr="0049396B" w14:paraId="4BEDEA61" w14:textId="77777777" w:rsidTr="00D94CF5">
        <w:trPr>
          <w:trHeight w:val="230"/>
        </w:trPr>
        <w:tc>
          <w:tcPr>
            <w:tcW w:w="2972" w:type="dxa"/>
            <w:vAlign w:val="center"/>
          </w:tcPr>
          <w:p w14:paraId="5E09EA0B" w14:textId="1555E357" w:rsidR="00DF6726" w:rsidRPr="0049396B" w:rsidRDefault="00DF6726" w:rsidP="005C5151">
            <w:pPr>
              <w:pStyle w:val="TableText0"/>
              <w:keepLines/>
              <w:rPr>
                <w:szCs w:val="20"/>
              </w:rPr>
            </w:pPr>
            <w:r w:rsidRPr="0049396B">
              <w:rPr>
                <w:szCs w:val="20"/>
              </w:rPr>
              <w:t>Net cost to MBS</w:t>
            </w:r>
            <w:r w:rsidR="005A547B">
              <w:rPr>
                <w:szCs w:val="20"/>
              </w:rPr>
              <w:t xml:space="preserve"> ($)</w:t>
            </w:r>
          </w:p>
        </w:tc>
        <w:tc>
          <w:tcPr>
            <w:tcW w:w="1134" w:type="dxa"/>
          </w:tcPr>
          <w:p w14:paraId="3D648BA7" w14:textId="202A6D15"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5"/>
                <w14:textFill>
                  <w14:solidFill>
                    <w14:srgbClr w14:val="000000">
                      <w14:alpha w14:val="100000"/>
                    </w14:srgbClr>
                  </w14:solidFill>
                </w14:textFill>
              </w:rPr>
              <w:t xml:space="preserve">　</w:t>
            </w:r>
            <w:r w:rsidRPr="0015085A">
              <w:rPr>
                <w:color w:val="000000"/>
                <w:w w:val="22"/>
                <w:szCs w:val="20"/>
                <w:shd w:val="solid" w:color="000000" w:fill="000000"/>
                <w:fitText w:val="100" w:id="-1032130555"/>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5"/>
                <w14:textFill>
                  <w14:solidFill>
                    <w14:srgbClr w14:val="000000">
                      <w14:alpha w14:val="100000"/>
                    </w14:srgbClr>
                  </w14:solidFill>
                </w14:textFill>
              </w:rPr>
              <w:t xml:space="preserve">　</w:t>
            </w:r>
            <w:r w:rsidR="00942C23">
              <w:rPr>
                <w:szCs w:val="20"/>
                <w:vertAlign w:val="superscript"/>
              </w:rPr>
              <w:t>6</w:t>
            </w:r>
          </w:p>
        </w:tc>
        <w:tc>
          <w:tcPr>
            <w:tcW w:w="992" w:type="dxa"/>
          </w:tcPr>
          <w:p w14:paraId="554E4F79" w14:textId="0194E852"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4"/>
                <w14:textFill>
                  <w14:solidFill>
                    <w14:srgbClr w14:val="000000">
                      <w14:alpha w14:val="100000"/>
                    </w14:srgbClr>
                  </w14:solidFill>
                </w14:textFill>
              </w:rPr>
              <w:t xml:space="preserve">　</w:t>
            </w:r>
            <w:r w:rsidRPr="0015085A">
              <w:rPr>
                <w:color w:val="000000"/>
                <w:w w:val="22"/>
                <w:szCs w:val="20"/>
                <w:shd w:val="solid" w:color="000000" w:fill="000000"/>
                <w:fitText w:val="100" w:id="-1032130554"/>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4"/>
                <w14:textFill>
                  <w14:solidFill>
                    <w14:srgbClr w14:val="000000">
                      <w14:alpha w14:val="100000"/>
                    </w14:srgbClr>
                  </w14:solidFill>
                </w14:textFill>
              </w:rPr>
              <w:t xml:space="preserve">　</w:t>
            </w:r>
            <w:r w:rsidR="00942C23">
              <w:rPr>
                <w:szCs w:val="20"/>
                <w:vertAlign w:val="superscript"/>
              </w:rPr>
              <w:t>6</w:t>
            </w:r>
          </w:p>
        </w:tc>
        <w:tc>
          <w:tcPr>
            <w:tcW w:w="993" w:type="dxa"/>
          </w:tcPr>
          <w:p w14:paraId="384BAB93" w14:textId="6B66AE65"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3"/>
                <w14:textFill>
                  <w14:solidFill>
                    <w14:srgbClr w14:val="000000">
                      <w14:alpha w14:val="100000"/>
                    </w14:srgbClr>
                  </w14:solidFill>
                </w14:textFill>
              </w:rPr>
              <w:t xml:space="preserve">　</w:t>
            </w:r>
            <w:r w:rsidRPr="0015085A">
              <w:rPr>
                <w:color w:val="000000"/>
                <w:w w:val="22"/>
                <w:szCs w:val="20"/>
                <w:shd w:val="solid" w:color="000000" w:fill="000000"/>
                <w:fitText w:val="100" w:id="-1032130553"/>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3"/>
                <w14:textFill>
                  <w14:solidFill>
                    <w14:srgbClr w14:val="000000">
                      <w14:alpha w14:val="100000"/>
                    </w14:srgbClr>
                  </w14:solidFill>
                </w14:textFill>
              </w:rPr>
              <w:t xml:space="preserve">　</w:t>
            </w:r>
            <w:r w:rsidR="00942C23">
              <w:rPr>
                <w:szCs w:val="20"/>
                <w:vertAlign w:val="superscript"/>
              </w:rPr>
              <w:t>6</w:t>
            </w:r>
          </w:p>
        </w:tc>
        <w:tc>
          <w:tcPr>
            <w:tcW w:w="992" w:type="dxa"/>
          </w:tcPr>
          <w:p w14:paraId="4A01FF58" w14:textId="66E16A44"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2"/>
                <w14:textFill>
                  <w14:solidFill>
                    <w14:srgbClr w14:val="000000">
                      <w14:alpha w14:val="100000"/>
                    </w14:srgbClr>
                  </w14:solidFill>
                </w14:textFill>
              </w:rPr>
              <w:t xml:space="preserve">　</w:t>
            </w:r>
            <w:r w:rsidRPr="0015085A">
              <w:rPr>
                <w:color w:val="000000"/>
                <w:w w:val="22"/>
                <w:szCs w:val="20"/>
                <w:shd w:val="solid" w:color="000000" w:fill="000000"/>
                <w:fitText w:val="100" w:id="-1032130552"/>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2"/>
                <w14:textFill>
                  <w14:solidFill>
                    <w14:srgbClr w14:val="000000">
                      <w14:alpha w14:val="100000"/>
                    </w14:srgbClr>
                  </w14:solidFill>
                </w14:textFill>
              </w:rPr>
              <w:t xml:space="preserve">　</w:t>
            </w:r>
            <w:r w:rsidR="00942C23">
              <w:rPr>
                <w:szCs w:val="20"/>
                <w:vertAlign w:val="superscript"/>
              </w:rPr>
              <w:t>6</w:t>
            </w:r>
          </w:p>
        </w:tc>
        <w:tc>
          <w:tcPr>
            <w:tcW w:w="992" w:type="dxa"/>
          </w:tcPr>
          <w:p w14:paraId="49AD9DBF" w14:textId="34DB7D69"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1"/>
                <w14:textFill>
                  <w14:solidFill>
                    <w14:srgbClr w14:val="000000">
                      <w14:alpha w14:val="100000"/>
                    </w14:srgbClr>
                  </w14:solidFill>
                </w14:textFill>
              </w:rPr>
              <w:t xml:space="preserve">　</w:t>
            </w:r>
            <w:r w:rsidRPr="0015085A">
              <w:rPr>
                <w:color w:val="000000"/>
                <w:w w:val="22"/>
                <w:szCs w:val="20"/>
                <w:shd w:val="solid" w:color="000000" w:fill="000000"/>
                <w:fitText w:val="100" w:id="-1032130551"/>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1"/>
                <w14:textFill>
                  <w14:solidFill>
                    <w14:srgbClr w14:val="000000">
                      <w14:alpha w14:val="100000"/>
                    </w14:srgbClr>
                  </w14:solidFill>
                </w14:textFill>
              </w:rPr>
              <w:t xml:space="preserve">　</w:t>
            </w:r>
            <w:r w:rsidR="00942C23">
              <w:rPr>
                <w:szCs w:val="20"/>
                <w:vertAlign w:val="superscript"/>
              </w:rPr>
              <w:t>6</w:t>
            </w:r>
          </w:p>
        </w:tc>
        <w:tc>
          <w:tcPr>
            <w:tcW w:w="942" w:type="dxa"/>
          </w:tcPr>
          <w:p w14:paraId="24898CDE" w14:textId="0D73731F" w:rsidR="00DF6726" w:rsidRPr="005A547B" w:rsidRDefault="0015085A" w:rsidP="005C5151">
            <w:pPr>
              <w:pStyle w:val="Tabletext"/>
              <w:keepNext/>
              <w:keepLines/>
              <w:jc w:val="center"/>
              <w:rPr>
                <w:szCs w:val="20"/>
                <w:highlight w:val="darkGray"/>
              </w:rPr>
            </w:pPr>
            <w:r>
              <w:rPr>
                <w:szCs w:val="20"/>
              </w:rPr>
              <w:t xml:space="preserve"> </w:t>
            </w:r>
            <w:r w:rsidRPr="0015085A">
              <w:rPr>
                <w:rFonts w:hint="eastAsia"/>
                <w:color w:val="000000"/>
                <w:w w:val="22"/>
                <w:szCs w:val="20"/>
                <w:shd w:val="solid" w:color="000000" w:fill="000000"/>
                <w:fitText w:val="100" w:id="-1032130550"/>
                <w14:textFill>
                  <w14:solidFill>
                    <w14:srgbClr w14:val="000000">
                      <w14:alpha w14:val="100000"/>
                    </w14:srgbClr>
                  </w14:solidFill>
                </w14:textFill>
              </w:rPr>
              <w:t xml:space="preserve">　</w:t>
            </w:r>
            <w:r w:rsidRPr="0015085A">
              <w:rPr>
                <w:color w:val="000000"/>
                <w:w w:val="22"/>
                <w:szCs w:val="20"/>
                <w:shd w:val="solid" w:color="000000" w:fill="000000"/>
                <w:fitText w:val="100" w:id="-1032130550"/>
                <w14:textFill>
                  <w14:solidFill>
                    <w14:srgbClr w14:val="000000">
                      <w14:alpha w14:val="100000"/>
                    </w14:srgbClr>
                  </w14:solidFill>
                </w14:textFill>
              </w:rPr>
              <w:t>|</w:t>
            </w:r>
            <w:r w:rsidRPr="0015085A">
              <w:rPr>
                <w:rFonts w:hint="eastAsia"/>
                <w:color w:val="000000"/>
                <w:spacing w:val="3"/>
                <w:w w:val="22"/>
                <w:szCs w:val="20"/>
                <w:shd w:val="solid" w:color="000000" w:fill="000000"/>
                <w:fitText w:val="100" w:id="-1032130550"/>
                <w14:textFill>
                  <w14:solidFill>
                    <w14:srgbClr w14:val="000000">
                      <w14:alpha w14:val="100000"/>
                    </w14:srgbClr>
                  </w14:solidFill>
                </w14:textFill>
              </w:rPr>
              <w:t xml:space="preserve">　</w:t>
            </w:r>
            <w:r w:rsidR="00942C23">
              <w:rPr>
                <w:szCs w:val="20"/>
                <w:vertAlign w:val="superscript"/>
              </w:rPr>
              <w:t>6</w:t>
            </w:r>
          </w:p>
        </w:tc>
      </w:tr>
      <w:tr w:rsidR="00DF6726" w:rsidRPr="0049396B" w14:paraId="329F7DF6" w14:textId="77777777" w:rsidTr="00D94CF5">
        <w:trPr>
          <w:trHeight w:val="230"/>
        </w:trPr>
        <w:tc>
          <w:tcPr>
            <w:tcW w:w="2972" w:type="dxa"/>
            <w:vAlign w:val="center"/>
          </w:tcPr>
          <w:p w14:paraId="01455AE4" w14:textId="0FE73DEE" w:rsidR="00DF6726" w:rsidRPr="0049396B" w:rsidRDefault="00DF6726" w:rsidP="005C5151">
            <w:pPr>
              <w:pStyle w:val="TableText0"/>
              <w:keepLines/>
              <w:rPr>
                <w:b/>
                <w:bCs w:val="0"/>
                <w:szCs w:val="20"/>
              </w:rPr>
            </w:pPr>
            <w:r w:rsidRPr="0049396B">
              <w:rPr>
                <w:b/>
                <w:bCs w:val="0"/>
                <w:szCs w:val="20"/>
              </w:rPr>
              <w:t>Net change to government budget</w:t>
            </w:r>
            <w:r w:rsidR="005A547B">
              <w:rPr>
                <w:b/>
                <w:bCs w:val="0"/>
                <w:szCs w:val="20"/>
              </w:rPr>
              <w:t xml:space="preserve"> ($)</w:t>
            </w:r>
          </w:p>
        </w:tc>
        <w:tc>
          <w:tcPr>
            <w:tcW w:w="1134" w:type="dxa"/>
          </w:tcPr>
          <w:p w14:paraId="5CBC9386" w14:textId="0F10EF5E" w:rsidR="00DF6726" w:rsidRPr="005A547B" w:rsidRDefault="0015085A" w:rsidP="005C5151">
            <w:pPr>
              <w:pStyle w:val="Tabletext"/>
              <w:keepNext/>
              <w:keepLines/>
              <w:jc w:val="center"/>
              <w:rPr>
                <w:b/>
                <w:szCs w:val="20"/>
                <w:highlight w:val="darkGray"/>
              </w:rPr>
            </w:pPr>
            <w:r>
              <w:rPr>
                <w:b/>
                <w:szCs w:val="20"/>
              </w:rPr>
              <w:t xml:space="preserve"> </w:t>
            </w:r>
            <w:r w:rsidRPr="0015085A">
              <w:rPr>
                <w:rFonts w:hint="eastAsia"/>
                <w:b/>
                <w:color w:val="000000"/>
                <w:w w:val="33"/>
                <w:szCs w:val="20"/>
                <w:shd w:val="solid" w:color="000000" w:fill="000000"/>
                <w:fitText w:val="150" w:id="-1032130549"/>
                <w14:textFill>
                  <w14:solidFill>
                    <w14:srgbClr w14:val="000000">
                      <w14:alpha w14:val="100000"/>
                    </w14:srgbClr>
                  </w14:solidFill>
                </w14:textFill>
              </w:rPr>
              <w:t xml:space="preserve">　</w:t>
            </w:r>
            <w:r w:rsidRPr="0015085A">
              <w:rPr>
                <w:b/>
                <w:color w:val="000000"/>
                <w:w w:val="33"/>
                <w:szCs w:val="20"/>
                <w:shd w:val="solid" w:color="000000" w:fill="000000"/>
                <w:fitText w:val="150" w:id="-1032130549"/>
                <w14:textFill>
                  <w14:solidFill>
                    <w14:srgbClr w14:val="000000">
                      <w14:alpha w14:val="100000"/>
                    </w14:srgbClr>
                  </w14:solidFill>
                </w14:textFill>
              </w:rPr>
              <w:t>|</w:t>
            </w:r>
            <w:r w:rsidRPr="0015085A">
              <w:rPr>
                <w:rFonts w:hint="eastAsia"/>
                <w:b/>
                <w:color w:val="000000"/>
                <w:spacing w:val="3"/>
                <w:w w:val="33"/>
                <w:szCs w:val="20"/>
                <w:shd w:val="solid" w:color="000000" w:fill="000000"/>
                <w:fitText w:val="150" w:id="-1032130549"/>
                <w14:textFill>
                  <w14:solidFill>
                    <w14:srgbClr w14:val="000000">
                      <w14:alpha w14:val="100000"/>
                    </w14:srgbClr>
                  </w14:solidFill>
                </w14:textFill>
              </w:rPr>
              <w:t xml:space="preserve">　</w:t>
            </w:r>
            <w:r w:rsidR="00942C23">
              <w:rPr>
                <w:szCs w:val="20"/>
                <w:vertAlign w:val="superscript"/>
              </w:rPr>
              <w:t>3</w:t>
            </w:r>
          </w:p>
        </w:tc>
        <w:tc>
          <w:tcPr>
            <w:tcW w:w="992" w:type="dxa"/>
          </w:tcPr>
          <w:p w14:paraId="49746C73" w14:textId="402FB880" w:rsidR="00DF6726" w:rsidRPr="005A547B" w:rsidRDefault="0015085A" w:rsidP="005C5151">
            <w:pPr>
              <w:pStyle w:val="Tabletext"/>
              <w:keepNext/>
              <w:keepLines/>
              <w:jc w:val="center"/>
              <w:rPr>
                <w:b/>
                <w:szCs w:val="20"/>
                <w:highlight w:val="darkGray"/>
              </w:rPr>
            </w:pPr>
            <w:r>
              <w:rPr>
                <w:b/>
                <w:szCs w:val="20"/>
              </w:rPr>
              <w:t xml:space="preserve"> </w:t>
            </w:r>
            <w:r w:rsidRPr="0015085A">
              <w:rPr>
                <w:rFonts w:hint="eastAsia"/>
                <w:b/>
                <w:color w:val="000000"/>
                <w:w w:val="33"/>
                <w:szCs w:val="20"/>
                <w:shd w:val="solid" w:color="000000" w:fill="000000"/>
                <w:fitText w:val="150" w:id="-1032130548"/>
                <w14:textFill>
                  <w14:solidFill>
                    <w14:srgbClr w14:val="000000">
                      <w14:alpha w14:val="100000"/>
                    </w14:srgbClr>
                  </w14:solidFill>
                </w14:textFill>
              </w:rPr>
              <w:t xml:space="preserve">　</w:t>
            </w:r>
            <w:r w:rsidRPr="0015085A">
              <w:rPr>
                <w:b/>
                <w:color w:val="000000"/>
                <w:w w:val="33"/>
                <w:szCs w:val="20"/>
                <w:shd w:val="solid" w:color="000000" w:fill="000000"/>
                <w:fitText w:val="150" w:id="-1032130548"/>
                <w14:textFill>
                  <w14:solidFill>
                    <w14:srgbClr w14:val="000000">
                      <w14:alpha w14:val="100000"/>
                    </w14:srgbClr>
                  </w14:solidFill>
                </w14:textFill>
              </w:rPr>
              <w:t>|</w:t>
            </w:r>
            <w:r w:rsidRPr="0015085A">
              <w:rPr>
                <w:rFonts w:hint="eastAsia"/>
                <w:b/>
                <w:color w:val="000000"/>
                <w:spacing w:val="3"/>
                <w:w w:val="33"/>
                <w:szCs w:val="20"/>
                <w:shd w:val="solid" w:color="000000" w:fill="000000"/>
                <w:fitText w:val="150" w:id="-1032130548"/>
                <w14:textFill>
                  <w14:solidFill>
                    <w14:srgbClr w14:val="000000">
                      <w14:alpha w14:val="100000"/>
                    </w14:srgbClr>
                  </w14:solidFill>
                </w14:textFill>
              </w:rPr>
              <w:t xml:space="preserve">　</w:t>
            </w:r>
            <w:r w:rsidR="00942C23">
              <w:rPr>
                <w:szCs w:val="20"/>
                <w:vertAlign w:val="superscript"/>
              </w:rPr>
              <w:t>3</w:t>
            </w:r>
          </w:p>
        </w:tc>
        <w:tc>
          <w:tcPr>
            <w:tcW w:w="993" w:type="dxa"/>
          </w:tcPr>
          <w:p w14:paraId="127144E2" w14:textId="2184CEE7" w:rsidR="00DF6726" w:rsidRPr="005A547B" w:rsidRDefault="0015085A" w:rsidP="005C5151">
            <w:pPr>
              <w:pStyle w:val="Tabletext"/>
              <w:keepNext/>
              <w:keepLines/>
              <w:jc w:val="center"/>
              <w:rPr>
                <w:b/>
                <w:szCs w:val="20"/>
                <w:highlight w:val="darkGray"/>
              </w:rPr>
            </w:pPr>
            <w:r>
              <w:rPr>
                <w:b/>
                <w:szCs w:val="20"/>
              </w:rPr>
              <w:t xml:space="preserve"> </w:t>
            </w:r>
            <w:r w:rsidRPr="0015085A">
              <w:rPr>
                <w:rFonts w:hint="eastAsia"/>
                <w:b/>
                <w:color w:val="000000"/>
                <w:w w:val="33"/>
                <w:szCs w:val="20"/>
                <w:shd w:val="solid" w:color="000000" w:fill="000000"/>
                <w:fitText w:val="150" w:id="-1032130547"/>
                <w14:textFill>
                  <w14:solidFill>
                    <w14:srgbClr w14:val="000000">
                      <w14:alpha w14:val="100000"/>
                    </w14:srgbClr>
                  </w14:solidFill>
                </w14:textFill>
              </w:rPr>
              <w:t xml:space="preserve">　</w:t>
            </w:r>
            <w:r w:rsidRPr="0015085A">
              <w:rPr>
                <w:b/>
                <w:color w:val="000000"/>
                <w:w w:val="33"/>
                <w:szCs w:val="20"/>
                <w:shd w:val="solid" w:color="000000" w:fill="000000"/>
                <w:fitText w:val="150" w:id="-1032130547"/>
                <w14:textFill>
                  <w14:solidFill>
                    <w14:srgbClr w14:val="000000">
                      <w14:alpha w14:val="100000"/>
                    </w14:srgbClr>
                  </w14:solidFill>
                </w14:textFill>
              </w:rPr>
              <w:t>|</w:t>
            </w:r>
            <w:r w:rsidRPr="0015085A">
              <w:rPr>
                <w:rFonts w:hint="eastAsia"/>
                <w:b/>
                <w:color w:val="000000"/>
                <w:spacing w:val="3"/>
                <w:w w:val="33"/>
                <w:szCs w:val="20"/>
                <w:shd w:val="solid" w:color="000000" w:fill="000000"/>
                <w:fitText w:val="150" w:id="-1032130547"/>
                <w14:textFill>
                  <w14:solidFill>
                    <w14:srgbClr w14:val="000000">
                      <w14:alpha w14:val="100000"/>
                    </w14:srgbClr>
                  </w14:solidFill>
                </w14:textFill>
              </w:rPr>
              <w:t xml:space="preserve">　</w:t>
            </w:r>
            <w:r w:rsidR="00942C23">
              <w:rPr>
                <w:szCs w:val="20"/>
                <w:vertAlign w:val="superscript"/>
              </w:rPr>
              <w:t>3</w:t>
            </w:r>
          </w:p>
        </w:tc>
        <w:tc>
          <w:tcPr>
            <w:tcW w:w="992" w:type="dxa"/>
          </w:tcPr>
          <w:p w14:paraId="1E6C420F" w14:textId="686166F6" w:rsidR="00DF6726" w:rsidRPr="005A547B" w:rsidRDefault="0015085A" w:rsidP="005C5151">
            <w:pPr>
              <w:pStyle w:val="Tabletext"/>
              <w:keepNext/>
              <w:keepLines/>
              <w:jc w:val="center"/>
              <w:rPr>
                <w:b/>
                <w:szCs w:val="20"/>
                <w:highlight w:val="darkGray"/>
              </w:rPr>
            </w:pPr>
            <w:r>
              <w:rPr>
                <w:b/>
                <w:szCs w:val="20"/>
              </w:rPr>
              <w:t xml:space="preserve"> </w:t>
            </w:r>
            <w:r w:rsidRPr="0015085A">
              <w:rPr>
                <w:rFonts w:hint="eastAsia"/>
                <w:b/>
                <w:color w:val="000000"/>
                <w:w w:val="33"/>
                <w:szCs w:val="20"/>
                <w:shd w:val="solid" w:color="000000" w:fill="000000"/>
                <w:fitText w:val="150" w:id="-1032130546"/>
                <w14:textFill>
                  <w14:solidFill>
                    <w14:srgbClr w14:val="000000">
                      <w14:alpha w14:val="100000"/>
                    </w14:srgbClr>
                  </w14:solidFill>
                </w14:textFill>
              </w:rPr>
              <w:t xml:space="preserve">　</w:t>
            </w:r>
            <w:r w:rsidRPr="0015085A">
              <w:rPr>
                <w:b/>
                <w:color w:val="000000"/>
                <w:w w:val="33"/>
                <w:szCs w:val="20"/>
                <w:shd w:val="solid" w:color="000000" w:fill="000000"/>
                <w:fitText w:val="150" w:id="-1032130546"/>
                <w14:textFill>
                  <w14:solidFill>
                    <w14:srgbClr w14:val="000000">
                      <w14:alpha w14:val="100000"/>
                    </w14:srgbClr>
                  </w14:solidFill>
                </w14:textFill>
              </w:rPr>
              <w:t>|</w:t>
            </w:r>
            <w:r w:rsidRPr="0015085A">
              <w:rPr>
                <w:rFonts w:hint="eastAsia"/>
                <w:b/>
                <w:color w:val="000000"/>
                <w:spacing w:val="3"/>
                <w:w w:val="33"/>
                <w:szCs w:val="20"/>
                <w:shd w:val="solid" w:color="000000" w:fill="000000"/>
                <w:fitText w:val="150" w:id="-1032130546"/>
                <w14:textFill>
                  <w14:solidFill>
                    <w14:srgbClr w14:val="000000">
                      <w14:alpha w14:val="100000"/>
                    </w14:srgbClr>
                  </w14:solidFill>
                </w14:textFill>
              </w:rPr>
              <w:t xml:space="preserve">　</w:t>
            </w:r>
            <w:r w:rsidR="00942C23">
              <w:rPr>
                <w:szCs w:val="20"/>
                <w:vertAlign w:val="superscript"/>
              </w:rPr>
              <w:t>4</w:t>
            </w:r>
          </w:p>
        </w:tc>
        <w:tc>
          <w:tcPr>
            <w:tcW w:w="992" w:type="dxa"/>
          </w:tcPr>
          <w:p w14:paraId="3A2EF684" w14:textId="78160F4A" w:rsidR="00DF6726" w:rsidRPr="005A547B" w:rsidRDefault="0015085A" w:rsidP="005C5151">
            <w:pPr>
              <w:pStyle w:val="Tabletext"/>
              <w:keepNext/>
              <w:keepLines/>
              <w:jc w:val="center"/>
              <w:rPr>
                <w:b/>
                <w:szCs w:val="20"/>
                <w:highlight w:val="darkGray"/>
              </w:rPr>
            </w:pPr>
            <w:r>
              <w:rPr>
                <w:b/>
                <w:szCs w:val="20"/>
              </w:rPr>
              <w:t xml:space="preserve"> </w:t>
            </w:r>
            <w:r w:rsidRPr="0015085A">
              <w:rPr>
                <w:rFonts w:hint="eastAsia"/>
                <w:b/>
                <w:color w:val="000000"/>
                <w:w w:val="33"/>
                <w:szCs w:val="20"/>
                <w:shd w:val="solid" w:color="000000" w:fill="000000"/>
                <w:fitText w:val="150" w:id="-1032130545"/>
                <w14:textFill>
                  <w14:solidFill>
                    <w14:srgbClr w14:val="000000">
                      <w14:alpha w14:val="100000"/>
                    </w14:srgbClr>
                  </w14:solidFill>
                </w14:textFill>
              </w:rPr>
              <w:t xml:space="preserve">　</w:t>
            </w:r>
            <w:r w:rsidRPr="0015085A">
              <w:rPr>
                <w:b/>
                <w:color w:val="000000"/>
                <w:w w:val="33"/>
                <w:szCs w:val="20"/>
                <w:shd w:val="solid" w:color="000000" w:fill="000000"/>
                <w:fitText w:val="150" w:id="-1032130545"/>
                <w14:textFill>
                  <w14:solidFill>
                    <w14:srgbClr w14:val="000000">
                      <w14:alpha w14:val="100000"/>
                    </w14:srgbClr>
                  </w14:solidFill>
                </w14:textFill>
              </w:rPr>
              <w:t>|</w:t>
            </w:r>
            <w:r w:rsidRPr="0015085A">
              <w:rPr>
                <w:rFonts w:hint="eastAsia"/>
                <w:b/>
                <w:color w:val="000000"/>
                <w:spacing w:val="3"/>
                <w:w w:val="33"/>
                <w:szCs w:val="20"/>
                <w:shd w:val="solid" w:color="000000" w:fill="000000"/>
                <w:fitText w:val="150" w:id="-1032130545"/>
                <w14:textFill>
                  <w14:solidFill>
                    <w14:srgbClr w14:val="000000">
                      <w14:alpha w14:val="100000"/>
                    </w14:srgbClr>
                  </w14:solidFill>
                </w14:textFill>
              </w:rPr>
              <w:t xml:space="preserve">　</w:t>
            </w:r>
            <w:r w:rsidR="00942C23">
              <w:rPr>
                <w:szCs w:val="20"/>
                <w:vertAlign w:val="superscript"/>
              </w:rPr>
              <w:t>4</w:t>
            </w:r>
          </w:p>
        </w:tc>
        <w:tc>
          <w:tcPr>
            <w:tcW w:w="942" w:type="dxa"/>
          </w:tcPr>
          <w:p w14:paraId="36B40137" w14:textId="72E6A0BC" w:rsidR="00DF6726" w:rsidRPr="005A547B" w:rsidRDefault="0015085A" w:rsidP="005C5151">
            <w:pPr>
              <w:pStyle w:val="Tabletext"/>
              <w:keepNext/>
              <w:keepLines/>
              <w:jc w:val="center"/>
              <w:rPr>
                <w:b/>
                <w:szCs w:val="20"/>
                <w:highlight w:val="darkGray"/>
              </w:rPr>
            </w:pPr>
            <w:r>
              <w:rPr>
                <w:b/>
                <w:szCs w:val="20"/>
              </w:rPr>
              <w:t xml:space="preserve"> </w:t>
            </w:r>
            <w:r w:rsidRPr="0015085A">
              <w:rPr>
                <w:rFonts w:hint="eastAsia"/>
                <w:b/>
                <w:color w:val="000000"/>
                <w:w w:val="33"/>
                <w:szCs w:val="20"/>
                <w:shd w:val="solid" w:color="000000" w:fill="000000"/>
                <w:fitText w:val="150" w:id="-1032130544"/>
                <w14:textFill>
                  <w14:solidFill>
                    <w14:srgbClr w14:val="000000">
                      <w14:alpha w14:val="100000"/>
                    </w14:srgbClr>
                  </w14:solidFill>
                </w14:textFill>
              </w:rPr>
              <w:t xml:space="preserve">　</w:t>
            </w:r>
            <w:r w:rsidRPr="0015085A">
              <w:rPr>
                <w:b/>
                <w:color w:val="000000"/>
                <w:w w:val="33"/>
                <w:szCs w:val="20"/>
                <w:shd w:val="solid" w:color="000000" w:fill="000000"/>
                <w:fitText w:val="150" w:id="-1032130544"/>
                <w14:textFill>
                  <w14:solidFill>
                    <w14:srgbClr w14:val="000000">
                      <w14:alpha w14:val="100000"/>
                    </w14:srgbClr>
                  </w14:solidFill>
                </w14:textFill>
              </w:rPr>
              <w:t>|</w:t>
            </w:r>
            <w:r w:rsidRPr="0015085A">
              <w:rPr>
                <w:rFonts w:hint="eastAsia"/>
                <w:b/>
                <w:color w:val="000000"/>
                <w:spacing w:val="3"/>
                <w:w w:val="33"/>
                <w:szCs w:val="20"/>
                <w:shd w:val="solid" w:color="000000" w:fill="000000"/>
                <w:fitText w:val="150" w:id="-1032130544"/>
                <w14:textFill>
                  <w14:solidFill>
                    <w14:srgbClr w14:val="000000">
                      <w14:alpha w14:val="100000"/>
                    </w14:srgbClr>
                  </w14:solidFill>
                </w14:textFill>
              </w:rPr>
              <w:t xml:space="preserve">　</w:t>
            </w:r>
            <w:r w:rsidR="00942C23">
              <w:rPr>
                <w:szCs w:val="20"/>
                <w:vertAlign w:val="superscript"/>
              </w:rPr>
              <w:t>4</w:t>
            </w:r>
          </w:p>
        </w:tc>
      </w:tr>
    </w:tbl>
    <w:p w14:paraId="2BB01E2F" w14:textId="0EDC97D6" w:rsidR="00DF6726" w:rsidRDefault="00DF6726" w:rsidP="005C5151">
      <w:pPr>
        <w:pStyle w:val="TableFigureFooter"/>
        <w:keepNext/>
        <w:keepLines/>
        <w:spacing w:after="0"/>
        <w:rPr>
          <w:iCs/>
          <w:szCs w:val="18"/>
        </w:rPr>
      </w:pPr>
      <w:r w:rsidRPr="0049396B">
        <w:rPr>
          <w:szCs w:val="18"/>
        </w:rPr>
        <w:t>Source: Table 4-4 p211, Table 4-5 p212, Table 4-7 p214, Table 4-8 p215, Table 4-10 p216, Table 4-11 p216 and compiled during the</w:t>
      </w:r>
      <w:r w:rsidRPr="0049396B">
        <w:rPr>
          <w:i/>
          <w:szCs w:val="18"/>
        </w:rPr>
        <w:t xml:space="preserve"> </w:t>
      </w:r>
      <w:r w:rsidRPr="0049396B">
        <w:rPr>
          <w:iCs/>
          <w:szCs w:val="18"/>
        </w:rPr>
        <w:t xml:space="preserve">evaluation from Sheet ‘6. Net changes – SA’ of Excel workbook ‘Edaravone </w:t>
      </w:r>
      <w:r w:rsidR="00480ECE" w:rsidRPr="0049396B">
        <w:rPr>
          <w:iCs/>
          <w:szCs w:val="18"/>
        </w:rPr>
        <w:t>–</w:t>
      </w:r>
      <w:r w:rsidRPr="0049396B">
        <w:rPr>
          <w:iCs/>
          <w:szCs w:val="18"/>
        </w:rPr>
        <w:t xml:space="preserve"> TEVA – Section – Base Case – Nov 2023 (Final).xlsx’</w:t>
      </w:r>
    </w:p>
    <w:p w14:paraId="6252E6E7" w14:textId="77777777" w:rsidR="00942C23" w:rsidRPr="009A6D58" w:rsidRDefault="00942C23" w:rsidP="005C5151">
      <w:pPr>
        <w:keepNext/>
        <w:keepLines/>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1711FD6" w14:textId="417E0CBD" w:rsidR="00942C23" w:rsidRPr="009A6D58" w:rsidRDefault="00942C23" w:rsidP="005C5151">
      <w:pPr>
        <w:keepNext/>
        <w:keepLines/>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500 to &lt; 5000</w:t>
      </w:r>
    </w:p>
    <w:p w14:paraId="0BDF0826" w14:textId="27E7CBE1" w:rsidR="00942C23" w:rsidRPr="009A6D58" w:rsidRDefault="00942C23" w:rsidP="005C5151">
      <w:pPr>
        <w:keepNext/>
        <w:keepLines/>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&lt; 500</w:t>
      </w:r>
    </w:p>
    <w:p w14:paraId="06483E26" w14:textId="66E817F4" w:rsidR="00942C23" w:rsidRDefault="00942C23" w:rsidP="005C5151">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942C23">
        <w:rPr>
          <w:rFonts w:ascii="Arial Narrow" w:hAnsi="Arial Narrow"/>
          <w:i/>
          <w:sz w:val="18"/>
          <w:szCs w:val="18"/>
        </w:rPr>
        <w:t>$10 million to &lt; $20 million</w:t>
      </w:r>
    </w:p>
    <w:p w14:paraId="1C84EEF4" w14:textId="2DBA6B98" w:rsidR="00942C23" w:rsidRDefault="00942C23" w:rsidP="005C5151">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942C23">
        <w:rPr>
          <w:rFonts w:ascii="Arial Narrow" w:hAnsi="Arial Narrow"/>
          <w:i/>
          <w:sz w:val="18"/>
          <w:szCs w:val="18"/>
        </w:rPr>
        <w:t>$</w:t>
      </w:r>
      <w:r>
        <w:rPr>
          <w:rFonts w:ascii="Arial Narrow" w:hAnsi="Arial Narrow"/>
          <w:i/>
          <w:sz w:val="18"/>
          <w:szCs w:val="18"/>
        </w:rPr>
        <w:t>2</w:t>
      </w:r>
      <w:r w:rsidRPr="00942C23">
        <w:rPr>
          <w:rFonts w:ascii="Arial Narrow" w:hAnsi="Arial Narrow"/>
          <w:i/>
          <w:sz w:val="18"/>
          <w:szCs w:val="18"/>
        </w:rPr>
        <w:t>0 million to &lt; $</w:t>
      </w:r>
      <w:r>
        <w:rPr>
          <w:rFonts w:ascii="Arial Narrow" w:hAnsi="Arial Narrow"/>
          <w:i/>
          <w:sz w:val="18"/>
          <w:szCs w:val="18"/>
        </w:rPr>
        <w:t>3</w:t>
      </w:r>
      <w:r w:rsidRPr="00942C23">
        <w:rPr>
          <w:rFonts w:ascii="Arial Narrow" w:hAnsi="Arial Narrow"/>
          <w:i/>
          <w:sz w:val="18"/>
          <w:szCs w:val="18"/>
        </w:rPr>
        <w:t>0 million</w:t>
      </w:r>
    </w:p>
    <w:p w14:paraId="32CFD47E" w14:textId="7B247FEB" w:rsidR="00942C23" w:rsidRDefault="00942C23" w:rsidP="005C5151">
      <w:pPr>
        <w:keepNext/>
        <w:keepLines/>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942C23">
        <w:rPr>
          <w:rFonts w:ascii="Arial Narrow" w:hAnsi="Arial Narrow"/>
          <w:i/>
          <w:sz w:val="18"/>
          <w:szCs w:val="18"/>
        </w:rPr>
        <w:t>5,000 to &lt; 10,000</w:t>
      </w:r>
    </w:p>
    <w:p w14:paraId="3FB99A99" w14:textId="74D22D88" w:rsidR="005A547B" w:rsidRPr="00942C23" w:rsidRDefault="00942C23" w:rsidP="00942C23">
      <w:pPr>
        <w:spacing w:after="120"/>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942C23">
        <w:rPr>
          <w:rFonts w:ascii="Arial Narrow" w:hAnsi="Arial Narrow"/>
          <w:i/>
          <w:sz w:val="18"/>
          <w:szCs w:val="18"/>
        </w:rPr>
        <w:t>$0 to &lt; $10 million</w:t>
      </w:r>
    </w:p>
    <w:p w14:paraId="1E82C66B" w14:textId="6514DD46" w:rsidR="00DF6726" w:rsidRPr="0049396B" w:rsidRDefault="00DF6726" w:rsidP="00DF6726">
      <w:pPr>
        <w:pStyle w:val="3-BodyText"/>
      </w:pPr>
      <w:r w:rsidRPr="0049396B">
        <w:t xml:space="preserve">The net cost to PBS/RPBS was estimated to be approximately </w:t>
      </w:r>
      <w:r w:rsidR="00942C23" w:rsidRPr="00942C23">
        <w:t>$100 million to &lt; $200 million</w:t>
      </w:r>
      <w:r w:rsidR="00942C23" w:rsidRPr="00942C23" w:rsidDel="00942C23">
        <w:t xml:space="preserve"> </w:t>
      </w:r>
      <w:r w:rsidRPr="0049396B">
        <w:t xml:space="preserve">over the first six years of listing. Although the additional </w:t>
      </w:r>
      <w:proofErr w:type="spellStart"/>
      <w:r w:rsidRPr="0049396B">
        <w:lastRenderedPageBreak/>
        <w:t>riluzole</w:t>
      </w:r>
      <w:proofErr w:type="spellEnd"/>
      <w:r w:rsidRPr="0049396B">
        <w:t xml:space="preserve"> use was likely overestimated, the </w:t>
      </w:r>
      <w:r w:rsidR="00D21120" w:rsidRPr="0049396B">
        <w:t xml:space="preserve">evaluation considered the </w:t>
      </w:r>
      <w:r w:rsidRPr="0049396B">
        <w:t>estimated total net cost of listing edaravone was likely a considerable underestimate due to:</w:t>
      </w:r>
    </w:p>
    <w:p w14:paraId="1A02CC71" w14:textId="34A242F2" w:rsidR="00DF6726" w:rsidRPr="0049396B" w:rsidRDefault="00DF6726" w:rsidP="00DF6726">
      <w:pPr>
        <w:pStyle w:val="3-BodyText"/>
        <w:numPr>
          <w:ilvl w:val="0"/>
          <w:numId w:val="8"/>
        </w:numPr>
      </w:pPr>
      <w:r w:rsidRPr="0049396B">
        <w:t xml:space="preserve">The incidence rate was a potential underestimate, and PBS utilisation data on </w:t>
      </w:r>
      <w:proofErr w:type="spellStart"/>
      <w:r w:rsidRPr="0049396B">
        <w:t>riluzole</w:t>
      </w:r>
      <w:proofErr w:type="spellEnd"/>
      <w:r w:rsidRPr="0049396B">
        <w:t xml:space="preserve"> suggested that the </w:t>
      </w:r>
      <w:r w:rsidR="0036191A" w:rsidRPr="0049396B">
        <w:t xml:space="preserve">ALS </w:t>
      </w:r>
      <w:r w:rsidRPr="0049396B">
        <w:t>population may be larger than assumed.</w:t>
      </w:r>
      <w:r w:rsidR="0036191A" w:rsidRPr="0049396B">
        <w:t xml:space="preserve"> The PBAC noted that with narrower restrictions than proposed by the sponsor, the eligible population is likely to be smaller than estimated by the submission.</w:t>
      </w:r>
    </w:p>
    <w:p w14:paraId="7869CF28" w14:textId="7CF4D4EA" w:rsidR="00DF6726" w:rsidRPr="00FA46E4" w:rsidRDefault="00D21120" w:rsidP="00FA46E4">
      <w:pPr>
        <w:pStyle w:val="3-BodyText"/>
        <w:numPr>
          <w:ilvl w:val="0"/>
          <w:numId w:val="8"/>
        </w:numPr>
        <w:rPr>
          <w:iCs/>
        </w:rPr>
      </w:pPr>
      <w:r w:rsidRPr="0049396B">
        <w:t xml:space="preserve">Time on treatment was likely to be an underestimate. </w:t>
      </w:r>
      <w:r w:rsidR="00DF6726" w:rsidRPr="0049396B">
        <w:t xml:space="preserve">Time on edaravone was assumed 7.8 months, based on Brooks 2022 (median time on treatment </w:t>
      </w:r>
      <w:r w:rsidR="00DF6726" w:rsidRPr="00DD3190">
        <w:t>8.6</w:t>
      </w:r>
      <w:r w:rsidR="00942C23" w:rsidRPr="00DD3190">
        <w:t> </w:t>
      </w:r>
      <w:r w:rsidR="00DF6726" w:rsidRPr="00DD3190">
        <w:t>months) with a 15% discontinuation</w:t>
      </w:r>
      <w:r w:rsidR="00DF6726" w:rsidRPr="0049396B">
        <w:t xml:space="preserve"> rate after the first treatment cycle</w:t>
      </w:r>
      <w:r w:rsidR="0036191A" w:rsidRPr="0049396B">
        <w:t>, however discontinuation rates in Study 19 were lower</w:t>
      </w:r>
      <w:r w:rsidR="00DF6726" w:rsidRPr="0049396B">
        <w:t>.</w:t>
      </w:r>
      <w:r w:rsidR="0036191A" w:rsidRPr="0049396B">
        <w:t xml:space="preserve"> </w:t>
      </w:r>
      <w:r w:rsidR="0036191A" w:rsidRPr="0049396B">
        <w:rPr>
          <w:iCs/>
        </w:rPr>
        <w:t>DUSC considered that treatment continuation rates were uncertain due to the impact of the high treatment burden but treatment duration could also potentially be extended due to longer time on treatment for patients diagnosed earlier under the Gold Coast diagnostic criteria.</w:t>
      </w:r>
    </w:p>
    <w:p w14:paraId="0E3D3602" w14:textId="1A1E91E1" w:rsidR="00DF6726" w:rsidRPr="0049396B" w:rsidRDefault="00DF6726" w:rsidP="00DF6726">
      <w:pPr>
        <w:pStyle w:val="3-BodyText"/>
        <w:numPr>
          <w:ilvl w:val="0"/>
          <w:numId w:val="8"/>
        </w:numPr>
      </w:pPr>
      <w:r w:rsidRPr="0049396B">
        <w:t>Uptake of edaravone was assumed to be low in the first few years (</w:t>
      </w:r>
      <w:r w:rsidR="00157755" w:rsidRPr="00D94CF5">
        <w:rPr>
          <w:color w:val="000000"/>
          <w:w w:val="15"/>
          <w:shd w:val="solid" w:color="000000" w:fill="000000"/>
          <w:fitText w:val="-20" w:id="-1026288121"/>
          <w14:textFill>
            <w14:solidFill>
              <w14:srgbClr w14:val="000000">
                <w14:alpha w14:val="100000"/>
              </w14:srgbClr>
            </w14:solidFill>
          </w14:textFill>
        </w:rPr>
        <w:t xml:space="preserve">|  </w:t>
      </w:r>
      <w:r w:rsidR="00157755" w:rsidRPr="00D94CF5">
        <w:rPr>
          <w:color w:val="000000"/>
          <w:spacing w:val="-69"/>
          <w:w w:val="15"/>
          <w:shd w:val="solid" w:color="000000" w:fill="000000"/>
          <w:fitText w:val="-20" w:id="-1026288121"/>
          <w14:textFill>
            <w14:solidFill>
              <w14:srgbClr w14:val="000000">
                <w14:alpha w14:val="100000"/>
              </w14:srgbClr>
            </w14:solidFill>
          </w14:textFill>
        </w:rPr>
        <w:t>|</w:t>
      </w:r>
      <w:r w:rsidRPr="0049396B">
        <w:t>-</w:t>
      </w:r>
      <w:r w:rsidR="00157755">
        <w:t xml:space="preserve"> </w:t>
      </w:r>
      <w:r w:rsidR="00157755" w:rsidRPr="00D94CF5">
        <w:rPr>
          <w:color w:val="000000"/>
          <w:w w:val="15"/>
          <w:shd w:val="solid" w:color="000000" w:fill="000000"/>
          <w:fitText w:val="-20" w:id="-1026288120"/>
          <w14:textFill>
            <w14:solidFill>
              <w14:srgbClr w14:val="000000">
                <w14:alpha w14:val="100000"/>
              </w14:srgbClr>
            </w14:solidFill>
          </w14:textFill>
        </w:rPr>
        <w:t xml:space="preserve">|  </w:t>
      </w:r>
      <w:r w:rsidR="00157755" w:rsidRPr="00D94CF5">
        <w:rPr>
          <w:color w:val="000000"/>
          <w:spacing w:val="-69"/>
          <w:w w:val="15"/>
          <w:shd w:val="solid" w:color="000000" w:fill="000000"/>
          <w:fitText w:val="-20" w:id="-1026288120"/>
          <w14:textFill>
            <w14:solidFill>
              <w14:srgbClr w14:val="000000">
                <w14:alpha w14:val="100000"/>
              </w14:srgbClr>
            </w14:solidFill>
          </w14:textFill>
        </w:rPr>
        <w:t>|</w:t>
      </w:r>
      <w:r w:rsidRPr="0049396B">
        <w:t xml:space="preserve">% in Years 1-3). </w:t>
      </w:r>
      <w:r w:rsidR="0036191A" w:rsidRPr="0049396B">
        <w:rPr>
          <w:iCs/>
        </w:rPr>
        <w:t xml:space="preserve">DUSC considered that </w:t>
      </w:r>
      <w:r w:rsidR="00341CFB">
        <w:rPr>
          <w:iCs/>
        </w:rPr>
        <w:t xml:space="preserve">uptake </w:t>
      </w:r>
      <w:r w:rsidR="0036191A" w:rsidRPr="0049396B">
        <w:rPr>
          <w:iCs/>
        </w:rPr>
        <w:t xml:space="preserve">rates for eligible patients may be underestimated given the lack of </w:t>
      </w:r>
      <w:r w:rsidR="00FA46E4">
        <w:rPr>
          <w:iCs/>
        </w:rPr>
        <w:t xml:space="preserve">other new </w:t>
      </w:r>
      <w:r w:rsidR="0036191A" w:rsidRPr="0049396B">
        <w:rPr>
          <w:iCs/>
        </w:rPr>
        <w:t>alternative therapies</w:t>
      </w:r>
      <w:r w:rsidR="0036191A" w:rsidRPr="0049396B">
        <w:t xml:space="preserve">. As </w:t>
      </w:r>
      <w:r w:rsidRPr="0049396B">
        <w:t xml:space="preserve">edaravone can be used in combination with existing treatments (i.e. patients do not have to choose between </w:t>
      </w:r>
      <w:proofErr w:type="spellStart"/>
      <w:r w:rsidRPr="0049396B">
        <w:t>riluzole</w:t>
      </w:r>
      <w:proofErr w:type="spellEnd"/>
      <w:r w:rsidRPr="0049396B">
        <w:t xml:space="preserve"> and edaravone), uptake may be higher. </w:t>
      </w:r>
    </w:p>
    <w:p w14:paraId="0689F941" w14:textId="51A4C9D9" w:rsidR="00DF6726" w:rsidRPr="0049396B" w:rsidRDefault="001C0AB9" w:rsidP="00DF6726">
      <w:pPr>
        <w:pStyle w:val="3-BodyText"/>
        <w:rPr>
          <w:iCs/>
        </w:rPr>
      </w:pPr>
      <w:r>
        <w:fldChar w:fldCharType="begin" w:fldLock="1"/>
      </w:r>
      <w:r>
        <w:instrText xml:space="preserve"> REF _Ref144397370  \* MERGEFORMAT </w:instrText>
      </w:r>
      <w:r>
        <w:fldChar w:fldCharType="separate"/>
      </w:r>
      <w:r w:rsidR="00DF6726" w:rsidRPr="0049396B">
        <w:rPr>
          <w:rFonts w:eastAsiaTheme="majorEastAsia"/>
        </w:rPr>
        <w:t>Table 15</w:t>
      </w:r>
      <w:r>
        <w:rPr>
          <w:rFonts w:eastAsiaTheme="majorEastAsia"/>
        </w:rPr>
        <w:fldChar w:fldCharType="end"/>
      </w:r>
      <w:r w:rsidR="00DF6726" w:rsidRPr="0049396B">
        <w:t xml:space="preserve"> presents the results of the sensitivity analyses on the net cost to the government health budgets using the requested effective prices. </w:t>
      </w:r>
      <w:r w:rsidR="00DF6726" w:rsidRPr="0049396B">
        <w:rPr>
          <w:iCs/>
        </w:rPr>
        <w:t xml:space="preserve">The financial estimates were most sensitive to incidence, uptake, continuation, eligibility and time on treatment. </w:t>
      </w:r>
    </w:p>
    <w:p w14:paraId="762BEFD4" w14:textId="77777777" w:rsidR="00DF6726" w:rsidRPr="0049396B" w:rsidRDefault="00DF6726" w:rsidP="00DF6726">
      <w:pPr>
        <w:pStyle w:val="TableFigureHeading"/>
        <w:keepLines/>
        <w:rPr>
          <w:iCs/>
        </w:rPr>
      </w:pPr>
      <w:bookmarkStart w:id="86" w:name="_Ref144397370"/>
      <w:r w:rsidRPr="0049396B">
        <w:rPr>
          <w:rStyle w:val="TableFigureHeadingChar"/>
          <w:b/>
          <w:bCs/>
          <w:iCs/>
        </w:rPr>
        <w:lastRenderedPageBreak/>
        <w:t xml:space="preserve">Table </w:t>
      </w:r>
      <w:r w:rsidRPr="0049396B">
        <w:rPr>
          <w:rStyle w:val="TableFigureHeadingChar"/>
          <w:b/>
          <w:bCs/>
          <w:iCs/>
        </w:rPr>
        <w:fldChar w:fldCharType="begin" w:fldLock="1"/>
      </w:r>
      <w:r w:rsidRPr="0049396B">
        <w:rPr>
          <w:rStyle w:val="TableFigureHeadingChar"/>
          <w:b/>
          <w:bCs/>
          <w:iCs/>
        </w:rPr>
        <w:instrText xml:space="preserve"> SEQ Table \* ARABIC </w:instrText>
      </w:r>
      <w:r w:rsidRPr="0049396B">
        <w:rPr>
          <w:rStyle w:val="TableFigureHeadingChar"/>
          <w:b/>
          <w:bCs/>
          <w:iCs/>
        </w:rPr>
        <w:fldChar w:fldCharType="separate"/>
      </w:r>
      <w:r w:rsidRPr="0049396B">
        <w:rPr>
          <w:rStyle w:val="TableFigureHeadingChar"/>
          <w:b/>
          <w:bCs/>
          <w:iCs/>
        </w:rPr>
        <w:t>15</w:t>
      </w:r>
      <w:r w:rsidRPr="0049396B">
        <w:rPr>
          <w:rStyle w:val="TableFigureHeadingChar"/>
          <w:b/>
          <w:bCs/>
          <w:iCs/>
        </w:rPr>
        <w:fldChar w:fldCharType="end"/>
      </w:r>
      <w:bookmarkEnd w:id="86"/>
      <w:r w:rsidRPr="0049396B">
        <w:rPr>
          <w:rStyle w:val="TableFigureHeadingChar"/>
          <w:b/>
          <w:bCs/>
          <w:iCs/>
        </w:rPr>
        <w:t>:</w:t>
      </w:r>
      <w:r w:rsidRPr="0049396B">
        <w:rPr>
          <w:rStyle w:val="CommentReference"/>
          <w:b/>
          <w:iCs/>
          <w:szCs w:val="24"/>
        </w:rPr>
        <w:t xml:space="preserve"> </w:t>
      </w:r>
      <w:r w:rsidRPr="0049396B">
        <w:rPr>
          <w:iCs/>
        </w:rPr>
        <w:t>Sensitivity analyses on net cost to the government</w:t>
      </w:r>
    </w:p>
    <w:tbl>
      <w:tblPr>
        <w:tblStyle w:val="TableGrid"/>
        <w:tblW w:w="5000" w:type="pct"/>
        <w:tblLayout w:type="fixed"/>
        <w:tblCellMar>
          <w:left w:w="28" w:type="dxa"/>
          <w:right w:w="28" w:type="dxa"/>
        </w:tblCellMar>
        <w:tblLook w:val="04A0" w:firstRow="1" w:lastRow="0" w:firstColumn="1" w:lastColumn="0" w:noHBand="0" w:noVBand="1"/>
      </w:tblPr>
      <w:tblGrid>
        <w:gridCol w:w="1264"/>
        <w:gridCol w:w="1104"/>
        <w:gridCol w:w="1104"/>
        <w:gridCol w:w="1105"/>
        <w:gridCol w:w="1104"/>
        <w:gridCol w:w="1104"/>
        <w:gridCol w:w="1105"/>
        <w:gridCol w:w="1127"/>
      </w:tblGrid>
      <w:tr w:rsidR="00DF6726" w:rsidRPr="0049396B" w14:paraId="294C95C0" w14:textId="77777777" w:rsidTr="00D94CF5">
        <w:trPr>
          <w:trHeight w:val="20"/>
          <w:tblHeader/>
        </w:trPr>
        <w:tc>
          <w:tcPr>
            <w:tcW w:w="701" w:type="pct"/>
          </w:tcPr>
          <w:p w14:paraId="0E9C8138" w14:textId="77777777" w:rsidR="00DF6726" w:rsidRPr="0049396B" w:rsidRDefault="00DF6726" w:rsidP="00020E51">
            <w:pPr>
              <w:pStyle w:val="TableText0"/>
              <w:keepLines/>
              <w:widowControl w:val="0"/>
              <w:rPr>
                <w:iCs/>
                <w:szCs w:val="20"/>
              </w:rPr>
            </w:pPr>
          </w:p>
        </w:tc>
        <w:tc>
          <w:tcPr>
            <w:tcW w:w="612" w:type="pct"/>
            <w:vAlign w:val="center"/>
          </w:tcPr>
          <w:p w14:paraId="2515F5B8" w14:textId="77777777" w:rsidR="00DF6726" w:rsidRPr="0049396B" w:rsidRDefault="00DF6726" w:rsidP="00020E51">
            <w:pPr>
              <w:pStyle w:val="TableText0"/>
              <w:keepLines/>
              <w:widowControl w:val="0"/>
              <w:jc w:val="center"/>
              <w:rPr>
                <w:iCs/>
                <w:szCs w:val="20"/>
              </w:rPr>
            </w:pPr>
            <w:r w:rsidRPr="0049396B">
              <w:rPr>
                <w:b/>
                <w:iCs/>
                <w:szCs w:val="20"/>
              </w:rPr>
              <w:t>Year 1</w:t>
            </w:r>
          </w:p>
        </w:tc>
        <w:tc>
          <w:tcPr>
            <w:tcW w:w="612" w:type="pct"/>
            <w:shd w:val="clear" w:color="auto" w:fill="auto"/>
            <w:vAlign w:val="center"/>
          </w:tcPr>
          <w:p w14:paraId="56806C68" w14:textId="77777777" w:rsidR="00DF6726" w:rsidRPr="0049396B" w:rsidRDefault="00DF6726" w:rsidP="00020E51">
            <w:pPr>
              <w:pStyle w:val="TableText0"/>
              <w:keepLines/>
              <w:widowControl w:val="0"/>
              <w:jc w:val="center"/>
              <w:rPr>
                <w:iCs/>
                <w:szCs w:val="20"/>
              </w:rPr>
            </w:pPr>
            <w:r w:rsidRPr="0049396B">
              <w:rPr>
                <w:b/>
                <w:iCs/>
                <w:szCs w:val="20"/>
              </w:rPr>
              <w:t>Year 2</w:t>
            </w:r>
          </w:p>
        </w:tc>
        <w:tc>
          <w:tcPr>
            <w:tcW w:w="613" w:type="pct"/>
            <w:shd w:val="clear" w:color="auto" w:fill="auto"/>
            <w:vAlign w:val="center"/>
          </w:tcPr>
          <w:p w14:paraId="17CBC673" w14:textId="77777777" w:rsidR="00DF6726" w:rsidRPr="0049396B" w:rsidRDefault="00DF6726" w:rsidP="00020E51">
            <w:pPr>
              <w:pStyle w:val="TableText0"/>
              <w:keepLines/>
              <w:widowControl w:val="0"/>
              <w:jc w:val="center"/>
              <w:rPr>
                <w:iCs/>
                <w:szCs w:val="20"/>
              </w:rPr>
            </w:pPr>
            <w:r w:rsidRPr="0049396B">
              <w:rPr>
                <w:b/>
                <w:iCs/>
                <w:szCs w:val="20"/>
              </w:rPr>
              <w:t>Year 3</w:t>
            </w:r>
          </w:p>
        </w:tc>
        <w:tc>
          <w:tcPr>
            <w:tcW w:w="612" w:type="pct"/>
            <w:shd w:val="clear" w:color="auto" w:fill="auto"/>
            <w:vAlign w:val="center"/>
          </w:tcPr>
          <w:p w14:paraId="7F88D622" w14:textId="77777777" w:rsidR="00DF6726" w:rsidRPr="0049396B" w:rsidRDefault="00DF6726" w:rsidP="00020E51">
            <w:pPr>
              <w:pStyle w:val="TableText0"/>
              <w:keepLines/>
              <w:widowControl w:val="0"/>
              <w:jc w:val="center"/>
              <w:rPr>
                <w:iCs/>
                <w:szCs w:val="20"/>
              </w:rPr>
            </w:pPr>
            <w:r w:rsidRPr="0049396B">
              <w:rPr>
                <w:b/>
                <w:iCs/>
                <w:szCs w:val="20"/>
              </w:rPr>
              <w:t>Year 4</w:t>
            </w:r>
          </w:p>
        </w:tc>
        <w:tc>
          <w:tcPr>
            <w:tcW w:w="612" w:type="pct"/>
            <w:shd w:val="clear" w:color="auto" w:fill="auto"/>
            <w:vAlign w:val="center"/>
          </w:tcPr>
          <w:p w14:paraId="3F8BC492" w14:textId="77777777" w:rsidR="00DF6726" w:rsidRPr="0049396B" w:rsidRDefault="00DF6726" w:rsidP="00020E51">
            <w:pPr>
              <w:pStyle w:val="TableText0"/>
              <w:keepLines/>
              <w:widowControl w:val="0"/>
              <w:jc w:val="center"/>
              <w:rPr>
                <w:iCs/>
                <w:szCs w:val="20"/>
              </w:rPr>
            </w:pPr>
            <w:r w:rsidRPr="0049396B">
              <w:rPr>
                <w:b/>
                <w:iCs/>
                <w:szCs w:val="20"/>
              </w:rPr>
              <w:t>Year 5</w:t>
            </w:r>
          </w:p>
        </w:tc>
        <w:tc>
          <w:tcPr>
            <w:tcW w:w="613" w:type="pct"/>
            <w:shd w:val="clear" w:color="auto" w:fill="auto"/>
            <w:vAlign w:val="center"/>
          </w:tcPr>
          <w:p w14:paraId="7000F65E" w14:textId="77777777" w:rsidR="00DF6726" w:rsidRPr="0049396B" w:rsidRDefault="00DF6726" w:rsidP="00020E51">
            <w:pPr>
              <w:pStyle w:val="TableText0"/>
              <w:keepLines/>
              <w:widowControl w:val="0"/>
              <w:jc w:val="center"/>
              <w:rPr>
                <w:b/>
                <w:iCs/>
                <w:szCs w:val="20"/>
              </w:rPr>
            </w:pPr>
            <w:r w:rsidRPr="0049396B">
              <w:rPr>
                <w:b/>
                <w:iCs/>
                <w:szCs w:val="20"/>
              </w:rPr>
              <w:t>Year 6</w:t>
            </w:r>
          </w:p>
        </w:tc>
        <w:tc>
          <w:tcPr>
            <w:tcW w:w="625" w:type="pct"/>
            <w:shd w:val="clear" w:color="auto" w:fill="auto"/>
            <w:vAlign w:val="center"/>
          </w:tcPr>
          <w:p w14:paraId="6FF8727A" w14:textId="77777777" w:rsidR="00DF6726" w:rsidRPr="0049396B" w:rsidRDefault="00DF6726" w:rsidP="00020E51">
            <w:pPr>
              <w:pStyle w:val="TableText0"/>
              <w:keepLines/>
              <w:widowControl w:val="0"/>
              <w:jc w:val="center"/>
              <w:rPr>
                <w:iCs/>
                <w:szCs w:val="20"/>
              </w:rPr>
            </w:pPr>
            <w:r w:rsidRPr="0049396B">
              <w:rPr>
                <w:b/>
                <w:iCs/>
                <w:snapToGrid w:val="0"/>
                <w:szCs w:val="20"/>
                <w:lang w:eastAsia="en-US"/>
              </w:rPr>
              <w:t>Total (Δ %)^</w:t>
            </w:r>
          </w:p>
        </w:tc>
      </w:tr>
      <w:tr w:rsidR="00DF6726" w:rsidRPr="0049396B" w14:paraId="1AE86E65" w14:textId="77777777" w:rsidTr="00D94CF5">
        <w:trPr>
          <w:trHeight w:val="20"/>
        </w:trPr>
        <w:tc>
          <w:tcPr>
            <w:tcW w:w="701" w:type="pct"/>
          </w:tcPr>
          <w:p w14:paraId="7A19C216" w14:textId="77777777" w:rsidR="00DF6726" w:rsidRPr="0049396B" w:rsidRDefault="00DF6726" w:rsidP="00020E51">
            <w:pPr>
              <w:pStyle w:val="TableText0"/>
              <w:keepLines/>
              <w:widowControl w:val="0"/>
              <w:rPr>
                <w:iCs/>
                <w:szCs w:val="20"/>
              </w:rPr>
            </w:pPr>
            <w:r w:rsidRPr="0049396B">
              <w:rPr>
                <w:iCs/>
                <w:szCs w:val="20"/>
              </w:rPr>
              <w:t>Base case</w:t>
            </w:r>
          </w:p>
        </w:tc>
        <w:tc>
          <w:tcPr>
            <w:tcW w:w="612" w:type="pct"/>
            <w:tcBorders>
              <w:top w:val="single" w:sz="4" w:space="0" w:color="auto"/>
              <w:left w:val="single" w:sz="4" w:space="0" w:color="auto"/>
              <w:bottom w:val="single" w:sz="4" w:space="0" w:color="auto"/>
              <w:right w:val="single" w:sz="4" w:space="0" w:color="auto"/>
            </w:tcBorders>
            <w:shd w:val="clear" w:color="auto" w:fill="auto"/>
          </w:tcPr>
          <w:p w14:paraId="4937AFF1" w14:textId="5414B8F4" w:rsidR="00DF6726" w:rsidRPr="00942C23" w:rsidRDefault="0015085A" w:rsidP="00020E51">
            <w:pPr>
              <w:pStyle w:val="TableText0"/>
              <w:keepLines/>
              <w:widowControl w:val="0"/>
              <w:jc w:val="center"/>
              <w:rPr>
                <w:iCs/>
                <w:szCs w:val="20"/>
                <w:highlight w:val="darkGray"/>
                <w:vertAlign w:val="superscript"/>
              </w:rPr>
            </w:pPr>
            <w:r>
              <w:rPr>
                <w:iCs/>
                <w:szCs w:val="20"/>
              </w:rPr>
              <w:t xml:space="preserve"> </w:t>
            </w:r>
            <w:r w:rsidRPr="00157755">
              <w:rPr>
                <w:rFonts w:hint="eastAsia"/>
                <w:iCs/>
                <w:color w:val="000000"/>
                <w:w w:val="18"/>
                <w:szCs w:val="20"/>
                <w:shd w:val="solid" w:color="000000" w:fill="000000"/>
                <w:fitText w:val="80" w:id="-1032130560"/>
                <w14:textFill>
                  <w14:solidFill>
                    <w14:srgbClr w14:val="000000">
                      <w14:alpha w14:val="100000"/>
                    </w14:srgbClr>
                  </w14:solidFill>
                </w14:textFill>
              </w:rPr>
              <w:t xml:space="preserve">　</w:t>
            </w:r>
            <w:r w:rsidRPr="00157755">
              <w:rPr>
                <w:iCs/>
                <w:color w:val="000000"/>
                <w:w w:val="18"/>
                <w:szCs w:val="20"/>
                <w:shd w:val="solid" w:color="000000" w:fill="000000"/>
                <w:fitText w:val="80" w:id="-1032130560"/>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560"/>
                <w14:textFill>
                  <w14:solidFill>
                    <w14:srgbClr w14:val="000000">
                      <w14:alpha w14:val="100000"/>
                    </w14:srgbClr>
                  </w14:solidFill>
                </w14:textFill>
              </w:rPr>
              <w:t xml:space="preserve">　</w:t>
            </w:r>
            <w:r w:rsidR="00942C23" w:rsidRPr="00942C23">
              <w:rPr>
                <w:iCs/>
                <w:szCs w:val="20"/>
                <w:vertAlign w:val="superscript"/>
              </w:rPr>
              <w:t>1</w:t>
            </w:r>
          </w:p>
        </w:tc>
        <w:tc>
          <w:tcPr>
            <w:tcW w:w="612" w:type="pct"/>
            <w:tcBorders>
              <w:top w:val="single" w:sz="4" w:space="0" w:color="auto"/>
              <w:left w:val="nil"/>
              <w:bottom w:val="single" w:sz="4" w:space="0" w:color="auto"/>
              <w:right w:val="single" w:sz="4" w:space="0" w:color="auto"/>
            </w:tcBorders>
            <w:shd w:val="clear" w:color="auto" w:fill="auto"/>
          </w:tcPr>
          <w:p w14:paraId="78658464" w14:textId="05F363A1"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559"/>
                <w14:textFill>
                  <w14:solidFill>
                    <w14:srgbClr w14:val="000000">
                      <w14:alpha w14:val="100000"/>
                    </w14:srgbClr>
                  </w14:solidFill>
                </w14:textFill>
              </w:rPr>
              <w:t xml:space="preserve">　</w:t>
            </w:r>
            <w:r w:rsidRPr="00157755">
              <w:rPr>
                <w:iCs/>
                <w:color w:val="000000"/>
                <w:w w:val="18"/>
                <w:szCs w:val="20"/>
                <w:shd w:val="solid" w:color="000000" w:fill="000000"/>
                <w:fitText w:val="80" w:id="-1032130559"/>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559"/>
                <w14:textFill>
                  <w14:solidFill>
                    <w14:srgbClr w14:val="000000">
                      <w14:alpha w14:val="100000"/>
                    </w14:srgbClr>
                  </w14:solidFill>
                </w14:textFill>
              </w:rPr>
              <w:t xml:space="preserve">　</w:t>
            </w:r>
            <w:r w:rsidR="00942C23" w:rsidRPr="00942C23">
              <w:rPr>
                <w:iCs/>
                <w:szCs w:val="20"/>
                <w:vertAlign w:val="superscript"/>
              </w:rPr>
              <w:t>1</w:t>
            </w:r>
          </w:p>
        </w:tc>
        <w:tc>
          <w:tcPr>
            <w:tcW w:w="613" w:type="pct"/>
            <w:tcBorders>
              <w:top w:val="single" w:sz="4" w:space="0" w:color="auto"/>
              <w:left w:val="nil"/>
              <w:bottom w:val="single" w:sz="4" w:space="0" w:color="auto"/>
              <w:right w:val="single" w:sz="4" w:space="0" w:color="auto"/>
            </w:tcBorders>
            <w:shd w:val="clear" w:color="auto" w:fill="auto"/>
          </w:tcPr>
          <w:p w14:paraId="6994FA58" w14:textId="5439590D"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4"/>
                <w14:textFill>
                  <w14:solidFill>
                    <w14:srgbClr w14:val="000000">
                      <w14:alpha w14:val="100000"/>
                    </w14:srgbClr>
                  </w14:solidFill>
                </w14:textFill>
              </w:rPr>
              <w:t xml:space="preserve">　</w:t>
            </w:r>
            <w:r w:rsidRPr="00157755">
              <w:rPr>
                <w:iCs/>
                <w:color w:val="000000"/>
                <w:w w:val="18"/>
                <w:szCs w:val="20"/>
                <w:shd w:val="solid" w:color="000000" w:fill="000000"/>
                <w:fitText w:val="80" w:id="-1032130304"/>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4"/>
                <w14:textFill>
                  <w14:solidFill>
                    <w14:srgbClr w14:val="000000">
                      <w14:alpha w14:val="100000"/>
                    </w14:srgbClr>
                  </w14:solidFill>
                </w14:textFill>
              </w:rPr>
              <w:t xml:space="preserve">　</w:t>
            </w:r>
            <w:r w:rsidR="00942C23" w:rsidRPr="00942C23">
              <w:rPr>
                <w:iCs/>
                <w:szCs w:val="20"/>
                <w:vertAlign w:val="superscript"/>
              </w:rPr>
              <w:t>1</w:t>
            </w:r>
          </w:p>
        </w:tc>
        <w:tc>
          <w:tcPr>
            <w:tcW w:w="612" w:type="pct"/>
            <w:tcBorders>
              <w:top w:val="single" w:sz="4" w:space="0" w:color="auto"/>
              <w:left w:val="nil"/>
              <w:bottom w:val="single" w:sz="4" w:space="0" w:color="auto"/>
              <w:right w:val="single" w:sz="4" w:space="0" w:color="auto"/>
            </w:tcBorders>
            <w:shd w:val="clear" w:color="auto" w:fill="auto"/>
          </w:tcPr>
          <w:p w14:paraId="1354F24A" w14:textId="79E0E142"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3"/>
                <w14:textFill>
                  <w14:solidFill>
                    <w14:srgbClr w14:val="000000">
                      <w14:alpha w14:val="100000"/>
                    </w14:srgbClr>
                  </w14:solidFill>
                </w14:textFill>
              </w:rPr>
              <w:t xml:space="preserve">　</w:t>
            </w:r>
            <w:r w:rsidRPr="00157755">
              <w:rPr>
                <w:iCs/>
                <w:color w:val="000000"/>
                <w:w w:val="18"/>
                <w:szCs w:val="20"/>
                <w:shd w:val="solid" w:color="000000" w:fill="000000"/>
                <w:fitText w:val="80" w:id="-103213030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3"/>
                <w14:textFill>
                  <w14:solidFill>
                    <w14:srgbClr w14:val="000000">
                      <w14:alpha w14:val="100000"/>
                    </w14:srgbClr>
                  </w14:solidFill>
                </w14:textFill>
              </w:rPr>
              <w:t xml:space="preserve">　</w:t>
            </w:r>
            <w:r w:rsidR="00942C23">
              <w:rPr>
                <w:iCs/>
                <w:szCs w:val="20"/>
                <w:vertAlign w:val="superscript"/>
              </w:rPr>
              <w:t>2</w:t>
            </w:r>
          </w:p>
        </w:tc>
        <w:tc>
          <w:tcPr>
            <w:tcW w:w="612" w:type="pct"/>
            <w:tcBorders>
              <w:top w:val="single" w:sz="4" w:space="0" w:color="auto"/>
              <w:left w:val="nil"/>
              <w:bottom w:val="single" w:sz="4" w:space="0" w:color="auto"/>
              <w:right w:val="single" w:sz="4" w:space="0" w:color="auto"/>
            </w:tcBorders>
            <w:shd w:val="clear" w:color="auto" w:fill="auto"/>
          </w:tcPr>
          <w:p w14:paraId="3CDFBF13" w14:textId="38253075"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2"/>
                <w14:textFill>
                  <w14:solidFill>
                    <w14:srgbClr w14:val="000000">
                      <w14:alpha w14:val="100000"/>
                    </w14:srgbClr>
                  </w14:solidFill>
                </w14:textFill>
              </w:rPr>
              <w:t xml:space="preserve">　</w:t>
            </w:r>
            <w:r w:rsidRPr="00157755">
              <w:rPr>
                <w:iCs/>
                <w:color w:val="000000"/>
                <w:w w:val="18"/>
                <w:szCs w:val="20"/>
                <w:shd w:val="solid" w:color="000000" w:fill="000000"/>
                <w:fitText w:val="80" w:id="-103213030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2"/>
                <w14:textFill>
                  <w14:solidFill>
                    <w14:srgbClr w14:val="000000">
                      <w14:alpha w14:val="100000"/>
                    </w14:srgbClr>
                  </w14:solidFill>
                </w14:textFill>
              </w:rPr>
              <w:t xml:space="preserve">　</w:t>
            </w:r>
            <w:r w:rsidR="00942C23">
              <w:rPr>
                <w:iCs/>
                <w:szCs w:val="20"/>
                <w:vertAlign w:val="superscript"/>
              </w:rPr>
              <w:t>2</w:t>
            </w:r>
          </w:p>
        </w:tc>
        <w:tc>
          <w:tcPr>
            <w:tcW w:w="613" w:type="pct"/>
            <w:tcBorders>
              <w:top w:val="single" w:sz="4" w:space="0" w:color="auto"/>
              <w:left w:val="nil"/>
              <w:bottom w:val="single" w:sz="4" w:space="0" w:color="auto"/>
              <w:right w:val="single" w:sz="4" w:space="0" w:color="auto"/>
            </w:tcBorders>
            <w:shd w:val="clear" w:color="auto" w:fill="auto"/>
          </w:tcPr>
          <w:p w14:paraId="6EB20C99" w14:textId="75BF4250"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1"/>
                <w14:textFill>
                  <w14:solidFill>
                    <w14:srgbClr w14:val="000000">
                      <w14:alpha w14:val="100000"/>
                    </w14:srgbClr>
                  </w14:solidFill>
                </w14:textFill>
              </w:rPr>
              <w:t xml:space="preserve">　</w:t>
            </w:r>
            <w:r w:rsidRPr="00157755">
              <w:rPr>
                <w:iCs/>
                <w:color w:val="000000"/>
                <w:w w:val="18"/>
                <w:szCs w:val="20"/>
                <w:shd w:val="solid" w:color="000000" w:fill="000000"/>
                <w:fitText w:val="80" w:id="-1032130301"/>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1"/>
                <w14:textFill>
                  <w14:solidFill>
                    <w14:srgbClr w14:val="000000">
                      <w14:alpha w14:val="100000"/>
                    </w14:srgbClr>
                  </w14:solidFill>
                </w14:textFill>
              </w:rPr>
              <w:t xml:space="preserve">　</w:t>
            </w:r>
            <w:r w:rsidR="00942C23">
              <w:rPr>
                <w:iCs/>
                <w:szCs w:val="20"/>
                <w:vertAlign w:val="superscript"/>
              </w:rPr>
              <w:t>2</w:t>
            </w:r>
          </w:p>
        </w:tc>
        <w:tc>
          <w:tcPr>
            <w:tcW w:w="625" w:type="pct"/>
            <w:vAlign w:val="center"/>
          </w:tcPr>
          <w:p w14:paraId="3F9A3B79" w14:textId="77777777" w:rsidR="00DF6726" w:rsidRPr="0049396B" w:rsidRDefault="00DF6726" w:rsidP="00020E51">
            <w:pPr>
              <w:pStyle w:val="TableText0"/>
              <w:keepLines/>
              <w:widowControl w:val="0"/>
              <w:jc w:val="center"/>
              <w:rPr>
                <w:rFonts w:cs="Calibri"/>
                <w:iCs/>
                <w:szCs w:val="20"/>
              </w:rPr>
            </w:pPr>
            <w:r w:rsidRPr="0049396B">
              <w:rPr>
                <w:rFonts w:cs="Calibri"/>
                <w:iCs/>
                <w:szCs w:val="20"/>
              </w:rPr>
              <w:t>-</w:t>
            </w:r>
          </w:p>
        </w:tc>
      </w:tr>
      <w:tr w:rsidR="00DF6726" w:rsidRPr="0049396B" w14:paraId="6490DDCC" w14:textId="77777777" w:rsidTr="00D94CF5">
        <w:trPr>
          <w:trHeight w:val="20"/>
        </w:trPr>
        <w:tc>
          <w:tcPr>
            <w:tcW w:w="5000" w:type="pct"/>
            <w:gridSpan w:val="8"/>
            <w:vAlign w:val="center"/>
          </w:tcPr>
          <w:p w14:paraId="61DFDF92" w14:textId="77777777" w:rsidR="00DF6726" w:rsidRPr="0049396B" w:rsidRDefault="00DF6726" w:rsidP="00020E51">
            <w:pPr>
              <w:pStyle w:val="TableText0"/>
              <w:keepLines/>
              <w:widowControl w:val="0"/>
              <w:rPr>
                <w:b/>
                <w:iCs/>
                <w:szCs w:val="20"/>
              </w:rPr>
            </w:pPr>
            <w:r w:rsidRPr="0049396B">
              <w:rPr>
                <w:b/>
                <w:iCs/>
                <w:szCs w:val="20"/>
              </w:rPr>
              <w:t>S1: Incidence rate per 100,000 Australian population (base 2.9)</w:t>
            </w:r>
          </w:p>
        </w:tc>
      </w:tr>
      <w:tr w:rsidR="00DF6726" w:rsidRPr="0049396B" w14:paraId="18AE1EA6" w14:textId="77777777" w:rsidTr="00D94CF5">
        <w:trPr>
          <w:trHeight w:val="20"/>
        </w:trPr>
        <w:tc>
          <w:tcPr>
            <w:tcW w:w="701" w:type="pct"/>
            <w:vAlign w:val="center"/>
          </w:tcPr>
          <w:p w14:paraId="2499BB52" w14:textId="77777777" w:rsidR="00DF6726" w:rsidRPr="0049396B" w:rsidRDefault="00DF6726" w:rsidP="00020E51">
            <w:pPr>
              <w:pStyle w:val="TableText0"/>
              <w:keepLines/>
              <w:widowControl w:val="0"/>
              <w:rPr>
                <w:iCs/>
                <w:szCs w:val="20"/>
              </w:rPr>
            </w:pPr>
            <w:r w:rsidRPr="0049396B">
              <w:rPr>
                <w:iCs/>
                <w:szCs w:val="20"/>
              </w:rPr>
              <w:t>3.4</w:t>
            </w:r>
          </w:p>
        </w:tc>
        <w:tc>
          <w:tcPr>
            <w:tcW w:w="612" w:type="pct"/>
            <w:vAlign w:val="center"/>
          </w:tcPr>
          <w:p w14:paraId="38B3F4F5" w14:textId="7D1CA35B"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0"/>
                <w14:textFill>
                  <w14:solidFill>
                    <w14:srgbClr w14:val="000000">
                      <w14:alpha w14:val="100000"/>
                    </w14:srgbClr>
                  </w14:solidFill>
                </w14:textFill>
              </w:rPr>
              <w:t xml:space="preserve">　</w:t>
            </w:r>
            <w:r w:rsidRPr="00157755">
              <w:rPr>
                <w:iCs/>
                <w:color w:val="000000"/>
                <w:w w:val="18"/>
                <w:szCs w:val="20"/>
                <w:shd w:val="solid" w:color="000000" w:fill="000000"/>
                <w:fitText w:val="80" w:id="-1032130300"/>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0"/>
                <w14:textFill>
                  <w14:solidFill>
                    <w14:srgbClr w14:val="000000">
                      <w14:alpha w14:val="100000"/>
                    </w14:srgbClr>
                  </w14:solidFill>
                </w14:textFill>
              </w:rPr>
              <w:t xml:space="preserve">　</w:t>
            </w:r>
            <w:r w:rsidR="00942C23" w:rsidRPr="00942C23">
              <w:rPr>
                <w:iCs/>
                <w:szCs w:val="20"/>
                <w:vertAlign w:val="superscript"/>
              </w:rPr>
              <w:t>1</w:t>
            </w:r>
          </w:p>
        </w:tc>
        <w:tc>
          <w:tcPr>
            <w:tcW w:w="612" w:type="pct"/>
            <w:vAlign w:val="center"/>
          </w:tcPr>
          <w:p w14:paraId="6AC92F5F" w14:textId="5BAB6771"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9"/>
                <w14:textFill>
                  <w14:solidFill>
                    <w14:srgbClr w14:val="000000">
                      <w14:alpha w14:val="100000"/>
                    </w14:srgbClr>
                  </w14:solidFill>
                </w14:textFill>
              </w:rPr>
              <w:t xml:space="preserve">　</w:t>
            </w:r>
            <w:r w:rsidRPr="00157755">
              <w:rPr>
                <w:iCs/>
                <w:color w:val="000000"/>
                <w:w w:val="18"/>
                <w:szCs w:val="20"/>
                <w:shd w:val="solid" w:color="000000" w:fill="000000"/>
                <w:fitText w:val="80" w:id="-1032130299"/>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9"/>
                <w14:textFill>
                  <w14:solidFill>
                    <w14:srgbClr w14:val="000000">
                      <w14:alpha w14:val="100000"/>
                    </w14:srgbClr>
                  </w14:solidFill>
                </w14:textFill>
              </w:rPr>
              <w:t xml:space="preserve">　</w:t>
            </w:r>
            <w:r w:rsidR="00942C23" w:rsidRPr="00942C23">
              <w:rPr>
                <w:iCs/>
                <w:szCs w:val="20"/>
                <w:vertAlign w:val="superscript"/>
              </w:rPr>
              <w:t>1</w:t>
            </w:r>
          </w:p>
        </w:tc>
        <w:tc>
          <w:tcPr>
            <w:tcW w:w="613" w:type="pct"/>
            <w:vAlign w:val="center"/>
          </w:tcPr>
          <w:p w14:paraId="432B3D95" w14:textId="056826D1"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8"/>
                <w14:textFill>
                  <w14:solidFill>
                    <w14:srgbClr w14:val="000000">
                      <w14:alpha w14:val="100000"/>
                    </w14:srgbClr>
                  </w14:solidFill>
                </w14:textFill>
              </w:rPr>
              <w:t xml:space="preserve">　</w:t>
            </w:r>
            <w:r w:rsidRPr="00157755">
              <w:rPr>
                <w:iCs/>
                <w:color w:val="000000"/>
                <w:w w:val="18"/>
                <w:szCs w:val="20"/>
                <w:shd w:val="solid" w:color="000000" w:fill="000000"/>
                <w:fitText w:val="80" w:id="-1032130298"/>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8"/>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6CE65086" w14:textId="740B4982"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7"/>
                <w14:textFill>
                  <w14:solidFill>
                    <w14:srgbClr w14:val="000000">
                      <w14:alpha w14:val="100000"/>
                    </w14:srgbClr>
                  </w14:solidFill>
                </w14:textFill>
              </w:rPr>
              <w:t xml:space="preserve">　</w:t>
            </w:r>
            <w:r w:rsidRPr="00157755">
              <w:rPr>
                <w:iCs/>
                <w:color w:val="000000"/>
                <w:w w:val="18"/>
                <w:szCs w:val="20"/>
                <w:shd w:val="solid" w:color="000000" w:fill="000000"/>
                <w:fitText w:val="80" w:id="-1032130297"/>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7"/>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5AAC04E3" w14:textId="7E5543A4"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6"/>
                <w14:textFill>
                  <w14:solidFill>
                    <w14:srgbClr w14:val="000000">
                      <w14:alpha w14:val="100000"/>
                    </w14:srgbClr>
                  </w14:solidFill>
                </w14:textFill>
              </w:rPr>
              <w:t xml:space="preserve">　</w:t>
            </w:r>
            <w:r w:rsidRPr="00157755">
              <w:rPr>
                <w:iCs/>
                <w:color w:val="000000"/>
                <w:w w:val="18"/>
                <w:szCs w:val="20"/>
                <w:shd w:val="solid" w:color="000000" w:fill="000000"/>
                <w:fitText w:val="80" w:id="-1032130296"/>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6"/>
                <w14:textFill>
                  <w14:solidFill>
                    <w14:srgbClr w14:val="000000">
                      <w14:alpha w14:val="100000"/>
                    </w14:srgbClr>
                  </w14:solidFill>
                </w14:textFill>
              </w:rPr>
              <w:t xml:space="preserve">　</w:t>
            </w:r>
            <w:r w:rsidR="00942C23">
              <w:rPr>
                <w:iCs/>
                <w:szCs w:val="20"/>
                <w:vertAlign w:val="superscript"/>
              </w:rPr>
              <w:t>2</w:t>
            </w:r>
          </w:p>
        </w:tc>
        <w:tc>
          <w:tcPr>
            <w:tcW w:w="613" w:type="pct"/>
            <w:vAlign w:val="center"/>
          </w:tcPr>
          <w:p w14:paraId="14445B00" w14:textId="11CF669D"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5"/>
                <w14:textFill>
                  <w14:solidFill>
                    <w14:srgbClr w14:val="000000">
                      <w14:alpha w14:val="100000"/>
                    </w14:srgbClr>
                  </w14:solidFill>
                </w14:textFill>
              </w:rPr>
              <w:t xml:space="preserve">　</w:t>
            </w:r>
            <w:r w:rsidRPr="00157755">
              <w:rPr>
                <w:iCs/>
                <w:color w:val="000000"/>
                <w:w w:val="18"/>
                <w:szCs w:val="20"/>
                <w:shd w:val="solid" w:color="000000" w:fill="000000"/>
                <w:fitText w:val="80" w:id="-1032130295"/>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5"/>
                <w14:textFill>
                  <w14:solidFill>
                    <w14:srgbClr w14:val="000000">
                      <w14:alpha w14:val="100000"/>
                    </w14:srgbClr>
                  </w14:solidFill>
                </w14:textFill>
              </w:rPr>
              <w:t xml:space="preserve">　</w:t>
            </w:r>
            <w:r w:rsidR="00942C23">
              <w:rPr>
                <w:iCs/>
                <w:szCs w:val="20"/>
                <w:vertAlign w:val="superscript"/>
              </w:rPr>
              <w:t>2</w:t>
            </w:r>
          </w:p>
        </w:tc>
        <w:tc>
          <w:tcPr>
            <w:tcW w:w="625" w:type="pct"/>
            <w:vAlign w:val="center"/>
          </w:tcPr>
          <w:p w14:paraId="1656BD70" w14:textId="5BD61D3F" w:rsidR="00DF6726" w:rsidRPr="0049396B" w:rsidRDefault="0015085A" w:rsidP="00D94CF5">
            <w:pPr>
              <w:pStyle w:val="TableText0"/>
              <w:keepLines/>
              <w:widowControl w:val="0"/>
              <w:jc w:val="center"/>
              <w:rPr>
                <w:iCs/>
                <w:szCs w:val="20"/>
              </w:rPr>
            </w:pPr>
            <w:r>
              <w:rPr>
                <w:iCs/>
                <w:szCs w:val="20"/>
              </w:rPr>
              <w:t xml:space="preserve"> </w:t>
            </w:r>
            <w:r w:rsidRPr="00157755">
              <w:rPr>
                <w:rFonts w:hint="eastAsia"/>
                <w:iCs/>
                <w:color w:val="000000"/>
                <w:w w:val="15"/>
                <w:szCs w:val="20"/>
                <w:shd w:val="solid" w:color="000000" w:fill="000000"/>
                <w:fitText w:val="70" w:id="-1032130294"/>
                <w14:textFill>
                  <w14:solidFill>
                    <w14:srgbClr w14:val="000000">
                      <w14:alpha w14:val="100000"/>
                    </w14:srgbClr>
                  </w14:solidFill>
                </w14:textFill>
              </w:rPr>
              <w:t xml:space="preserve">　</w:t>
            </w:r>
            <w:r w:rsidRPr="00157755">
              <w:rPr>
                <w:iCs/>
                <w:color w:val="000000"/>
                <w:w w:val="15"/>
                <w:szCs w:val="20"/>
                <w:shd w:val="solid" w:color="000000" w:fill="000000"/>
                <w:fitText w:val="70" w:id="-1032130294"/>
                <w14:textFill>
                  <w14:solidFill>
                    <w14:srgbClr w14:val="000000">
                      <w14:alpha w14:val="100000"/>
                    </w14:srgbClr>
                  </w14:solidFill>
                </w14:textFill>
              </w:rPr>
              <w:t>|</w:t>
            </w:r>
            <w:r w:rsidRPr="00157755">
              <w:rPr>
                <w:rFonts w:hint="eastAsia"/>
                <w:iCs/>
                <w:color w:val="000000"/>
                <w:spacing w:val="4"/>
                <w:w w:val="15"/>
                <w:szCs w:val="20"/>
                <w:shd w:val="solid" w:color="000000" w:fill="000000"/>
                <w:fitText w:val="70" w:id="-1032130294"/>
                <w14:textFill>
                  <w14:solidFill>
                    <w14:srgbClr w14:val="000000">
                      <w14:alpha w14:val="100000"/>
                    </w14:srgbClr>
                  </w14:solidFill>
                </w14:textFill>
              </w:rPr>
              <w:t xml:space="preserve">　</w:t>
            </w:r>
            <w:r w:rsidR="007F0FE2">
              <w:rPr>
                <w:iCs/>
                <w:szCs w:val="20"/>
                <w:vertAlign w:val="superscript"/>
              </w:rPr>
              <w:t>3</w:t>
            </w:r>
            <w:r w:rsidR="00D94CF5">
              <w:rPr>
                <w:iCs/>
                <w:szCs w:val="20"/>
                <w:vertAlign w:val="superscript"/>
              </w:rPr>
              <w:t xml:space="preserve"> </w:t>
            </w:r>
            <w:r w:rsidR="00DF6726" w:rsidRPr="0049396B">
              <w:rPr>
                <w:iCs/>
                <w:szCs w:val="20"/>
              </w:rPr>
              <w:t>(16%)</w:t>
            </w:r>
          </w:p>
        </w:tc>
      </w:tr>
      <w:tr w:rsidR="00DF6726" w:rsidRPr="0049396B" w14:paraId="5A67C05D" w14:textId="77777777" w:rsidTr="00D94CF5">
        <w:trPr>
          <w:trHeight w:val="20"/>
        </w:trPr>
        <w:tc>
          <w:tcPr>
            <w:tcW w:w="5000" w:type="pct"/>
            <w:gridSpan w:val="8"/>
            <w:vAlign w:val="center"/>
          </w:tcPr>
          <w:p w14:paraId="6ADA792E" w14:textId="77777777" w:rsidR="00DF6726" w:rsidRPr="0049396B" w:rsidRDefault="00DF6726" w:rsidP="00020E51">
            <w:pPr>
              <w:pStyle w:val="TableText0"/>
              <w:keepLines/>
              <w:widowControl w:val="0"/>
              <w:rPr>
                <w:b/>
                <w:iCs/>
                <w:szCs w:val="20"/>
              </w:rPr>
            </w:pPr>
            <w:r w:rsidRPr="0049396B">
              <w:rPr>
                <w:b/>
                <w:iCs/>
                <w:szCs w:val="20"/>
              </w:rPr>
              <w:t>S2: Increase eligibility (base 80% incident, 33% prevalent populations)</w:t>
            </w:r>
          </w:p>
        </w:tc>
      </w:tr>
      <w:tr w:rsidR="00DF6726" w:rsidRPr="0049396B" w14:paraId="44EF7413" w14:textId="77777777" w:rsidTr="00D94CF5">
        <w:trPr>
          <w:trHeight w:val="20"/>
        </w:trPr>
        <w:tc>
          <w:tcPr>
            <w:tcW w:w="701" w:type="pct"/>
            <w:vAlign w:val="center"/>
          </w:tcPr>
          <w:p w14:paraId="594B83EE" w14:textId="77777777" w:rsidR="00DF6726" w:rsidRPr="0049396B" w:rsidRDefault="00DF6726" w:rsidP="00020E51">
            <w:pPr>
              <w:pStyle w:val="TableText0"/>
              <w:keepLines/>
              <w:widowControl w:val="0"/>
              <w:rPr>
                <w:iCs/>
                <w:szCs w:val="20"/>
              </w:rPr>
            </w:pPr>
            <w:r w:rsidRPr="0049396B">
              <w:rPr>
                <w:iCs/>
                <w:szCs w:val="20"/>
              </w:rPr>
              <w:t>100% incident, 50% prevalent</w:t>
            </w:r>
          </w:p>
        </w:tc>
        <w:tc>
          <w:tcPr>
            <w:tcW w:w="612" w:type="pct"/>
            <w:vAlign w:val="center"/>
          </w:tcPr>
          <w:p w14:paraId="41111AA0" w14:textId="08F9BEB4"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3"/>
                <w14:textFill>
                  <w14:solidFill>
                    <w14:srgbClr w14:val="000000">
                      <w14:alpha w14:val="100000"/>
                    </w14:srgbClr>
                  </w14:solidFill>
                </w14:textFill>
              </w:rPr>
              <w:t xml:space="preserve">　</w:t>
            </w:r>
            <w:r w:rsidRPr="00157755">
              <w:rPr>
                <w:iCs/>
                <w:color w:val="000000"/>
                <w:w w:val="18"/>
                <w:szCs w:val="20"/>
                <w:shd w:val="solid" w:color="000000" w:fill="000000"/>
                <w:fitText w:val="80" w:id="-103213029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3"/>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48374BCF" w14:textId="564B540F"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2"/>
                <w14:textFill>
                  <w14:solidFill>
                    <w14:srgbClr w14:val="000000">
                      <w14:alpha w14:val="100000"/>
                    </w14:srgbClr>
                  </w14:solidFill>
                </w14:textFill>
              </w:rPr>
              <w:t xml:space="preserve">　</w:t>
            </w:r>
            <w:r w:rsidRPr="00157755">
              <w:rPr>
                <w:iCs/>
                <w:color w:val="000000"/>
                <w:w w:val="18"/>
                <w:szCs w:val="20"/>
                <w:shd w:val="solid" w:color="000000" w:fill="000000"/>
                <w:fitText w:val="80" w:id="-103213029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2"/>
                <w14:textFill>
                  <w14:solidFill>
                    <w14:srgbClr w14:val="000000">
                      <w14:alpha w14:val="100000"/>
                    </w14:srgbClr>
                  </w14:solidFill>
                </w14:textFill>
              </w:rPr>
              <w:t xml:space="preserve">　</w:t>
            </w:r>
            <w:r w:rsidR="00942C23" w:rsidRPr="00942C23">
              <w:rPr>
                <w:iCs/>
                <w:szCs w:val="20"/>
                <w:vertAlign w:val="superscript"/>
              </w:rPr>
              <w:t>1</w:t>
            </w:r>
          </w:p>
        </w:tc>
        <w:tc>
          <w:tcPr>
            <w:tcW w:w="613" w:type="pct"/>
            <w:vAlign w:val="center"/>
          </w:tcPr>
          <w:p w14:paraId="0C641C52" w14:textId="2223DE39"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1"/>
                <w14:textFill>
                  <w14:solidFill>
                    <w14:srgbClr w14:val="000000">
                      <w14:alpha w14:val="100000"/>
                    </w14:srgbClr>
                  </w14:solidFill>
                </w14:textFill>
              </w:rPr>
              <w:t xml:space="preserve">　</w:t>
            </w:r>
            <w:r w:rsidRPr="00157755">
              <w:rPr>
                <w:iCs/>
                <w:color w:val="000000"/>
                <w:w w:val="18"/>
                <w:szCs w:val="20"/>
                <w:shd w:val="solid" w:color="000000" w:fill="000000"/>
                <w:fitText w:val="80" w:id="-1032130291"/>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1"/>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779F1A47" w14:textId="71D029F5"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0"/>
                <w14:textFill>
                  <w14:solidFill>
                    <w14:srgbClr w14:val="000000">
                      <w14:alpha w14:val="100000"/>
                    </w14:srgbClr>
                  </w14:solidFill>
                </w14:textFill>
              </w:rPr>
              <w:t xml:space="preserve">　</w:t>
            </w:r>
            <w:r w:rsidRPr="00157755">
              <w:rPr>
                <w:iCs/>
                <w:color w:val="000000"/>
                <w:w w:val="18"/>
                <w:szCs w:val="20"/>
                <w:shd w:val="solid" w:color="000000" w:fill="000000"/>
                <w:fitText w:val="80" w:id="-1032130290"/>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0"/>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2DC0013E" w14:textId="0030E186"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89"/>
                <w14:textFill>
                  <w14:solidFill>
                    <w14:srgbClr w14:val="000000">
                      <w14:alpha w14:val="100000"/>
                    </w14:srgbClr>
                  </w14:solidFill>
                </w14:textFill>
              </w:rPr>
              <w:t xml:space="preserve">　</w:t>
            </w:r>
            <w:r w:rsidRPr="00157755">
              <w:rPr>
                <w:iCs/>
                <w:color w:val="000000"/>
                <w:w w:val="18"/>
                <w:szCs w:val="20"/>
                <w:shd w:val="solid" w:color="000000" w:fill="000000"/>
                <w:fitText w:val="80" w:id="-1032130289"/>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89"/>
                <w14:textFill>
                  <w14:solidFill>
                    <w14:srgbClr w14:val="000000">
                      <w14:alpha w14:val="100000"/>
                    </w14:srgbClr>
                  </w14:solidFill>
                </w14:textFill>
              </w:rPr>
              <w:t xml:space="preserve">　</w:t>
            </w:r>
            <w:r w:rsidR="00942C23">
              <w:rPr>
                <w:iCs/>
                <w:szCs w:val="20"/>
                <w:vertAlign w:val="superscript"/>
              </w:rPr>
              <w:t>2</w:t>
            </w:r>
          </w:p>
        </w:tc>
        <w:tc>
          <w:tcPr>
            <w:tcW w:w="613" w:type="pct"/>
            <w:vAlign w:val="center"/>
          </w:tcPr>
          <w:p w14:paraId="39FC6D48" w14:textId="70E06F68"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88"/>
                <w14:textFill>
                  <w14:solidFill>
                    <w14:srgbClr w14:val="000000">
                      <w14:alpha w14:val="100000"/>
                    </w14:srgbClr>
                  </w14:solidFill>
                </w14:textFill>
              </w:rPr>
              <w:t xml:space="preserve">　</w:t>
            </w:r>
            <w:r w:rsidRPr="00157755">
              <w:rPr>
                <w:iCs/>
                <w:color w:val="000000"/>
                <w:w w:val="18"/>
                <w:szCs w:val="20"/>
                <w:shd w:val="solid" w:color="000000" w:fill="000000"/>
                <w:fitText w:val="80" w:id="-1032130288"/>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88"/>
                <w14:textFill>
                  <w14:solidFill>
                    <w14:srgbClr w14:val="000000">
                      <w14:alpha w14:val="100000"/>
                    </w14:srgbClr>
                  </w14:solidFill>
                </w14:textFill>
              </w:rPr>
              <w:t xml:space="preserve">　</w:t>
            </w:r>
            <w:r w:rsidR="007F0FE2">
              <w:rPr>
                <w:iCs/>
                <w:szCs w:val="20"/>
                <w:vertAlign w:val="superscript"/>
              </w:rPr>
              <w:t>4</w:t>
            </w:r>
          </w:p>
        </w:tc>
        <w:tc>
          <w:tcPr>
            <w:tcW w:w="625" w:type="pct"/>
            <w:vAlign w:val="center"/>
          </w:tcPr>
          <w:p w14:paraId="2C43ED32" w14:textId="6CD4ACF9" w:rsidR="00DF6726" w:rsidRPr="0049396B" w:rsidRDefault="0015085A" w:rsidP="00020E51">
            <w:pPr>
              <w:pStyle w:val="TableText0"/>
              <w:keepLines/>
              <w:widowControl w:val="0"/>
              <w:jc w:val="center"/>
              <w:rPr>
                <w:iCs/>
                <w:szCs w:val="20"/>
              </w:rPr>
            </w:pPr>
            <w:r>
              <w:rPr>
                <w:iCs/>
                <w:szCs w:val="20"/>
              </w:rPr>
              <w:t xml:space="preserve"> </w:t>
            </w:r>
            <w:r w:rsidRPr="00157755">
              <w:rPr>
                <w:rFonts w:hint="eastAsia"/>
                <w:iCs/>
                <w:color w:val="000000"/>
                <w:w w:val="15"/>
                <w:szCs w:val="20"/>
                <w:shd w:val="solid" w:color="000000" w:fill="000000"/>
                <w:fitText w:val="70" w:id="-1032130304"/>
                <w14:textFill>
                  <w14:solidFill>
                    <w14:srgbClr w14:val="000000">
                      <w14:alpha w14:val="100000"/>
                    </w14:srgbClr>
                  </w14:solidFill>
                </w14:textFill>
              </w:rPr>
              <w:t xml:space="preserve">　</w:t>
            </w:r>
            <w:r w:rsidRPr="00157755">
              <w:rPr>
                <w:iCs/>
                <w:color w:val="000000"/>
                <w:w w:val="15"/>
                <w:szCs w:val="20"/>
                <w:shd w:val="solid" w:color="000000" w:fill="000000"/>
                <w:fitText w:val="70" w:id="-1032130304"/>
                <w14:textFill>
                  <w14:solidFill>
                    <w14:srgbClr w14:val="000000">
                      <w14:alpha w14:val="100000"/>
                    </w14:srgbClr>
                  </w14:solidFill>
                </w14:textFill>
              </w:rPr>
              <w:t>|</w:t>
            </w:r>
            <w:r w:rsidRPr="00157755">
              <w:rPr>
                <w:rFonts w:hint="eastAsia"/>
                <w:iCs/>
                <w:color w:val="000000"/>
                <w:spacing w:val="4"/>
                <w:w w:val="15"/>
                <w:szCs w:val="20"/>
                <w:shd w:val="solid" w:color="000000" w:fill="000000"/>
                <w:fitText w:val="70" w:id="-1032130304"/>
                <w14:textFill>
                  <w14:solidFill>
                    <w14:srgbClr w14:val="000000">
                      <w14:alpha w14:val="100000"/>
                    </w14:srgbClr>
                  </w14:solidFill>
                </w14:textFill>
              </w:rPr>
              <w:t xml:space="preserve">　</w:t>
            </w:r>
            <w:r w:rsidR="007F0FE2">
              <w:rPr>
                <w:iCs/>
                <w:szCs w:val="20"/>
                <w:vertAlign w:val="superscript"/>
              </w:rPr>
              <w:t>3</w:t>
            </w:r>
            <w:r>
              <w:rPr>
                <w:iCs/>
                <w:szCs w:val="20"/>
              </w:rPr>
              <w:t xml:space="preserve"> </w:t>
            </w:r>
            <w:r w:rsidR="00631974">
              <w:rPr>
                <w:iCs/>
                <w:szCs w:val="20"/>
              </w:rPr>
              <w:t>(</w:t>
            </w:r>
            <w:r w:rsidR="00DF6726" w:rsidRPr="0049396B">
              <w:rPr>
                <w:iCs/>
                <w:szCs w:val="20"/>
              </w:rPr>
              <w:t>27%)</w:t>
            </w:r>
          </w:p>
        </w:tc>
      </w:tr>
      <w:tr w:rsidR="00DF6726" w:rsidRPr="0049396B" w14:paraId="3A47F92D" w14:textId="77777777" w:rsidTr="00D94CF5">
        <w:trPr>
          <w:trHeight w:val="20"/>
        </w:trPr>
        <w:tc>
          <w:tcPr>
            <w:tcW w:w="5000" w:type="pct"/>
            <w:gridSpan w:val="8"/>
            <w:vAlign w:val="center"/>
          </w:tcPr>
          <w:p w14:paraId="3144DFBC" w14:textId="77777777" w:rsidR="00DF6726" w:rsidRPr="0049396B" w:rsidRDefault="00DF6726" w:rsidP="00020E51">
            <w:pPr>
              <w:pStyle w:val="TableText0"/>
              <w:keepLines/>
              <w:widowControl w:val="0"/>
              <w:rPr>
                <w:b/>
                <w:iCs/>
                <w:szCs w:val="20"/>
              </w:rPr>
            </w:pPr>
            <w:r w:rsidRPr="0049396B">
              <w:rPr>
                <w:b/>
                <w:iCs/>
                <w:szCs w:val="20"/>
              </w:rPr>
              <w:t>S3: Uptake of edaravone (base incident Yr1 30%, Y2 50%, Yr3 60%, Yr4 70%, Yr5 80%, Yr6 85%; prevalent 20%)</w:t>
            </w:r>
          </w:p>
        </w:tc>
      </w:tr>
      <w:tr w:rsidR="00DF6726" w:rsidRPr="0049396B" w14:paraId="78EA34E2" w14:textId="77777777" w:rsidTr="00D94CF5">
        <w:trPr>
          <w:trHeight w:val="20"/>
        </w:trPr>
        <w:tc>
          <w:tcPr>
            <w:tcW w:w="701" w:type="pct"/>
            <w:vAlign w:val="center"/>
          </w:tcPr>
          <w:p w14:paraId="762F10EE" w14:textId="77777777" w:rsidR="00DF6726" w:rsidRPr="0049396B" w:rsidRDefault="00DF6726" w:rsidP="00020E51">
            <w:pPr>
              <w:pStyle w:val="TableText0"/>
              <w:keepLines/>
              <w:widowControl w:val="0"/>
              <w:rPr>
                <w:iCs/>
                <w:szCs w:val="20"/>
              </w:rPr>
            </w:pPr>
            <w:proofErr w:type="spellStart"/>
            <w:r w:rsidRPr="0049396B">
              <w:rPr>
                <w:iCs/>
                <w:szCs w:val="20"/>
              </w:rPr>
              <w:t>Increase</w:t>
            </w:r>
            <w:r w:rsidRPr="0049396B">
              <w:rPr>
                <w:iCs/>
                <w:szCs w:val="20"/>
                <w:vertAlign w:val="superscript"/>
              </w:rPr>
              <w:t>a</w:t>
            </w:r>
            <w:proofErr w:type="spellEnd"/>
          </w:p>
        </w:tc>
        <w:tc>
          <w:tcPr>
            <w:tcW w:w="612" w:type="pct"/>
            <w:vAlign w:val="center"/>
          </w:tcPr>
          <w:p w14:paraId="06A975A6" w14:textId="190A9661"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2"/>
                <w14:textFill>
                  <w14:solidFill>
                    <w14:srgbClr w14:val="000000">
                      <w14:alpha w14:val="100000"/>
                    </w14:srgbClr>
                  </w14:solidFill>
                </w14:textFill>
              </w:rPr>
              <w:t xml:space="preserve">　</w:t>
            </w:r>
            <w:r w:rsidRPr="00157755">
              <w:rPr>
                <w:iCs/>
                <w:color w:val="000000"/>
                <w:w w:val="18"/>
                <w:szCs w:val="20"/>
                <w:shd w:val="solid" w:color="000000" w:fill="000000"/>
                <w:fitText w:val="80" w:id="-103213030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2"/>
                <w14:textFill>
                  <w14:solidFill>
                    <w14:srgbClr w14:val="000000">
                      <w14:alpha w14:val="100000"/>
                    </w14:srgbClr>
                  </w14:solidFill>
                </w14:textFill>
              </w:rPr>
              <w:t xml:space="preserve">　</w:t>
            </w:r>
            <w:r w:rsidR="007F0FE2">
              <w:rPr>
                <w:iCs/>
                <w:szCs w:val="20"/>
                <w:vertAlign w:val="superscript"/>
              </w:rPr>
              <w:t>4</w:t>
            </w:r>
          </w:p>
        </w:tc>
        <w:tc>
          <w:tcPr>
            <w:tcW w:w="612" w:type="pct"/>
            <w:vAlign w:val="center"/>
          </w:tcPr>
          <w:p w14:paraId="2E130619" w14:textId="2C146145"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1"/>
                <w14:textFill>
                  <w14:solidFill>
                    <w14:srgbClr w14:val="000000">
                      <w14:alpha w14:val="100000"/>
                    </w14:srgbClr>
                  </w14:solidFill>
                </w14:textFill>
              </w:rPr>
              <w:t xml:space="preserve">　</w:t>
            </w:r>
            <w:r w:rsidRPr="00157755">
              <w:rPr>
                <w:iCs/>
                <w:color w:val="000000"/>
                <w:w w:val="18"/>
                <w:szCs w:val="20"/>
                <w:shd w:val="solid" w:color="000000" w:fill="000000"/>
                <w:fitText w:val="80" w:id="-1032130301"/>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1"/>
                <w14:textFill>
                  <w14:solidFill>
                    <w14:srgbClr w14:val="000000">
                      <w14:alpha w14:val="100000"/>
                    </w14:srgbClr>
                  </w14:solidFill>
                </w14:textFill>
              </w:rPr>
              <w:t xml:space="preserve">　</w:t>
            </w:r>
            <w:r w:rsidR="00942C23" w:rsidRPr="00942C23">
              <w:rPr>
                <w:iCs/>
                <w:szCs w:val="20"/>
                <w:vertAlign w:val="superscript"/>
              </w:rPr>
              <w:t>1</w:t>
            </w:r>
          </w:p>
        </w:tc>
        <w:tc>
          <w:tcPr>
            <w:tcW w:w="613" w:type="pct"/>
            <w:vAlign w:val="center"/>
          </w:tcPr>
          <w:p w14:paraId="2ADDA7AD" w14:textId="406AA0AE"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0"/>
                <w14:textFill>
                  <w14:solidFill>
                    <w14:srgbClr w14:val="000000">
                      <w14:alpha w14:val="100000"/>
                    </w14:srgbClr>
                  </w14:solidFill>
                </w14:textFill>
              </w:rPr>
              <w:t xml:space="preserve">　</w:t>
            </w:r>
            <w:r w:rsidRPr="00157755">
              <w:rPr>
                <w:iCs/>
                <w:color w:val="000000"/>
                <w:w w:val="18"/>
                <w:szCs w:val="20"/>
                <w:shd w:val="solid" w:color="000000" w:fill="000000"/>
                <w:fitText w:val="80" w:id="-1032130300"/>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0"/>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14767357" w14:textId="663A1C50"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9"/>
                <w14:textFill>
                  <w14:solidFill>
                    <w14:srgbClr w14:val="000000">
                      <w14:alpha w14:val="100000"/>
                    </w14:srgbClr>
                  </w14:solidFill>
                </w14:textFill>
              </w:rPr>
              <w:t xml:space="preserve">　</w:t>
            </w:r>
            <w:r w:rsidRPr="00157755">
              <w:rPr>
                <w:iCs/>
                <w:color w:val="000000"/>
                <w:w w:val="18"/>
                <w:szCs w:val="20"/>
                <w:shd w:val="solid" w:color="000000" w:fill="000000"/>
                <w:fitText w:val="80" w:id="-1032130299"/>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9"/>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1F337BC4" w14:textId="3F83E0E5"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8"/>
                <w14:textFill>
                  <w14:solidFill>
                    <w14:srgbClr w14:val="000000">
                      <w14:alpha w14:val="100000"/>
                    </w14:srgbClr>
                  </w14:solidFill>
                </w14:textFill>
              </w:rPr>
              <w:t xml:space="preserve">　</w:t>
            </w:r>
            <w:r w:rsidRPr="00157755">
              <w:rPr>
                <w:iCs/>
                <w:color w:val="000000"/>
                <w:w w:val="18"/>
                <w:szCs w:val="20"/>
                <w:shd w:val="solid" w:color="000000" w:fill="000000"/>
                <w:fitText w:val="80" w:id="-1032130298"/>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8"/>
                <w14:textFill>
                  <w14:solidFill>
                    <w14:srgbClr w14:val="000000">
                      <w14:alpha w14:val="100000"/>
                    </w14:srgbClr>
                  </w14:solidFill>
                </w14:textFill>
              </w:rPr>
              <w:t xml:space="preserve">　</w:t>
            </w:r>
            <w:r w:rsidR="00942C23">
              <w:rPr>
                <w:iCs/>
                <w:szCs w:val="20"/>
                <w:vertAlign w:val="superscript"/>
              </w:rPr>
              <w:t>2</w:t>
            </w:r>
          </w:p>
        </w:tc>
        <w:tc>
          <w:tcPr>
            <w:tcW w:w="613" w:type="pct"/>
            <w:vAlign w:val="center"/>
          </w:tcPr>
          <w:p w14:paraId="151FD9A9" w14:textId="762FFBD5"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7"/>
                <w14:textFill>
                  <w14:solidFill>
                    <w14:srgbClr w14:val="000000">
                      <w14:alpha w14:val="100000"/>
                    </w14:srgbClr>
                  </w14:solidFill>
                </w14:textFill>
              </w:rPr>
              <w:t xml:space="preserve">　</w:t>
            </w:r>
            <w:r w:rsidRPr="00157755">
              <w:rPr>
                <w:iCs/>
                <w:color w:val="000000"/>
                <w:w w:val="18"/>
                <w:szCs w:val="20"/>
                <w:shd w:val="solid" w:color="000000" w:fill="000000"/>
                <w:fitText w:val="80" w:id="-1032130297"/>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7"/>
                <w14:textFill>
                  <w14:solidFill>
                    <w14:srgbClr w14:val="000000">
                      <w14:alpha w14:val="100000"/>
                    </w14:srgbClr>
                  </w14:solidFill>
                </w14:textFill>
              </w:rPr>
              <w:t xml:space="preserve">　</w:t>
            </w:r>
            <w:r w:rsidR="00942C23">
              <w:rPr>
                <w:iCs/>
                <w:szCs w:val="20"/>
                <w:vertAlign w:val="superscript"/>
              </w:rPr>
              <w:t>2</w:t>
            </w:r>
          </w:p>
        </w:tc>
        <w:tc>
          <w:tcPr>
            <w:tcW w:w="625" w:type="pct"/>
            <w:vAlign w:val="center"/>
          </w:tcPr>
          <w:p w14:paraId="1C977181" w14:textId="0D2B82A1" w:rsidR="00DF6726" w:rsidRPr="0049396B" w:rsidRDefault="0015085A" w:rsidP="00020E51">
            <w:pPr>
              <w:pStyle w:val="TableText0"/>
              <w:keepLines/>
              <w:widowControl w:val="0"/>
              <w:jc w:val="center"/>
              <w:rPr>
                <w:iCs/>
                <w:szCs w:val="20"/>
              </w:rPr>
            </w:pPr>
            <w:r>
              <w:rPr>
                <w:iCs/>
                <w:szCs w:val="20"/>
              </w:rPr>
              <w:t xml:space="preserve"> </w:t>
            </w:r>
            <w:r w:rsidRPr="00157755">
              <w:rPr>
                <w:rFonts w:hint="eastAsia"/>
                <w:iCs/>
                <w:color w:val="000000"/>
                <w:w w:val="15"/>
                <w:szCs w:val="20"/>
                <w:shd w:val="solid" w:color="000000" w:fill="000000"/>
                <w:fitText w:val="70" w:id="-1032130296"/>
                <w14:textFill>
                  <w14:solidFill>
                    <w14:srgbClr w14:val="000000">
                      <w14:alpha w14:val="100000"/>
                    </w14:srgbClr>
                  </w14:solidFill>
                </w14:textFill>
              </w:rPr>
              <w:t xml:space="preserve">　</w:t>
            </w:r>
            <w:r w:rsidRPr="00157755">
              <w:rPr>
                <w:iCs/>
                <w:color w:val="000000"/>
                <w:w w:val="15"/>
                <w:szCs w:val="20"/>
                <w:shd w:val="solid" w:color="000000" w:fill="000000"/>
                <w:fitText w:val="70" w:id="-1032130296"/>
                <w14:textFill>
                  <w14:solidFill>
                    <w14:srgbClr w14:val="000000">
                      <w14:alpha w14:val="100000"/>
                    </w14:srgbClr>
                  </w14:solidFill>
                </w14:textFill>
              </w:rPr>
              <w:t>|</w:t>
            </w:r>
            <w:r w:rsidRPr="00157755">
              <w:rPr>
                <w:rFonts w:hint="eastAsia"/>
                <w:iCs/>
                <w:color w:val="000000"/>
                <w:spacing w:val="4"/>
                <w:w w:val="15"/>
                <w:szCs w:val="20"/>
                <w:shd w:val="solid" w:color="000000" w:fill="000000"/>
                <w:fitText w:val="70" w:id="-1032130296"/>
                <w14:textFill>
                  <w14:solidFill>
                    <w14:srgbClr w14:val="000000">
                      <w14:alpha w14:val="100000"/>
                    </w14:srgbClr>
                  </w14:solidFill>
                </w14:textFill>
              </w:rPr>
              <w:t xml:space="preserve">　</w:t>
            </w:r>
            <w:r w:rsidR="007F0FE2">
              <w:rPr>
                <w:iCs/>
                <w:szCs w:val="20"/>
                <w:vertAlign w:val="superscript"/>
              </w:rPr>
              <w:t>3</w:t>
            </w:r>
            <w:r>
              <w:rPr>
                <w:iCs/>
                <w:szCs w:val="20"/>
              </w:rPr>
              <w:t xml:space="preserve"> </w:t>
            </w:r>
            <w:r w:rsidR="00DF6726" w:rsidRPr="0049396B">
              <w:rPr>
                <w:iCs/>
                <w:szCs w:val="20"/>
              </w:rPr>
              <w:t>(38%)</w:t>
            </w:r>
          </w:p>
        </w:tc>
      </w:tr>
      <w:tr w:rsidR="00DF6726" w:rsidRPr="0049396B" w14:paraId="1388259A" w14:textId="77777777" w:rsidTr="00D94CF5">
        <w:trPr>
          <w:trHeight w:val="20"/>
        </w:trPr>
        <w:tc>
          <w:tcPr>
            <w:tcW w:w="5000" w:type="pct"/>
            <w:gridSpan w:val="8"/>
            <w:vAlign w:val="center"/>
          </w:tcPr>
          <w:p w14:paraId="4BFBBCD5" w14:textId="77777777" w:rsidR="00DF6726" w:rsidRPr="0049396B" w:rsidRDefault="00DF6726" w:rsidP="00020E51">
            <w:pPr>
              <w:pStyle w:val="TableText0"/>
              <w:keepLines/>
              <w:widowControl w:val="0"/>
              <w:rPr>
                <w:b/>
                <w:iCs/>
                <w:szCs w:val="20"/>
              </w:rPr>
            </w:pPr>
            <w:r w:rsidRPr="0049396B">
              <w:rPr>
                <w:b/>
                <w:iCs/>
                <w:szCs w:val="20"/>
              </w:rPr>
              <w:t>S4: Continuation of edaravone after initial treatment cycle (base 85%)</w:t>
            </w:r>
          </w:p>
        </w:tc>
      </w:tr>
      <w:tr w:rsidR="00DF6726" w:rsidRPr="0049396B" w14:paraId="6F991479" w14:textId="77777777" w:rsidTr="00D94CF5">
        <w:trPr>
          <w:trHeight w:val="20"/>
        </w:trPr>
        <w:tc>
          <w:tcPr>
            <w:tcW w:w="701" w:type="pct"/>
            <w:vAlign w:val="center"/>
          </w:tcPr>
          <w:p w14:paraId="69173FD6" w14:textId="77777777" w:rsidR="00DF6726" w:rsidRPr="0049396B" w:rsidRDefault="00DF6726" w:rsidP="00020E51">
            <w:pPr>
              <w:pStyle w:val="TableText0"/>
              <w:keepLines/>
              <w:widowControl w:val="0"/>
              <w:rPr>
                <w:iCs/>
                <w:szCs w:val="20"/>
              </w:rPr>
            </w:pPr>
            <w:r w:rsidRPr="0049396B">
              <w:rPr>
                <w:iCs/>
                <w:szCs w:val="20"/>
              </w:rPr>
              <w:t>100%</w:t>
            </w:r>
          </w:p>
        </w:tc>
        <w:tc>
          <w:tcPr>
            <w:tcW w:w="612" w:type="pct"/>
            <w:vAlign w:val="center"/>
          </w:tcPr>
          <w:p w14:paraId="3BF8EC1B" w14:textId="145E08C2"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4"/>
                <w14:textFill>
                  <w14:solidFill>
                    <w14:srgbClr w14:val="000000">
                      <w14:alpha w14:val="100000"/>
                    </w14:srgbClr>
                  </w14:solidFill>
                </w14:textFill>
              </w:rPr>
              <w:t xml:space="preserve">　</w:t>
            </w:r>
            <w:r w:rsidRPr="00157755">
              <w:rPr>
                <w:iCs/>
                <w:color w:val="000000"/>
                <w:w w:val="18"/>
                <w:szCs w:val="20"/>
                <w:shd w:val="solid" w:color="000000" w:fill="000000"/>
                <w:fitText w:val="80" w:id="-1032130294"/>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4"/>
                <w14:textFill>
                  <w14:solidFill>
                    <w14:srgbClr w14:val="000000">
                      <w14:alpha w14:val="100000"/>
                    </w14:srgbClr>
                  </w14:solidFill>
                </w14:textFill>
              </w:rPr>
              <w:t xml:space="preserve">　</w:t>
            </w:r>
            <w:r w:rsidR="00942C23" w:rsidRPr="00942C23">
              <w:rPr>
                <w:iCs/>
                <w:szCs w:val="20"/>
                <w:vertAlign w:val="superscript"/>
              </w:rPr>
              <w:t>1</w:t>
            </w:r>
          </w:p>
        </w:tc>
        <w:tc>
          <w:tcPr>
            <w:tcW w:w="612" w:type="pct"/>
            <w:vAlign w:val="center"/>
          </w:tcPr>
          <w:p w14:paraId="578688D8" w14:textId="0B57FA66"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3"/>
                <w14:textFill>
                  <w14:solidFill>
                    <w14:srgbClr w14:val="000000">
                      <w14:alpha w14:val="100000"/>
                    </w14:srgbClr>
                  </w14:solidFill>
                </w14:textFill>
              </w:rPr>
              <w:t xml:space="preserve">　</w:t>
            </w:r>
            <w:r w:rsidRPr="00157755">
              <w:rPr>
                <w:iCs/>
                <w:color w:val="000000"/>
                <w:w w:val="18"/>
                <w:szCs w:val="20"/>
                <w:shd w:val="solid" w:color="000000" w:fill="000000"/>
                <w:fitText w:val="80" w:id="-103213029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3"/>
                <w14:textFill>
                  <w14:solidFill>
                    <w14:srgbClr w14:val="000000">
                      <w14:alpha w14:val="100000"/>
                    </w14:srgbClr>
                  </w14:solidFill>
                </w14:textFill>
              </w:rPr>
              <w:t xml:space="preserve">　</w:t>
            </w:r>
            <w:r w:rsidR="00942C23" w:rsidRPr="00942C23">
              <w:rPr>
                <w:iCs/>
                <w:szCs w:val="20"/>
                <w:vertAlign w:val="superscript"/>
              </w:rPr>
              <w:t>1</w:t>
            </w:r>
          </w:p>
        </w:tc>
        <w:tc>
          <w:tcPr>
            <w:tcW w:w="613" w:type="pct"/>
            <w:vAlign w:val="center"/>
          </w:tcPr>
          <w:p w14:paraId="5F3CB9C8" w14:textId="4784FA71"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2"/>
                <w14:textFill>
                  <w14:solidFill>
                    <w14:srgbClr w14:val="000000">
                      <w14:alpha w14:val="100000"/>
                    </w14:srgbClr>
                  </w14:solidFill>
                </w14:textFill>
              </w:rPr>
              <w:t xml:space="preserve">　</w:t>
            </w:r>
            <w:r w:rsidRPr="00157755">
              <w:rPr>
                <w:iCs/>
                <w:color w:val="000000"/>
                <w:w w:val="18"/>
                <w:szCs w:val="20"/>
                <w:shd w:val="solid" w:color="000000" w:fill="000000"/>
                <w:fitText w:val="80" w:id="-103213029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2"/>
                <w14:textFill>
                  <w14:solidFill>
                    <w14:srgbClr w14:val="000000">
                      <w14:alpha w14:val="100000"/>
                    </w14:srgbClr>
                  </w14:solidFill>
                </w14:textFill>
              </w:rPr>
              <w:t xml:space="preserve">　</w:t>
            </w:r>
            <w:r w:rsidR="00942C23" w:rsidRPr="00942C23">
              <w:rPr>
                <w:iCs/>
                <w:szCs w:val="20"/>
                <w:vertAlign w:val="superscript"/>
              </w:rPr>
              <w:t>1</w:t>
            </w:r>
          </w:p>
        </w:tc>
        <w:tc>
          <w:tcPr>
            <w:tcW w:w="612" w:type="pct"/>
            <w:vAlign w:val="center"/>
          </w:tcPr>
          <w:p w14:paraId="37B01C67" w14:textId="048DCCE1"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1"/>
                <w14:textFill>
                  <w14:solidFill>
                    <w14:srgbClr w14:val="000000">
                      <w14:alpha w14:val="100000"/>
                    </w14:srgbClr>
                  </w14:solidFill>
                </w14:textFill>
              </w:rPr>
              <w:t xml:space="preserve">　</w:t>
            </w:r>
            <w:r w:rsidRPr="00157755">
              <w:rPr>
                <w:iCs/>
                <w:color w:val="000000"/>
                <w:w w:val="18"/>
                <w:szCs w:val="20"/>
                <w:shd w:val="solid" w:color="000000" w:fill="000000"/>
                <w:fitText w:val="80" w:id="-1032130291"/>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1"/>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7A3E60B9" w14:textId="167DE54F"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0"/>
                <w14:textFill>
                  <w14:solidFill>
                    <w14:srgbClr w14:val="000000">
                      <w14:alpha w14:val="100000"/>
                    </w14:srgbClr>
                  </w14:solidFill>
                </w14:textFill>
              </w:rPr>
              <w:t xml:space="preserve">　</w:t>
            </w:r>
            <w:r w:rsidRPr="00157755">
              <w:rPr>
                <w:iCs/>
                <w:color w:val="000000"/>
                <w:w w:val="18"/>
                <w:szCs w:val="20"/>
                <w:shd w:val="solid" w:color="000000" w:fill="000000"/>
                <w:fitText w:val="80" w:id="-1032130290"/>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0"/>
                <w14:textFill>
                  <w14:solidFill>
                    <w14:srgbClr w14:val="000000">
                      <w14:alpha w14:val="100000"/>
                    </w14:srgbClr>
                  </w14:solidFill>
                </w14:textFill>
              </w:rPr>
              <w:t xml:space="preserve">　</w:t>
            </w:r>
            <w:r w:rsidR="00942C23">
              <w:rPr>
                <w:iCs/>
                <w:szCs w:val="20"/>
                <w:vertAlign w:val="superscript"/>
              </w:rPr>
              <w:t>2</w:t>
            </w:r>
          </w:p>
        </w:tc>
        <w:tc>
          <w:tcPr>
            <w:tcW w:w="613" w:type="pct"/>
            <w:vAlign w:val="center"/>
          </w:tcPr>
          <w:p w14:paraId="46119A15" w14:textId="68B6C49A"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89"/>
                <w14:textFill>
                  <w14:solidFill>
                    <w14:srgbClr w14:val="000000">
                      <w14:alpha w14:val="100000"/>
                    </w14:srgbClr>
                  </w14:solidFill>
                </w14:textFill>
              </w:rPr>
              <w:t xml:space="preserve">　</w:t>
            </w:r>
            <w:r w:rsidRPr="00157755">
              <w:rPr>
                <w:iCs/>
                <w:color w:val="000000"/>
                <w:w w:val="18"/>
                <w:szCs w:val="20"/>
                <w:shd w:val="solid" w:color="000000" w:fill="000000"/>
                <w:fitText w:val="80" w:id="-1032130289"/>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89"/>
                <w14:textFill>
                  <w14:solidFill>
                    <w14:srgbClr w14:val="000000">
                      <w14:alpha w14:val="100000"/>
                    </w14:srgbClr>
                  </w14:solidFill>
                </w14:textFill>
              </w:rPr>
              <w:t xml:space="preserve">　</w:t>
            </w:r>
            <w:r w:rsidR="00942C23">
              <w:rPr>
                <w:iCs/>
                <w:szCs w:val="20"/>
                <w:vertAlign w:val="superscript"/>
              </w:rPr>
              <w:t>2</w:t>
            </w:r>
          </w:p>
        </w:tc>
        <w:tc>
          <w:tcPr>
            <w:tcW w:w="625" w:type="pct"/>
            <w:vAlign w:val="center"/>
          </w:tcPr>
          <w:p w14:paraId="3AB93E55" w14:textId="65E48D6C" w:rsidR="00DF6726" w:rsidRPr="0049396B" w:rsidRDefault="0015085A" w:rsidP="00020E51">
            <w:pPr>
              <w:pStyle w:val="TableText0"/>
              <w:keepLines/>
              <w:widowControl w:val="0"/>
              <w:jc w:val="center"/>
              <w:rPr>
                <w:iCs/>
                <w:szCs w:val="20"/>
              </w:rPr>
            </w:pPr>
            <w:r>
              <w:rPr>
                <w:iCs/>
                <w:szCs w:val="20"/>
              </w:rPr>
              <w:t xml:space="preserve"> </w:t>
            </w:r>
            <w:r w:rsidRPr="00157755">
              <w:rPr>
                <w:rFonts w:hint="eastAsia"/>
                <w:iCs/>
                <w:color w:val="000000"/>
                <w:w w:val="15"/>
                <w:szCs w:val="20"/>
                <w:shd w:val="solid" w:color="000000" w:fill="000000"/>
                <w:fitText w:val="70" w:id="-1032130288"/>
                <w14:textFill>
                  <w14:solidFill>
                    <w14:srgbClr w14:val="000000">
                      <w14:alpha w14:val="100000"/>
                    </w14:srgbClr>
                  </w14:solidFill>
                </w14:textFill>
              </w:rPr>
              <w:t xml:space="preserve">　</w:t>
            </w:r>
            <w:r w:rsidRPr="00157755">
              <w:rPr>
                <w:iCs/>
                <w:color w:val="000000"/>
                <w:w w:val="15"/>
                <w:szCs w:val="20"/>
                <w:shd w:val="solid" w:color="000000" w:fill="000000"/>
                <w:fitText w:val="70" w:id="-1032130288"/>
                <w14:textFill>
                  <w14:solidFill>
                    <w14:srgbClr w14:val="000000">
                      <w14:alpha w14:val="100000"/>
                    </w14:srgbClr>
                  </w14:solidFill>
                </w14:textFill>
              </w:rPr>
              <w:t>|</w:t>
            </w:r>
            <w:r w:rsidRPr="00157755">
              <w:rPr>
                <w:rFonts w:hint="eastAsia"/>
                <w:iCs/>
                <w:color w:val="000000"/>
                <w:spacing w:val="4"/>
                <w:w w:val="15"/>
                <w:szCs w:val="20"/>
                <w:shd w:val="solid" w:color="000000" w:fill="000000"/>
                <w:fitText w:val="70" w:id="-1032130288"/>
                <w14:textFill>
                  <w14:solidFill>
                    <w14:srgbClr w14:val="000000">
                      <w14:alpha w14:val="100000"/>
                    </w14:srgbClr>
                  </w14:solidFill>
                </w14:textFill>
              </w:rPr>
              <w:t xml:space="preserve">　</w:t>
            </w:r>
            <w:r w:rsidR="007F0FE2">
              <w:rPr>
                <w:iCs/>
                <w:szCs w:val="20"/>
                <w:vertAlign w:val="superscript"/>
              </w:rPr>
              <w:t>3</w:t>
            </w:r>
            <w:r>
              <w:rPr>
                <w:iCs/>
                <w:szCs w:val="20"/>
              </w:rPr>
              <w:t xml:space="preserve"> </w:t>
            </w:r>
            <w:r w:rsidR="00DF6726" w:rsidRPr="0049396B">
              <w:rPr>
                <w:iCs/>
                <w:szCs w:val="20"/>
              </w:rPr>
              <w:t>(14%)</w:t>
            </w:r>
          </w:p>
        </w:tc>
      </w:tr>
      <w:tr w:rsidR="00DF6726" w:rsidRPr="0049396B" w14:paraId="2246715F" w14:textId="77777777" w:rsidTr="00D94CF5">
        <w:trPr>
          <w:trHeight w:val="20"/>
        </w:trPr>
        <w:tc>
          <w:tcPr>
            <w:tcW w:w="5000" w:type="pct"/>
            <w:gridSpan w:val="8"/>
            <w:vAlign w:val="center"/>
          </w:tcPr>
          <w:p w14:paraId="5EB35EBD" w14:textId="77777777" w:rsidR="00DF6726" w:rsidRPr="0049396B" w:rsidRDefault="00DF6726" w:rsidP="00020E51">
            <w:pPr>
              <w:pStyle w:val="TableText0"/>
              <w:keepLines/>
              <w:widowControl w:val="0"/>
              <w:rPr>
                <w:b/>
                <w:iCs/>
                <w:szCs w:val="20"/>
              </w:rPr>
            </w:pPr>
            <w:r w:rsidRPr="0049396B">
              <w:rPr>
                <w:b/>
                <w:iCs/>
                <w:szCs w:val="20"/>
              </w:rPr>
              <w:t>S5: Time on edaravone (base 7.8 months: 85% 9 months, 15% 1 month)</w:t>
            </w:r>
          </w:p>
        </w:tc>
      </w:tr>
      <w:tr w:rsidR="00DF6726" w:rsidRPr="0049396B" w14:paraId="3E6DDFDE" w14:textId="77777777" w:rsidTr="00D94CF5">
        <w:trPr>
          <w:trHeight w:val="20"/>
        </w:trPr>
        <w:tc>
          <w:tcPr>
            <w:tcW w:w="701" w:type="pct"/>
            <w:vAlign w:val="center"/>
          </w:tcPr>
          <w:p w14:paraId="037814E5" w14:textId="77777777" w:rsidR="00DF6726" w:rsidRPr="0049396B" w:rsidRDefault="00DF6726" w:rsidP="00020E51">
            <w:pPr>
              <w:pStyle w:val="TableText0"/>
              <w:keepLines/>
              <w:widowControl w:val="0"/>
              <w:rPr>
                <w:iCs/>
                <w:szCs w:val="20"/>
              </w:rPr>
            </w:pPr>
            <w:r w:rsidRPr="0049396B">
              <w:rPr>
                <w:bCs w:val="0"/>
                <w:iCs/>
                <w:szCs w:val="20"/>
              </w:rPr>
              <w:t>a)</w:t>
            </w:r>
            <w:r w:rsidRPr="0049396B">
              <w:rPr>
                <w:iCs/>
                <w:szCs w:val="20"/>
              </w:rPr>
              <w:t xml:space="preserve"> 10.4 mths</w:t>
            </w:r>
            <w:r w:rsidRPr="0049396B">
              <w:rPr>
                <w:iCs/>
                <w:szCs w:val="20"/>
                <w:vertAlign w:val="superscript"/>
              </w:rPr>
              <w:t>b</w:t>
            </w:r>
          </w:p>
        </w:tc>
        <w:tc>
          <w:tcPr>
            <w:tcW w:w="612" w:type="pct"/>
            <w:vAlign w:val="center"/>
          </w:tcPr>
          <w:p w14:paraId="30C63E54" w14:textId="61F5A2F3"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3"/>
                <w14:textFill>
                  <w14:solidFill>
                    <w14:srgbClr w14:val="000000">
                      <w14:alpha w14:val="100000"/>
                    </w14:srgbClr>
                  </w14:solidFill>
                </w14:textFill>
              </w:rPr>
              <w:t xml:space="preserve">　</w:t>
            </w:r>
            <w:r w:rsidRPr="00157755">
              <w:rPr>
                <w:iCs/>
                <w:color w:val="000000"/>
                <w:w w:val="18"/>
                <w:szCs w:val="20"/>
                <w:shd w:val="solid" w:color="000000" w:fill="000000"/>
                <w:fitText w:val="80" w:id="-103213030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3"/>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4051EBA4" w14:textId="2349F0A1"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2"/>
                <w14:textFill>
                  <w14:solidFill>
                    <w14:srgbClr w14:val="000000">
                      <w14:alpha w14:val="100000"/>
                    </w14:srgbClr>
                  </w14:solidFill>
                </w14:textFill>
              </w:rPr>
              <w:t xml:space="preserve">　</w:t>
            </w:r>
            <w:r w:rsidRPr="00157755">
              <w:rPr>
                <w:iCs/>
                <w:color w:val="000000"/>
                <w:w w:val="18"/>
                <w:szCs w:val="20"/>
                <w:shd w:val="solid" w:color="000000" w:fill="000000"/>
                <w:fitText w:val="80" w:id="-103213030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2"/>
                <w14:textFill>
                  <w14:solidFill>
                    <w14:srgbClr w14:val="000000">
                      <w14:alpha w14:val="100000"/>
                    </w14:srgbClr>
                  </w14:solidFill>
                </w14:textFill>
              </w:rPr>
              <w:t xml:space="preserve">　</w:t>
            </w:r>
            <w:r w:rsidR="00942C23" w:rsidRPr="00942C23">
              <w:rPr>
                <w:iCs/>
                <w:szCs w:val="20"/>
                <w:vertAlign w:val="superscript"/>
              </w:rPr>
              <w:t>1</w:t>
            </w:r>
          </w:p>
        </w:tc>
        <w:tc>
          <w:tcPr>
            <w:tcW w:w="613" w:type="pct"/>
            <w:vAlign w:val="center"/>
          </w:tcPr>
          <w:p w14:paraId="21C9C53A" w14:textId="447ED8EE"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1"/>
                <w14:textFill>
                  <w14:solidFill>
                    <w14:srgbClr w14:val="000000">
                      <w14:alpha w14:val="100000"/>
                    </w14:srgbClr>
                  </w14:solidFill>
                </w14:textFill>
              </w:rPr>
              <w:t xml:space="preserve">　</w:t>
            </w:r>
            <w:r w:rsidRPr="00157755">
              <w:rPr>
                <w:iCs/>
                <w:color w:val="000000"/>
                <w:w w:val="18"/>
                <w:szCs w:val="20"/>
                <w:shd w:val="solid" w:color="000000" w:fill="000000"/>
                <w:fitText w:val="80" w:id="-1032130301"/>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1"/>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54A002F5" w14:textId="00B91728"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0"/>
                <w14:textFill>
                  <w14:solidFill>
                    <w14:srgbClr w14:val="000000">
                      <w14:alpha w14:val="100000"/>
                    </w14:srgbClr>
                  </w14:solidFill>
                </w14:textFill>
              </w:rPr>
              <w:t xml:space="preserve">　</w:t>
            </w:r>
            <w:r w:rsidRPr="00157755">
              <w:rPr>
                <w:iCs/>
                <w:color w:val="000000"/>
                <w:w w:val="18"/>
                <w:szCs w:val="20"/>
                <w:shd w:val="solid" w:color="000000" w:fill="000000"/>
                <w:fitText w:val="80" w:id="-1032130300"/>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0"/>
                <w14:textFill>
                  <w14:solidFill>
                    <w14:srgbClr w14:val="000000">
                      <w14:alpha w14:val="100000"/>
                    </w14:srgbClr>
                  </w14:solidFill>
                </w14:textFill>
              </w:rPr>
              <w:t xml:space="preserve">　</w:t>
            </w:r>
            <w:r w:rsidR="00942C23">
              <w:rPr>
                <w:iCs/>
                <w:szCs w:val="20"/>
                <w:vertAlign w:val="superscript"/>
              </w:rPr>
              <w:t>2</w:t>
            </w:r>
          </w:p>
        </w:tc>
        <w:tc>
          <w:tcPr>
            <w:tcW w:w="612" w:type="pct"/>
            <w:vAlign w:val="center"/>
          </w:tcPr>
          <w:p w14:paraId="199E5662" w14:textId="2869B769"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9"/>
                <w14:textFill>
                  <w14:solidFill>
                    <w14:srgbClr w14:val="000000">
                      <w14:alpha w14:val="100000"/>
                    </w14:srgbClr>
                  </w14:solidFill>
                </w14:textFill>
              </w:rPr>
              <w:t xml:space="preserve">　</w:t>
            </w:r>
            <w:r w:rsidRPr="00157755">
              <w:rPr>
                <w:iCs/>
                <w:color w:val="000000"/>
                <w:w w:val="18"/>
                <w:szCs w:val="20"/>
                <w:shd w:val="solid" w:color="000000" w:fill="000000"/>
                <w:fitText w:val="80" w:id="-1032130299"/>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9"/>
                <w14:textFill>
                  <w14:solidFill>
                    <w14:srgbClr w14:val="000000">
                      <w14:alpha w14:val="100000"/>
                    </w14:srgbClr>
                  </w14:solidFill>
                </w14:textFill>
              </w:rPr>
              <w:t xml:space="preserve">　</w:t>
            </w:r>
            <w:r w:rsidR="007F0FE2">
              <w:rPr>
                <w:iCs/>
                <w:szCs w:val="20"/>
                <w:vertAlign w:val="superscript"/>
              </w:rPr>
              <w:t>4</w:t>
            </w:r>
          </w:p>
        </w:tc>
        <w:tc>
          <w:tcPr>
            <w:tcW w:w="613" w:type="pct"/>
            <w:vAlign w:val="center"/>
          </w:tcPr>
          <w:p w14:paraId="6A64BE39" w14:textId="0810AE43"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8"/>
                <w14:textFill>
                  <w14:solidFill>
                    <w14:srgbClr w14:val="000000">
                      <w14:alpha w14:val="100000"/>
                    </w14:srgbClr>
                  </w14:solidFill>
                </w14:textFill>
              </w:rPr>
              <w:t xml:space="preserve">　</w:t>
            </w:r>
            <w:r w:rsidRPr="00157755">
              <w:rPr>
                <w:iCs/>
                <w:color w:val="000000"/>
                <w:w w:val="18"/>
                <w:szCs w:val="20"/>
                <w:shd w:val="solid" w:color="000000" w:fill="000000"/>
                <w:fitText w:val="80" w:id="-1032130298"/>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8"/>
                <w14:textFill>
                  <w14:solidFill>
                    <w14:srgbClr w14:val="000000">
                      <w14:alpha w14:val="100000"/>
                    </w14:srgbClr>
                  </w14:solidFill>
                </w14:textFill>
              </w:rPr>
              <w:t xml:space="preserve">　</w:t>
            </w:r>
            <w:r w:rsidR="007F0FE2">
              <w:rPr>
                <w:iCs/>
                <w:szCs w:val="20"/>
                <w:vertAlign w:val="superscript"/>
              </w:rPr>
              <w:t>4</w:t>
            </w:r>
          </w:p>
        </w:tc>
        <w:tc>
          <w:tcPr>
            <w:tcW w:w="625" w:type="pct"/>
            <w:vAlign w:val="center"/>
          </w:tcPr>
          <w:p w14:paraId="4CADB10B" w14:textId="36EA5D21" w:rsidR="00DF6726" w:rsidRPr="0049396B" w:rsidRDefault="0015085A" w:rsidP="00020E51">
            <w:pPr>
              <w:pStyle w:val="TableText0"/>
              <w:keepLines/>
              <w:widowControl w:val="0"/>
              <w:jc w:val="center"/>
              <w:rPr>
                <w:iCs/>
                <w:szCs w:val="20"/>
              </w:rPr>
            </w:pPr>
            <w:r>
              <w:rPr>
                <w:iCs/>
                <w:szCs w:val="20"/>
              </w:rPr>
              <w:t xml:space="preserve"> </w:t>
            </w:r>
            <w:r w:rsidRPr="00157755">
              <w:rPr>
                <w:rFonts w:hint="eastAsia"/>
                <w:iCs/>
                <w:color w:val="000000"/>
                <w:w w:val="15"/>
                <w:szCs w:val="20"/>
                <w:shd w:val="solid" w:color="000000" w:fill="000000"/>
                <w:fitText w:val="70" w:id="-1032130297"/>
                <w14:textFill>
                  <w14:solidFill>
                    <w14:srgbClr w14:val="000000">
                      <w14:alpha w14:val="100000"/>
                    </w14:srgbClr>
                  </w14:solidFill>
                </w14:textFill>
              </w:rPr>
              <w:t xml:space="preserve">　</w:t>
            </w:r>
            <w:r w:rsidRPr="00157755">
              <w:rPr>
                <w:iCs/>
                <w:color w:val="000000"/>
                <w:w w:val="15"/>
                <w:szCs w:val="20"/>
                <w:shd w:val="solid" w:color="000000" w:fill="000000"/>
                <w:fitText w:val="70" w:id="-1032130297"/>
                <w14:textFill>
                  <w14:solidFill>
                    <w14:srgbClr w14:val="000000">
                      <w14:alpha w14:val="100000"/>
                    </w14:srgbClr>
                  </w14:solidFill>
                </w14:textFill>
              </w:rPr>
              <w:t>|</w:t>
            </w:r>
            <w:r w:rsidRPr="00157755">
              <w:rPr>
                <w:rFonts w:hint="eastAsia"/>
                <w:iCs/>
                <w:color w:val="000000"/>
                <w:spacing w:val="4"/>
                <w:w w:val="15"/>
                <w:szCs w:val="20"/>
                <w:shd w:val="solid" w:color="000000" w:fill="000000"/>
                <w:fitText w:val="70" w:id="-1032130297"/>
                <w14:textFill>
                  <w14:solidFill>
                    <w14:srgbClr w14:val="000000">
                      <w14:alpha w14:val="100000"/>
                    </w14:srgbClr>
                  </w14:solidFill>
                </w14:textFill>
              </w:rPr>
              <w:t xml:space="preserve">　</w:t>
            </w:r>
            <w:r w:rsidR="007F0FE2">
              <w:rPr>
                <w:iCs/>
                <w:szCs w:val="20"/>
                <w:vertAlign w:val="superscript"/>
              </w:rPr>
              <w:t>3</w:t>
            </w:r>
            <w:r>
              <w:rPr>
                <w:iCs/>
                <w:szCs w:val="20"/>
              </w:rPr>
              <w:t xml:space="preserve"> </w:t>
            </w:r>
            <w:r w:rsidR="00DF6726" w:rsidRPr="0049396B">
              <w:rPr>
                <w:iCs/>
                <w:szCs w:val="20"/>
              </w:rPr>
              <w:t>(30%)</w:t>
            </w:r>
          </w:p>
        </w:tc>
      </w:tr>
      <w:tr w:rsidR="00DF6726" w:rsidRPr="0049396B" w14:paraId="0D0E7193" w14:textId="77777777" w:rsidTr="00D94CF5">
        <w:trPr>
          <w:trHeight w:val="20"/>
        </w:trPr>
        <w:tc>
          <w:tcPr>
            <w:tcW w:w="701" w:type="pct"/>
            <w:vAlign w:val="center"/>
          </w:tcPr>
          <w:p w14:paraId="18321E91" w14:textId="77777777" w:rsidR="00DF6726" w:rsidRPr="0049396B" w:rsidRDefault="00DF6726" w:rsidP="00020E51">
            <w:pPr>
              <w:pStyle w:val="TableText0"/>
              <w:keepLines/>
              <w:widowControl w:val="0"/>
              <w:rPr>
                <w:iCs/>
                <w:szCs w:val="20"/>
              </w:rPr>
            </w:pPr>
            <w:r w:rsidRPr="0049396B">
              <w:rPr>
                <w:iCs/>
                <w:szCs w:val="20"/>
              </w:rPr>
              <w:t>b) 27.5 mths</w:t>
            </w:r>
            <w:r w:rsidRPr="0049396B">
              <w:rPr>
                <w:iCs/>
                <w:szCs w:val="20"/>
                <w:vertAlign w:val="superscript"/>
              </w:rPr>
              <w:t>c</w:t>
            </w:r>
          </w:p>
        </w:tc>
        <w:tc>
          <w:tcPr>
            <w:tcW w:w="612" w:type="pct"/>
            <w:vAlign w:val="center"/>
          </w:tcPr>
          <w:p w14:paraId="55CB6F20" w14:textId="2E39D3FD"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5"/>
                <w14:textFill>
                  <w14:solidFill>
                    <w14:srgbClr w14:val="000000">
                      <w14:alpha w14:val="100000"/>
                    </w14:srgbClr>
                  </w14:solidFill>
                </w14:textFill>
              </w:rPr>
              <w:t xml:space="preserve">　</w:t>
            </w:r>
            <w:r w:rsidRPr="00157755">
              <w:rPr>
                <w:iCs/>
                <w:color w:val="000000"/>
                <w:w w:val="18"/>
                <w:szCs w:val="20"/>
                <w:shd w:val="solid" w:color="000000" w:fill="000000"/>
                <w:fitText w:val="80" w:id="-1032130295"/>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5"/>
                <w14:textFill>
                  <w14:solidFill>
                    <w14:srgbClr w14:val="000000">
                      <w14:alpha w14:val="100000"/>
                    </w14:srgbClr>
                  </w14:solidFill>
                </w14:textFill>
              </w:rPr>
              <w:t xml:space="preserve">　</w:t>
            </w:r>
            <w:r w:rsidR="007F0FE2">
              <w:rPr>
                <w:iCs/>
                <w:szCs w:val="20"/>
                <w:vertAlign w:val="superscript"/>
              </w:rPr>
              <w:t>5</w:t>
            </w:r>
          </w:p>
        </w:tc>
        <w:tc>
          <w:tcPr>
            <w:tcW w:w="612" w:type="pct"/>
            <w:vAlign w:val="center"/>
          </w:tcPr>
          <w:p w14:paraId="7872FF48" w14:textId="5DD7C006"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4"/>
                <w14:textFill>
                  <w14:solidFill>
                    <w14:srgbClr w14:val="000000">
                      <w14:alpha w14:val="100000"/>
                    </w14:srgbClr>
                  </w14:solidFill>
                </w14:textFill>
              </w:rPr>
              <w:t xml:space="preserve">　</w:t>
            </w:r>
            <w:r w:rsidRPr="00157755">
              <w:rPr>
                <w:iCs/>
                <w:color w:val="000000"/>
                <w:w w:val="18"/>
                <w:szCs w:val="20"/>
                <w:shd w:val="solid" w:color="000000" w:fill="000000"/>
                <w:fitText w:val="80" w:id="-1032130294"/>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4"/>
                <w14:textFill>
                  <w14:solidFill>
                    <w14:srgbClr w14:val="000000">
                      <w14:alpha w14:val="100000"/>
                    </w14:srgbClr>
                  </w14:solidFill>
                </w14:textFill>
              </w:rPr>
              <w:t xml:space="preserve">　</w:t>
            </w:r>
            <w:r w:rsidR="007F0FE2">
              <w:rPr>
                <w:iCs/>
                <w:szCs w:val="20"/>
                <w:vertAlign w:val="superscript"/>
              </w:rPr>
              <w:t>6</w:t>
            </w:r>
          </w:p>
        </w:tc>
        <w:tc>
          <w:tcPr>
            <w:tcW w:w="613" w:type="pct"/>
            <w:vAlign w:val="center"/>
          </w:tcPr>
          <w:p w14:paraId="6EB85322" w14:textId="2BA4AF06"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3"/>
                <w14:textFill>
                  <w14:solidFill>
                    <w14:srgbClr w14:val="000000">
                      <w14:alpha w14:val="100000"/>
                    </w14:srgbClr>
                  </w14:solidFill>
                </w14:textFill>
              </w:rPr>
              <w:t xml:space="preserve">　</w:t>
            </w:r>
            <w:r w:rsidRPr="00157755">
              <w:rPr>
                <w:iCs/>
                <w:color w:val="000000"/>
                <w:w w:val="18"/>
                <w:szCs w:val="20"/>
                <w:shd w:val="solid" w:color="000000" w:fill="000000"/>
                <w:fitText w:val="80" w:id="-103213029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3"/>
                <w14:textFill>
                  <w14:solidFill>
                    <w14:srgbClr w14:val="000000">
                      <w14:alpha w14:val="100000"/>
                    </w14:srgbClr>
                  </w14:solidFill>
                </w14:textFill>
              </w:rPr>
              <w:t xml:space="preserve">　</w:t>
            </w:r>
            <w:r w:rsidR="007F0FE2">
              <w:rPr>
                <w:iCs/>
                <w:szCs w:val="20"/>
                <w:vertAlign w:val="superscript"/>
              </w:rPr>
              <w:t>5</w:t>
            </w:r>
          </w:p>
        </w:tc>
        <w:tc>
          <w:tcPr>
            <w:tcW w:w="612" w:type="pct"/>
            <w:vAlign w:val="center"/>
          </w:tcPr>
          <w:p w14:paraId="305A216F" w14:textId="2045BE96"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2"/>
                <w14:textFill>
                  <w14:solidFill>
                    <w14:srgbClr w14:val="000000">
                      <w14:alpha w14:val="100000"/>
                    </w14:srgbClr>
                  </w14:solidFill>
                </w14:textFill>
              </w:rPr>
              <w:t xml:space="preserve">　</w:t>
            </w:r>
            <w:r w:rsidRPr="00157755">
              <w:rPr>
                <w:iCs/>
                <w:color w:val="000000"/>
                <w:w w:val="18"/>
                <w:szCs w:val="20"/>
                <w:shd w:val="solid" w:color="000000" w:fill="000000"/>
                <w:fitText w:val="80" w:id="-103213029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2"/>
                <w14:textFill>
                  <w14:solidFill>
                    <w14:srgbClr w14:val="000000">
                      <w14:alpha w14:val="100000"/>
                    </w14:srgbClr>
                  </w14:solidFill>
                </w14:textFill>
              </w:rPr>
              <w:t xml:space="preserve">　</w:t>
            </w:r>
            <w:r w:rsidR="007F0FE2">
              <w:rPr>
                <w:iCs/>
                <w:szCs w:val="20"/>
                <w:vertAlign w:val="superscript"/>
              </w:rPr>
              <w:t>7</w:t>
            </w:r>
          </w:p>
        </w:tc>
        <w:tc>
          <w:tcPr>
            <w:tcW w:w="612" w:type="pct"/>
            <w:vAlign w:val="center"/>
          </w:tcPr>
          <w:p w14:paraId="0CC17053" w14:textId="16C66F85"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1"/>
                <w14:textFill>
                  <w14:solidFill>
                    <w14:srgbClr w14:val="000000">
                      <w14:alpha w14:val="100000"/>
                    </w14:srgbClr>
                  </w14:solidFill>
                </w14:textFill>
              </w:rPr>
              <w:t xml:space="preserve">　</w:t>
            </w:r>
            <w:r w:rsidRPr="00157755">
              <w:rPr>
                <w:iCs/>
                <w:color w:val="000000"/>
                <w:w w:val="18"/>
                <w:szCs w:val="20"/>
                <w:shd w:val="solid" w:color="000000" w:fill="000000"/>
                <w:fitText w:val="80" w:id="-1032130291"/>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1"/>
                <w14:textFill>
                  <w14:solidFill>
                    <w14:srgbClr w14:val="000000">
                      <w14:alpha w14:val="100000"/>
                    </w14:srgbClr>
                  </w14:solidFill>
                </w14:textFill>
              </w:rPr>
              <w:t xml:space="preserve">　</w:t>
            </w:r>
            <w:r w:rsidR="007F0FE2">
              <w:rPr>
                <w:iCs/>
                <w:szCs w:val="20"/>
                <w:vertAlign w:val="superscript"/>
              </w:rPr>
              <w:t>8</w:t>
            </w:r>
          </w:p>
        </w:tc>
        <w:tc>
          <w:tcPr>
            <w:tcW w:w="613" w:type="pct"/>
            <w:vAlign w:val="center"/>
          </w:tcPr>
          <w:p w14:paraId="73FEE130" w14:textId="35218A25"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290"/>
                <w14:textFill>
                  <w14:solidFill>
                    <w14:srgbClr w14:val="000000">
                      <w14:alpha w14:val="100000"/>
                    </w14:srgbClr>
                  </w14:solidFill>
                </w14:textFill>
              </w:rPr>
              <w:t xml:space="preserve">　</w:t>
            </w:r>
            <w:r w:rsidRPr="00157755">
              <w:rPr>
                <w:iCs/>
                <w:color w:val="000000"/>
                <w:w w:val="18"/>
                <w:szCs w:val="20"/>
                <w:shd w:val="solid" w:color="000000" w:fill="000000"/>
                <w:fitText w:val="80" w:id="-1032130290"/>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290"/>
                <w14:textFill>
                  <w14:solidFill>
                    <w14:srgbClr w14:val="000000">
                      <w14:alpha w14:val="100000"/>
                    </w14:srgbClr>
                  </w14:solidFill>
                </w14:textFill>
              </w:rPr>
              <w:t xml:space="preserve">　</w:t>
            </w:r>
            <w:r w:rsidR="007F0FE2">
              <w:rPr>
                <w:iCs/>
                <w:szCs w:val="20"/>
                <w:vertAlign w:val="superscript"/>
              </w:rPr>
              <w:t>8</w:t>
            </w:r>
          </w:p>
        </w:tc>
        <w:tc>
          <w:tcPr>
            <w:tcW w:w="625" w:type="pct"/>
            <w:vAlign w:val="center"/>
          </w:tcPr>
          <w:p w14:paraId="1411E1C1" w14:textId="4D527CC1" w:rsidR="00DF6726" w:rsidRPr="0049396B" w:rsidRDefault="0015085A" w:rsidP="00020E51">
            <w:pPr>
              <w:pStyle w:val="TableText0"/>
              <w:keepLines/>
              <w:widowControl w:val="0"/>
              <w:jc w:val="center"/>
              <w:rPr>
                <w:iCs/>
                <w:szCs w:val="20"/>
              </w:rPr>
            </w:pPr>
            <w:r>
              <w:rPr>
                <w:iCs/>
                <w:szCs w:val="20"/>
              </w:rPr>
              <w:t xml:space="preserve"> </w:t>
            </w:r>
            <w:r w:rsidRPr="00157755">
              <w:rPr>
                <w:rFonts w:hint="eastAsia"/>
                <w:iCs/>
                <w:color w:val="000000"/>
                <w:w w:val="15"/>
                <w:szCs w:val="20"/>
                <w:shd w:val="solid" w:color="000000" w:fill="000000"/>
                <w:fitText w:val="70" w:id="-1032130289"/>
                <w14:textFill>
                  <w14:solidFill>
                    <w14:srgbClr w14:val="000000">
                      <w14:alpha w14:val="100000"/>
                    </w14:srgbClr>
                  </w14:solidFill>
                </w14:textFill>
              </w:rPr>
              <w:t xml:space="preserve">　</w:t>
            </w:r>
            <w:r w:rsidRPr="00157755">
              <w:rPr>
                <w:iCs/>
                <w:color w:val="000000"/>
                <w:w w:val="15"/>
                <w:szCs w:val="20"/>
                <w:shd w:val="solid" w:color="000000" w:fill="000000"/>
                <w:fitText w:val="70" w:id="-1032130289"/>
                <w14:textFill>
                  <w14:solidFill>
                    <w14:srgbClr w14:val="000000">
                      <w14:alpha w14:val="100000"/>
                    </w14:srgbClr>
                  </w14:solidFill>
                </w14:textFill>
              </w:rPr>
              <w:t>|</w:t>
            </w:r>
            <w:r w:rsidRPr="00157755">
              <w:rPr>
                <w:rFonts w:hint="eastAsia"/>
                <w:iCs/>
                <w:color w:val="000000"/>
                <w:spacing w:val="4"/>
                <w:w w:val="15"/>
                <w:szCs w:val="20"/>
                <w:shd w:val="solid" w:color="000000" w:fill="000000"/>
                <w:fitText w:val="70" w:id="-1032130289"/>
                <w14:textFill>
                  <w14:solidFill>
                    <w14:srgbClr w14:val="000000">
                      <w14:alpha w14:val="100000"/>
                    </w14:srgbClr>
                  </w14:solidFill>
                </w14:textFill>
              </w:rPr>
              <w:t xml:space="preserve">　</w:t>
            </w:r>
            <w:r w:rsidR="007F0FE2">
              <w:rPr>
                <w:iCs/>
                <w:szCs w:val="20"/>
                <w:vertAlign w:val="superscript"/>
              </w:rPr>
              <w:t>9</w:t>
            </w:r>
            <w:r w:rsidR="005C5151">
              <w:rPr>
                <w:iCs/>
                <w:szCs w:val="20"/>
                <w:vertAlign w:val="superscript"/>
              </w:rPr>
              <w:t xml:space="preserve"> </w:t>
            </w:r>
            <w:r w:rsidR="005C5151">
              <w:rPr>
                <w:iCs/>
                <w:szCs w:val="20"/>
              </w:rPr>
              <w:t>(</w:t>
            </w:r>
            <w:r w:rsidR="00DF6726" w:rsidRPr="0049396B">
              <w:rPr>
                <w:iCs/>
                <w:szCs w:val="20"/>
              </w:rPr>
              <w:t>258%)</w:t>
            </w:r>
          </w:p>
        </w:tc>
      </w:tr>
      <w:tr w:rsidR="00DF6726" w:rsidRPr="0049396B" w14:paraId="5135BE3A" w14:textId="77777777" w:rsidTr="00D94CF5">
        <w:trPr>
          <w:trHeight w:val="20"/>
        </w:trPr>
        <w:tc>
          <w:tcPr>
            <w:tcW w:w="5000" w:type="pct"/>
            <w:gridSpan w:val="8"/>
          </w:tcPr>
          <w:p w14:paraId="41E033F3" w14:textId="77777777" w:rsidR="00DF6726" w:rsidRPr="0049396B" w:rsidRDefault="00DF6726" w:rsidP="00020E51">
            <w:pPr>
              <w:pStyle w:val="TableText0"/>
              <w:keepLines/>
              <w:widowControl w:val="0"/>
              <w:rPr>
                <w:b/>
                <w:iCs/>
                <w:szCs w:val="20"/>
              </w:rPr>
            </w:pPr>
            <w:r w:rsidRPr="0049396B">
              <w:rPr>
                <w:b/>
                <w:iCs/>
                <w:szCs w:val="20"/>
              </w:rPr>
              <w:t>S9: Treatment cycle length (base 1 month)</w:t>
            </w:r>
          </w:p>
        </w:tc>
      </w:tr>
      <w:tr w:rsidR="00DF6726" w:rsidRPr="0049396B" w14:paraId="70D14715" w14:textId="77777777" w:rsidTr="00D94CF5">
        <w:trPr>
          <w:trHeight w:val="20"/>
        </w:trPr>
        <w:tc>
          <w:tcPr>
            <w:tcW w:w="701" w:type="pct"/>
            <w:vAlign w:val="center"/>
          </w:tcPr>
          <w:p w14:paraId="15CFA5D1" w14:textId="77777777" w:rsidR="00DF6726" w:rsidRPr="0049396B" w:rsidRDefault="00DF6726" w:rsidP="00020E51">
            <w:pPr>
              <w:pStyle w:val="TableText0"/>
              <w:keepLines/>
              <w:widowControl w:val="0"/>
              <w:rPr>
                <w:iCs/>
                <w:szCs w:val="20"/>
              </w:rPr>
            </w:pPr>
            <w:r w:rsidRPr="0049396B">
              <w:rPr>
                <w:iCs/>
                <w:szCs w:val="20"/>
              </w:rPr>
              <w:t>28 days</w:t>
            </w:r>
          </w:p>
        </w:tc>
        <w:tc>
          <w:tcPr>
            <w:tcW w:w="612" w:type="pct"/>
            <w:vAlign w:val="center"/>
          </w:tcPr>
          <w:p w14:paraId="5A19083C" w14:textId="1C248D40"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4"/>
                <w14:textFill>
                  <w14:solidFill>
                    <w14:srgbClr w14:val="000000">
                      <w14:alpha w14:val="100000"/>
                    </w14:srgbClr>
                  </w14:solidFill>
                </w14:textFill>
              </w:rPr>
              <w:t xml:space="preserve">　</w:t>
            </w:r>
            <w:r w:rsidRPr="00157755">
              <w:rPr>
                <w:iCs/>
                <w:color w:val="000000"/>
                <w:w w:val="18"/>
                <w:szCs w:val="20"/>
                <w:shd w:val="solid" w:color="000000" w:fill="000000"/>
                <w:fitText w:val="80" w:id="-1032130304"/>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4"/>
                <w14:textFill>
                  <w14:solidFill>
                    <w14:srgbClr w14:val="000000">
                      <w14:alpha w14:val="100000"/>
                    </w14:srgbClr>
                  </w14:solidFill>
                </w14:textFill>
              </w:rPr>
              <w:t xml:space="preserve">　</w:t>
            </w:r>
            <w:r w:rsidR="00942C23" w:rsidRPr="00942C23">
              <w:rPr>
                <w:iCs/>
                <w:szCs w:val="20"/>
                <w:vertAlign w:val="superscript"/>
              </w:rPr>
              <w:t>1</w:t>
            </w:r>
          </w:p>
        </w:tc>
        <w:tc>
          <w:tcPr>
            <w:tcW w:w="612" w:type="pct"/>
            <w:vAlign w:val="center"/>
          </w:tcPr>
          <w:p w14:paraId="0D5DC050" w14:textId="1B14942E"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3"/>
                <w14:textFill>
                  <w14:solidFill>
                    <w14:srgbClr w14:val="000000">
                      <w14:alpha w14:val="100000"/>
                    </w14:srgbClr>
                  </w14:solidFill>
                </w14:textFill>
              </w:rPr>
              <w:t xml:space="preserve">　</w:t>
            </w:r>
            <w:r w:rsidRPr="00157755">
              <w:rPr>
                <w:iCs/>
                <w:color w:val="000000"/>
                <w:w w:val="18"/>
                <w:szCs w:val="20"/>
                <w:shd w:val="solid" w:color="000000" w:fill="000000"/>
                <w:fitText w:val="80" w:id="-103213030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3"/>
                <w14:textFill>
                  <w14:solidFill>
                    <w14:srgbClr w14:val="000000">
                      <w14:alpha w14:val="100000"/>
                    </w14:srgbClr>
                  </w14:solidFill>
                </w14:textFill>
              </w:rPr>
              <w:t xml:space="preserve">　</w:t>
            </w:r>
            <w:r w:rsidR="00942C23" w:rsidRPr="00942C23">
              <w:rPr>
                <w:iCs/>
                <w:szCs w:val="20"/>
                <w:vertAlign w:val="superscript"/>
              </w:rPr>
              <w:t>1</w:t>
            </w:r>
          </w:p>
        </w:tc>
        <w:tc>
          <w:tcPr>
            <w:tcW w:w="613" w:type="pct"/>
            <w:vAlign w:val="center"/>
          </w:tcPr>
          <w:p w14:paraId="60A780B9" w14:textId="52B4EAB7"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302"/>
                <w14:textFill>
                  <w14:solidFill>
                    <w14:srgbClr w14:val="000000">
                      <w14:alpha w14:val="100000"/>
                    </w14:srgbClr>
                  </w14:solidFill>
                </w14:textFill>
              </w:rPr>
              <w:t xml:space="preserve">　</w:t>
            </w:r>
            <w:r w:rsidRPr="00157755">
              <w:rPr>
                <w:iCs/>
                <w:color w:val="000000"/>
                <w:w w:val="18"/>
                <w:szCs w:val="20"/>
                <w:shd w:val="solid" w:color="000000" w:fill="000000"/>
                <w:fitText w:val="80" w:id="-103213030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302"/>
                <w14:textFill>
                  <w14:solidFill>
                    <w14:srgbClr w14:val="000000">
                      <w14:alpha w14:val="100000"/>
                    </w14:srgbClr>
                  </w14:solidFill>
                </w14:textFill>
              </w:rPr>
              <w:t xml:space="preserve">　</w:t>
            </w:r>
            <w:r w:rsidR="00942C23" w:rsidRPr="00942C23">
              <w:rPr>
                <w:iCs/>
                <w:szCs w:val="20"/>
                <w:vertAlign w:val="superscript"/>
              </w:rPr>
              <w:t>1</w:t>
            </w:r>
          </w:p>
        </w:tc>
        <w:tc>
          <w:tcPr>
            <w:tcW w:w="612" w:type="pct"/>
            <w:vAlign w:val="center"/>
          </w:tcPr>
          <w:p w14:paraId="150213E0" w14:textId="369FC544"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8"/>
                <w14:textFill>
                  <w14:solidFill>
                    <w14:srgbClr w14:val="000000">
                      <w14:alpha w14:val="100000"/>
                    </w14:srgbClr>
                  </w14:solidFill>
                </w14:textFill>
              </w:rPr>
              <w:t xml:space="preserve">　</w:t>
            </w:r>
            <w:r w:rsidRPr="00157755">
              <w:rPr>
                <w:iCs/>
                <w:color w:val="000000"/>
                <w:w w:val="18"/>
                <w:szCs w:val="20"/>
                <w:shd w:val="solid" w:color="000000" w:fill="000000"/>
                <w:fitText w:val="80" w:id="-1032130048"/>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8"/>
                <w14:textFill>
                  <w14:solidFill>
                    <w14:srgbClr w14:val="000000">
                      <w14:alpha w14:val="100000"/>
                    </w14:srgbClr>
                  </w14:solidFill>
                </w14:textFill>
              </w:rPr>
              <w:t xml:space="preserve">　</w:t>
            </w:r>
            <w:r w:rsidR="007F0FE2">
              <w:rPr>
                <w:iCs/>
                <w:szCs w:val="20"/>
                <w:vertAlign w:val="superscript"/>
              </w:rPr>
              <w:t>2</w:t>
            </w:r>
          </w:p>
        </w:tc>
        <w:tc>
          <w:tcPr>
            <w:tcW w:w="612" w:type="pct"/>
            <w:vAlign w:val="center"/>
          </w:tcPr>
          <w:p w14:paraId="0BC1239D" w14:textId="0F325F44"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7"/>
                <w14:textFill>
                  <w14:solidFill>
                    <w14:srgbClr w14:val="000000">
                      <w14:alpha w14:val="100000"/>
                    </w14:srgbClr>
                  </w14:solidFill>
                </w14:textFill>
              </w:rPr>
              <w:t xml:space="preserve">　</w:t>
            </w:r>
            <w:r w:rsidRPr="00157755">
              <w:rPr>
                <w:iCs/>
                <w:color w:val="000000"/>
                <w:w w:val="18"/>
                <w:szCs w:val="20"/>
                <w:shd w:val="solid" w:color="000000" w:fill="000000"/>
                <w:fitText w:val="80" w:id="-1032130047"/>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7"/>
                <w14:textFill>
                  <w14:solidFill>
                    <w14:srgbClr w14:val="000000">
                      <w14:alpha w14:val="100000"/>
                    </w14:srgbClr>
                  </w14:solidFill>
                </w14:textFill>
              </w:rPr>
              <w:t xml:space="preserve">　</w:t>
            </w:r>
            <w:r w:rsidR="007F0FE2">
              <w:rPr>
                <w:iCs/>
                <w:szCs w:val="20"/>
                <w:vertAlign w:val="superscript"/>
              </w:rPr>
              <w:t>2</w:t>
            </w:r>
          </w:p>
        </w:tc>
        <w:tc>
          <w:tcPr>
            <w:tcW w:w="613" w:type="pct"/>
            <w:vAlign w:val="center"/>
          </w:tcPr>
          <w:p w14:paraId="0B7FEA19" w14:textId="3FAEDA5B"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6"/>
                <w14:textFill>
                  <w14:solidFill>
                    <w14:srgbClr w14:val="000000">
                      <w14:alpha w14:val="100000"/>
                    </w14:srgbClr>
                  </w14:solidFill>
                </w14:textFill>
              </w:rPr>
              <w:t xml:space="preserve">　</w:t>
            </w:r>
            <w:r w:rsidRPr="00157755">
              <w:rPr>
                <w:iCs/>
                <w:color w:val="000000"/>
                <w:w w:val="18"/>
                <w:szCs w:val="20"/>
                <w:shd w:val="solid" w:color="000000" w:fill="000000"/>
                <w:fitText w:val="80" w:id="-1032130046"/>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6"/>
                <w14:textFill>
                  <w14:solidFill>
                    <w14:srgbClr w14:val="000000">
                      <w14:alpha w14:val="100000"/>
                    </w14:srgbClr>
                  </w14:solidFill>
                </w14:textFill>
              </w:rPr>
              <w:t xml:space="preserve">　</w:t>
            </w:r>
            <w:r w:rsidR="007F0FE2">
              <w:rPr>
                <w:iCs/>
                <w:szCs w:val="20"/>
                <w:vertAlign w:val="superscript"/>
              </w:rPr>
              <w:t>2</w:t>
            </w:r>
          </w:p>
        </w:tc>
        <w:tc>
          <w:tcPr>
            <w:tcW w:w="625" w:type="pct"/>
            <w:vAlign w:val="center"/>
          </w:tcPr>
          <w:p w14:paraId="6D18F08D" w14:textId="4AE2DB36" w:rsidR="00DF6726" w:rsidRPr="0049396B" w:rsidRDefault="0015085A" w:rsidP="00020E51">
            <w:pPr>
              <w:pStyle w:val="TableText0"/>
              <w:keepLines/>
              <w:widowControl w:val="0"/>
              <w:jc w:val="center"/>
              <w:rPr>
                <w:iCs/>
                <w:szCs w:val="20"/>
              </w:rPr>
            </w:pPr>
            <w:r>
              <w:rPr>
                <w:iCs/>
                <w:szCs w:val="20"/>
              </w:rPr>
              <w:t xml:space="preserve"> </w:t>
            </w:r>
            <w:r w:rsidRPr="00157755">
              <w:rPr>
                <w:rFonts w:hint="eastAsia"/>
                <w:iCs/>
                <w:color w:val="000000"/>
                <w:w w:val="15"/>
                <w:szCs w:val="20"/>
                <w:shd w:val="solid" w:color="000000" w:fill="000000"/>
                <w:fitText w:val="70" w:id="-1032130045"/>
                <w14:textFill>
                  <w14:solidFill>
                    <w14:srgbClr w14:val="000000">
                      <w14:alpha w14:val="100000"/>
                    </w14:srgbClr>
                  </w14:solidFill>
                </w14:textFill>
              </w:rPr>
              <w:t xml:space="preserve">　</w:t>
            </w:r>
            <w:r w:rsidRPr="00157755">
              <w:rPr>
                <w:iCs/>
                <w:color w:val="000000"/>
                <w:w w:val="15"/>
                <w:szCs w:val="20"/>
                <w:shd w:val="solid" w:color="000000" w:fill="000000"/>
                <w:fitText w:val="70" w:id="-1032130045"/>
                <w14:textFill>
                  <w14:solidFill>
                    <w14:srgbClr w14:val="000000">
                      <w14:alpha w14:val="100000"/>
                    </w14:srgbClr>
                  </w14:solidFill>
                </w14:textFill>
              </w:rPr>
              <w:t>|</w:t>
            </w:r>
            <w:r w:rsidRPr="00157755">
              <w:rPr>
                <w:rFonts w:hint="eastAsia"/>
                <w:iCs/>
                <w:color w:val="000000"/>
                <w:spacing w:val="4"/>
                <w:w w:val="15"/>
                <w:szCs w:val="20"/>
                <w:shd w:val="solid" w:color="000000" w:fill="000000"/>
                <w:fitText w:val="70" w:id="-1032130045"/>
                <w14:textFill>
                  <w14:solidFill>
                    <w14:srgbClr w14:val="000000">
                      <w14:alpha w14:val="100000"/>
                    </w14:srgbClr>
                  </w14:solidFill>
                </w14:textFill>
              </w:rPr>
              <w:t xml:space="preserve">　</w:t>
            </w:r>
            <w:r w:rsidR="007F0FE2">
              <w:rPr>
                <w:iCs/>
                <w:szCs w:val="20"/>
                <w:vertAlign w:val="superscript"/>
              </w:rPr>
              <w:t>3</w:t>
            </w:r>
            <w:r>
              <w:rPr>
                <w:iCs/>
                <w:szCs w:val="20"/>
              </w:rPr>
              <w:t xml:space="preserve"> </w:t>
            </w:r>
            <w:r w:rsidR="00DF6726" w:rsidRPr="0049396B">
              <w:rPr>
                <w:iCs/>
                <w:szCs w:val="20"/>
              </w:rPr>
              <w:t>(8%)</w:t>
            </w:r>
          </w:p>
        </w:tc>
      </w:tr>
      <w:tr w:rsidR="00DF6726" w:rsidRPr="0049396B" w14:paraId="62ABBF7D" w14:textId="77777777" w:rsidTr="00D94CF5">
        <w:trPr>
          <w:trHeight w:val="20"/>
        </w:trPr>
        <w:tc>
          <w:tcPr>
            <w:tcW w:w="5000" w:type="pct"/>
            <w:gridSpan w:val="8"/>
            <w:vAlign w:val="center"/>
          </w:tcPr>
          <w:p w14:paraId="27A0E631" w14:textId="77777777" w:rsidR="00DF6726" w:rsidRPr="0049396B" w:rsidRDefault="00DF6726" w:rsidP="00020E51">
            <w:pPr>
              <w:pStyle w:val="TableText0"/>
              <w:keepLines/>
              <w:widowControl w:val="0"/>
              <w:rPr>
                <w:b/>
                <w:iCs/>
                <w:szCs w:val="20"/>
              </w:rPr>
            </w:pPr>
            <w:r w:rsidRPr="0049396B">
              <w:rPr>
                <w:b/>
                <w:iCs/>
                <w:szCs w:val="20"/>
              </w:rPr>
              <w:t>Multivariate analyses</w:t>
            </w:r>
          </w:p>
        </w:tc>
      </w:tr>
      <w:tr w:rsidR="00DF6726" w:rsidRPr="0049396B" w14:paraId="591E2C0A" w14:textId="77777777" w:rsidTr="00D94CF5">
        <w:trPr>
          <w:trHeight w:val="20"/>
        </w:trPr>
        <w:tc>
          <w:tcPr>
            <w:tcW w:w="701" w:type="pct"/>
            <w:vAlign w:val="center"/>
          </w:tcPr>
          <w:p w14:paraId="71DE0882" w14:textId="77777777" w:rsidR="00DF6726" w:rsidRPr="0049396B" w:rsidRDefault="00DF6726" w:rsidP="00020E51">
            <w:pPr>
              <w:pStyle w:val="TableText0"/>
              <w:keepLines/>
              <w:widowControl w:val="0"/>
              <w:rPr>
                <w:iCs/>
                <w:szCs w:val="20"/>
              </w:rPr>
            </w:pPr>
            <w:r w:rsidRPr="0049396B">
              <w:rPr>
                <w:iCs/>
                <w:szCs w:val="20"/>
              </w:rPr>
              <w:t>MA1: S3&amp;S4</w:t>
            </w:r>
          </w:p>
        </w:tc>
        <w:tc>
          <w:tcPr>
            <w:tcW w:w="612" w:type="pct"/>
            <w:vAlign w:val="center"/>
          </w:tcPr>
          <w:p w14:paraId="6DF944DB" w14:textId="1B592845"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3"/>
                <w14:textFill>
                  <w14:solidFill>
                    <w14:srgbClr w14:val="000000">
                      <w14:alpha w14:val="100000"/>
                    </w14:srgbClr>
                  </w14:solidFill>
                </w14:textFill>
              </w:rPr>
              <w:t xml:space="preserve">　</w:t>
            </w:r>
            <w:r w:rsidRPr="00157755">
              <w:rPr>
                <w:iCs/>
                <w:color w:val="000000"/>
                <w:w w:val="18"/>
                <w:szCs w:val="20"/>
                <w:shd w:val="solid" w:color="000000" w:fill="000000"/>
                <w:fitText w:val="80" w:id="-103213004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3"/>
                <w14:textFill>
                  <w14:solidFill>
                    <w14:srgbClr w14:val="000000">
                      <w14:alpha w14:val="100000"/>
                    </w14:srgbClr>
                  </w14:solidFill>
                </w14:textFill>
              </w:rPr>
              <w:t xml:space="preserve">　</w:t>
            </w:r>
            <w:r w:rsidR="007F0FE2">
              <w:rPr>
                <w:iCs/>
                <w:szCs w:val="20"/>
                <w:vertAlign w:val="superscript"/>
              </w:rPr>
              <w:t>4</w:t>
            </w:r>
          </w:p>
        </w:tc>
        <w:tc>
          <w:tcPr>
            <w:tcW w:w="612" w:type="pct"/>
            <w:vAlign w:val="center"/>
          </w:tcPr>
          <w:p w14:paraId="0ED3797A" w14:textId="722FFD2F"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2"/>
                <w14:textFill>
                  <w14:solidFill>
                    <w14:srgbClr w14:val="000000">
                      <w14:alpha w14:val="100000"/>
                    </w14:srgbClr>
                  </w14:solidFill>
                </w14:textFill>
              </w:rPr>
              <w:t xml:space="preserve">　</w:t>
            </w:r>
            <w:r w:rsidRPr="00157755">
              <w:rPr>
                <w:iCs/>
                <w:color w:val="000000"/>
                <w:w w:val="18"/>
                <w:szCs w:val="20"/>
                <w:shd w:val="solid" w:color="000000" w:fill="000000"/>
                <w:fitText w:val="80" w:id="-103213004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2"/>
                <w14:textFill>
                  <w14:solidFill>
                    <w14:srgbClr w14:val="000000">
                      <w14:alpha w14:val="100000"/>
                    </w14:srgbClr>
                  </w14:solidFill>
                </w14:textFill>
              </w:rPr>
              <w:t xml:space="preserve">　</w:t>
            </w:r>
            <w:r w:rsidR="007F0FE2">
              <w:rPr>
                <w:iCs/>
                <w:szCs w:val="20"/>
                <w:vertAlign w:val="superscript"/>
              </w:rPr>
              <w:t>2</w:t>
            </w:r>
          </w:p>
        </w:tc>
        <w:tc>
          <w:tcPr>
            <w:tcW w:w="613" w:type="pct"/>
            <w:vAlign w:val="center"/>
          </w:tcPr>
          <w:p w14:paraId="61E7F0CB" w14:textId="04A717E7"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1"/>
                <w14:textFill>
                  <w14:solidFill>
                    <w14:srgbClr w14:val="000000">
                      <w14:alpha w14:val="100000"/>
                    </w14:srgbClr>
                  </w14:solidFill>
                </w14:textFill>
              </w:rPr>
              <w:t xml:space="preserve">　</w:t>
            </w:r>
            <w:r w:rsidRPr="00157755">
              <w:rPr>
                <w:iCs/>
                <w:color w:val="000000"/>
                <w:w w:val="18"/>
                <w:szCs w:val="20"/>
                <w:shd w:val="solid" w:color="000000" w:fill="000000"/>
                <w:fitText w:val="80" w:id="-1032130041"/>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1"/>
                <w14:textFill>
                  <w14:solidFill>
                    <w14:srgbClr w14:val="000000">
                      <w14:alpha w14:val="100000"/>
                    </w14:srgbClr>
                  </w14:solidFill>
                </w14:textFill>
              </w:rPr>
              <w:t xml:space="preserve">　</w:t>
            </w:r>
            <w:r w:rsidR="007F0FE2">
              <w:rPr>
                <w:iCs/>
                <w:szCs w:val="20"/>
                <w:vertAlign w:val="superscript"/>
              </w:rPr>
              <w:t>2</w:t>
            </w:r>
          </w:p>
        </w:tc>
        <w:tc>
          <w:tcPr>
            <w:tcW w:w="612" w:type="pct"/>
            <w:vAlign w:val="center"/>
          </w:tcPr>
          <w:p w14:paraId="1A0D93C9" w14:textId="1BFD3A0B"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0"/>
                <w14:textFill>
                  <w14:solidFill>
                    <w14:srgbClr w14:val="000000">
                      <w14:alpha w14:val="100000"/>
                    </w14:srgbClr>
                  </w14:solidFill>
                </w14:textFill>
              </w:rPr>
              <w:t xml:space="preserve">　</w:t>
            </w:r>
            <w:r w:rsidRPr="00157755">
              <w:rPr>
                <w:iCs/>
                <w:color w:val="000000"/>
                <w:w w:val="18"/>
                <w:szCs w:val="20"/>
                <w:shd w:val="solid" w:color="000000" w:fill="000000"/>
                <w:fitText w:val="80" w:id="-1032130040"/>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0"/>
                <w14:textFill>
                  <w14:solidFill>
                    <w14:srgbClr w14:val="000000">
                      <w14:alpha w14:val="100000"/>
                    </w14:srgbClr>
                  </w14:solidFill>
                </w14:textFill>
              </w:rPr>
              <w:t xml:space="preserve">　</w:t>
            </w:r>
            <w:r w:rsidR="007F0FE2">
              <w:rPr>
                <w:iCs/>
                <w:szCs w:val="20"/>
                <w:vertAlign w:val="superscript"/>
              </w:rPr>
              <w:t>2</w:t>
            </w:r>
          </w:p>
        </w:tc>
        <w:tc>
          <w:tcPr>
            <w:tcW w:w="612" w:type="pct"/>
            <w:vAlign w:val="center"/>
          </w:tcPr>
          <w:p w14:paraId="15EB390C" w14:textId="608065F3"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39"/>
                <w14:textFill>
                  <w14:solidFill>
                    <w14:srgbClr w14:val="000000">
                      <w14:alpha w14:val="100000"/>
                    </w14:srgbClr>
                  </w14:solidFill>
                </w14:textFill>
              </w:rPr>
              <w:t xml:space="preserve">　</w:t>
            </w:r>
            <w:r w:rsidRPr="00157755">
              <w:rPr>
                <w:iCs/>
                <w:color w:val="000000"/>
                <w:w w:val="18"/>
                <w:szCs w:val="20"/>
                <w:shd w:val="solid" w:color="000000" w:fill="000000"/>
                <w:fitText w:val="80" w:id="-1032130039"/>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39"/>
                <w14:textFill>
                  <w14:solidFill>
                    <w14:srgbClr w14:val="000000">
                      <w14:alpha w14:val="100000"/>
                    </w14:srgbClr>
                  </w14:solidFill>
                </w14:textFill>
              </w:rPr>
              <w:t xml:space="preserve">　</w:t>
            </w:r>
            <w:r w:rsidR="007F0FE2">
              <w:rPr>
                <w:iCs/>
                <w:szCs w:val="20"/>
                <w:vertAlign w:val="superscript"/>
              </w:rPr>
              <w:t>4</w:t>
            </w:r>
          </w:p>
        </w:tc>
        <w:tc>
          <w:tcPr>
            <w:tcW w:w="613" w:type="pct"/>
            <w:vAlign w:val="center"/>
          </w:tcPr>
          <w:p w14:paraId="7BF84F95" w14:textId="51A92A40"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38"/>
                <w14:textFill>
                  <w14:solidFill>
                    <w14:srgbClr w14:val="000000">
                      <w14:alpha w14:val="100000"/>
                    </w14:srgbClr>
                  </w14:solidFill>
                </w14:textFill>
              </w:rPr>
              <w:t xml:space="preserve">　</w:t>
            </w:r>
            <w:r w:rsidRPr="00157755">
              <w:rPr>
                <w:iCs/>
                <w:color w:val="000000"/>
                <w:w w:val="18"/>
                <w:szCs w:val="20"/>
                <w:shd w:val="solid" w:color="000000" w:fill="000000"/>
                <w:fitText w:val="80" w:id="-1032130038"/>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38"/>
                <w14:textFill>
                  <w14:solidFill>
                    <w14:srgbClr w14:val="000000">
                      <w14:alpha w14:val="100000"/>
                    </w14:srgbClr>
                  </w14:solidFill>
                </w14:textFill>
              </w:rPr>
              <w:t xml:space="preserve">　</w:t>
            </w:r>
            <w:r w:rsidR="007F0FE2">
              <w:rPr>
                <w:iCs/>
                <w:szCs w:val="20"/>
                <w:vertAlign w:val="superscript"/>
              </w:rPr>
              <w:t>4</w:t>
            </w:r>
          </w:p>
        </w:tc>
        <w:tc>
          <w:tcPr>
            <w:tcW w:w="625" w:type="pct"/>
            <w:vAlign w:val="center"/>
          </w:tcPr>
          <w:p w14:paraId="4C93B1F0" w14:textId="3994E274" w:rsidR="00DF6726" w:rsidRPr="0049396B" w:rsidRDefault="0015085A" w:rsidP="00020E51">
            <w:pPr>
              <w:pStyle w:val="TableText0"/>
              <w:keepLines/>
              <w:widowControl w:val="0"/>
              <w:jc w:val="center"/>
              <w:rPr>
                <w:iCs/>
                <w:szCs w:val="20"/>
              </w:rPr>
            </w:pPr>
            <w:r>
              <w:rPr>
                <w:iCs/>
                <w:szCs w:val="20"/>
              </w:rPr>
              <w:t xml:space="preserve"> </w:t>
            </w:r>
            <w:r w:rsidRPr="00157755">
              <w:rPr>
                <w:rFonts w:hint="eastAsia"/>
                <w:iCs/>
                <w:color w:val="000000"/>
                <w:w w:val="15"/>
                <w:szCs w:val="20"/>
                <w:shd w:val="solid" w:color="000000" w:fill="000000"/>
                <w:fitText w:val="70" w:id="-1032130037"/>
                <w14:textFill>
                  <w14:solidFill>
                    <w14:srgbClr w14:val="000000">
                      <w14:alpha w14:val="100000"/>
                    </w14:srgbClr>
                  </w14:solidFill>
                </w14:textFill>
              </w:rPr>
              <w:t xml:space="preserve">　</w:t>
            </w:r>
            <w:r w:rsidRPr="00157755">
              <w:rPr>
                <w:iCs/>
                <w:color w:val="000000"/>
                <w:w w:val="15"/>
                <w:szCs w:val="20"/>
                <w:shd w:val="solid" w:color="000000" w:fill="000000"/>
                <w:fitText w:val="70" w:id="-1032130037"/>
                <w14:textFill>
                  <w14:solidFill>
                    <w14:srgbClr w14:val="000000">
                      <w14:alpha w14:val="100000"/>
                    </w14:srgbClr>
                  </w14:solidFill>
                </w14:textFill>
              </w:rPr>
              <w:t>|</w:t>
            </w:r>
            <w:r w:rsidRPr="00157755">
              <w:rPr>
                <w:rFonts w:hint="eastAsia"/>
                <w:iCs/>
                <w:color w:val="000000"/>
                <w:spacing w:val="4"/>
                <w:w w:val="15"/>
                <w:szCs w:val="20"/>
                <w:shd w:val="solid" w:color="000000" w:fill="000000"/>
                <w:fitText w:val="70" w:id="-1032130037"/>
                <w14:textFill>
                  <w14:solidFill>
                    <w14:srgbClr w14:val="000000">
                      <w14:alpha w14:val="100000"/>
                    </w14:srgbClr>
                  </w14:solidFill>
                </w14:textFill>
              </w:rPr>
              <w:t xml:space="preserve">　</w:t>
            </w:r>
            <w:r w:rsidR="007F0FE2">
              <w:rPr>
                <w:iCs/>
                <w:szCs w:val="20"/>
                <w:vertAlign w:val="superscript"/>
              </w:rPr>
              <w:t>3</w:t>
            </w:r>
            <w:r>
              <w:rPr>
                <w:iCs/>
                <w:szCs w:val="20"/>
              </w:rPr>
              <w:t xml:space="preserve"> </w:t>
            </w:r>
            <w:r w:rsidR="00DF6726" w:rsidRPr="0049396B">
              <w:rPr>
                <w:iCs/>
                <w:szCs w:val="20"/>
              </w:rPr>
              <w:t>(57%)</w:t>
            </w:r>
          </w:p>
        </w:tc>
      </w:tr>
      <w:tr w:rsidR="00DF6726" w:rsidRPr="0049396B" w14:paraId="0B9DECEF" w14:textId="77777777" w:rsidTr="00D94CF5">
        <w:trPr>
          <w:trHeight w:val="20"/>
        </w:trPr>
        <w:tc>
          <w:tcPr>
            <w:tcW w:w="701" w:type="pct"/>
            <w:vAlign w:val="center"/>
          </w:tcPr>
          <w:p w14:paraId="758C59AA" w14:textId="77777777" w:rsidR="00DF6726" w:rsidRPr="0049396B" w:rsidRDefault="00DF6726" w:rsidP="00020E51">
            <w:pPr>
              <w:pStyle w:val="TableText0"/>
              <w:keepLines/>
              <w:widowControl w:val="0"/>
              <w:rPr>
                <w:iCs/>
                <w:szCs w:val="20"/>
              </w:rPr>
            </w:pPr>
            <w:r w:rsidRPr="0049396B">
              <w:rPr>
                <w:iCs/>
                <w:szCs w:val="20"/>
              </w:rPr>
              <w:t>MA2: MA1&amp;S1</w:t>
            </w:r>
          </w:p>
        </w:tc>
        <w:tc>
          <w:tcPr>
            <w:tcW w:w="612" w:type="pct"/>
            <w:vAlign w:val="center"/>
          </w:tcPr>
          <w:p w14:paraId="2458CD63" w14:textId="4C023E1F" w:rsidR="00DF6726" w:rsidRPr="00942C23" w:rsidRDefault="0015085A" w:rsidP="00020E51">
            <w:pPr>
              <w:pStyle w:val="TableText0"/>
              <w:keepLines/>
              <w:widowControl w:val="0"/>
              <w:jc w:val="center"/>
              <w:rPr>
                <w:iCs/>
                <w:szCs w:val="20"/>
                <w:highlight w:val="darkGray"/>
              </w:rPr>
            </w:pPr>
            <w:r>
              <w:rPr>
                <w:iCs/>
                <w:szCs w:val="20"/>
              </w:rPr>
              <w:t xml:space="preserve"> </w:t>
            </w:r>
            <w:r w:rsidRPr="0015085A">
              <w:rPr>
                <w:rFonts w:hint="eastAsia"/>
                <w:iCs/>
                <w:color w:val="000000"/>
                <w:w w:val="24"/>
                <w:szCs w:val="20"/>
                <w:shd w:val="solid" w:color="000000" w:fill="000000"/>
                <w:fitText w:val="110" w:id="-1032130035"/>
                <w14:textFill>
                  <w14:solidFill>
                    <w14:srgbClr w14:val="000000">
                      <w14:alpha w14:val="100000"/>
                    </w14:srgbClr>
                  </w14:solidFill>
                </w14:textFill>
              </w:rPr>
              <w:t xml:space="preserve">　</w:t>
            </w:r>
            <w:r w:rsidRPr="0015085A">
              <w:rPr>
                <w:iCs/>
                <w:color w:val="000000"/>
                <w:w w:val="24"/>
                <w:szCs w:val="20"/>
                <w:shd w:val="solid" w:color="000000" w:fill="000000"/>
                <w:fitText w:val="110" w:id="-1032130035"/>
                <w14:textFill>
                  <w14:solidFill>
                    <w14:srgbClr w14:val="000000">
                      <w14:alpha w14:val="100000"/>
                    </w14:srgbClr>
                  </w14:solidFill>
                </w14:textFill>
              </w:rPr>
              <w:t>|</w:t>
            </w:r>
            <w:r w:rsidRPr="0015085A">
              <w:rPr>
                <w:rFonts w:hint="eastAsia"/>
                <w:iCs/>
                <w:color w:val="000000"/>
                <w:spacing w:val="6"/>
                <w:w w:val="24"/>
                <w:szCs w:val="20"/>
                <w:shd w:val="solid" w:color="000000" w:fill="000000"/>
                <w:fitText w:val="110" w:id="-1032130035"/>
                <w14:textFill>
                  <w14:solidFill>
                    <w14:srgbClr w14:val="000000">
                      <w14:alpha w14:val="100000"/>
                    </w14:srgbClr>
                  </w14:solidFill>
                </w14:textFill>
              </w:rPr>
              <w:t xml:space="preserve">　</w:t>
            </w:r>
            <w:r w:rsidR="007F0FE2">
              <w:rPr>
                <w:iCs/>
                <w:szCs w:val="20"/>
                <w:vertAlign w:val="superscript"/>
              </w:rPr>
              <w:t>10</w:t>
            </w:r>
          </w:p>
        </w:tc>
        <w:tc>
          <w:tcPr>
            <w:tcW w:w="612" w:type="pct"/>
            <w:vAlign w:val="center"/>
          </w:tcPr>
          <w:p w14:paraId="7DCC27E7" w14:textId="29129F27"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34"/>
                <w14:textFill>
                  <w14:solidFill>
                    <w14:srgbClr w14:val="000000">
                      <w14:alpha w14:val="100000"/>
                    </w14:srgbClr>
                  </w14:solidFill>
                </w14:textFill>
              </w:rPr>
              <w:t xml:space="preserve">　</w:t>
            </w:r>
            <w:r w:rsidRPr="00157755">
              <w:rPr>
                <w:iCs/>
                <w:color w:val="000000"/>
                <w:w w:val="18"/>
                <w:szCs w:val="20"/>
                <w:shd w:val="solid" w:color="000000" w:fill="000000"/>
                <w:fitText w:val="80" w:id="-1032130034"/>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34"/>
                <w14:textFill>
                  <w14:solidFill>
                    <w14:srgbClr w14:val="000000">
                      <w14:alpha w14:val="100000"/>
                    </w14:srgbClr>
                  </w14:solidFill>
                </w14:textFill>
              </w:rPr>
              <w:t xml:space="preserve">　</w:t>
            </w:r>
            <w:r w:rsidR="007F0FE2">
              <w:rPr>
                <w:iCs/>
                <w:szCs w:val="20"/>
                <w:vertAlign w:val="superscript"/>
              </w:rPr>
              <w:t>2</w:t>
            </w:r>
          </w:p>
        </w:tc>
        <w:tc>
          <w:tcPr>
            <w:tcW w:w="613" w:type="pct"/>
            <w:vAlign w:val="center"/>
          </w:tcPr>
          <w:p w14:paraId="1C23BA10" w14:textId="24B7B8DF"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33"/>
                <w14:textFill>
                  <w14:solidFill>
                    <w14:srgbClr w14:val="000000">
                      <w14:alpha w14:val="100000"/>
                    </w14:srgbClr>
                  </w14:solidFill>
                </w14:textFill>
              </w:rPr>
              <w:t xml:space="preserve">　</w:t>
            </w:r>
            <w:r w:rsidRPr="00157755">
              <w:rPr>
                <w:iCs/>
                <w:color w:val="000000"/>
                <w:w w:val="18"/>
                <w:szCs w:val="20"/>
                <w:shd w:val="solid" w:color="000000" w:fill="000000"/>
                <w:fitText w:val="80" w:id="-103213003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33"/>
                <w14:textFill>
                  <w14:solidFill>
                    <w14:srgbClr w14:val="000000">
                      <w14:alpha w14:val="100000"/>
                    </w14:srgbClr>
                  </w14:solidFill>
                </w14:textFill>
              </w:rPr>
              <w:t xml:space="preserve">　</w:t>
            </w:r>
            <w:r w:rsidR="007F0FE2">
              <w:rPr>
                <w:iCs/>
                <w:szCs w:val="20"/>
                <w:vertAlign w:val="superscript"/>
              </w:rPr>
              <w:t>4</w:t>
            </w:r>
          </w:p>
        </w:tc>
        <w:tc>
          <w:tcPr>
            <w:tcW w:w="612" w:type="pct"/>
            <w:vAlign w:val="center"/>
          </w:tcPr>
          <w:p w14:paraId="21A5B615" w14:textId="6C966597"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32"/>
                <w14:textFill>
                  <w14:solidFill>
                    <w14:srgbClr w14:val="000000">
                      <w14:alpha w14:val="100000"/>
                    </w14:srgbClr>
                  </w14:solidFill>
                </w14:textFill>
              </w:rPr>
              <w:t xml:space="preserve">　</w:t>
            </w:r>
            <w:r w:rsidRPr="00157755">
              <w:rPr>
                <w:iCs/>
                <w:color w:val="000000"/>
                <w:w w:val="18"/>
                <w:szCs w:val="20"/>
                <w:shd w:val="solid" w:color="000000" w:fill="000000"/>
                <w:fitText w:val="80" w:id="-103213003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32"/>
                <w14:textFill>
                  <w14:solidFill>
                    <w14:srgbClr w14:val="000000">
                      <w14:alpha w14:val="100000"/>
                    </w14:srgbClr>
                  </w14:solidFill>
                </w14:textFill>
              </w:rPr>
              <w:t xml:space="preserve">　</w:t>
            </w:r>
            <w:r w:rsidR="007F0FE2">
              <w:rPr>
                <w:iCs/>
                <w:szCs w:val="20"/>
                <w:vertAlign w:val="superscript"/>
              </w:rPr>
              <w:t>4</w:t>
            </w:r>
          </w:p>
        </w:tc>
        <w:tc>
          <w:tcPr>
            <w:tcW w:w="612" w:type="pct"/>
            <w:vAlign w:val="center"/>
          </w:tcPr>
          <w:p w14:paraId="6D46F4EE" w14:textId="119927FB"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8"/>
                <w14:textFill>
                  <w14:solidFill>
                    <w14:srgbClr w14:val="000000">
                      <w14:alpha w14:val="100000"/>
                    </w14:srgbClr>
                  </w14:solidFill>
                </w14:textFill>
              </w:rPr>
              <w:t xml:space="preserve">　</w:t>
            </w:r>
            <w:r w:rsidRPr="00157755">
              <w:rPr>
                <w:iCs/>
                <w:color w:val="000000"/>
                <w:w w:val="18"/>
                <w:szCs w:val="20"/>
                <w:shd w:val="solid" w:color="000000" w:fill="000000"/>
                <w:fitText w:val="80" w:id="-1032130048"/>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8"/>
                <w14:textFill>
                  <w14:solidFill>
                    <w14:srgbClr w14:val="000000">
                      <w14:alpha w14:val="100000"/>
                    </w14:srgbClr>
                  </w14:solidFill>
                </w14:textFill>
              </w:rPr>
              <w:t xml:space="preserve">　</w:t>
            </w:r>
            <w:r w:rsidR="007F0FE2">
              <w:rPr>
                <w:iCs/>
                <w:szCs w:val="20"/>
                <w:vertAlign w:val="superscript"/>
              </w:rPr>
              <w:t>4</w:t>
            </w:r>
          </w:p>
        </w:tc>
        <w:tc>
          <w:tcPr>
            <w:tcW w:w="613" w:type="pct"/>
            <w:vAlign w:val="center"/>
          </w:tcPr>
          <w:p w14:paraId="562F3C3B" w14:textId="712561DD"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7"/>
                <w14:textFill>
                  <w14:solidFill>
                    <w14:srgbClr w14:val="000000">
                      <w14:alpha w14:val="100000"/>
                    </w14:srgbClr>
                  </w14:solidFill>
                </w14:textFill>
              </w:rPr>
              <w:t xml:space="preserve">　</w:t>
            </w:r>
            <w:r w:rsidRPr="00157755">
              <w:rPr>
                <w:iCs/>
                <w:color w:val="000000"/>
                <w:w w:val="18"/>
                <w:szCs w:val="20"/>
                <w:shd w:val="solid" w:color="000000" w:fill="000000"/>
                <w:fitText w:val="80" w:id="-1032130047"/>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7"/>
                <w14:textFill>
                  <w14:solidFill>
                    <w14:srgbClr w14:val="000000">
                      <w14:alpha w14:val="100000"/>
                    </w14:srgbClr>
                  </w14:solidFill>
                </w14:textFill>
              </w:rPr>
              <w:t xml:space="preserve">　</w:t>
            </w:r>
            <w:r w:rsidR="007F0FE2">
              <w:rPr>
                <w:iCs/>
                <w:szCs w:val="20"/>
                <w:vertAlign w:val="superscript"/>
              </w:rPr>
              <w:t>4</w:t>
            </w:r>
          </w:p>
        </w:tc>
        <w:tc>
          <w:tcPr>
            <w:tcW w:w="625" w:type="pct"/>
            <w:vAlign w:val="center"/>
          </w:tcPr>
          <w:p w14:paraId="793BF11D" w14:textId="1FC050E3" w:rsidR="00DF6726" w:rsidRPr="0049396B" w:rsidRDefault="0015085A" w:rsidP="00020E51">
            <w:pPr>
              <w:pStyle w:val="TableText0"/>
              <w:keepLines/>
              <w:widowControl w:val="0"/>
              <w:jc w:val="center"/>
              <w:rPr>
                <w:iCs/>
                <w:szCs w:val="20"/>
              </w:rPr>
            </w:pPr>
            <w:r>
              <w:rPr>
                <w:iCs/>
                <w:szCs w:val="20"/>
              </w:rPr>
              <w:t xml:space="preserve"> </w:t>
            </w:r>
            <w:r w:rsidRPr="0015085A">
              <w:rPr>
                <w:rFonts w:hint="eastAsia"/>
                <w:iCs/>
                <w:color w:val="000000"/>
                <w:w w:val="22"/>
                <w:szCs w:val="20"/>
                <w:shd w:val="solid" w:color="000000" w:fill="000000"/>
                <w:fitText w:val="100" w:id="-1032130046"/>
                <w14:textFill>
                  <w14:solidFill>
                    <w14:srgbClr w14:val="000000">
                      <w14:alpha w14:val="100000"/>
                    </w14:srgbClr>
                  </w14:solidFill>
                </w14:textFill>
              </w:rPr>
              <w:t xml:space="preserve">　</w:t>
            </w:r>
            <w:r w:rsidRPr="0015085A">
              <w:rPr>
                <w:iCs/>
                <w:color w:val="000000"/>
                <w:w w:val="22"/>
                <w:szCs w:val="20"/>
                <w:shd w:val="solid" w:color="000000" w:fill="000000"/>
                <w:fitText w:val="100" w:id="-1032130046"/>
                <w14:textFill>
                  <w14:solidFill>
                    <w14:srgbClr w14:val="000000">
                      <w14:alpha w14:val="100000"/>
                    </w14:srgbClr>
                  </w14:solidFill>
                </w14:textFill>
              </w:rPr>
              <w:t>|</w:t>
            </w:r>
            <w:r w:rsidRPr="0015085A">
              <w:rPr>
                <w:rFonts w:hint="eastAsia"/>
                <w:iCs/>
                <w:color w:val="000000"/>
                <w:spacing w:val="3"/>
                <w:w w:val="22"/>
                <w:szCs w:val="20"/>
                <w:shd w:val="solid" w:color="000000" w:fill="000000"/>
                <w:fitText w:val="100" w:id="-1032130046"/>
                <w14:textFill>
                  <w14:solidFill>
                    <w14:srgbClr w14:val="000000">
                      <w14:alpha w14:val="100000"/>
                    </w14:srgbClr>
                  </w14:solidFill>
                </w14:textFill>
              </w:rPr>
              <w:t xml:space="preserve">　</w:t>
            </w:r>
            <w:r w:rsidR="007F0FE2">
              <w:rPr>
                <w:iCs/>
                <w:szCs w:val="20"/>
                <w:vertAlign w:val="superscript"/>
              </w:rPr>
              <w:t>11</w:t>
            </w:r>
            <w:r>
              <w:rPr>
                <w:iCs/>
                <w:szCs w:val="20"/>
              </w:rPr>
              <w:t xml:space="preserve"> </w:t>
            </w:r>
            <w:r w:rsidR="00DF6726" w:rsidRPr="0049396B">
              <w:rPr>
                <w:iCs/>
                <w:szCs w:val="20"/>
              </w:rPr>
              <w:t>(81%)</w:t>
            </w:r>
          </w:p>
        </w:tc>
      </w:tr>
      <w:tr w:rsidR="00DF6726" w:rsidRPr="0049396B" w14:paraId="336FAD5C" w14:textId="77777777" w:rsidTr="00D94CF5">
        <w:trPr>
          <w:trHeight w:val="20"/>
        </w:trPr>
        <w:tc>
          <w:tcPr>
            <w:tcW w:w="701" w:type="pct"/>
            <w:vAlign w:val="center"/>
          </w:tcPr>
          <w:p w14:paraId="449748FE" w14:textId="77777777" w:rsidR="00DF6726" w:rsidRPr="0049396B" w:rsidRDefault="00DF6726" w:rsidP="00020E51">
            <w:pPr>
              <w:pStyle w:val="TableText0"/>
              <w:keepLines/>
              <w:widowControl w:val="0"/>
              <w:rPr>
                <w:iCs/>
                <w:szCs w:val="20"/>
              </w:rPr>
            </w:pPr>
            <w:r w:rsidRPr="0049396B">
              <w:rPr>
                <w:iCs/>
                <w:szCs w:val="20"/>
              </w:rPr>
              <w:t>MA3: MA2&amp;S9</w:t>
            </w:r>
          </w:p>
        </w:tc>
        <w:tc>
          <w:tcPr>
            <w:tcW w:w="612" w:type="pct"/>
            <w:vAlign w:val="center"/>
          </w:tcPr>
          <w:p w14:paraId="7AD80CA4" w14:textId="5EC0B3B0" w:rsidR="00DF6726" w:rsidRPr="00942C23" w:rsidRDefault="0015085A" w:rsidP="00020E51">
            <w:pPr>
              <w:pStyle w:val="TableText0"/>
              <w:keepLines/>
              <w:widowControl w:val="0"/>
              <w:jc w:val="center"/>
              <w:rPr>
                <w:iCs/>
                <w:szCs w:val="20"/>
                <w:highlight w:val="darkGray"/>
              </w:rPr>
            </w:pPr>
            <w:r>
              <w:rPr>
                <w:iCs/>
                <w:szCs w:val="20"/>
              </w:rPr>
              <w:t xml:space="preserve"> </w:t>
            </w:r>
            <w:r w:rsidRPr="0015085A">
              <w:rPr>
                <w:rFonts w:hint="eastAsia"/>
                <w:iCs/>
                <w:color w:val="000000"/>
                <w:w w:val="24"/>
                <w:szCs w:val="20"/>
                <w:shd w:val="solid" w:color="000000" w:fill="000000"/>
                <w:fitText w:val="110" w:id="-1032130044"/>
                <w14:textFill>
                  <w14:solidFill>
                    <w14:srgbClr w14:val="000000">
                      <w14:alpha w14:val="100000"/>
                    </w14:srgbClr>
                  </w14:solidFill>
                </w14:textFill>
              </w:rPr>
              <w:t xml:space="preserve">　</w:t>
            </w:r>
            <w:r w:rsidRPr="0015085A">
              <w:rPr>
                <w:iCs/>
                <w:color w:val="000000"/>
                <w:w w:val="24"/>
                <w:szCs w:val="20"/>
                <w:shd w:val="solid" w:color="000000" w:fill="000000"/>
                <w:fitText w:val="110" w:id="-1032130044"/>
                <w14:textFill>
                  <w14:solidFill>
                    <w14:srgbClr w14:val="000000">
                      <w14:alpha w14:val="100000"/>
                    </w14:srgbClr>
                  </w14:solidFill>
                </w14:textFill>
              </w:rPr>
              <w:t>|</w:t>
            </w:r>
            <w:r w:rsidRPr="0015085A">
              <w:rPr>
                <w:rFonts w:hint="eastAsia"/>
                <w:iCs/>
                <w:color w:val="000000"/>
                <w:spacing w:val="6"/>
                <w:w w:val="24"/>
                <w:szCs w:val="20"/>
                <w:shd w:val="solid" w:color="000000" w:fill="000000"/>
                <w:fitText w:val="110" w:id="-1032130044"/>
                <w14:textFill>
                  <w14:solidFill>
                    <w14:srgbClr w14:val="000000">
                      <w14:alpha w14:val="100000"/>
                    </w14:srgbClr>
                  </w14:solidFill>
                </w14:textFill>
              </w:rPr>
              <w:t xml:space="preserve">　</w:t>
            </w:r>
            <w:r w:rsidR="007F0FE2">
              <w:rPr>
                <w:iCs/>
                <w:szCs w:val="20"/>
                <w:vertAlign w:val="superscript"/>
              </w:rPr>
              <w:t>10</w:t>
            </w:r>
          </w:p>
        </w:tc>
        <w:tc>
          <w:tcPr>
            <w:tcW w:w="612" w:type="pct"/>
            <w:vAlign w:val="center"/>
          </w:tcPr>
          <w:p w14:paraId="4D69DDA6" w14:textId="4F276264"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3"/>
                <w14:textFill>
                  <w14:solidFill>
                    <w14:srgbClr w14:val="000000">
                      <w14:alpha w14:val="100000"/>
                    </w14:srgbClr>
                  </w14:solidFill>
                </w14:textFill>
              </w:rPr>
              <w:t xml:space="preserve">　</w:t>
            </w:r>
            <w:r w:rsidRPr="00157755">
              <w:rPr>
                <w:iCs/>
                <w:color w:val="000000"/>
                <w:w w:val="18"/>
                <w:szCs w:val="20"/>
                <w:shd w:val="solid" w:color="000000" w:fill="000000"/>
                <w:fitText w:val="80" w:id="-103213004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3"/>
                <w14:textFill>
                  <w14:solidFill>
                    <w14:srgbClr w14:val="000000">
                      <w14:alpha w14:val="100000"/>
                    </w14:srgbClr>
                  </w14:solidFill>
                </w14:textFill>
              </w:rPr>
              <w:t xml:space="preserve">　</w:t>
            </w:r>
            <w:r w:rsidR="007F0FE2">
              <w:rPr>
                <w:iCs/>
                <w:szCs w:val="20"/>
                <w:vertAlign w:val="superscript"/>
              </w:rPr>
              <w:t>2</w:t>
            </w:r>
          </w:p>
        </w:tc>
        <w:tc>
          <w:tcPr>
            <w:tcW w:w="613" w:type="pct"/>
            <w:vAlign w:val="center"/>
          </w:tcPr>
          <w:p w14:paraId="7168FCB2" w14:textId="1D7819B5"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2"/>
                <w14:textFill>
                  <w14:solidFill>
                    <w14:srgbClr w14:val="000000">
                      <w14:alpha w14:val="100000"/>
                    </w14:srgbClr>
                  </w14:solidFill>
                </w14:textFill>
              </w:rPr>
              <w:t xml:space="preserve">　</w:t>
            </w:r>
            <w:r w:rsidRPr="00157755">
              <w:rPr>
                <w:iCs/>
                <w:color w:val="000000"/>
                <w:w w:val="18"/>
                <w:szCs w:val="20"/>
                <w:shd w:val="solid" w:color="000000" w:fill="000000"/>
                <w:fitText w:val="80" w:id="-103213004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2"/>
                <w14:textFill>
                  <w14:solidFill>
                    <w14:srgbClr w14:val="000000">
                      <w14:alpha w14:val="100000"/>
                    </w14:srgbClr>
                  </w14:solidFill>
                </w14:textFill>
              </w:rPr>
              <w:t xml:space="preserve">　</w:t>
            </w:r>
            <w:r w:rsidR="007F0FE2">
              <w:rPr>
                <w:iCs/>
                <w:szCs w:val="20"/>
                <w:vertAlign w:val="superscript"/>
              </w:rPr>
              <w:t>4</w:t>
            </w:r>
          </w:p>
        </w:tc>
        <w:tc>
          <w:tcPr>
            <w:tcW w:w="612" w:type="pct"/>
            <w:vAlign w:val="center"/>
          </w:tcPr>
          <w:p w14:paraId="63B33F3C" w14:textId="3D50011A"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1"/>
                <w14:textFill>
                  <w14:solidFill>
                    <w14:srgbClr w14:val="000000">
                      <w14:alpha w14:val="100000"/>
                    </w14:srgbClr>
                  </w14:solidFill>
                </w14:textFill>
              </w:rPr>
              <w:t xml:space="preserve">　</w:t>
            </w:r>
            <w:r w:rsidRPr="00157755">
              <w:rPr>
                <w:iCs/>
                <w:color w:val="000000"/>
                <w:w w:val="18"/>
                <w:szCs w:val="20"/>
                <w:shd w:val="solid" w:color="000000" w:fill="000000"/>
                <w:fitText w:val="80" w:id="-1032130041"/>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1"/>
                <w14:textFill>
                  <w14:solidFill>
                    <w14:srgbClr w14:val="000000">
                      <w14:alpha w14:val="100000"/>
                    </w14:srgbClr>
                  </w14:solidFill>
                </w14:textFill>
              </w:rPr>
              <w:t xml:space="preserve">　</w:t>
            </w:r>
            <w:r w:rsidR="007F0FE2">
              <w:rPr>
                <w:iCs/>
                <w:szCs w:val="20"/>
                <w:vertAlign w:val="superscript"/>
              </w:rPr>
              <w:t>4</w:t>
            </w:r>
          </w:p>
        </w:tc>
        <w:tc>
          <w:tcPr>
            <w:tcW w:w="612" w:type="pct"/>
            <w:vAlign w:val="center"/>
          </w:tcPr>
          <w:p w14:paraId="6E8DC353" w14:textId="29663E49" w:rsidR="00DF6726" w:rsidRPr="00942C23" w:rsidRDefault="0015085A" w:rsidP="00020E51">
            <w:pPr>
              <w:pStyle w:val="TableText0"/>
              <w:keepLines/>
              <w:widowControl w:val="0"/>
              <w:jc w:val="center"/>
              <w:rPr>
                <w:iCs/>
                <w:szCs w:val="20"/>
                <w:highlight w:val="darkGray"/>
              </w:rPr>
            </w:pPr>
            <w:r>
              <w:rPr>
                <w:iCs/>
                <w:szCs w:val="20"/>
              </w:rPr>
              <w:t xml:space="preserve"> </w:t>
            </w:r>
            <w:r w:rsidRPr="0015085A">
              <w:rPr>
                <w:rFonts w:hint="eastAsia"/>
                <w:iCs/>
                <w:color w:val="000000"/>
                <w:w w:val="24"/>
                <w:szCs w:val="20"/>
                <w:shd w:val="solid" w:color="000000" w:fill="000000"/>
                <w:fitText w:val="110" w:id="-1032130040"/>
                <w14:textFill>
                  <w14:solidFill>
                    <w14:srgbClr w14:val="000000">
                      <w14:alpha w14:val="100000"/>
                    </w14:srgbClr>
                  </w14:solidFill>
                </w14:textFill>
              </w:rPr>
              <w:t xml:space="preserve">　</w:t>
            </w:r>
            <w:r w:rsidRPr="0015085A">
              <w:rPr>
                <w:iCs/>
                <w:color w:val="000000"/>
                <w:w w:val="24"/>
                <w:szCs w:val="20"/>
                <w:shd w:val="solid" w:color="000000" w:fill="000000"/>
                <w:fitText w:val="110" w:id="-1032130040"/>
                <w14:textFill>
                  <w14:solidFill>
                    <w14:srgbClr w14:val="000000">
                      <w14:alpha w14:val="100000"/>
                    </w14:srgbClr>
                  </w14:solidFill>
                </w14:textFill>
              </w:rPr>
              <w:t>|</w:t>
            </w:r>
            <w:r w:rsidRPr="0015085A">
              <w:rPr>
                <w:rFonts w:hint="eastAsia"/>
                <w:iCs/>
                <w:color w:val="000000"/>
                <w:spacing w:val="6"/>
                <w:w w:val="24"/>
                <w:szCs w:val="20"/>
                <w:shd w:val="solid" w:color="000000" w:fill="000000"/>
                <w:fitText w:val="110" w:id="-1032130040"/>
                <w14:textFill>
                  <w14:solidFill>
                    <w14:srgbClr w14:val="000000">
                      <w14:alpha w14:val="100000"/>
                    </w14:srgbClr>
                  </w14:solidFill>
                </w14:textFill>
              </w:rPr>
              <w:t xml:space="preserve">　</w:t>
            </w:r>
            <w:r w:rsidR="007F0FE2">
              <w:rPr>
                <w:iCs/>
                <w:szCs w:val="20"/>
                <w:vertAlign w:val="superscript"/>
              </w:rPr>
              <w:t>10</w:t>
            </w:r>
          </w:p>
        </w:tc>
        <w:tc>
          <w:tcPr>
            <w:tcW w:w="613" w:type="pct"/>
            <w:vAlign w:val="center"/>
          </w:tcPr>
          <w:p w14:paraId="4F8B41E2" w14:textId="1F943854" w:rsidR="00DF6726" w:rsidRPr="00942C23" w:rsidRDefault="0015085A" w:rsidP="00020E51">
            <w:pPr>
              <w:pStyle w:val="TableText0"/>
              <w:keepLines/>
              <w:widowControl w:val="0"/>
              <w:jc w:val="center"/>
              <w:rPr>
                <w:iCs/>
                <w:szCs w:val="20"/>
                <w:highlight w:val="darkGray"/>
              </w:rPr>
            </w:pPr>
            <w:r>
              <w:rPr>
                <w:iCs/>
                <w:szCs w:val="20"/>
              </w:rPr>
              <w:t xml:space="preserve"> </w:t>
            </w:r>
            <w:r w:rsidRPr="0015085A">
              <w:rPr>
                <w:rFonts w:hint="eastAsia"/>
                <w:iCs/>
                <w:color w:val="000000"/>
                <w:w w:val="24"/>
                <w:szCs w:val="20"/>
                <w:shd w:val="solid" w:color="000000" w:fill="000000"/>
                <w:fitText w:val="110" w:id="-1032130039"/>
                <w14:textFill>
                  <w14:solidFill>
                    <w14:srgbClr w14:val="000000">
                      <w14:alpha w14:val="100000"/>
                    </w14:srgbClr>
                  </w14:solidFill>
                </w14:textFill>
              </w:rPr>
              <w:t xml:space="preserve">　</w:t>
            </w:r>
            <w:r w:rsidRPr="0015085A">
              <w:rPr>
                <w:iCs/>
                <w:color w:val="000000"/>
                <w:w w:val="24"/>
                <w:szCs w:val="20"/>
                <w:shd w:val="solid" w:color="000000" w:fill="000000"/>
                <w:fitText w:val="110" w:id="-1032130039"/>
                <w14:textFill>
                  <w14:solidFill>
                    <w14:srgbClr w14:val="000000">
                      <w14:alpha w14:val="100000"/>
                    </w14:srgbClr>
                  </w14:solidFill>
                </w14:textFill>
              </w:rPr>
              <w:t>|</w:t>
            </w:r>
            <w:r w:rsidRPr="0015085A">
              <w:rPr>
                <w:rFonts w:hint="eastAsia"/>
                <w:iCs/>
                <w:color w:val="000000"/>
                <w:spacing w:val="6"/>
                <w:w w:val="24"/>
                <w:szCs w:val="20"/>
                <w:shd w:val="solid" w:color="000000" w:fill="000000"/>
                <w:fitText w:val="110" w:id="-1032130039"/>
                <w14:textFill>
                  <w14:solidFill>
                    <w14:srgbClr w14:val="000000">
                      <w14:alpha w14:val="100000"/>
                    </w14:srgbClr>
                  </w14:solidFill>
                </w14:textFill>
              </w:rPr>
              <w:t xml:space="preserve">　</w:t>
            </w:r>
            <w:r w:rsidR="007F0FE2">
              <w:rPr>
                <w:iCs/>
                <w:szCs w:val="20"/>
                <w:vertAlign w:val="superscript"/>
              </w:rPr>
              <w:t>10</w:t>
            </w:r>
          </w:p>
        </w:tc>
        <w:tc>
          <w:tcPr>
            <w:tcW w:w="625" w:type="pct"/>
            <w:vAlign w:val="center"/>
          </w:tcPr>
          <w:p w14:paraId="2FB4500C" w14:textId="2FEBD8A7" w:rsidR="00DF6726" w:rsidRPr="0049396B" w:rsidRDefault="0015085A" w:rsidP="00020E51">
            <w:pPr>
              <w:pStyle w:val="TableText0"/>
              <w:keepLines/>
              <w:widowControl w:val="0"/>
              <w:jc w:val="center"/>
              <w:rPr>
                <w:iCs/>
                <w:szCs w:val="20"/>
              </w:rPr>
            </w:pPr>
            <w:r>
              <w:rPr>
                <w:iCs/>
                <w:szCs w:val="20"/>
              </w:rPr>
              <w:t xml:space="preserve"> </w:t>
            </w:r>
            <w:r w:rsidRPr="0015085A">
              <w:rPr>
                <w:rFonts w:hint="eastAsia"/>
                <w:iCs/>
                <w:color w:val="000000"/>
                <w:w w:val="22"/>
                <w:szCs w:val="20"/>
                <w:shd w:val="solid" w:color="000000" w:fill="000000"/>
                <w:fitText w:val="100" w:id="-1032130038"/>
                <w14:textFill>
                  <w14:solidFill>
                    <w14:srgbClr w14:val="000000">
                      <w14:alpha w14:val="100000"/>
                    </w14:srgbClr>
                  </w14:solidFill>
                </w14:textFill>
              </w:rPr>
              <w:t xml:space="preserve">　</w:t>
            </w:r>
            <w:r w:rsidRPr="0015085A">
              <w:rPr>
                <w:iCs/>
                <w:color w:val="000000"/>
                <w:w w:val="22"/>
                <w:szCs w:val="20"/>
                <w:shd w:val="solid" w:color="000000" w:fill="000000"/>
                <w:fitText w:val="100" w:id="-1032130038"/>
                <w14:textFill>
                  <w14:solidFill>
                    <w14:srgbClr w14:val="000000">
                      <w14:alpha w14:val="100000"/>
                    </w14:srgbClr>
                  </w14:solidFill>
                </w14:textFill>
              </w:rPr>
              <w:t>|</w:t>
            </w:r>
            <w:r w:rsidRPr="0015085A">
              <w:rPr>
                <w:rFonts w:hint="eastAsia"/>
                <w:iCs/>
                <w:color w:val="000000"/>
                <w:spacing w:val="3"/>
                <w:w w:val="22"/>
                <w:szCs w:val="20"/>
                <w:shd w:val="solid" w:color="000000" w:fill="000000"/>
                <w:fitText w:val="100" w:id="-1032130038"/>
                <w14:textFill>
                  <w14:solidFill>
                    <w14:srgbClr w14:val="000000">
                      <w14:alpha w14:val="100000"/>
                    </w14:srgbClr>
                  </w14:solidFill>
                </w14:textFill>
              </w:rPr>
              <w:t xml:space="preserve">　</w:t>
            </w:r>
            <w:r w:rsidR="007F0FE2">
              <w:rPr>
                <w:iCs/>
                <w:szCs w:val="20"/>
                <w:vertAlign w:val="superscript"/>
              </w:rPr>
              <w:t>11</w:t>
            </w:r>
            <w:r>
              <w:rPr>
                <w:iCs/>
                <w:szCs w:val="20"/>
              </w:rPr>
              <w:t xml:space="preserve"> </w:t>
            </w:r>
            <w:r w:rsidR="00DF6726" w:rsidRPr="0049396B">
              <w:rPr>
                <w:iCs/>
                <w:szCs w:val="20"/>
              </w:rPr>
              <w:t>(95%)</w:t>
            </w:r>
          </w:p>
        </w:tc>
      </w:tr>
      <w:tr w:rsidR="00DF6726" w:rsidRPr="0049396B" w14:paraId="5C3FBD5E" w14:textId="77777777" w:rsidTr="00D94CF5">
        <w:trPr>
          <w:trHeight w:val="20"/>
        </w:trPr>
        <w:tc>
          <w:tcPr>
            <w:tcW w:w="701" w:type="pct"/>
            <w:vAlign w:val="center"/>
          </w:tcPr>
          <w:p w14:paraId="5E5A6375" w14:textId="77777777" w:rsidR="00DF6726" w:rsidRPr="0049396B" w:rsidRDefault="00DF6726" w:rsidP="00020E51">
            <w:pPr>
              <w:pStyle w:val="TableText0"/>
              <w:keepLines/>
              <w:widowControl w:val="0"/>
              <w:rPr>
                <w:iCs/>
                <w:szCs w:val="20"/>
              </w:rPr>
            </w:pPr>
            <w:r w:rsidRPr="0049396B">
              <w:rPr>
                <w:iCs/>
                <w:szCs w:val="20"/>
              </w:rPr>
              <w:t>MA4: MA3&amp;S5b</w:t>
            </w:r>
          </w:p>
        </w:tc>
        <w:tc>
          <w:tcPr>
            <w:tcW w:w="612" w:type="pct"/>
            <w:vAlign w:val="center"/>
          </w:tcPr>
          <w:p w14:paraId="4CA672D1" w14:textId="66D542B9"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36"/>
                <w14:textFill>
                  <w14:solidFill>
                    <w14:srgbClr w14:val="000000">
                      <w14:alpha w14:val="100000"/>
                    </w14:srgbClr>
                  </w14:solidFill>
                </w14:textFill>
              </w:rPr>
              <w:t xml:space="preserve">　</w:t>
            </w:r>
            <w:r w:rsidRPr="00157755">
              <w:rPr>
                <w:iCs/>
                <w:color w:val="000000"/>
                <w:w w:val="18"/>
                <w:szCs w:val="20"/>
                <w:shd w:val="solid" w:color="000000" w:fill="000000"/>
                <w:fitText w:val="80" w:id="-1032130036"/>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36"/>
                <w14:textFill>
                  <w14:solidFill>
                    <w14:srgbClr w14:val="000000">
                      <w14:alpha w14:val="100000"/>
                    </w14:srgbClr>
                  </w14:solidFill>
                </w14:textFill>
              </w:rPr>
              <w:t xml:space="preserve">　</w:t>
            </w:r>
            <w:r w:rsidR="007F0FE2">
              <w:rPr>
                <w:iCs/>
                <w:szCs w:val="20"/>
                <w:vertAlign w:val="superscript"/>
              </w:rPr>
              <w:t>3</w:t>
            </w:r>
          </w:p>
        </w:tc>
        <w:tc>
          <w:tcPr>
            <w:tcW w:w="612" w:type="pct"/>
            <w:vAlign w:val="center"/>
          </w:tcPr>
          <w:p w14:paraId="288FAAAC" w14:textId="38EBE619"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35"/>
                <w14:textFill>
                  <w14:solidFill>
                    <w14:srgbClr w14:val="000000">
                      <w14:alpha w14:val="100000"/>
                    </w14:srgbClr>
                  </w14:solidFill>
                </w14:textFill>
              </w:rPr>
              <w:t xml:space="preserve">　</w:t>
            </w:r>
            <w:r w:rsidRPr="00157755">
              <w:rPr>
                <w:iCs/>
                <w:color w:val="000000"/>
                <w:w w:val="18"/>
                <w:szCs w:val="20"/>
                <w:shd w:val="solid" w:color="000000" w:fill="000000"/>
                <w:fitText w:val="80" w:id="-1032130035"/>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35"/>
                <w14:textFill>
                  <w14:solidFill>
                    <w14:srgbClr w14:val="000000">
                      <w14:alpha w14:val="100000"/>
                    </w14:srgbClr>
                  </w14:solidFill>
                </w14:textFill>
              </w:rPr>
              <w:t xml:space="preserve">　</w:t>
            </w:r>
            <w:r w:rsidR="007F0FE2">
              <w:rPr>
                <w:iCs/>
                <w:szCs w:val="20"/>
                <w:vertAlign w:val="superscript"/>
              </w:rPr>
              <w:t>8</w:t>
            </w:r>
          </w:p>
        </w:tc>
        <w:tc>
          <w:tcPr>
            <w:tcW w:w="613" w:type="pct"/>
            <w:vAlign w:val="center"/>
          </w:tcPr>
          <w:p w14:paraId="2A934DCB" w14:textId="35BEF84D" w:rsidR="00DF6726" w:rsidRPr="00942C23" w:rsidRDefault="0015085A" w:rsidP="00020E51">
            <w:pPr>
              <w:pStyle w:val="TableText0"/>
              <w:keepLines/>
              <w:widowControl w:val="0"/>
              <w:jc w:val="center"/>
              <w:rPr>
                <w:iCs/>
                <w:szCs w:val="20"/>
                <w:highlight w:val="darkGray"/>
              </w:rPr>
            </w:pPr>
            <w:r>
              <w:rPr>
                <w:iCs/>
                <w:szCs w:val="20"/>
              </w:rPr>
              <w:t xml:space="preserve"> </w:t>
            </w:r>
            <w:r w:rsidRPr="0015085A">
              <w:rPr>
                <w:rFonts w:hint="eastAsia"/>
                <w:iCs/>
                <w:color w:val="000000"/>
                <w:w w:val="24"/>
                <w:szCs w:val="20"/>
                <w:shd w:val="solid" w:color="000000" w:fill="000000"/>
                <w:fitText w:val="110" w:id="-1032130034"/>
                <w14:textFill>
                  <w14:solidFill>
                    <w14:srgbClr w14:val="000000">
                      <w14:alpha w14:val="100000"/>
                    </w14:srgbClr>
                  </w14:solidFill>
                </w14:textFill>
              </w:rPr>
              <w:t xml:space="preserve">　</w:t>
            </w:r>
            <w:r w:rsidRPr="0015085A">
              <w:rPr>
                <w:iCs/>
                <w:color w:val="000000"/>
                <w:w w:val="24"/>
                <w:szCs w:val="20"/>
                <w:shd w:val="solid" w:color="000000" w:fill="000000"/>
                <w:fitText w:val="110" w:id="-1032130034"/>
                <w14:textFill>
                  <w14:solidFill>
                    <w14:srgbClr w14:val="000000">
                      <w14:alpha w14:val="100000"/>
                    </w14:srgbClr>
                  </w14:solidFill>
                </w14:textFill>
              </w:rPr>
              <w:t>|</w:t>
            </w:r>
            <w:r w:rsidRPr="0015085A">
              <w:rPr>
                <w:rFonts w:hint="eastAsia"/>
                <w:iCs/>
                <w:color w:val="000000"/>
                <w:spacing w:val="6"/>
                <w:w w:val="24"/>
                <w:szCs w:val="20"/>
                <w:shd w:val="solid" w:color="000000" w:fill="000000"/>
                <w:fitText w:val="110" w:id="-1032130034"/>
                <w14:textFill>
                  <w14:solidFill>
                    <w14:srgbClr w14:val="000000">
                      <w14:alpha w14:val="100000"/>
                    </w14:srgbClr>
                  </w14:solidFill>
                </w14:textFill>
              </w:rPr>
              <w:t xml:space="preserve">　</w:t>
            </w:r>
            <w:r w:rsidR="007F0FE2">
              <w:rPr>
                <w:iCs/>
                <w:szCs w:val="20"/>
                <w:vertAlign w:val="superscript"/>
              </w:rPr>
              <w:t>12</w:t>
            </w:r>
          </w:p>
        </w:tc>
        <w:tc>
          <w:tcPr>
            <w:tcW w:w="612" w:type="pct"/>
            <w:vAlign w:val="center"/>
          </w:tcPr>
          <w:p w14:paraId="701C3F42" w14:textId="134E2B6F"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33"/>
                <w14:textFill>
                  <w14:solidFill>
                    <w14:srgbClr w14:val="000000">
                      <w14:alpha w14:val="100000"/>
                    </w14:srgbClr>
                  </w14:solidFill>
                </w14:textFill>
              </w:rPr>
              <w:t xml:space="preserve">　</w:t>
            </w:r>
            <w:r w:rsidRPr="00157755">
              <w:rPr>
                <w:iCs/>
                <w:color w:val="000000"/>
                <w:w w:val="18"/>
                <w:szCs w:val="20"/>
                <w:shd w:val="solid" w:color="000000" w:fill="000000"/>
                <w:fitText w:val="80" w:id="-1032130033"/>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33"/>
                <w14:textFill>
                  <w14:solidFill>
                    <w14:srgbClr w14:val="000000">
                      <w14:alpha w14:val="100000"/>
                    </w14:srgbClr>
                  </w14:solidFill>
                </w14:textFill>
              </w:rPr>
              <w:t xml:space="preserve">　</w:t>
            </w:r>
            <w:r w:rsidR="007F0FE2">
              <w:rPr>
                <w:iCs/>
                <w:szCs w:val="20"/>
                <w:vertAlign w:val="superscript"/>
              </w:rPr>
              <w:t>3</w:t>
            </w:r>
          </w:p>
        </w:tc>
        <w:tc>
          <w:tcPr>
            <w:tcW w:w="612" w:type="pct"/>
            <w:vAlign w:val="center"/>
          </w:tcPr>
          <w:p w14:paraId="06B3B101" w14:textId="5A2CA5D8"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32"/>
                <w14:textFill>
                  <w14:solidFill>
                    <w14:srgbClr w14:val="000000">
                      <w14:alpha w14:val="100000"/>
                    </w14:srgbClr>
                  </w14:solidFill>
                </w14:textFill>
              </w:rPr>
              <w:t xml:space="preserve">　</w:t>
            </w:r>
            <w:r w:rsidRPr="00157755">
              <w:rPr>
                <w:iCs/>
                <w:color w:val="000000"/>
                <w:w w:val="18"/>
                <w:szCs w:val="20"/>
                <w:shd w:val="solid" w:color="000000" w:fill="000000"/>
                <w:fitText w:val="80" w:id="-1032130032"/>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32"/>
                <w14:textFill>
                  <w14:solidFill>
                    <w14:srgbClr w14:val="000000">
                      <w14:alpha w14:val="100000"/>
                    </w14:srgbClr>
                  </w14:solidFill>
                </w14:textFill>
              </w:rPr>
              <w:t xml:space="preserve">　</w:t>
            </w:r>
            <w:r w:rsidR="007F0FE2">
              <w:rPr>
                <w:iCs/>
                <w:szCs w:val="20"/>
                <w:vertAlign w:val="superscript"/>
              </w:rPr>
              <w:t>3</w:t>
            </w:r>
          </w:p>
        </w:tc>
        <w:tc>
          <w:tcPr>
            <w:tcW w:w="613" w:type="pct"/>
            <w:vAlign w:val="center"/>
          </w:tcPr>
          <w:p w14:paraId="369A27BD" w14:textId="4DC1BFAB" w:rsidR="00DF6726" w:rsidRPr="00942C23" w:rsidRDefault="0015085A" w:rsidP="00020E51">
            <w:pPr>
              <w:pStyle w:val="TableText0"/>
              <w:keepLines/>
              <w:widowControl w:val="0"/>
              <w:jc w:val="center"/>
              <w:rPr>
                <w:iCs/>
                <w:szCs w:val="20"/>
                <w:highlight w:val="darkGray"/>
              </w:rPr>
            </w:pPr>
            <w:r>
              <w:rPr>
                <w:iCs/>
                <w:szCs w:val="20"/>
              </w:rPr>
              <w:t xml:space="preserve"> </w:t>
            </w:r>
            <w:r w:rsidRPr="00157755">
              <w:rPr>
                <w:rFonts w:hint="eastAsia"/>
                <w:iCs/>
                <w:color w:val="000000"/>
                <w:w w:val="18"/>
                <w:szCs w:val="20"/>
                <w:shd w:val="solid" w:color="000000" w:fill="000000"/>
                <w:fitText w:val="80" w:id="-1032130048"/>
                <w14:textFill>
                  <w14:solidFill>
                    <w14:srgbClr w14:val="000000">
                      <w14:alpha w14:val="100000"/>
                    </w14:srgbClr>
                  </w14:solidFill>
                </w14:textFill>
              </w:rPr>
              <w:t xml:space="preserve">　</w:t>
            </w:r>
            <w:r w:rsidRPr="00157755">
              <w:rPr>
                <w:iCs/>
                <w:color w:val="000000"/>
                <w:w w:val="18"/>
                <w:szCs w:val="20"/>
                <w:shd w:val="solid" w:color="000000" w:fill="000000"/>
                <w:fitText w:val="80" w:id="-1032130048"/>
                <w14:textFill>
                  <w14:solidFill>
                    <w14:srgbClr w14:val="000000">
                      <w14:alpha w14:val="100000"/>
                    </w14:srgbClr>
                  </w14:solidFill>
                </w14:textFill>
              </w:rPr>
              <w:t>|</w:t>
            </w:r>
            <w:r w:rsidRPr="00157755">
              <w:rPr>
                <w:rFonts w:hint="eastAsia"/>
                <w:iCs/>
                <w:color w:val="000000"/>
                <w:spacing w:val="1"/>
                <w:w w:val="18"/>
                <w:szCs w:val="20"/>
                <w:shd w:val="solid" w:color="000000" w:fill="000000"/>
                <w:fitText w:val="80" w:id="-1032130048"/>
                <w14:textFill>
                  <w14:solidFill>
                    <w14:srgbClr w14:val="000000">
                      <w14:alpha w14:val="100000"/>
                    </w14:srgbClr>
                  </w14:solidFill>
                </w14:textFill>
              </w:rPr>
              <w:t xml:space="preserve">　</w:t>
            </w:r>
            <w:r w:rsidR="007F0FE2">
              <w:rPr>
                <w:iCs/>
                <w:szCs w:val="20"/>
                <w:vertAlign w:val="superscript"/>
              </w:rPr>
              <w:t>3</w:t>
            </w:r>
          </w:p>
        </w:tc>
        <w:tc>
          <w:tcPr>
            <w:tcW w:w="625" w:type="pct"/>
            <w:vAlign w:val="center"/>
          </w:tcPr>
          <w:p w14:paraId="52F35639" w14:textId="05E33D63" w:rsidR="00DF6726" w:rsidRPr="0049396B" w:rsidRDefault="0015085A" w:rsidP="00020E51">
            <w:pPr>
              <w:pStyle w:val="TableText0"/>
              <w:keepLines/>
              <w:widowControl w:val="0"/>
              <w:jc w:val="center"/>
              <w:rPr>
                <w:iCs/>
                <w:szCs w:val="20"/>
              </w:rPr>
            </w:pPr>
            <w:r>
              <w:rPr>
                <w:iCs/>
                <w:szCs w:val="20"/>
              </w:rPr>
              <w:t xml:space="preserve"> </w:t>
            </w:r>
            <w:r w:rsidRPr="005C5151">
              <w:rPr>
                <w:rFonts w:hint="eastAsia"/>
                <w:iCs/>
                <w:color w:val="000000"/>
                <w:w w:val="22"/>
                <w:szCs w:val="20"/>
                <w:shd w:val="solid" w:color="000000" w:fill="000000"/>
                <w:fitText w:val="100" w:id="-1032130047"/>
                <w14:textFill>
                  <w14:solidFill>
                    <w14:srgbClr w14:val="000000">
                      <w14:alpha w14:val="100000"/>
                    </w14:srgbClr>
                  </w14:solidFill>
                </w14:textFill>
              </w:rPr>
              <w:t xml:space="preserve">　</w:t>
            </w:r>
            <w:r w:rsidRPr="005C5151">
              <w:rPr>
                <w:iCs/>
                <w:color w:val="000000"/>
                <w:w w:val="22"/>
                <w:szCs w:val="20"/>
                <w:shd w:val="solid" w:color="000000" w:fill="000000"/>
                <w:fitText w:val="100" w:id="-1032130047"/>
                <w14:textFill>
                  <w14:solidFill>
                    <w14:srgbClr w14:val="000000">
                      <w14:alpha w14:val="100000"/>
                    </w14:srgbClr>
                  </w14:solidFill>
                </w14:textFill>
              </w:rPr>
              <w:t>|</w:t>
            </w:r>
            <w:r w:rsidRPr="005C5151">
              <w:rPr>
                <w:rFonts w:hint="eastAsia"/>
                <w:iCs/>
                <w:color w:val="000000"/>
                <w:w w:val="22"/>
                <w:szCs w:val="20"/>
                <w:shd w:val="solid" w:color="000000" w:fill="000000"/>
                <w:fitText w:val="100" w:id="-1032130047"/>
                <w14:textFill>
                  <w14:solidFill>
                    <w14:srgbClr w14:val="000000">
                      <w14:alpha w14:val="100000"/>
                    </w14:srgbClr>
                  </w14:solidFill>
                </w14:textFill>
              </w:rPr>
              <w:t xml:space="preserve">　</w:t>
            </w:r>
            <w:r w:rsidR="007F0FE2">
              <w:rPr>
                <w:iCs/>
                <w:szCs w:val="20"/>
                <w:vertAlign w:val="superscript"/>
              </w:rPr>
              <w:t>13</w:t>
            </w:r>
            <w:r>
              <w:rPr>
                <w:iCs/>
                <w:szCs w:val="20"/>
              </w:rPr>
              <w:t xml:space="preserve"> </w:t>
            </w:r>
            <w:r w:rsidR="00DF6726" w:rsidRPr="0049396B">
              <w:rPr>
                <w:iCs/>
                <w:szCs w:val="20"/>
              </w:rPr>
              <w:t>(469%)</w:t>
            </w:r>
          </w:p>
        </w:tc>
      </w:tr>
    </w:tbl>
    <w:p w14:paraId="1450B83C" w14:textId="3D5D6228" w:rsidR="00DF6726" w:rsidRPr="0049396B" w:rsidRDefault="00DF6726" w:rsidP="00DF6726">
      <w:pPr>
        <w:pStyle w:val="TableFigureFooter"/>
        <w:keepNext/>
        <w:keepLines/>
        <w:rPr>
          <w:iCs/>
        </w:rPr>
      </w:pPr>
      <w:r w:rsidRPr="0049396B">
        <w:rPr>
          <w:iCs/>
        </w:rPr>
        <w:t xml:space="preserve">Source: Table 4-17 p220 of the submission and compiled during the evaluation using Excel workbook ‘Edaravone </w:t>
      </w:r>
      <w:r w:rsidR="00480ECE" w:rsidRPr="0049396B">
        <w:rPr>
          <w:iCs/>
        </w:rPr>
        <w:t>–</w:t>
      </w:r>
      <w:r w:rsidRPr="0049396B">
        <w:rPr>
          <w:iCs/>
        </w:rPr>
        <w:t xml:space="preserve"> TEVA – Section – Base Case – Nov 2023 (Final).xlsx’</w:t>
      </w:r>
    </w:p>
    <w:p w14:paraId="77B89DA6" w14:textId="77777777" w:rsidR="00DF6726" w:rsidRPr="0049396B" w:rsidRDefault="00DF6726" w:rsidP="00DF6726">
      <w:pPr>
        <w:pStyle w:val="TableFigureFooter"/>
        <w:keepNext/>
        <w:keepLines/>
        <w:rPr>
          <w:iCs/>
        </w:rPr>
      </w:pPr>
      <w:r w:rsidRPr="0049396B">
        <w:rPr>
          <w:iCs/>
        </w:rPr>
        <w:t>DPMQ=dispensed price for maximum quantity, TTD=time to treatment discontinuation, yr=year, init.=initial, cont.=continuing, mths=months</w:t>
      </w:r>
    </w:p>
    <w:p w14:paraId="0084F0EE" w14:textId="77777777" w:rsidR="00DF6726" w:rsidRPr="0049396B" w:rsidRDefault="00DF6726" w:rsidP="00DF6726">
      <w:pPr>
        <w:pStyle w:val="TableFigureFooter"/>
        <w:keepNext/>
        <w:keepLines/>
        <w:rPr>
          <w:iCs/>
        </w:rPr>
      </w:pPr>
      <w:proofErr w:type="spellStart"/>
      <w:r w:rsidRPr="0049396B">
        <w:rPr>
          <w:iCs/>
        </w:rPr>
        <w:t>a</w:t>
      </w:r>
      <w:proofErr w:type="spellEnd"/>
      <w:r w:rsidRPr="0049396B">
        <w:rPr>
          <w:iCs/>
        </w:rPr>
        <w:tab/>
        <w:t>incident Yr1 50%, Y2 70%, Yr3 80%, Yr4 90%, Yr5 95%, Yr6 95%; prevalent 50%</w:t>
      </w:r>
    </w:p>
    <w:p w14:paraId="071B8540" w14:textId="77777777" w:rsidR="00DF6726" w:rsidRPr="0049396B" w:rsidRDefault="00DF6726" w:rsidP="00DF6726">
      <w:pPr>
        <w:pStyle w:val="TableFigureFooter"/>
        <w:keepNext/>
        <w:keepLines/>
        <w:rPr>
          <w:iCs/>
        </w:rPr>
      </w:pPr>
      <w:r w:rsidRPr="0049396B">
        <w:rPr>
          <w:iCs/>
        </w:rPr>
        <w:t>b</w:t>
      </w:r>
      <w:r w:rsidRPr="0049396B">
        <w:rPr>
          <w:iCs/>
        </w:rPr>
        <w:tab/>
        <w:t xml:space="preserve">10.4 months: 85% 12 </w:t>
      </w:r>
      <w:r w:rsidRPr="00DD3190">
        <w:rPr>
          <w:iCs/>
        </w:rPr>
        <w:t>months,15% 1 month</w:t>
      </w:r>
    </w:p>
    <w:p w14:paraId="45D390DD" w14:textId="77777777" w:rsidR="00DF6726" w:rsidRPr="0049396B" w:rsidRDefault="00DF6726" w:rsidP="00DF6726">
      <w:pPr>
        <w:pStyle w:val="TableFigureFooter"/>
        <w:keepNext/>
        <w:keepLines/>
        <w:rPr>
          <w:iCs/>
        </w:rPr>
      </w:pPr>
      <w:r w:rsidRPr="0049396B">
        <w:rPr>
          <w:iCs/>
        </w:rPr>
        <w:t>c</w:t>
      </w:r>
      <w:r w:rsidRPr="0049396B">
        <w:rPr>
          <w:iCs/>
        </w:rPr>
        <w:tab/>
        <w:t>based on time in stages 1-3 in the economic model. The financial workbook did not allow for patients to continue treatment over multiple years and therefore this is an overestimate for the first 6 years of listing (representing total lifetime cost of edaravone for patients who commence treatment in first 6 years of listing). Assumed 28-day treatment cycle to match model.</w:t>
      </w:r>
    </w:p>
    <w:p w14:paraId="60693E7F" w14:textId="0E4F8671" w:rsidR="00DF6726" w:rsidRDefault="00D94CF5" w:rsidP="007F0FE2">
      <w:pPr>
        <w:pStyle w:val="TableFigureFooter"/>
        <w:keepNext/>
        <w:keepLines/>
        <w:spacing w:after="0"/>
        <w:rPr>
          <w:iCs/>
        </w:rPr>
      </w:pPr>
      <w:r>
        <w:rPr>
          <w:iCs/>
        </w:rPr>
        <w:t>d</w:t>
      </w:r>
      <w:r w:rsidR="00DF6726" w:rsidRPr="0049396B">
        <w:rPr>
          <w:iCs/>
        </w:rPr>
        <w:tab/>
        <w:t>$57.50 per edaravone script based on MBS item 14221</w:t>
      </w:r>
    </w:p>
    <w:p w14:paraId="0969BC04" w14:textId="77777777" w:rsidR="007F0FE2" w:rsidRPr="009A6D58" w:rsidRDefault="007F0FE2" w:rsidP="007F0FE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85E9C74" w14:textId="10F9E553" w:rsidR="007F0FE2" w:rsidRPr="009A6D58" w:rsidRDefault="007F0FE2" w:rsidP="007F0FE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7F0FE2">
        <w:rPr>
          <w:rFonts w:ascii="Arial Narrow" w:hAnsi="Arial Narrow"/>
          <w:i/>
          <w:sz w:val="18"/>
          <w:szCs w:val="18"/>
        </w:rPr>
        <w:t>$10 million to &lt; $20 million</w:t>
      </w:r>
    </w:p>
    <w:p w14:paraId="20A4CE0F" w14:textId="2BFEBEE7" w:rsidR="007F0FE2" w:rsidRPr="009A6D58" w:rsidRDefault="007F0FE2" w:rsidP="007F0FE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7F0FE2">
        <w:rPr>
          <w:rFonts w:ascii="Arial Narrow" w:hAnsi="Arial Narrow"/>
          <w:i/>
          <w:sz w:val="18"/>
          <w:szCs w:val="18"/>
        </w:rPr>
        <w:t>$</w:t>
      </w:r>
      <w:r>
        <w:rPr>
          <w:rFonts w:ascii="Arial Narrow" w:hAnsi="Arial Narrow"/>
          <w:i/>
          <w:sz w:val="18"/>
          <w:szCs w:val="18"/>
        </w:rPr>
        <w:t>2</w:t>
      </w:r>
      <w:r w:rsidRPr="007F0FE2">
        <w:rPr>
          <w:rFonts w:ascii="Arial Narrow" w:hAnsi="Arial Narrow"/>
          <w:i/>
          <w:sz w:val="18"/>
          <w:szCs w:val="18"/>
        </w:rPr>
        <w:t>0 million to &lt; $</w:t>
      </w:r>
      <w:r>
        <w:rPr>
          <w:rFonts w:ascii="Arial Narrow" w:hAnsi="Arial Narrow"/>
          <w:i/>
          <w:sz w:val="18"/>
          <w:szCs w:val="18"/>
        </w:rPr>
        <w:t>3</w:t>
      </w:r>
      <w:r w:rsidRPr="007F0FE2">
        <w:rPr>
          <w:rFonts w:ascii="Arial Narrow" w:hAnsi="Arial Narrow"/>
          <w:i/>
          <w:sz w:val="18"/>
          <w:szCs w:val="18"/>
        </w:rPr>
        <w:t>0 million</w:t>
      </w:r>
    </w:p>
    <w:p w14:paraId="6D81C69A" w14:textId="40CC94E6" w:rsidR="007F0FE2" w:rsidRDefault="007F0FE2" w:rsidP="007F0FE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7F0FE2">
        <w:rPr>
          <w:rFonts w:ascii="Arial Narrow" w:hAnsi="Arial Narrow"/>
          <w:i/>
          <w:sz w:val="18"/>
          <w:szCs w:val="18"/>
        </w:rPr>
        <w:t>$10</w:t>
      </w:r>
      <w:r>
        <w:rPr>
          <w:rFonts w:ascii="Arial Narrow" w:hAnsi="Arial Narrow"/>
          <w:i/>
          <w:sz w:val="18"/>
          <w:szCs w:val="18"/>
        </w:rPr>
        <w:t>0</w:t>
      </w:r>
      <w:r w:rsidRPr="007F0FE2">
        <w:rPr>
          <w:rFonts w:ascii="Arial Narrow" w:hAnsi="Arial Narrow"/>
          <w:i/>
          <w:sz w:val="18"/>
          <w:szCs w:val="18"/>
        </w:rPr>
        <w:t> million to &lt; $20</w:t>
      </w:r>
      <w:r>
        <w:rPr>
          <w:rFonts w:ascii="Arial Narrow" w:hAnsi="Arial Narrow"/>
          <w:i/>
          <w:sz w:val="18"/>
          <w:szCs w:val="18"/>
        </w:rPr>
        <w:t>0</w:t>
      </w:r>
      <w:r w:rsidRPr="007F0FE2">
        <w:rPr>
          <w:rFonts w:ascii="Arial Narrow" w:hAnsi="Arial Narrow"/>
          <w:i/>
          <w:sz w:val="18"/>
          <w:szCs w:val="18"/>
        </w:rPr>
        <w:t> million</w:t>
      </w:r>
    </w:p>
    <w:p w14:paraId="26ACE1C8" w14:textId="263CD3DE" w:rsidR="007F0FE2" w:rsidRDefault="007F0FE2" w:rsidP="007F0FE2">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7F0FE2">
        <w:rPr>
          <w:rFonts w:ascii="Arial Narrow" w:hAnsi="Arial Narrow"/>
          <w:i/>
          <w:sz w:val="18"/>
          <w:szCs w:val="18"/>
        </w:rPr>
        <w:t>$</w:t>
      </w:r>
      <w:r>
        <w:rPr>
          <w:rFonts w:ascii="Arial Narrow" w:hAnsi="Arial Narrow"/>
          <w:i/>
          <w:sz w:val="18"/>
          <w:szCs w:val="18"/>
        </w:rPr>
        <w:t>3</w:t>
      </w:r>
      <w:r w:rsidRPr="007F0FE2">
        <w:rPr>
          <w:rFonts w:ascii="Arial Narrow" w:hAnsi="Arial Narrow"/>
          <w:i/>
          <w:sz w:val="18"/>
          <w:szCs w:val="18"/>
        </w:rPr>
        <w:t>0 million to &lt; $</w:t>
      </w:r>
      <w:r>
        <w:rPr>
          <w:rFonts w:ascii="Arial Narrow" w:hAnsi="Arial Narrow"/>
          <w:i/>
          <w:sz w:val="18"/>
          <w:szCs w:val="18"/>
        </w:rPr>
        <w:t>4</w:t>
      </w:r>
      <w:r w:rsidRPr="007F0FE2">
        <w:rPr>
          <w:rFonts w:ascii="Arial Narrow" w:hAnsi="Arial Narrow"/>
          <w:i/>
          <w:sz w:val="18"/>
          <w:szCs w:val="18"/>
        </w:rPr>
        <w:t>0 million</w:t>
      </w:r>
    </w:p>
    <w:p w14:paraId="515E756B" w14:textId="13C46539" w:rsidR="007F0FE2" w:rsidRDefault="007F0FE2" w:rsidP="007F0FE2">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7F0FE2">
        <w:rPr>
          <w:rFonts w:ascii="Arial Narrow" w:hAnsi="Arial Narrow"/>
          <w:i/>
          <w:sz w:val="18"/>
          <w:szCs w:val="18"/>
        </w:rPr>
        <w:t>$</w:t>
      </w:r>
      <w:r>
        <w:rPr>
          <w:rFonts w:ascii="Arial Narrow" w:hAnsi="Arial Narrow"/>
          <w:i/>
          <w:sz w:val="18"/>
          <w:szCs w:val="18"/>
        </w:rPr>
        <w:t>6</w:t>
      </w:r>
      <w:r w:rsidRPr="007F0FE2">
        <w:rPr>
          <w:rFonts w:ascii="Arial Narrow" w:hAnsi="Arial Narrow"/>
          <w:i/>
          <w:sz w:val="18"/>
          <w:szCs w:val="18"/>
        </w:rPr>
        <w:t>0 million to &lt; $</w:t>
      </w:r>
      <w:r>
        <w:rPr>
          <w:rFonts w:ascii="Arial Narrow" w:hAnsi="Arial Narrow"/>
          <w:i/>
          <w:sz w:val="18"/>
          <w:szCs w:val="18"/>
        </w:rPr>
        <w:t>7</w:t>
      </w:r>
      <w:r w:rsidRPr="007F0FE2">
        <w:rPr>
          <w:rFonts w:ascii="Arial Narrow" w:hAnsi="Arial Narrow"/>
          <w:i/>
          <w:sz w:val="18"/>
          <w:szCs w:val="18"/>
        </w:rPr>
        <w:t>0 million</w:t>
      </w:r>
    </w:p>
    <w:p w14:paraId="2FCB79D1" w14:textId="51DE7458" w:rsidR="007F0FE2" w:rsidRDefault="007F0FE2" w:rsidP="007F0FE2">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7F0FE2">
        <w:rPr>
          <w:rFonts w:ascii="Arial Narrow" w:hAnsi="Arial Narrow"/>
          <w:i/>
          <w:sz w:val="18"/>
          <w:szCs w:val="18"/>
        </w:rPr>
        <w:t>$</w:t>
      </w:r>
      <w:r>
        <w:rPr>
          <w:rFonts w:ascii="Arial Narrow" w:hAnsi="Arial Narrow"/>
          <w:i/>
          <w:sz w:val="18"/>
          <w:szCs w:val="18"/>
        </w:rPr>
        <w:t>5</w:t>
      </w:r>
      <w:r w:rsidRPr="007F0FE2">
        <w:rPr>
          <w:rFonts w:ascii="Arial Narrow" w:hAnsi="Arial Narrow"/>
          <w:i/>
          <w:sz w:val="18"/>
          <w:szCs w:val="18"/>
        </w:rPr>
        <w:t>0 million to &lt; $</w:t>
      </w:r>
      <w:r>
        <w:rPr>
          <w:rFonts w:ascii="Arial Narrow" w:hAnsi="Arial Narrow"/>
          <w:i/>
          <w:sz w:val="18"/>
          <w:szCs w:val="18"/>
        </w:rPr>
        <w:t>6</w:t>
      </w:r>
      <w:r w:rsidRPr="007F0FE2">
        <w:rPr>
          <w:rFonts w:ascii="Arial Narrow" w:hAnsi="Arial Narrow"/>
          <w:i/>
          <w:sz w:val="18"/>
          <w:szCs w:val="18"/>
        </w:rPr>
        <w:t>0 million</w:t>
      </w:r>
    </w:p>
    <w:p w14:paraId="1881B211" w14:textId="394EEFD7" w:rsidR="007F0FE2" w:rsidRPr="009A6D58" w:rsidRDefault="007F0FE2" w:rsidP="007F0FE2">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7F0FE2">
        <w:rPr>
          <w:rFonts w:ascii="Arial Narrow" w:hAnsi="Arial Narrow"/>
          <w:i/>
          <w:sz w:val="18"/>
          <w:szCs w:val="18"/>
        </w:rPr>
        <w:t>$</w:t>
      </w:r>
      <w:r>
        <w:rPr>
          <w:rFonts w:ascii="Arial Narrow" w:hAnsi="Arial Narrow"/>
          <w:i/>
          <w:sz w:val="18"/>
          <w:szCs w:val="18"/>
        </w:rPr>
        <w:t>7</w:t>
      </w:r>
      <w:r w:rsidRPr="007F0FE2">
        <w:rPr>
          <w:rFonts w:ascii="Arial Narrow" w:hAnsi="Arial Narrow"/>
          <w:i/>
          <w:sz w:val="18"/>
          <w:szCs w:val="18"/>
        </w:rPr>
        <w:t>0 million to &lt; $</w:t>
      </w:r>
      <w:r>
        <w:rPr>
          <w:rFonts w:ascii="Arial Narrow" w:hAnsi="Arial Narrow"/>
          <w:i/>
          <w:sz w:val="18"/>
          <w:szCs w:val="18"/>
        </w:rPr>
        <w:t>8</w:t>
      </w:r>
      <w:r w:rsidRPr="007F0FE2">
        <w:rPr>
          <w:rFonts w:ascii="Arial Narrow" w:hAnsi="Arial Narrow"/>
          <w:i/>
          <w:sz w:val="18"/>
          <w:szCs w:val="18"/>
        </w:rPr>
        <w:t>0 million</w:t>
      </w:r>
    </w:p>
    <w:p w14:paraId="429901B4" w14:textId="3F0606B2" w:rsidR="007F0FE2" w:rsidRPr="009A6D58" w:rsidRDefault="007F0FE2" w:rsidP="007F0FE2">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7F0FE2">
        <w:rPr>
          <w:rFonts w:ascii="Arial Narrow" w:hAnsi="Arial Narrow"/>
          <w:i/>
          <w:sz w:val="18"/>
          <w:szCs w:val="18"/>
        </w:rPr>
        <w:t>$</w:t>
      </w:r>
      <w:r>
        <w:rPr>
          <w:rFonts w:ascii="Arial Narrow" w:hAnsi="Arial Narrow"/>
          <w:i/>
          <w:sz w:val="18"/>
          <w:szCs w:val="18"/>
        </w:rPr>
        <w:t>8</w:t>
      </w:r>
      <w:r w:rsidRPr="007F0FE2">
        <w:rPr>
          <w:rFonts w:ascii="Arial Narrow" w:hAnsi="Arial Narrow"/>
          <w:i/>
          <w:sz w:val="18"/>
          <w:szCs w:val="18"/>
        </w:rPr>
        <w:t>0 million to &lt; $</w:t>
      </w:r>
      <w:r>
        <w:rPr>
          <w:rFonts w:ascii="Arial Narrow" w:hAnsi="Arial Narrow"/>
          <w:i/>
          <w:sz w:val="18"/>
          <w:szCs w:val="18"/>
        </w:rPr>
        <w:t>9</w:t>
      </w:r>
      <w:r w:rsidRPr="007F0FE2">
        <w:rPr>
          <w:rFonts w:ascii="Arial Narrow" w:hAnsi="Arial Narrow"/>
          <w:i/>
          <w:sz w:val="18"/>
          <w:szCs w:val="18"/>
        </w:rPr>
        <w:t>0 million</w:t>
      </w:r>
    </w:p>
    <w:p w14:paraId="02E333D5" w14:textId="1D58DB24" w:rsidR="007F0FE2" w:rsidRDefault="007F0FE2" w:rsidP="007F0FE2">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7F0FE2">
        <w:rPr>
          <w:rFonts w:ascii="Arial Narrow" w:hAnsi="Arial Narrow"/>
          <w:i/>
          <w:sz w:val="18"/>
          <w:szCs w:val="18"/>
        </w:rPr>
        <w:t>$</w:t>
      </w:r>
      <w:r>
        <w:rPr>
          <w:rFonts w:ascii="Arial Narrow" w:hAnsi="Arial Narrow"/>
          <w:i/>
          <w:sz w:val="18"/>
          <w:szCs w:val="18"/>
        </w:rPr>
        <w:t>4</w:t>
      </w:r>
      <w:r w:rsidRPr="007F0FE2">
        <w:rPr>
          <w:rFonts w:ascii="Arial Narrow" w:hAnsi="Arial Narrow"/>
          <w:i/>
          <w:sz w:val="18"/>
          <w:szCs w:val="18"/>
        </w:rPr>
        <w:t>0</w:t>
      </w:r>
      <w:r>
        <w:rPr>
          <w:rFonts w:ascii="Arial Narrow" w:hAnsi="Arial Narrow"/>
          <w:i/>
          <w:sz w:val="18"/>
          <w:szCs w:val="18"/>
        </w:rPr>
        <w:t>0</w:t>
      </w:r>
      <w:r w:rsidRPr="007F0FE2">
        <w:rPr>
          <w:rFonts w:ascii="Arial Narrow" w:hAnsi="Arial Narrow"/>
          <w:i/>
          <w:sz w:val="18"/>
          <w:szCs w:val="18"/>
        </w:rPr>
        <w:t> million to &lt; $</w:t>
      </w:r>
      <w:r>
        <w:rPr>
          <w:rFonts w:ascii="Arial Narrow" w:hAnsi="Arial Narrow"/>
          <w:i/>
          <w:sz w:val="18"/>
          <w:szCs w:val="18"/>
        </w:rPr>
        <w:t>5</w:t>
      </w:r>
      <w:r w:rsidRPr="007F0FE2">
        <w:rPr>
          <w:rFonts w:ascii="Arial Narrow" w:hAnsi="Arial Narrow"/>
          <w:i/>
          <w:sz w:val="18"/>
          <w:szCs w:val="18"/>
        </w:rPr>
        <w:t>0</w:t>
      </w:r>
      <w:r>
        <w:rPr>
          <w:rFonts w:ascii="Arial Narrow" w:hAnsi="Arial Narrow"/>
          <w:i/>
          <w:sz w:val="18"/>
          <w:szCs w:val="18"/>
        </w:rPr>
        <w:t>0</w:t>
      </w:r>
      <w:r w:rsidRPr="007F0FE2">
        <w:rPr>
          <w:rFonts w:ascii="Arial Narrow" w:hAnsi="Arial Narrow"/>
          <w:i/>
          <w:sz w:val="18"/>
          <w:szCs w:val="18"/>
        </w:rPr>
        <w:t> million</w:t>
      </w:r>
    </w:p>
    <w:p w14:paraId="614812E5" w14:textId="4E9CDFE8" w:rsidR="007F0FE2" w:rsidRDefault="007F0FE2" w:rsidP="007F0FE2">
      <w:pPr>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7F0FE2">
        <w:rPr>
          <w:rFonts w:ascii="Arial Narrow" w:hAnsi="Arial Narrow"/>
          <w:i/>
          <w:sz w:val="18"/>
          <w:szCs w:val="18"/>
        </w:rPr>
        <w:t>$</w:t>
      </w:r>
      <w:r>
        <w:rPr>
          <w:rFonts w:ascii="Arial Narrow" w:hAnsi="Arial Narrow"/>
          <w:i/>
          <w:sz w:val="18"/>
          <w:szCs w:val="18"/>
        </w:rPr>
        <w:t>4</w:t>
      </w:r>
      <w:r w:rsidRPr="007F0FE2">
        <w:rPr>
          <w:rFonts w:ascii="Arial Narrow" w:hAnsi="Arial Narrow"/>
          <w:i/>
          <w:sz w:val="18"/>
          <w:szCs w:val="18"/>
        </w:rPr>
        <w:t>0 million to &lt; $</w:t>
      </w:r>
      <w:r>
        <w:rPr>
          <w:rFonts w:ascii="Arial Narrow" w:hAnsi="Arial Narrow"/>
          <w:i/>
          <w:sz w:val="18"/>
          <w:szCs w:val="18"/>
        </w:rPr>
        <w:t>5</w:t>
      </w:r>
      <w:r w:rsidRPr="007F0FE2">
        <w:rPr>
          <w:rFonts w:ascii="Arial Narrow" w:hAnsi="Arial Narrow"/>
          <w:i/>
          <w:sz w:val="18"/>
          <w:szCs w:val="18"/>
        </w:rPr>
        <w:t>0 million</w:t>
      </w:r>
    </w:p>
    <w:p w14:paraId="2509D4F4" w14:textId="04DFFCF9" w:rsidR="007F0FE2" w:rsidRDefault="007F0FE2" w:rsidP="007F0FE2">
      <w:pPr>
        <w:rPr>
          <w:rFonts w:ascii="Arial Narrow" w:hAnsi="Arial Narrow"/>
          <w:i/>
          <w:sz w:val="18"/>
          <w:szCs w:val="18"/>
        </w:rPr>
      </w:pPr>
      <w:r>
        <w:rPr>
          <w:rFonts w:ascii="Arial Narrow" w:hAnsi="Arial Narrow"/>
          <w:i/>
          <w:sz w:val="18"/>
          <w:szCs w:val="18"/>
          <w:vertAlign w:val="superscript"/>
        </w:rPr>
        <w:t>11</w:t>
      </w:r>
      <w:r>
        <w:rPr>
          <w:rFonts w:ascii="Arial Narrow" w:hAnsi="Arial Narrow"/>
          <w:i/>
          <w:sz w:val="18"/>
          <w:szCs w:val="18"/>
        </w:rPr>
        <w:t xml:space="preserve"> </w:t>
      </w:r>
      <w:r w:rsidRPr="007F0FE2">
        <w:rPr>
          <w:rFonts w:ascii="Arial Narrow" w:hAnsi="Arial Narrow"/>
          <w:i/>
          <w:sz w:val="18"/>
          <w:szCs w:val="18"/>
        </w:rPr>
        <w:t>$</w:t>
      </w:r>
      <w:r>
        <w:rPr>
          <w:rFonts w:ascii="Arial Narrow" w:hAnsi="Arial Narrow"/>
          <w:i/>
          <w:sz w:val="18"/>
          <w:szCs w:val="18"/>
        </w:rPr>
        <w:t>2</w:t>
      </w:r>
      <w:r w:rsidRPr="007F0FE2">
        <w:rPr>
          <w:rFonts w:ascii="Arial Narrow" w:hAnsi="Arial Narrow"/>
          <w:i/>
          <w:sz w:val="18"/>
          <w:szCs w:val="18"/>
        </w:rPr>
        <w:t>0</w:t>
      </w:r>
      <w:r>
        <w:rPr>
          <w:rFonts w:ascii="Arial Narrow" w:hAnsi="Arial Narrow"/>
          <w:i/>
          <w:sz w:val="18"/>
          <w:szCs w:val="18"/>
        </w:rPr>
        <w:t>0</w:t>
      </w:r>
      <w:r w:rsidRPr="007F0FE2">
        <w:rPr>
          <w:rFonts w:ascii="Arial Narrow" w:hAnsi="Arial Narrow"/>
          <w:i/>
          <w:sz w:val="18"/>
          <w:szCs w:val="18"/>
        </w:rPr>
        <w:t> million to &lt; $</w:t>
      </w:r>
      <w:r>
        <w:rPr>
          <w:rFonts w:ascii="Arial Narrow" w:hAnsi="Arial Narrow"/>
          <w:i/>
          <w:sz w:val="18"/>
          <w:szCs w:val="18"/>
        </w:rPr>
        <w:t>3</w:t>
      </w:r>
      <w:r w:rsidRPr="007F0FE2">
        <w:rPr>
          <w:rFonts w:ascii="Arial Narrow" w:hAnsi="Arial Narrow"/>
          <w:i/>
          <w:sz w:val="18"/>
          <w:szCs w:val="18"/>
        </w:rPr>
        <w:t>0</w:t>
      </w:r>
      <w:r>
        <w:rPr>
          <w:rFonts w:ascii="Arial Narrow" w:hAnsi="Arial Narrow"/>
          <w:i/>
          <w:sz w:val="18"/>
          <w:szCs w:val="18"/>
        </w:rPr>
        <w:t>0</w:t>
      </w:r>
      <w:r w:rsidRPr="007F0FE2">
        <w:rPr>
          <w:rFonts w:ascii="Arial Narrow" w:hAnsi="Arial Narrow"/>
          <w:i/>
          <w:sz w:val="18"/>
          <w:szCs w:val="18"/>
        </w:rPr>
        <w:t> million</w:t>
      </w:r>
    </w:p>
    <w:p w14:paraId="3CC20132" w14:textId="50ACCC07" w:rsidR="007F0FE2" w:rsidRDefault="007F0FE2" w:rsidP="007F0FE2">
      <w:pPr>
        <w:rPr>
          <w:rFonts w:ascii="Arial Narrow" w:hAnsi="Arial Narrow"/>
          <w:i/>
          <w:sz w:val="18"/>
          <w:szCs w:val="18"/>
        </w:rPr>
      </w:pPr>
      <w:r>
        <w:rPr>
          <w:rFonts w:ascii="Arial Narrow" w:hAnsi="Arial Narrow"/>
          <w:i/>
          <w:sz w:val="18"/>
          <w:szCs w:val="18"/>
          <w:vertAlign w:val="superscript"/>
        </w:rPr>
        <w:t>12</w:t>
      </w:r>
      <w:r>
        <w:rPr>
          <w:rFonts w:ascii="Arial Narrow" w:hAnsi="Arial Narrow"/>
          <w:i/>
          <w:sz w:val="18"/>
          <w:szCs w:val="18"/>
        </w:rPr>
        <w:t xml:space="preserve"> </w:t>
      </w:r>
      <w:r w:rsidR="0039636D" w:rsidRPr="007F0FE2">
        <w:rPr>
          <w:rFonts w:ascii="Arial Narrow" w:hAnsi="Arial Narrow"/>
          <w:i/>
          <w:sz w:val="18"/>
          <w:szCs w:val="18"/>
        </w:rPr>
        <w:t>$</w:t>
      </w:r>
      <w:r w:rsidR="0039636D">
        <w:rPr>
          <w:rFonts w:ascii="Arial Narrow" w:hAnsi="Arial Narrow"/>
          <w:i/>
          <w:sz w:val="18"/>
          <w:szCs w:val="18"/>
        </w:rPr>
        <w:t>9</w:t>
      </w:r>
      <w:r w:rsidR="0039636D" w:rsidRPr="007F0FE2">
        <w:rPr>
          <w:rFonts w:ascii="Arial Narrow" w:hAnsi="Arial Narrow"/>
          <w:i/>
          <w:sz w:val="18"/>
          <w:szCs w:val="18"/>
        </w:rPr>
        <w:t>0 million to &lt; $</w:t>
      </w:r>
      <w:r w:rsidR="0039636D">
        <w:rPr>
          <w:rFonts w:ascii="Arial Narrow" w:hAnsi="Arial Narrow"/>
          <w:i/>
          <w:sz w:val="18"/>
          <w:szCs w:val="18"/>
        </w:rPr>
        <w:t>10</w:t>
      </w:r>
      <w:r w:rsidR="0039636D" w:rsidRPr="007F0FE2">
        <w:rPr>
          <w:rFonts w:ascii="Arial Narrow" w:hAnsi="Arial Narrow"/>
          <w:i/>
          <w:sz w:val="18"/>
          <w:szCs w:val="18"/>
        </w:rPr>
        <w:t>0 million</w:t>
      </w:r>
    </w:p>
    <w:p w14:paraId="669BCE78" w14:textId="77777777" w:rsidR="00631974" w:rsidRPr="00631974" w:rsidRDefault="007F0FE2" w:rsidP="00631974">
      <w:pPr>
        <w:rPr>
          <w:rFonts w:ascii="Arial Narrow" w:hAnsi="Arial Narrow"/>
          <w:i/>
          <w:sz w:val="18"/>
          <w:szCs w:val="18"/>
        </w:rPr>
      </w:pPr>
      <w:r w:rsidRPr="00631974">
        <w:rPr>
          <w:rFonts w:ascii="Arial Narrow" w:hAnsi="Arial Narrow"/>
          <w:i/>
          <w:sz w:val="18"/>
          <w:szCs w:val="18"/>
          <w:vertAlign w:val="superscript"/>
        </w:rPr>
        <w:t>13</w:t>
      </w:r>
      <w:r w:rsidRPr="00631974">
        <w:rPr>
          <w:rFonts w:ascii="Arial Narrow" w:hAnsi="Arial Narrow"/>
          <w:i/>
          <w:sz w:val="18"/>
          <w:szCs w:val="18"/>
        </w:rPr>
        <w:t xml:space="preserve"> </w:t>
      </w:r>
      <w:r w:rsidR="0039636D" w:rsidRPr="00631974">
        <w:rPr>
          <w:rFonts w:ascii="Arial Narrow" w:hAnsi="Arial Narrow"/>
          <w:i/>
          <w:sz w:val="18"/>
          <w:szCs w:val="18"/>
        </w:rPr>
        <w:t>$600 million to &lt; $700 million</w:t>
      </w:r>
    </w:p>
    <w:p w14:paraId="3D384293" w14:textId="20EE0753" w:rsidR="00282114" w:rsidRPr="0049396B" w:rsidRDefault="00282114" w:rsidP="00282114">
      <w:pPr>
        <w:pStyle w:val="4-SubsectionHeading"/>
      </w:pPr>
      <w:r w:rsidRPr="0049396B">
        <w:t>Quality Use of Medicines</w:t>
      </w:r>
    </w:p>
    <w:p w14:paraId="0CF02D4E" w14:textId="2701ABB8" w:rsidR="00DF6726" w:rsidRPr="00FA46E4" w:rsidRDefault="00DF6726" w:rsidP="00386476">
      <w:pPr>
        <w:pStyle w:val="3-BodyText"/>
      </w:pPr>
      <w:r w:rsidRPr="0049396B">
        <w:t xml:space="preserve">DUSC noted that the submission did not mention any quality use of medicine (QUM) issues. </w:t>
      </w:r>
      <w:r w:rsidRPr="0049396B">
        <w:rPr>
          <w:bCs/>
        </w:rPr>
        <w:t>DUSC considered that there could be wastage if a smaller pack size is not listed.</w:t>
      </w:r>
      <w:r w:rsidR="00282114" w:rsidRPr="0049396B">
        <w:rPr>
          <w:bCs/>
        </w:rPr>
        <w:t xml:space="preserve"> </w:t>
      </w:r>
    </w:p>
    <w:p w14:paraId="71330A65" w14:textId="38861012" w:rsidR="00FA46E4" w:rsidRPr="0049396B" w:rsidRDefault="00FA46E4" w:rsidP="00386476">
      <w:pPr>
        <w:pStyle w:val="3-BodyText"/>
      </w:pPr>
      <w:r>
        <w:t>As noted above, t</w:t>
      </w:r>
      <w:r w:rsidRPr="0049396B">
        <w:t>he submission stated that infusions of edaravone would be delivered through commercial arrangements with existing infusion providers and where appropriate through home delivery</w:t>
      </w:r>
      <w:r>
        <w:t>. The PBAC noted that there may also be QUM issues associated with these arrangements that should be addressed by the sponsor.</w:t>
      </w:r>
    </w:p>
    <w:p w14:paraId="706D8F67" w14:textId="77777777" w:rsidR="00DF6726" w:rsidRPr="0049396B" w:rsidRDefault="00DF6726" w:rsidP="00321EAD">
      <w:pPr>
        <w:pStyle w:val="2-SectionHeading"/>
        <w:numPr>
          <w:ilvl w:val="0"/>
          <w:numId w:val="1"/>
        </w:numPr>
      </w:pPr>
      <w:bookmarkStart w:id="87" w:name="_Hlk76381249"/>
      <w:bookmarkStart w:id="88" w:name="_Hlk76377955"/>
      <w:r w:rsidRPr="0049396B">
        <w:t>PBAC Outcome</w:t>
      </w:r>
    </w:p>
    <w:p w14:paraId="74A07EBF" w14:textId="21FC016C" w:rsidR="00282114" w:rsidRPr="0049396B" w:rsidRDefault="00282114" w:rsidP="00282114">
      <w:pPr>
        <w:pStyle w:val="3-BodyText"/>
        <w:rPr>
          <w:rFonts w:ascii="Calibri" w:hAnsi="Calibri" w:cs="Calibri"/>
        </w:rPr>
      </w:pPr>
      <w:r w:rsidRPr="0049396B">
        <w:t xml:space="preserve">The PBAC did not recommend edaravone for treatment of </w:t>
      </w:r>
      <w:r w:rsidR="00081192" w:rsidRPr="0049396B">
        <w:t>amyotrophic lateral sclerosis (</w:t>
      </w:r>
      <w:r w:rsidRPr="0049396B">
        <w:t>ALS</w:t>
      </w:r>
      <w:r w:rsidR="00081192" w:rsidRPr="0049396B">
        <w:t>)</w:t>
      </w:r>
      <w:r w:rsidR="00FA46E4">
        <w:t>.</w:t>
      </w:r>
      <w:r w:rsidRPr="0049396B">
        <w:t xml:space="preserve"> The PBAC considered that edaravone was superior to placebo in slowing the rate of decline in terms of motor impairment and functional deterioration, however the level of long</w:t>
      </w:r>
      <w:r w:rsidR="00A426C8" w:rsidRPr="0049396B">
        <w:t>-</w:t>
      </w:r>
      <w:r w:rsidRPr="0049396B">
        <w:t xml:space="preserve">term benefit and effect on survival is uncertain. The PBAC considered that edaravone was not cost-effective at the price proposed in the submission, noting that the economic model included a number of optimistic assumptions that were likely to underestimate the incremental cost-effectiveness ratio (ICER). </w:t>
      </w:r>
    </w:p>
    <w:p w14:paraId="74549CFC" w14:textId="356F7E74" w:rsidR="00B32D63" w:rsidRPr="0049396B" w:rsidRDefault="00B32D63" w:rsidP="00834982">
      <w:pPr>
        <w:widowControl w:val="0"/>
        <w:numPr>
          <w:ilvl w:val="1"/>
          <w:numId w:val="1"/>
        </w:numPr>
        <w:spacing w:after="120"/>
        <w:rPr>
          <w:rFonts w:asciiTheme="minorHAnsi" w:hAnsiTheme="minorHAnsi"/>
          <w:snapToGrid w:val="0"/>
        </w:rPr>
      </w:pPr>
      <w:r w:rsidRPr="0049396B">
        <w:rPr>
          <w:rFonts w:asciiTheme="minorHAnsi" w:hAnsiTheme="minorHAnsi"/>
          <w:snapToGrid w:val="0"/>
        </w:rPr>
        <w:t>The PBAC considered that the key reason for this outcome was due to the economic evaluation provided.</w:t>
      </w:r>
    </w:p>
    <w:p w14:paraId="1C270A0F" w14:textId="2F808539" w:rsidR="009712FB" w:rsidRPr="0049396B" w:rsidRDefault="00B32D63" w:rsidP="00834982">
      <w:pPr>
        <w:widowControl w:val="0"/>
        <w:numPr>
          <w:ilvl w:val="1"/>
          <w:numId w:val="1"/>
        </w:numPr>
        <w:spacing w:after="120"/>
        <w:rPr>
          <w:rFonts w:asciiTheme="minorHAnsi" w:hAnsiTheme="minorHAnsi"/>
          <w:snapToGrid w:val="0"/>
        </w:rPr>
      </w:pPr>
      <w:r w:rsidRPr="0049396B">
        <w:t xml:space="preserve">The PBAC acknowledged the high clinical need for effective treatments for ALS, the most common phenotype of motor neuron disease (MND). </w:t>
      </w:r>
      <w:r w:rsidR="006248CB" w:rsidRPr="0049396B">
        <w:t>The PBAC noted that consumers were supportive of making edaravone accessible to patients</w:t>
      </w:r>
      <w:r w:rsidR="00A90829" w:rsidRPr="0049396B">
        <w:t xml:space="preserve"> in Australia</w:t>
      </w:r>
      <w:r w:rsidR="006248CB" w:rsidRPr="0049396B">
        <w:t xml:space="preserve">. </w:t>
      </w:r>
      <w:r w:rsidR="00834982" w:rsidRPr="0049396B">
        <w:rPr>
          <w:iCs/>
        </w:rPr>
        <w:t>The PBAC noted that the submission requested listing of edaravone with consideration given to the ‘rule of rescue’</w:t>
      </w:r>
      <w:r w:rsidRPr="0049396B">
        <w:rPr>
          <w:iCs/>
        </w:rPr>
        <w:t>. However, the PBAC</w:t>
      </w:r>
      <w:r w:rsidR="00834982" w:rsidRPr="0049396B">
        <w:rPr>
          <w:iCs/>
        </w:rPr>
        <w:t xml:space="preserve"> considered that edaravone did not meet the rule of rescue criteria, specifically criteria 1</w:t>
      </w:r>
      <w:r w:rsidR="00FA46E4">
        <w:rPr>
          <w:iCs/>
        </w:rPr>
        <w:t xml:space="preserve"> “</w:t>
      </w:r>
      <w:r w:rsidR="004543B9">
        <w:rPr>
          <w:rFonts w:ascii="Open Sans" w:hAnsi="Open Sans" w:cs="Open Sans"/>
          <w:color w:val="222222"/>
          <w:sz w:val="20"/>
          <w:szCs w:val="20"/>
          <w:shd w:val="clear" w:color="auto" w:fill="FFFFFF"/>
        </w:rPr>
        <w:t>no nonpharmacological or pharmacological interventions for these patients</w:t>
      </w:r>
      <w:r w:rsidR="00FA46E4">
        <w:t>”</w:t>
      </w:r>
      <w:r w:rsidR="00834982" w:rsidRPr="0049396B">
        <w:rPr>
          <w:iCs/>
        </w:rPr>
        <w:t xml:space="preserve">, as </w:t>
      </w:r>
      <w:proofErr w:type="spellStart"/>
      <w:r w:rsidR="00834982" w:rsidRPr="0049396B">
        <w:rPr>
          <w:iCs/>
        </w:rPr>
        <w:t>riluzole</w:t>
      </w:r>
      <w:proofErr w:type="spellEnd"/>
      <w:r w:rsidR="00834982" w:rsidRPr="0049396B">
        <w:rPr>
          <w:iCs/>
        </w:rPr>
        <w:t xml:space="preserve"> is an </w:t>
      </w:r>
      <w:r w:rsidR="00814D88" w:rsidRPr="0049396B">
        <w:rPr>
          <w:iCs/>
        </w:rPr>
        <w:t xml:space="preserve">available </w:t>
      </w:r>
      <w:r w:rsidR="00834982" w:rsidRPr="0049396B">
        <w:rPr>
          <w:iCs/>
        </w:rPr>
        <w:t xml:space="preserve">pharmacological treatment for patients with ALS. </w:t>
      </w:r>
    </w:p>
    <w:p w14:paraId="5C22A469" w14:textId="70D7DB1A" w:rsidR="00527EA4" w:rsidRPr="0049396B" w:rsidRDefault="00527EA4" w:rsidP="00527EA4">
      <w:pPr>
        <w:widowControl w:val="0"/>
        <w:numPr>
          <w:ilvl w:val="1"/>
          <w:numId w:val="1"/>
        </w:numPr>
        <w:spacing w:after="120"/>
      </w:pPr>
      <w:bookmarkStart w:id="89" w:name="_Ref151976907"/>
      <w:r w:rsidRPr="0049396B">
        <w:t xml:space="preserve">The PBAC noted that the PBS population under the proposed restrictions was broader and would include patients with less function than patients included in the key trial </w:t>
      </w:r>
      <w:r w:rsidR="00CB3EA0" w:rsidRPr="0049396B">
        <w:t xml:space="preserve">(Study 19) </w:t>
      </w:r>
      <w:r w:rsidRPr="0049396B">
        <w:t xml:space="preserve">population. </w:t>
      </w:r>
      <w:r w:rsidRPr="0049396B">
        <w:rPr>
          <w:iCs/>
        </w:rPr>
        <w:t xml:space="preserve">The PBAC considered that </w:t>
      </w:r>
      <w:r w:rsidR="00CB3EA0" w:rsidRPr="0049396B">
        <w:rPr>
          <w:iCs/>
        </w:rPr>
        <w:t>defining</w:t>
      </w:r>
      <w:r w:rsidRPr="0049396B">
        <w:rPr>
          <w:iCs/>
        </w:rPr>
        <w:t xml:space="preserve"> the population most likely to benefit was important because the clinical trial evidence </w:t>
      </w:r>
      <w:r w:rsidR="00CB3EA0" w:rsidRPr="0049396B">
        <w:rPr>
          <w:iCs/>
        </w:rPr>
        <w:t xml:space="preserve">from Study 16 </w:t>
      </w:r>
      <w:r w:rsidRPr="0049396B">
        <w:rPr>
          <w:iCs/>
        </w:rPr>
        <w:t>show</w:t>
      </w:r>
      <w:r w:rsidR="00CB3EA0" w:rsidRPr="0049396B">
        <w:rPr>
          <w:iCs/>
        </w:rPr>
        <w:t>ed</w:t>
      </w:r>
      <w:r w:rsidRPr="0049396B">
        <w:rPr>
          <w:iCs/>
        </w:rPr>
        <w:t xml:space="preserve"> that edaravone is </w:t>
      </w:r>
      <w:r w:rsidR="00CB3EA0" w:rsidRPr="0049396B">
        <w:rPr>
          <w:iCs/>
        </w:rPr>
        <w:t xml:space="preserve">substantially more </w:t>
      </w:r>
      <w:r w:rsidRPr="0049396B">
        <w:rPr>
          <w:iCs/>
        </w:rPr>
        <w:t xml:space="preserve">effective </w:t>
      </w:r>
      <w:r w:rsidR="00051355" w:rsidRPr="0049396B">
        <w:rPr>
          <w:iCs/>
        </w:rPr>
        <w:t xml:space="preserve">in </w:t>
      </w:r>
      <w:r w:rsidRPr="0049396B">
        <w:rPr>
          <w:iCs/>
        </w:rPr>
        <w:t xml:space="preserve">ALS patients recently diagnosed </w:t>
      </w:r>
      <w:r w:rsidR="00051355" w:rsidRPr="0049396B">
        <w:rPr>
          <w:iCs/>
        </w:rPr>
        <w:t xml:space="preserve">where </w:t>
      </w:r>
      <w:r w:rsidRPr="0049396B">
        <w:rPr>
          <w:iCs/>
        </w:rPr>
        <w:t>their functioning has not yet deteriorated</w:t>
      </w:r>
      <w:r w:rsidR="00CB3EA0" w:rsidRPr="0049396B">
        <w:rPr>
          <w:iCs/>
        </w:rPr>
        <w:t xml:space="preserve">. The PBAC considered that this was </w:t>
      </w:r>
      <w:r w:rsidR="00051355" w:rsidRPr="0049396B">
        <w:rPr>
          <w:iCs/>
        </w:rPr>
        <w:t>also important in the context of</w:t>
      </w:r>
      <w:r w:rsidRPr="0049396B">
        <w:rPr>
          <w:iCs/>
        </w:rPr>
        <w:t xml:space="preserve"> the high treatment burden associated with frequent IV infusion of edaravone.</w:t>
      </w:r>
      <w:r w:rsidR="00CB3EA0" w:rsidRPr="0049396B">
        <w:rPr>
          <w:iCs/>
        </w:rPr>
        <w:t xml:space="preserve"> The PBAC considered the </w:t>
      </w:r>
      <w:r w:rsidR="00DF32EF" w:rsidRPr="0049396B">
        <w:rPr>
          <w:iCs/>
        </w:rPr>
        <w:t xml:space="preserve">inclusion of </w:t>
      </w:r>
      <w:r w:rsidR="00CB3EA0" w:rsidRPr="0049396B">
        <w:rPr>
          <w:iCs/>
        </w:rPr>
        <w:t xml:space="preserve">following </w:t>
      </w:r>
      <w:r w:rsidR="00DF32EF" w:rsidRPr="0049396B">
        <w:rPr>
          <w:iCs/>
        </w:rPr>
        <w:t xml:space="preserve">criteria in </w:t>
      </w:r>
      <w:r w:rsidR="00CB3EA0" w:rsidRPr="0049396B">
        <w:rPr>
          <w:iCs/>
        </w:rPr>
        <w:t>the restriction</w:t>
      </w:r>
      <w:r w:rsidR="00DF32EF" w:rsidRPr="0049396B">
        <w:rPr>
          <w:iCs/>
        </w:rPr>
        <w:t>, in addition to the proposed FVC/SVC requirements,</w:t>
      </w:r>
      <w:r w:rsidR="00CB3EA0" w:rsidRPr="0049396B">
        <w:rPr>
          <w:iCs/>
        </w:rPr>
        <w:t xml:space="preserve"> would </w:t>
      </w:r>
      <w:r w:rsidR="00051355" w:rsidRPr="0049396B">
        <w:rPr>
          <w:iCs/>
        </w:rPr>
        <w:t xml:space="preserve">better </w:t>
      </w:r>
      <w:r w:rsidR="00CB3EA0" w:rsidRPr="0049396B">
        <w:rPr>
          <w:iCs/>
        </w:rPr>
        <w:t>align the PBS population with the key trial population:</w:t>
      </w:r>
      <w:bookmarkEnd w:id="89"/>
    </w:p>
    <w:p w14:paraId="77444D6C" w14:textId="54D15CA6" w:rsidR="00CB3EA0" w:rsidRPr="0049396B" w:rsidRDefault="00DF32EF" w:rsidP="00DF32EF">
      <w:pPr>
        <w:pStyle w:val="ListParagraph"/>
        <w:ind w:left="1134" w:hanging="357"/>
        <w:rPr>
          <w:iCs/>
        </w:rPr>
      </w:pPr>
      <w:r w:rsidRPr="0049396B">
        <w:rPr>
          <w:iCs/>
        </w:rPr>
        <w:t>patients must have had symptoms of ALS for less than 2 years</w:t>
      </w:r>
    </w:p>
    <w:p w14:paraId="6B181CE8" w14:textId="6EB9874E" w:rsidR="00DF32EF" w:rsidRPr="0049396B" w:rsidRDefault="00DF32EF" w:rsidP="00DF32EF">
      <w:pPr>
        <w:pStyle w:val="ListParagraph"/>
        <w:ind w:left="1134" w:hanging="357"/>
        <w:rPr>
          <w:iCs/>
        </w:rPr>
      </w:pPr>
      <w:r w:rsidRPr="0049396B">
        <w:rPr>
          <w:iCs/>
        </w:rPr>
        <w:t>patients must not require assistance for eating or ambulation</w:t>
      </w:r>
    </w:p>
    <w:p w14:paraId="6EF52FAA" w14:textId="792E1C40" w:rsidR="00DF32EF" w:rsidRPr="0049396B" w:rsidRDefault="00DF32EF" w:rsidP="00DF32EF">
      <w:pPr>
        <w:pStyle w:val="ListParagraph"/>
        <w:ind w:left="1134" w:hanging="357"/>
        <w:rPr>
          <w:iCs/>
        </w:rPr>
      </w:pPr>
      <w:r w:rsidRPr="0049396B">
        <w:rPr>
          <w:iCs/>
        </w:rPr>
        <w:t>patients must have at least two points on each item of the ALSFRS-R.</w:t>
      </w:r>
    </w:p>
    <w:p w14:paraId="07A05F39" w14:textId="604236B1" w:rsidR="00527EA4" w:rsidRPr="0049396B" w:rsidRDefault="00527EA4" w:rsidP="00527EA4">
      <w:pPr>
        <w:widowControl w:val="0"/>
        <w:numPr>
          <w:ilvl w:val="1"/>
          <w:numId w:val="1"/>
        </w:numPr>
        <w:spacing w:after="120"/>
      </w:pPr>
      <w:r w:rsidRPr="0049396B">
        <w:t xml:space="preserve">The PBAC noted that use of the Gold Coast diagnostic criteria in practice would also </w:t>
      </w:r>
      <w:r w:rsidR="00051355" w:rsidRPr="0049396B">
        <w:t xml:space="preserve">capture </w:t>
      </w:r>
      <w:r w:rsidRPr="0049396B">
        <w:t xml:space="preserve">patients with ‘probable laboratory supported’ and ‘possible’ ALS under the older El Escorial revised diagnostic criteria, </w:t>
      </w:r>
      <w:r w:rsidR="00791F7B" w:rsidRPr="0049396B">
        <w:t xml:space="preserve">and these patients </w:t>
      </w:r>
      <w:r w:rsidRPr="0049396B">
        <w:t xml:space="preserve">were excluded from the </w:t>
      </w:r>
      <w:r w:rsidR="00BD4166" w:rsidRPr="0049396B">
        <w:t xml:space="preserve">key </w:t>
      </w:r>
      <w:r w:rsidRPr="0049396B">
        <w:t>clinical trial</w:t>
      </w:r>
      <w:r w:rsidR="00BD4166" w:rsidRPr="0049396B">
        <w:t xml:space="preserve"> </w:t>
      </w:r>
      <w:r w:rsidR="00791F7B" w:rsidRPr="0049396B">
        <w:t>(</w:t>
      </w:r>
      <w:r w:rsidR="00BD4166" w:rsidRPr="0049396B">
        <w:t>Study 19</w:t>
      </w:r>
      <w:r w:rsidR="00791F7B" w:rsidRPr="0049396B">
        <w:t>)</w:t>
      </w:r>
      <w:r w:rsidRPr="0049396B">
        <w:t xml:space="preserve">. </w:t>
      </w:r>
      <w:r w:rsidR="00BD4166" w:rsidRPr="0049396B">
        <w:t xml:space="preserve">The PBAC noted that in Study 16 changes in the ALSFRS-R score in patients with a diagnosis of ‘probable-laboratory-supported’ were smaller than those of patients with a diagnosis of ‘definite’ or ‘probable’. </w:t>
      </w:r>
      <w:r w:rsidR="00DF32EF" w:rsidRPr="0049396B">
        <w:rPr>
          <w:iCs/>
        </w:rPr>
        <w:t xml:space="preserve">The PBAC considered </w:t>
      </w:r>
      <w:r w:rsidR="00DF32EF" w:rsidRPr="0049396B">
        <w:rPr>
          <w:iCs/>
        </w:rPr>
        <w:lastRenderedPageBreak/>
        <w:t xml:space="preserve">that use </w:t>
      </w:r>
      <w:r w:rsidR="00623DE9" w:rsidRPr="0049396B">
        <w:rPr>
          <w:iCs/>
        </w:rPr>
        <w:t xml:space="preserve">of </w:t>
      </w:r>
      <w:r w:rsidR="00DF32EF" w:rsidRPr="0049396B">
        <w:rPr>
          <w:iCs/>
        </w:rPr>
        <w:t xml:space="preserve">the Gold Coast criteria for diagnosis of ALS was reasonable but </w:t>
      </w:r>
      <w:r w:rsidR="00791F7B" w:rsidRPr="0049396B">
        <w:rPr>
          <w:iCs/>
        </w:rPr>
        <w:t xml:space="preserve">noted that </w:t>
      </w:r>
      <w:r w:rsidR="00DF32EF" w:rsidRPr="0049396B">
        <w:rPr>
          <w:iCs/>
        </w:rPr>
        <w:t xml:space="preserve">a broader patient population would be </w:t>
      </w:r>
      <w:r w:rsidR="00791F7B" w:rsidRPr="0049396B">
        <w:rPr>
          <w:iCs/>
        </w:rPr>
        <w:t>captured</w:t>
      </w:r>
      <w:r w:rsidR="00DF32EF" w:rsidRPr="0049396B">
        <w:rPr>
          <w:iCs/>
        </w:rPr>
        <w:t xml:space="preserve">, largely </w:t>
      </w:r>
      <w:r w:rsidR="00791F7B" w:rsidRPr="0049396B">
        <w:rPr>
          <w:iCs/>
        </w:rPr>
        <w:t xml:space="preserve">due to the inclusion of </w:t>
      </w:r>
      <w:r w:rsidR="00DF32EF" w:rsidRPr="0049396B">
        <w:rPr>
          <w:iCs/>
        </w:rPr>
        <w:t>patients who are earlier in their disease</w:t>
      </w:r>
      <w:r w:rsidR="00791F7B" w:rsidRPr="0049396B">
        <w:rPr>
          <w:iCs/>
        </w:rPr>
        <w:t xml:space="preserve"> course</w:t>
      </w:r>
      <w:r w:rsidR="00DF32EF" w:rsidRPr="0049396B">
        <w:rPr>
          <w:iCs/>
        </w:rPr>
        <w:t xml:space="preserve"> </w:t>
      </w:r>
      <w:r w:rsidR="00791F7B" w:rsidRPr="0049396B">
        <w:rPr>
          <w:iCs/>
        </w:rPr>
        <w:t xml:space="preserve">compared with </w:t>
      </w:r>
      <w:r w:rsidR="00DF32EF" w:rsidRPr="0049396B">
        <w:rPr>
          <w:iCs/>
        </w:rPr>
        <w:t xml:space="preserve">those included in the trials, </w:t>
      </w:r>
      <w:r w:rsidR="00577A08" w:rsidRPr="0049396B">
        <w:rPr>
          <w:iCs/>
        </w:rPr>
        <w:t xml:space="preserve">but </w:t>
      </w:r>
      <w:r w:rsidR="00DF32EF" w:rsidRPr="0049396B">
        <w:rPr>
          <w:iCs/>
        </w:rPr>
        <w:t xml:space="preserve">there may </w:t>
      </w:r>
      <w:r w:rsidR="00BD4166" w:rsidRPr="0049396B">
        <w:rPr>
          <w:iCs/>
        </w:rPr>
        <w:t xml:space="preserve">also </w:t>
      </w:r>
      <w:r w:rsidR="00DF32EF" w:rsidRPr="0049396B">
        <w:rPr>
          <w:iCs/>
        </w:rPr>
        <w:t xml:space="preserve">be some patients who would not have been diagnosed </w:t>
      </w:r>
      <w:r w:rsidR="00791F7B" w:rsidRPr="0049396B">
        <w:rPr>
          <w:iCs/>
        </w:rPr>
        <w:t xml:space="preserve">using </w:t>
      </w:r>
      <w:r w:rsidR="00DF32EF" w:rsidRPr="0049396B">
        <w:rPr>
          <w:iCs/>
        </w:rPr>
        <w:t xml:space="preserve">the older criteria. The PBAC noted that </w:t>
      </w:r>
      <w:r w:rsidR="00791F7B" w:rsidRPr="0049396B">
        <w:rPr>
          <w:iCs/>
        </w:rPr>
        <w:t>the</w:t>
      </w:r>
      <w:r w:rsidR="00DF32EF" w:rsidRPr="0049396B">
        <w:rPr>
          <w:iCs/>
        </w:rPr>
        <w:t xml:space="preserve"> impact </w:t>
      </w:r>
      <w:r w:rsidR="00791F7B" w:rsidRPr="0049396B">
        <w:rPr>
          <w:iCs/>
        </w:rPr>
        <w:t xml:space="preserve">of this difference </w:t>
      </w:r>
      <w:r w:rsidR="00DF32EF" w:rsidRPr="0049396B">
        <w:rPr>
          <w:iCs/>
        </w:rPr>
        <w:t xml:space="preserve">on </w:t>
      </w:r>
      <w:r w:rsidR="00791F7B" w:rsidRPr="0049396B">
        <w:rPr>
          <w:iCs/>
        </w:rPr>
        <w:t xml:space="preserve">the </w:t>
      </w:r>
      <w:r w:rsidR="00DF32EF" w:rsidRPr="0049396B">
        <w:rPr>
          <w:iCs/>
        </w:rPr>
        <w:t>efficacy</w:t>
      </w:r>
      <w:r w:rsidR="00791F7B" w:rsidRPr="0049396B">
        <w:rPr>
          <w:iCs/>
        </w:rPr>
        <w:t xml:space="preserve"> of edaravone</w:t>
      </w:r>
      <w:r w:rsidR="00DF32EF" w:rsidRPr="0049396B">
        <w:rPr>
          <w:iCs/>
        </w:rPr>
        <w:t xml:space="preserve"> in the PBS population compared with the trial population</w:t>
      </w:r>
      <w:r w:rsidR="00791F7B" w:rsidRPr="0049396B">
        <w:rPr>
          <w:iCs/>
        </w:rPr>
        <w:t xml:space="preserve"> was uncertain</w:t>
      </w:r>
      <w:r w:rsidR="00DF32EF" w:rsidRPr="0049396B">
        <w:rPr>
          <w:iCs/>
        </w:rPr>
        <w:t>.</w:t>
      </w:r>
      <w:r w:rsidR="00FE7366" w:rsidRPr="0049396B">
        <w:t xml:space="preserve"> </w:t>
      </w:r>
    </w:p>
    <w:p w14:paraId="66093D76" w14:textId="3658ADDA" w:rsidR="00DF32EF" w:rsidRPr="0049396B" w:rsidRDefault="00DF32EF" w:rsidP="00527EA4">
      <w:pPr>
        <w:widowControl w:val="0"/>
        <w:numPr>
          <w:ilvl w:val="1"/>
          <w:numId w:val="1"/>
        </w:numPr>
        <w:spacing w:after="120"/>
      </w:pPr>
      <w:bookmarkStart w:id="90" w:name="_Ref151976909"/>
      <w:r w:rsidRPr="0049396B">
        <w:rPr>
          <w:iCs/>
        </w:rPr>
        <w:t xml:space="preserve">The PBAC noted that the </w:t>
      </w:r>
      <w:r w:rsidR="0007128E" w:rsidRPr="0049396B">
        <w:rPr>
          <w:iCs/>
        </w:rPr>
        <w:t>requested restriction included relatively few stopping criteria, whereas in Study 19 the discontinuation criteria included other functional decline</w:t>
      </w:r>
      <w:r w:rsidR="00791F7B" w:rsidRPr="0049396B">
        <w:rPr>
          <w:iCs/>
        </w:rPr>
        <w:t xml:space="preserve"> measures</w:t>
      </w:r>
      <w:r w:rsidR="0007128E" w:rsidRPr="0049396B">
        <w:rPr>
          <w:iCs/>
        </w:rPr>
        <w:t xml:space="preserve"> including</w:t>
      </w:r>
      <w:r w:rsidR="00577A08" w:rsidRPr="0049396B">
        <w:rPr>
          <w:iCs/>
        </w:rPr>
        <w:t>:</w:t>
      </w:r>
      <w:r w:rsidR="0007128E" w:rsidRPr="0049396B">
        <w:rPr>
          <w:iCs/>
        </w:rPr>
        <w:t xml:space="preserve"> respiratory support required all day, %FVC≤50% and/or PaCO2 (blood gas) ≥45 mmHg, adverse events (AEs)</w:t>
      </w:r>
      <w:r w:rsidR="00577A08" w:rsidRPr="0049396B">
        <w:rPr>
          <w:iCs/>
        </w:rPr>
        <w:t>,</w:t>
      </w:r>
      <w:r w:rsidR="0007128E" w:rsidRPr="0049396B">
        <w:rPr>
          <w:iCs/>
        </w:rPr>
        <w:t xml:space="preserve"> and worsening of disease.</w:t>
      </w:r>
      <w:bookmarkEnd w:id="90"/>
      <w:r w:rsidR="00F23A7A">
        <w:rPr>
          <w:iCs/>
        </w:rPr>
        <w:t xml:space="preserve"> </w:t>
      </w:r>
      <w:r w:rsidR="00F23A7A">
        <w:t>The PBAC considered that given the high treatment burden, patients are likely to be regularly assessed by clinicians and treatment ceased if not clinically appropriate to continue. As such, discontinuation criteria regarding tracheostomy and respiratory failure were considered sufficient.</w:t>
      </w:r>
    </w:p>
    <w:p w14:paraId="732D0D88" w14:textId="6949480D" w:rsidR="00830C9D" w:rsidRPr="0049396B" w:rsidRDefault="00830C9D" w:rsidP="00DA6789">
      <w:pPr>
        <w:widowControl w:val="0"/>
        <w:numPr>
          <w:ilvl w:val="1"/>
          <w:numId w:val="1"/>
        </w:numPr>
        <w:spacing w:after="120"/>
        <w:rPr>
          <w:rFonts w:asciiTheme="minorHAnsi" w:hAnsiTheme="minorHAnsi"/>
          <w:snapToGrid w:val="0"/>
        </w:rPr>
      </w:pPr>
      <w:r w:rsidRPr="0049396B">
        <w:rPr>
          <w:rFonts w:asciiTheme="minorHAnsi" w:hAnsiTheme="minorHAnsi"/>
          <w:snapToGrid w:val="0"/>
        </w:rPr>
        <w:t xml:space="preserve">The proposed clinical place for edaravone was in addition to </w:t>
      </w:r>
      <w:proofErr w:type="spellStart"/>
      <w:r w:rsidRPr="0049396B">
        <w:rPr>
          <w:rFonts w:asciiTheme="minorHAnsi" w:hAnsiTheme="minorHAnsi"/>
          <w:snapToGrid w:val="0"/>
        </w:rPr>
        <w:t>riluzole</w:t>
      </w:r>
      <w:proofErr w:type="spellEnd"/>
      <w:r w:rsidRPr="0049396B">
        <w:rPr>
          <w:rFonts w:asciiTheme="minorHAnsi" w:hAnsiTheme="minorHAnsi"/>
          <w:snapToGrid w:val="0"/>
        </w:rPr>
        <w:t>. The PBAC considered this was appropriate and consistent with the clinical evidence</w:t>
      </w:r>
      <w:r w:rsidR="00791F7B" w:rsidRPr="0049396B">
        <w:rPr>
          <w:rFonts w:asciiTheme="minorHAnsi" w:hAnsiTheme="minorHAnsi"/>
          <w:snapToGrid w:val="0"/>
        </w:rPr>
        <w:t>. The PBAC considered</w:t>
      </w:r>
      <w:r w:rsidRPr="0049396B">
        <w:rPr>
          <w:rFonts w:asciiTheme="minorHAnsi" w:hAnsiTheme="minorHAnsi"/>
          <w:snapToGrid w:val="0"/>
        </w:rPr>
        <w:t xml:space="preserve"> the nomination of</w:t>
      </w:r>
      <w:r w:rsidRPr="0049396B">
        <w:t xml:space="preserve"> placebo plus SOC with or without </w:t>
      </w:r>
      <w:proofErr w:type="spellStart"/>
      <w:r w:rsidRPr="0049396B">
        <w:t>riluzole</w:t>
      </w:r>
      <w:proofErr w:type="spellEnd"/>
      <w:r w:rsidRPr="0049396B">
        <w:t xml:space="preserve"> as the main comparator</w:t>
      </w:r>
      <w:r w:rsidR="00BE248F" w:rsidRPr="0049396B">
        <w:t xml:space="preserve"> was reasonable</w:t>
      </w:r>
      <w:r w:rsidRPr="0049396B">
        <w:rPr>
          <w:rFonts w:asciiTheme="minorHAnsi" w:hAnsiTheme="minorHAnsi"/>
          <w:snapToGrid w:val="0"/>
        </w:rPr>
        <w:t xml:space="preserve">. </w:t>
      </w:r>
    </w:p>
    <w:p w14:paraId="6F272461" w14:textId="2E2B3311" w:rsidR="00FE7366" w:rsidRPr="0049396B" w:rsidRDefault="00BD4166" w:rsidP="007E38D4">
      <w:pPr>
        <w:widowControl w:val="0"/>
        <w:numPr>
          <w:ilvl w:val="1"/>
          <w:numId w:val="1"/>
        </w:numPr>
        <w:spacing w:after="120"/>
        <w:rPr>
          <w:rFonts w:asciiTheme="minorHAnsi" w:hAnsiTheme="minorHAnsi"/>
          <w:snapToGrid w:val="0"/>
        </w:rPr>
      </w:pPr>
      <w:r w:rsidRPr="0049396B">
        <w:t>The submission was based on three randomised controlled trials</w:t>
      </w:r>
      <w:r w:rsidR="00BE248F" w:rsidRPr="0049396B">
        <w:t xml:space="preserve"> (RCTs)</w:t>
      </w:r>
      <w:r w:rsidRPr="0049396B">
        <w:t xml:space="preserve"> comparing edaravone plus SOC with or without </w:t>
      </w:r>
      <w:proofErr w:type="spellStart"/>
      <w:r w:rsidRPr="0049396B">
        <w:t>riluzole</w:t>
      </w:r>
      <w:proofErr w:type="spellEnd"/>
      <w:r w:rsidRPr="0049396B">
        <w:t xml:space="preserve"> versus placebo plus SOC with or without </w:t>
      </w:r>
      <w:proofErr w:type="spellStart"/>
      <w:r w:rsidRPr="0049396B">
        <w:t>riluzole</w:t>
      </w:r>
      <w:proofErr w:type="spellEnd"/>
      <w:r w:rsidRPr="0049396B">
        <w:t xml:space="preserve"> (Study 16, Study 17 and Study 19) and one RCT comparing edaravone plus </w:t>
      </w:r>
      <w:proofErr w:type="spellStart"/>
      <w:r w:rsidRPr="0049396B">
        <w:t>riluzole</w:t>
      </w:r>
      <w:proofErr w:type="spellEnd"/>
      <w:r w:rsidRPr="0049396B">
        <w:t xml:space="preserve"> versus </w:t>
      </w:r>
      <w:proofErr w:type="spellStart"/>
      <w:r w:rsidRPr="0049396B">
        <w:t>riluzole</w:t>
      </w:r>
      <w:proofErr w:type="spellEnd"/>
      <w:r w:rsidRPr="0049396B">
        <w:t xml:space="preserve"> alone (</w:t>
      </w:r>
      <w:proofErr w:type="spellStart"/>
      <w:r w:rsidRPr="0049396B">
        <w:t>Samadhiya</w:t>
      </w:r>
      <w:proofErr w:type="spellEnd"/>
      <w:r w:rsidRPr="0049396B">
        <w:t xml:space="preserve"> 2022) in ALS patients. </w:t>
      </w:r>
      <w:r w:rsidR="00FE7366" w:rsidRPr="0049396B">
        <w:t xml:space="preserve">The PBAC noted that the population in Study 16 was broader than Study 19 and </w:t>
      </w:r>
      <w:r w:rsidRPr="0049396B">
        <w:t xml:space="preserve">the submission presented </w:t>
      </w:r>
      <w:r w:rsidR="00FE7366" w:rsidRPr="0049396B">
        <w:t xml:space="preserve">a post hoc analysis of Study 16 in a subgroup (n=72) </w:t>
      </w:r>
      <w:r w:rsidR="00AF0AF4" w:rsidRPr="0049396B">
        <w:t xml:space="preserve">consistent with the Study 19 population, </w:t>
      </w:r>
      <w:r w:rsidR="00BE248F" w:rsidRPr="0049396B">
        <w:t xml:space="preserve">i.e. </w:t>
      </w:r>
      <w:r w:rsidR="00577A08" w:rsidRPr="0049396B">
        <w:t xml:space="preserve">for patients who met </w:t>
      </w:r>
      <w:r w:rsidR="00FE7366" w:rsidRPr="0049396B">
        <w:t>the dpEESP2y criteria (definite or probable ALS, efficacy expected subpopulation, within 2 years of ALS onset), ALSFRS ≥2 all items and FVC ≥80%</w:t>
      </w:r>
      <w:r w:rsidR="00577A08" w:rsidRPr="0049396B">
        <w:t>. This was provided</w:t>
      </w:r>
      <w:r w:rsidR="00FE7366" w:rsidRPr="0049396B">
        <w:t xml:space="preserve"> as supportive evidence for the proposed PBS population. The PBAC noted that in </w:t>
      </w:r>
      <w:r w:rsidR="00577A08" w:rsidRPr="0049396B">
        <w:t>Study 19</w:t>
      </w:r>
      <w:r w:rsidR="00FE7366" w:rsidRPr="0049396B">
        <w:t xml:space="preserve"> </w:t>
      </w:r>
      <w:r w:rsidR="007E38D4" w:rsidRPr="0049396B">
        <w:rPr>
          <w:iCs/>
        </w:rPr>
        <w:t xml:space="preserve">there was a statistically significant </w:t>
      </w:r>
      <w:r w:rsidR="007E38D4" w:rsidRPr="0049396B">
        <w:t xml:space="preserve">33% reduction in the rate of decline of the ALSFRS-R score (reflecting motor impairment and functional deterioration in ALS) over a 24-week period (an absolute difference in the ALSFRS-R score of 2.49 points). </w:t>
      </w:r>
      <w:r w:rsidR="007E38D4" w:rsidRPr="0049396B">
        <w:rPr>
          <w:iCs/>
        </w:rPr>
        <w:t xml:space="preserve">The PBAC considered that this was likely to be a clinically significant </w:t>
      </w:r>
      <w:r w:rsidR="00577A08" w:rsidRPr="0049396B">
        <w:rPr>
          <w:iCs/>
        </w:rPr>
        <w:t>reduction in functional decline</w:t>
      </w:r>
      <w:r w:rsidR="00BE248F" w:rsidRPr="0049396B">
        <w:rPr>
          <w:iCs/>
        </w:rPr>
        <w:t xml:space="preserve">. The PBAC </w:t>
      </w:r>
      <w:r w:rsidR="007E38D4" w:rsidRPr="0049396B">
        <w:rPr>
          <w:iCs/>
        </w:rPr>
        <w:t xml:space="preserve">noted </w:t>
      </w:r>
      <w:r w:rsidR="00BE248F" w:rsidRPr="0049396B">
        <w:rPr>
          <w:iCs/>
        </w:rPr>
        <w:t xml:space="preserve">however </w:t>
      </w:r>
      <w:r w:rsidR="007E38D4" w:rsidRPr="0049396B">
        <w:rPr>
          <w:iCs/>
        </w:rPr>
        <w:t xml:space="preserve">that the trials were not </w:t>
      </w:r>
      <w:r w:rsidR="007E38D4" w:rsidRPr="0049396B">
        <w:rPr>
          <w:rFonts w:asciiTheme="minorHAnsi" w:hAnsiTheme="minorHAnsi"/>
          <w:snapToGrid w:val="0"/>
        </w:rPr>
        <w:t>designed to demonstrate a difference in overall survival.</w:t>
      </w:r>
    </w:p>
    <w:p w14:paraId="4793C9FA" w14:textId="561B6FA8" w:rsidR="00BD4166" w:rsidRPr="0049396B" w:rsidRDefault="007E38D4" w:rsidP="00554172">
      <w:pPr>
        <w:widowControl w:val="0"/>
        <w:numPr>
          <w:ilvl w:val="1"/>
          <w:numId w:val="1"/>
        </w:numPr>
        <w:spacing w:after="120"/>
        <w:rPr>
          <w:rFonts w:asciiTheme="minorHAnsi" w:hAnsiTheme="minorHAnsi"/>
          <w:snapToGrid w:val="0"/>
        </w:rPr>
      </w:pPr>
      <w:r w:rsidRPr="0049396B">
        <w:rPr>
          <w:iCs/>
        </w:rPr>
        <w:t xml:space="preserve">The </w:t>
      </w:r>
      <w:r w:rsidR="00B100A5" w:rsidRPr="0049396B">
        <w:rPr>
          <w:iCs/>
        </w:rPr>
        <w:t xml:space="preserve">PBAC noted that the </w:t>
      </w:r>
      <w:r w:rsidRPr="0049396B">
        <w:rPr>
          <w:iCs/>
        </w:rPr>
        <w:t xml:space="preserve">submission also </w:t>
      </w:r>
      <w:r w:rsidR="00AF0AF4" w:rsidRPr="0049396B">
        <w:rPr>
          <w:iCs/>
        </w:rPr>
        <w:t>presented</w:t>
      </w:r>
      <w:r w:rsidRPr="0049396B">
        <w:rPr>
          <w:iCs/>
        </w:rPr>
        <w:t xml:space="preserve"> the results of </w:t>
      </w:r>
      <w:r w:rsidRPr="0049396B">
        <w:t>a real-world study</w:t>
      </w:r>
      <w:r w:rsidR="00AF0AF4" w:rsidRPr="0049396B">
        <w:t xml:space="preserve"> by Brooks 2022, a retrospective analysis of a US administrative claims database comparing survival of ALS patients treated with edaravone (N=318) to matched contemporaneous untreated patients (N=318). The median overall survival time was 29.5 months </w:t>
      </w:r>
      <w:r w:rsidR="00F74F95" w:rsidRPr="0049396B">
        <w:t xml:space="preserve">for patients treated </w:t>
      </w:r>
      <w:r w:rsidR="00AF0AF4" w:rsidRPr="0049396B">
        <w:t xml:space="preserve">with edaravone versus 23.5 months </w:t>
      </w:r>
      <w:r w:rsidR="00F74F95" w:rsidRPr="0049396B">
        <w:t xml:space="preserve">for patients not receiving edaravone </w:t>
      </w:r>
      <w:r w:rsidR="00AF0AF4" w:rsidRPr="0049396B">
        <w:t xml:space="preserve">(HR = 0.73, 95%CI: 0.59-0.91). The PBAC noted this </w:t>
      </w:r>
      <w:r w:rsidR="00F74F95" w:rsidRPr="0049396B">
        <w:t xml:space="preserve">result </w:t>
      </w:r>
      <w:r w:rsidR="00AF0AF4" w:rsidRPr="0049396B">
        <w:t xml:space="preserve">was used </w:t>
      </w:r>
      <w:r w:rsidRPr="0049396B">
        <w:t xml:space="preserve">to </w:t>
      </w:r>
      <w:r w:rsidR="00AF0AF4" w:rsidRPr="0049396B">
        <w:t>inform</w:t>
      </w:r>
      <w:r w:rsidRPr="0049396B">
        <w:t xml:space="preserve"> </w:t>
      </w:r>
      <w:r w:rsidR="00F74F95" w:rsidRPr="0049396B">
        <w:t xml:space="preserve">the </w:t>
      </w:r>
      <w:r w:rsidRPr="0049396B">
        <w:t xml:space="preserve">survival </w:t>
      </w:r>
      <w:r w:rsidR="00953425" w:rsidRPr="0049396B">
        <w:t xml:space="preserve">gain </w:t>
      </w:r>
      <w:r w:rsidRPr="0049396B">
        <w:t>in the modelled economic evaluation</w:t>
      </w:r>
      <w:r w:rsidR="00B100A5" w:rsidRPr="0049396B">
        <w:t xml:space="preserve">. </w:t>
      </w:r>
      <w:r w:rsidR="00AF0AF4" w:rsidRPr="0049396B">
        <w:rPr>
          <w:iCs/>
        </w:rPr>
        <w:t>The PBAC considered that the analysis presented in Brooks 2022 had a high risk of bias, and the design of the study likely overestimated any survival benefit with edaravone.</w:t>
      </w:r>
    </w:p>
    <w:p w14:paraId="07259D79" w14:textId="07B4BA68" w:rsidR="00DF6726" w:rsidRPr="0049396B" w:rsidRDefault="00AF0AF4" w:rsidP="00282114">
      <w:pPr>
        <w:widowControl w:val="0"/>
        <w:numPr>
          <w:ilvl w:val="1"/>
          <w:numId w:val="1"/>
        </w:numPr>
        <w:spacing w:after="120"/>
        <w:rPr>
          <w:rFonts w:asciiTheme="minorHAnsi" w:hAnsiTheme="minorHAnsi"/>
          <w:snapToGrid w:val="0"/>
          <w:szCs w:val="20"/>
        </w:rPr>
      </w:pPr>
      <w:r w:rsidRPr="0049396B">
        <w:rPr>
          <w:rFonts w:asciiTheme="minorHAnsi" w:hAnsiTheme="minorHAnsi"/>
          <w:snapToGrid w:val="0"/>
        </w:rPr>
        <w:lastRenderedPageBreak/>
        <w:t>Overall, t</w:t>
      </w:r>
      <w:r w:rsidR="00282114" w:rsidRPr="0049396B">
        <w:t>he PBAC considered that edaravone was superior to placebo in slowing the rate of decline in terms of motor impairment and functional deterioration, however the level of long</w:t>
      </w:r>
      <w:r w:rsidR="00953425" w:rsidRPr="0049396B">
        <w:t>-</w:t>
      </w:r>
      <w:r w:rsidR="00282114" w:rsidRPr="0049396B">
        <w:t xml:space="preserve">term benefit and effect on survival is uncertain. </w:t>
      </w:r>
      <w:r w:rsidR="00282114" w:rsidRPr="0049396B">
        <w:rPr>
          <w:rFonts w:asciiTheme="minorHAnsi" w:hAnsiTheme="minorHAnsi"/>
          <w:iCs/>
          <w:snapToGrid w:val="0"/>
        </w:rPr>
        <w:t>The</w:t>
      </w:r>
      <w:r w:rsidR="00282114" w:rsidRPr="0049396B">
        <w:rPr>
          <w:rFonts w:asciiTheme="minorHAnsi" w:hAnsiTheme="minorHAnsi"/>
          <w:snapToGrid w:val="0"/>
          <w:szCs w:val="20"/>
        </w:rPr>
        <w:t xml:space="preserve"> PBAC considered that th</w:t>
      </w:r>
      <w:r w:rsidR="00897001" w:rsidRPr="0049396B">
        <w:rPr>
          <w:rFonts w:asciiTheme="minorHAnsi" w:hAnsiTheme="minorHAnsi"/>
          <w:snapToGrid w:val="0"/>
          <w:szCs w:val="20"/>
        </w:rPr>
        <w:t>e</w:t>
      </w:r>
      <w:r w:rsidR="00282114" w:rsidRPr="0049396B">
        <w:rPr>
          <w:rFonts w:asciiTheme="minorHAnsi" w:hAnsiTheme="minorHAnsi"/>
          <w:snapToGrid w:val="0"/>
          <w:szCs w:val="20"/>
        </w:rPr>
        <w:t xml:space="preserve"> claim</w:t>
      </w:r>
      <w:r w:rsidR="00897001" w:rsidRPr="0049396B">
        <w:rPr>
          <w:rFonts w:asciiTheme="minorHAnsi" w:hAnsiTheme="minorHAnsi"/>
          <w:snapToGrid w:val="0"/>
          <w:szCs w:val="20"/>
        </w:rPr>
        <w:t xml:space="preserve"> of superior efficacy</w:t>
      </w:r>
      <w:r w:rsidR="00282114" w:rsidRPr="0049396B">
        <w:rPr>
          <w:rFonts w:asciiTheme="minorHAnsi" w:hAnsiTheme="minorHAnsi"/>
          <w:snapToGrid w:val="0"/>
          <w:szCs w:val="20"/>
        </w:rPr>
        <w:t xml:space="preserve"> was reasonable for the population that reflects patients enrolled in Study 19 (</w:t>
      </w:r>
      <w:r w:rsidR="00282114" w:rsidRPr="0049396B">
        <w:t>Grades 1 and 2 ALS diagnosed as definite or probable ALS, within 2 years of initial ALS symptom onset, FVC ≥80%, ALSFRS ≥2 all items). The PBAC considered that comparative effectiveness in a broader population had not been demonstrated and the clinical evidence indicated that there may be no treatment benefit in patients with more advanced disease</w:t>
      </w:r>
      <w:r w:rsidR="00282114" w:rsidRPr="0049396B">
        <w:rPr>
          <w:rFonts w:asciiTheme="minorHAnsi" w:hAnsiTheme="minorHAnsi"/>
          <w:snapToGrid w:val="0"/>
          <w:szCs w:val="20"/>
        </w:rPr>
        <w:t>.</w:t>
      </w:r>
    </w:p>
    <w:p w14:paraId="08E9A12B" w14:textId="3F5C3A9C" w:rsidR="00953425" w:rsidRPr="0049396B" w:rsidRDefault="00953425" w:rsidP="00D10008">
      <w:pPr>
        <w:pStyle w:val="3-BodyText"/>
      </w:pPr>
      <w:r w:rsidRPr="0049396B">
        <w:rPr>
          <w:iCs/>
        </w:rPr>
        <w:t xml:space="preserve">The PBAC noted that the incidence of </w:t>
      </w:r>
      <w:r w:rsidR="00F74F95" w:rsidRPr="0049396B">
        <w:rPr>
          <w:iCs/>
        </w:rPr>
        <w:t>adverse events (</w:t>
      </w:r>
      <w:r w:rsidRPr="0049396B">
        <w:rPr>
          <w:iCs/>
        </w:rPr>
        <w:t>AEs</w:t>
      </w:r>
      <w:r w:rsidR="00F74F95" w:rsidRPr="0049396B">
        <w:rPr>
          <w:iCs/>
        </w:rPr>
        <w:t>)</w:t>
      </w:r>
      <w:r w:rsidRPr="0049396B">
        <w:rPr>
          <w:iCs/>
        </w:rPr>
        <w:t xml:space="preserve">, drug-related AEs and serious AEs were similar between </w:t>
      </w:r>
      <w:r w:rsidR="002570DF" w:rsidRPr="0049396B">
        <w:rPr>
          <w:iCs/>
        </w:rPr>
        <w:t xml:space="preserve">the </w:t>
      </w:r>
      <w:r w:rsidRPr="0049396B">
        <w:rPr>
          <w:iCs/>
        </w:rPr>
        <w:t xml:space="preserve">edaravone and placebo groups to the end of cycle 6 in Study 16 and Study 19. The PBAC noted these safety results reflected trial conditions where patients were administered sham infusions in the placebo arm. In clinical practice however, additional infusion reactions are expected for edaravone versus </w:t>
      </w:r>
      <w:r w:rsidR="002570DF" w:rsidRPr="0049396B">
        <w:rPr>
          <w:iCs/>
        </w:rPr>
        <w:t>no treatment</w:t>
      </w:r>
      <w:r w:rsidRPr="0049396B">
        <w:rPr>
          <w:iCs/>
        </w:rPr>
        <w:t xml:space="preserve">. </w:t>
      </w:r>
      <w:r w:rsidRPr="0049396B">
        <w:t>The PBAC therefore considered that the claim of non-inferior comparative safety was not adequately supported by the data and a claim of inferior safety would be</w:t>
      </w:r>
      <w:r w:rsidR="002570DF" w:rsidRPr="0049396B">
        <w:t xml:space="preserve"> more</w:t>
      </w:r>
      <w:r w:rsidRPr="0049396B">
        <w:t xml:space="preserve"> reasonable.</w:t>
      </w:r>
    </w:p>
    <w:p w14:paraId="3AE86FC6" w14:textId="233E560B" w:rsidR="002570DF" w:rsidRPr="0049396B" w:rsidRDefault="00953425" w:rsidP="00D10008">
      <w:pPr>
        <w:pStyle w:val="3-BodyText"/>
      </w:pPr>
      <w:bookmarkStart w:id="91" w:name="_Ref151977088"/>
      <w:r w:rsidRPr="0049396B">
        <w:rPr>
          <w:iCs/>
        </w:rPr>
        <w:t xml:space="preserve">The PBAC noted the submission presented a modelled cost-utility analysis comparing edaravone plus SOC to SOC alone, where SOC could be used with or without </w:t>
      </w:r>
      <w:proofErr w:type="spellStart"/>
      <w:r w:rsidRPr="0049396B">
        <w:rPr>
          <w:iCs/>
        </w:rPr>
        <w:t>riluzole</w:t>
      </w:r>
      <w:proofErr w:type="spellEnd"/>
      <w:r w:rsidRPr="0049396B">
        <w:rPr>
          <w:iCs/>
        </w:rPr>
        <w:t xml:space="preserve">. </w:t>
      </w:r>
      <w:r w:rsidR="002F7885" w:rsidRPr="0049396B">
        <w:rPr>
          <w:iCs/>
        </w:rPr>
        <w:t xml:space="preserve">The modelled SOC arm was based on published transition probabilities from combined trial and observational data in the PRO-ACT registry (Thakore 2018). The effectiveness of the edaravone arm was based on </w:t>
      </w:r>
      <w:r w:rsidR="00897001" w:rsidRPr="0049396B">
        <w:rPr>
          <w:iCs/>
        </w:rPr>
        <w:t xml:space="preserve">hazard ratios from a </w:t>
      </w:r>
      <w:r w:rsidR="002F7885" w:rsidRPr="0049396B">
        <w:rPr>
          <w:iCs/>
        </w:rPr>
        <w:t xml:space="preserve">post hoc analysis of Study 19 data (Al-Chalabi 2021) and a real-world analysis of US claims data (Brooks 2022). The PBAC </w:t>
      </w:r>
      <w:r w:rsidR="003B022E" w:rsidRPr="0049396B">
        <w:rPr>
          <w:iCs/>
        </w:rPr>
        <w:t xml:space="preserve">noted that </w:t>
      </w:r>
      <w:r w:rsidR="002F7885" w:rsidRPr="0049396B">
        <w:t>King’s stage progression hazard ratios were estimated from a post hoc Study 19 analysis of ALSFRS-R score data mapped to King’s stage, but these were highly uncertain</w:t>
      </w:r>
      <w:r w:rsidR="00EA22A2" w:rsidRPr="0049396B">
        <w:t xml:space="preserve"> and based on few patients</w:t>
      </w:r>
      <w:r w:rsidR="002F7885" w:rsidRPr="0049396B">
        <w:t>, particularly beyond Stage 1</w:t>
      </w:r>
      <w:r w:rsidR="003B022E" w:rsidRPr="0049396B">
        <w:rPr>
          <w:iCs/>
        </w:rPr>
        <w:t>, resulting in a high level of uncertainty in the modelled outcomes.</w:t>
      </w:r>
      <w:r w:rsidR="002F7885" w:rsidRPr="0049396B">
        <w:t xml:space="preserve"> </w:t>
      </w:r>
      <w:r w:rsidR="002720C7" w:rsidRPr="0049396B">
        <w:t xml:space="preserve">The PBAC acknowledged that due to the limitations of the data, alternative approaches </w:t>
      </w:r>
      <w:r w:rsidR="002570DF" w:rsidRPr="0049396B">
        <w:t>for</w:t>
      </w:r>
      <w:r w:rsidR="002720C7" w:rsidRPr="0049396B">
        <w:t xml:space="preserve"> converting the trial outcomes (ALS</w:t>
      </w:r>
      <w:r w:rsidR="00FA4CDF" w:rsidRPr="0049396B">
        <w:t xml:space="preserve">FRS-R score) </w:t>
      </w:r>
      <w:r w:rsidR="002720C7" w:rsidRPr="0049396B">
        <w:t>to health states are unlikely to provide addi</w:t>
      </w:r>
      <w:r w:rsidR="00FA4CDF" w:rsidRPr="0049396B">
        <w:t>ti</w:t>
      </w:r>
      <w:r w:rsidR="002720C7" w:rsidRPr="0049396B">
        <w:t xml:space="preserve">onal confidence in the modelled outcomes. </w:t>
      </w:r>
    </w:p>
    <w:p w14:paraId="7A76804D" w14:textId="3D5FE473" w:rsidR="00EA22A2" w:rsidRPr="0049396B" w:rsidRDefault="00FA4CDF" w:rsidP="00D10008">
      <w:pPr>
        <w:pStyle w:val="3-BodyText"/>
      </w:pPr>
      <w:r w:rsidRPr="0049396B">
        <w:t>T</w:t>
      </w:r>
      <w:r w:rsidR="003B022E" w:rsidRPr="0049396B">
        <w:t>he PBAC noted that an ad</w:t>
      </w:r>
      <w:r w:rsidR="002F7885" w:rsidRPr="0049396B">
        <w:t>ditional mortality benefit was included</w:t>
      </w:r>
      <w:r w:rsidR="000A1160">
        <w:t xml:space="preserve"> for the edaravone arm</w:t>
      </w:r>
      <w:r w:rsidR="00167178">
        <w:t>, increasing the survival gain to</w:t>
      </w:r>
      <w:r w:rsidR="002F7885" w:rsidRPr="0049396B">
        <w:t xml:space="preserve"> </w:t>
      </w:r>
      <w:r w:rsidR="000A1160">
        <w:t>align with</w:t>
      </w:r>
      <w:r w:rsidR="002F7885" w:rsidRPr="0049396B">
        <w:t xml:space="preserve"> the real-world analysis by Brooks 2022</w:t>
      </w:r>
      <w:r w:rsidR="000A1160">
        <w:t xml:space="preserve">. This </w:t>
      </w:r>
      <w:r w:rsidR="003B022E" w:rsidRPr="0049396B">
        <w:t>increas</w:t>
      </w:r>
      <w:r w:rsidR="000A1160">
        <w:t>ed</w:t>
      </w:r>
      <w:r w:rsidR="003B022E" w:rsidRPr="0049396B">
        <w:t xml:space="preserve"> the survival gain from 0.52 years </w:t>
      </w:r>
      <w:r w:rsidR="004852CF" w:rsidRPr="0049396B">
        <w:t>(based on King’s stage progression</w:t>
      </w:r>
      <w:r w:rsidR="002570DF" w:rsidRPr="0049396B">
        <w:t xml:space="preserve"> alone</w:t>
      </w:r>
      <w:r w:rsidR="004852CF" w:rsidRPr="0049396B">
        <w:t xml:space="preserve">) </w:t>
      </w:r>
      <w:r w:rsidR="003B022E" w:rsidRPr="0049396B">
        <w:t>to 1.37 years of additional survival with edaravone</w:t>
      </w:r>
      <w:r w:rsidR="002F7885" w:rsidRPr="0049396B">
        <w:t>. There was no evidence of a survival benefit from Study 19 and limited evidence from other observational studies</w:t>
      </w:r>
      <w:r w:rsidR="00EA22A2" w:rsidRPr="0049396B">
        <w:t>.</w:t>
      </w:r>
      <w:r w:rsidR="00D40218" w:rsidRPr="0049396B">
        <w:t xml:space="preserve"> Further, </w:t>
      </w:r>
      <w:r w:rsidR="00D40218" w:rsidRPr="0049396B">
        <w:rPr>
          <w:iCs/>
        </w:rPr>
        <w:t xml:space="preserve">the model appeared to overestimate the survival benefit compared with Brooks 2022. The </w:t>
      </w:r>
      <w:r w:rsidR="004852CF" w:rsidRPr="0049396B">
        <w:rPr>
          <w:iCs/>
        </w:rPr>
        <w:t xml:space="preserve">PBAC agreed with the </w:t>
      </w:r>
      <w:r w:rsidR="00D40218" w:rsidRPr="0049396B">
        <w:rPr>
          <w:iCs/>
        </w:rPr>
        <w:t xml:space="preserve">ESC that application of this adjustment for survival in the model was not appropriate and </w:t>
      </w:r>
      <w:r w:rsidRPr="0049396B">
        <w:rPr>
          <w:iCs/>
        </w:rPr>
        <w:t xml:space="preserve">was </w:t>
      </w:r>
      <w:r w:rsidR="00D40218" w:rsidRPr="0049396B">
        <w:rPr>
          <w:iCs/>
        </w:rPr>
        <w:t>likely to have substantially overestimated the survival benefit for edaravone.</w:t>
      </w:r>
      <w:bookmarkEnd w:id="91"/>
    </w:p>
    <w:p w14:paraId="54B5796A" w14:textId="5E45511C" w:rsidR="002F7885" w:rsidRPr="0049396B" w:rsidRDefault="004852CF" w:rsidP="00D10008">
      <w:pPr>
        <w:pStyle w:val="3-BodyText"/>
        <w:rPr>
          <w:iCs/>
        </w:rPr>
      </w:pPr>
      <w:bookmarkStart w:id="92" w:name="_Ref151977110"/>
      <w:r w:rsidRPr="0049396B">
        <w:rPr>
          <w:iCs/>
        </w:rPr>
        <w:t>The PBAC considered that the modelled t</w:t>
      </w:r>
      <w:r w:rsidR="002F7885" w:rsidRPr="0049396B">
        <w:rPr>
          <w:iCs/>
        </w:rPr>
        <w:t>ime on edaravone was likely</w:t>
      </w:r>
      <w:r w:rsidRPr="0049396B">
        <w:rPr>
          <w:iCs/>
        </w:rPr>
        <w:t xml:space="preserve"> to be</w:t>
      </w:r>
      <w:r w:rsidR="00B30E4C" w:rsidRPr="0049396B">
        <w:rPr>
          <w:iCs/>
        </w:rPr>
        <w:t xml:space="preserve"> </w:t>
      </w:r>
      <w:r w:rsidRPr="0049396B">
        <w:rPr>
          <w:iCs/>
        </w:rPr>
        <w:t xml:space="preserve">substantially </w:t>
      </w:r>
      <w:r w:rsidR="002F7885" w:rsidRPr="0049396B">
        <w:rPr>
          <w:iCs/>
        </w:rPr>
        <w:t>underestimate</w:t>
      </w:r>
      <w:r w:rsidRPr="0049396B">
        <w:rPr>
          <w:iCs/>
        </w:rPr>
        <w:t xml:space="preserve">d, </w:t>
      </w:r>
      <w:r w:rsidR="002570DF" w:rsidRPr="0049396B">
        <w:rPr>
          <w:iCs/>
        </w:rPr>
        <w:t>resulting in</w:t>
      </w:r>
      <w:r w:rsidRPr="0049396B">
        <w:rPr>
          <w:iCs/>
        </w:rPr>
        <w:t xml:space="preserve"> the cost of treatment for edaravone</w:t>
      </w:r>
      <w:r w:rsidR="002570DF" w:rsidRPr="0049396B">
        <w:rPr>
          <w:iCs/>
        </w:rPr>
        <w:t xml:space="preserve">, and hence </w:t>
      </w:r>
      <w:r w:rsidR="00081192" w:rsidRPr="0049396B">
        <w:rPr>
          <w:iCs/>
        </w:rPr>
        <w:t xml:space="preserve">the </w:t>
      </w:r>
      <w:r w:rsidR="002570DF" w:rsidRPr="0049396B">
        <w:rPr>
          <w:iCs/>
        </w:rPr>
        <w:t>ICER, being underestimated</w:t>
      </w:r>
      <w:r w:rsidR="002F7885" w:rsidRPr="0049396B">
        <w:rPr>
          <w:iCs/>
        </w:rPr>
        <w:t xml:space="preserve">. The model assumed a 30% discontinuation </w:t>
      </w:r>
      <w:r w:rsidR="002F7885" w:rsidRPr="0049396B">
        <w:rPr>
          <w:iCs/>
        </w:rPr>
        <w:lastRenderedPageBreak/>
        <w:t xml:space="preserve">rate every 3 months in addition to ceasing treatment on disease progression, </w:t>
      </w:r>
      <w:r w:rsidR="002570DF" w:rsidRPr="0049396B">
        <w:rPr>
          <w:iCs/>
        </w:rPr>
        <w:t>and this resulted in a similar treatment duration to that reported in</w:t>
      </w:r>
      <w:r w:rsidR="002F7885" w:rsidRPr="0049396B">
        <w:rPr>
          <w:iCs/>
        </w:rPr>
        <w:t xml:space="preserve"> the real-world analysis by Brooks 2022</w:t>
      </w:r>
      <w:r w:rsidR="002570DF" w:rsidRPr="0049396B">
        <w:rPr>
          <w:iCs/>
        </w:rPr>
        <w:t xml:space="preserve"> (8.6 months)</w:t>
      </w:r>
      <w:r w:rsidR="002F7885" w:rsidRPr="0049396B">
        <w:rPr>
          <w:iCs/>
        </w:rPr>
        <w:t xml:space="preserve">. </w:t>
      </w:r>
      <w:r w:rsidRPr="0049396B">
        <w:rPr>
          <w:iCs/>
        </w:rPr>
        <w:t>However, d</w:t>
      </w:r>
      <w:r w:rsidR="002F7885" w:rsidRPr="0049396B">
        <w:rPr>
          <w:iCs/>
        </w:rPr>
        <w:t>iscontinuation of edaravone in Study 19 was much lower, with 76% of patients commencing all 12 cycles of treatment</w:t>
      </w:r>
      <w:r w:rsidR="000E7D44" w:rsidRPr="0049396B">
        <w:rPr>
          <w:iCs/>
        </w:rPr>
        <w:t>. Further,</w:t>
      </w:r>
      <w:r w:rsidRPr="0049396B">
        <w:rPr>
          <w:iCs/>
        </w:rPr>
        <w:t xml:space="preserve"> i</w:t>
      </w:r>
      <w:r w:rsidR="002F7885" w:rsidRPr="0049396B">
        <w:rPr>
          <w:iCs/>
        </w:rPr>
        <w:t>n other real-world evidence</w:t>
      </w:r>
      <w:r w:rsidR="000E7D44" w:rsidRPr="0049396B">
        <w:rPr>
          <w:iCs/>
        </w:rPr>
        <w:t>, the</w:t>
      </w:r>
      <w:r w:rsidR="002F7885" w:rsidRPr="0049396B">
        <w:rPr>
          <w:iCs/>
        </w:rPr>
        <w:t xml:space="preserve"> average treatment duration was reported </w:t>
      </w:r>
      <w:r w:rsidR="000E7D44" w:rsidRPr="0049396B">
        <w:rPr>
          <w:iCs/>
        </w:rPr>
        <w:t xml:space="preserve">to be </w:t>
      </w:r>
      <w:r w:rsidR="002F7885" w:rsidRPr="0049396B">
        <w:rPr>
          <w:iCs/>
        </w:rPr>
        <w:t>up to 27 months.</w:t>
      </w:r>
      <w:r w:rsidR="002F7885" w:rsidRPr="0049396B">
        <w:t xml:space="preserve"> </w:t>
      </w:r>
      <w:r w:rsidRPr="0049396B">
        <w:t xml:space="preserve">The PBAC considered that application of a </w:t>
      </w:r>
      <w:r w:rsidR="004A06DC" w:rsidRPr="0049396B">
        <w:t xml:space="preserve">15% discontinuation rate every 3 months, resulting in a median treatment duration of 12 </w:t>
      </w:r>
      <w:r w:rsidR="004A06DC" w:rsidRPr="0049396B">
        <w:rPr>
          <w:iCs/>
        </w:rPr>
        <w:t>months, would be more reasonable.</w:t>
      </w:r>
      <w:bookmarkEnd w:id="92"/>
    </w:p>
    <w:p w14:paraId="505E3BBA" w14:textId="2E8C02C0" w:rsidR="00953425" w:rsidRPr="0049396B" w:rsidRDefault="004A06DC" w:rsidP="00953425">
      <w:pPr>
        <w:pStyle w:val="3-BodyText"/>
        <w:rPr>
          <w:iCs/>
        </w:rPr>
      </w:pPr>
      <w:r w:rsidRPr="0049396B">
        <w:rPr>
          <w:iCs/>
        </w:rPr>
        <w:t>The PBAC noted that when the</w:t>
      </w:r>
      <w:r w:rsidR="00B30E4C" w:rsidRPr="0049396B">
        <w:rPr>
          <w:iCs/>
        </w:rPr>
        <w:t xml:space="preserve"> mortality</w:t>
      </w:r>
      <w:r w:rsidRPr="0049396B">
        <w:rPr>
          <w:iCs/>
        </w:rPr>
        <w:t xml:space="preserve"> adjustment was </w:t>
      </w:r>
      <w:r w:rsidR="00B30E4C" w:rsidRPr="0049396B">
        <w:rPr>
          <w:iCs/>
        </w:rPr>
        <w:t xml:space="preserve">removed from the model and the discontinuation rate reduced to 15%, the ICER increased from </w:t>
      </w:r>
      <w:r w:rsidR="000243FB" w:rsidRPr="000243FB">
        <w:rPr>
          <w:iCs/>
        </w:rPr>
        <w:t>$75,000 to &lt; $95,000</w:t>
      </w:r>
      <w:r w:rsidR="00D94CF5">
        <w:rPr>
          <w:iCs/>
        </w:rPr>
        <w:t xml:space="preserve"> </w:t>
      </w:r>
      <w:r w:rsidR="00B30E4C" w:rsidRPr="0049396B">
        <w:rPr>
          <w:iCs/>
        </w:rPr>
        <w:t xml:space="preserve">to </w:t>
      </w:r>
      <w:r w:rsidR="000243FB" w:rsidRPr="000243FB">
        <w:rPr>
          <w:iCs/>
        </w:rPr>
        <w:t>$155,000 to &lt; $255,000</w:t>
      </w:r>
      <w:r w:rsidR="00D94CF5">
        <w:rPr>
          <w:iCs/>
        </w:rPr>
        <w:t xml:space="preserve"> </w:t>
      </w:r>
      <w:r w:rsidR="00B30E4C" w:rsidRPr="0049396B">
        <w:rPr>
          <w:iCs/>
        </w:rPr>
        <w:t>per QALY gained. The PBAC considered that</w:t>
      </w:r>
      <w:r w:rsidR="00897001" w:rsidRPr="0049396B">
        <w:rPr>
          <w:iCs/>
        </w:rPr>
        <w:t>,</w:t>
      </w:r>
      <w:r w:rsidR="00B30E4C" w:rsidRPr="0049396B">
        <w:rPr>
          <w:iCs/>
        </w:rPr>
        <w:t xml:space="preserve"> </w:t>
      </w:r>
      <w:r w:rsidR="00897001" w:rsidRPr="0049396B">
        <w:rPr>
          <w:iCs/>
        </w:rPr>
        <w:t xml:space="preserve">based on this revised analysis, </w:t>
      </w:r>
      <w:r w:rsidR="00B30E4C" w:rsidRPr="0049396B">
        <w:rPr>
          <w:iCs/>
        </w:rPr>
        <w:t>edaravone was not cost-effective at the requested price</w:t>
      </w:r>
      <w:r w:rsidR="000E7D44" w:rsidRPr="0049396B">
        <w:rPr>
          <w:iCs/>
        </w:rPr>
        <w:t xml:space="preserve">. The PBAC </w:t>
      </w:r>
      <w:r w:rsidR="00B30E4C" w:rsidRPr="0049396B">
        <w:rPr>
          <w:iCs/>
        </w:rPr>
        <w:t>considered</w:t>
      </w:r>
      <w:r w:rsidR="00623CD8" w:rsidRPr="0049396B">
        <w:rPr>
          <w:iCs/>
        </w:rPr>
        <w:t xml:space="preserve"> that in the context of the high clinical need</w:t>
      </w:r>
      <w:r w:rsidR="00B30E4C" w:rsidRPr="0049396B">
        <w:rPr>
          <w:iCs/>
        </w:rPr>
        <w:t xml:space="preserve"> an ICER of</w:t>
      </w:r>
      <w:r w:rsidR="00623CD8" w:rsidRPr="0049396B">
        <w:rPr>
          <w:iCs/>
        </w:rPr>
        <w:t xml:space="preserve"> up to</w:t>
      </w:r>
      <w:r w:rsidR="00B30E4C" w:rsidRPr="0049396B">
        <w:rPr>
          <w:iCs/>
        </w:rPr>
        <w:t xml:space="preserve"> $100,000</w:t>
      </w:r>
      <w:r w:rsidR="00DA6346" w:rsidRPr="0049396B">
        <w:rPr>
          <w:iCs/>
        </w:rPr>
        <w:t xml:space="preserve"> per QALY gained</w:t>
      </w:r>
      <w:r w:rsidR="00B30E4C" w:rsidRPr="0049396B">
        <w:rPr>
          <w:iCs/>
        </w:rPr>
        <w:t xml:space="preserve"> would be considered </w:t>
      </w:r>
      <w:r w:rsidR="00623CD8" w:rsidRPr="0049396B">
        <w:rPr>
          <w:iCs/>
        </w:rPr>
        <w:t>acceptable.</w:t>
      </w:r>
      <w:r w:rsidR="00B30E4C" w:rsidRPr="0049396B">
        <w:rPr>
          <w:iCs/>
        </w:rPr>
        <w:t xml:space="preserve"> </w:t>
      </w:r>
      <w:r w:rsidR="00623CD8" w:rsidRPr="0049396B">
        <w:rPr>
          <w:iCs/>
        </w:rPr>
        <w:t>The PBAC noted that this would require a substantial reduction in the price for edaravone.</w:t>
      </w:r>
    </w:p>
    <w:p w14:paraId="3B35A41F" w14:textId="60997239" w:rsidR="00DF6726" w:rsidRPr="000243FB" w:rsidRDefault="00A14B76" w:rsidP="000243FB">
      <w:pPr>
        <w:widowControl w:val="0"/>
        <w:numPr>
          <w:ilvl w:val="1"/>
          <w:numId w:val="1"/>
        </w:numPr>
        <w:spacing w:after="120"/>
        <w:rPr>
          <w:b/>
          <w:bCs/>
        </w:rPr>
      </w:pPr>
      <w:bookmarkStart w:id="93" w:name="_Ref151977969"/>
      <w:r w:rsidRPr="0049396B">
        <w:rPr>
          <w:rFonts w:asciiTheme="minorHAnsi" w:hAnsiTheme="minorHAnsi"/>
          <w:snapToGrid w:val="0"/>
        </w:rPr>
        <w:t xml:space="preserve">The PBAC noted that the submission used an epidemiological approach to estimate the number of patients with ALS eligible for treatment with edaravone. The PBAC considered that there was a high level of uncertainty regarding the estimates of incidence and prevalence and potential double-counting of patients in the year 1 estimates. </w:t>
      </w:r>
      <w:r w:rsidRPr="0049396B">
        <w:t xml:space="preserve">The PBAC noted that the </w:t>
      </w:r>
      <w:proofErr w:type="spellStart"/>
      <w:r w:rsidRPr="0049396B">
        <w:t>riluzole</w:t>
      </w:r>
      <w:proofErr w:type="spellEnd"/>
      <w:r w:rsidRPr="0049396B">
        <w:t xml:space="preserve"> patient numbers provided by the DUSC Secretariat reflect the actual number of patients treated with </w:t>
      </w:r>
      <w:proofErr w:type="spellStart"/>
      <w:r w:rsidRPr="0049396B">
        <w:t>riluzole</w:t>
      </w:r>
      <w:proofErr w:type="spellEnd"/>
      <w:r w:rsidRPr="0049396B">
        <w:t xml:space="preserve"> in Australia (1,200-1,400 per year) and considered </w:t>
      </w:r>
      <w:r w:rsidR="00004D1B" w:rsidRPr="0049396B">
        <w:t xml:space="preserve">this was a more reliable estimate of </w:t>
      </w:r>
      <w:r w:rsidR="002B0F90" w:rsidRPr="0049396B">
        <w:t xml:space="preserve">ALS </w:t>
      </w:r>
      <w:r w:rsidR="00004D1B" w:rsidRPr="0049396B">
        <w:t>patient numbers than the submission’s estimates</w:t>
      </w:r>
      <w:r w:rsidRPr="0049396B">
        <w:t xml:space="preserve">. </w:t>
      </w:r>
      <w:r w:rsidR="002B0F90" w:rsidRPr="0049396B">
        <w:t>The PBAC noted that around 35% of patients enrolled in Study 16 fit the dpEESP2y criteria. The PBAC considered that the proportion of patients meeting the revised PBS eligibility criteria is likely to be no more than 35% of incident patients (</w:t>
      </w:r>
      <w:r w:rsidR="000243FB" w:rsidRPr="000243FB">
        <w:t>&lt; 500</w:t>
      </w:r>
      <w:r w:rsidR="00D94CF5">
        <w:t xml:space="preserve"> </w:t>
      </w:r>
      <w:r w:rsidR="006306B8">
        <w:t xml:space="preserve">of </w:t>
      </w:r>
      <w:r w:rsidR="000243FB">
        <w:t>&lt; 500</w:t>
      </w:r>
      <w:r w:rsidR="006306B8">
        <w:t xml:space="preserve"> patients </w:t>
      </w:r>
      <w:r w:rsidR="002B0F90" w:rsidRPr="0049396B">
        <w:t xml:space="preserve">in year 1 based on the incidence in Vucic 2020 </w:t>
      </w:r>
      <w:r w:rsidR="006306B8">
        <w:t>(</w:t>
      </w:r>
      <w:r w:rsidR="006306B8">
        <w:fldChar w:fldCharType="begin" w:fldLock="1"/>
      </w:r>
      <w:r w:rsidR="006306B8">
        <w:instrText xml:space="preserve"> REF _Ref104805262 \h </w:instrText>
      </w:r>
      <w:r w:rsidR="006306B8">
        <w:fldChar w:fldCharType="separate"/>
      </w:r>
      <w:r w:rsidR="006306B8" w:rsidRPr="0049396B">
        <w:t>Table 13</w:t>
      </w:r>
      <w:r w:rsidR="006306B8">
        <w:fldChar w:fldCharType="end"/>
      </w:r>
      <w:r w:rsidR="006306B8">
        <w:t xml:space="preserve">) </w:t>
      </w:r>
      <w:r w:rsidR="002B0F90" w:rsidRPr="0049396B">
        <w:t xml:space="preserve">or up to </w:t>
      </w:r>
      <w:r w:rsidR="000243FB">
        <w:t>&lt; 500</w:t>
      </w:r>
      <w:r w:rsidR="002B0F90" w:rsidRPr="0049396B">
        <w:t xml:space="preserve"> patients based on </w:t>
      </w:r>
      <w:proofErr w:type="spellStart"/>
      <w:r w:rsidR="002B0F90" w:rsidRPr="0049396B">
        <w:t>riluzole</w:t>
      </w:r>
      <w:proofErr w:type="spellEnd"/>
      <w:r w:rsidR="002B0F90" w:rsidRPr="0049396B">
        <w:t xml:space="preserve"> patient numbers). </w:t>
      </w:r>
      <w:r w:rsidR="00897001" w:rsidRPr="0049396B">
        <w:t>The PBAC considered that with the narrower restriction criteria, there is likely to be few eligible prevalent patients</w:t>
      </w:r>
      <w:r w:rsidR="002720C7" w:rsidRPr="0049396B">
        <w:t xml:space="preserve">. </w:t>
      </w:r>
      <w:r w:rsidR="00004D1B" w:rsidRPr="0049396B">
        <w:t xml:space="preserve">The PBAC </w:t>
      </w:r>
      <w:r w:rsidR="0096717D">
        <w:t>noted</w:t>
      </w:r>
      <w:r w:rsidR="00004D1B" w:rsidRPr="0049396B">
        <w:t xml:space="preserve"> DUSC </w:t>
      </w:r>
      <w:r w:rsidR="0096717D">
        <w:t xml:space="preserve">considered </w:t>
      </w:r>
      <w:r w:rsidR="00004D1B" w:rsidRPr="0049396B">
        <w:t xml:space="preserve">that the uptake rates applied in the submission are likely to have been underestimated, given the level of patient and clinician awareness of edaravone and the lack of </w:t>
      </w:r>
      <w:r w:rsidR="000A1160">
        <w:t xml:space="preserve">new </w:t>
      </w:r>
      <w:r w:rsidR="00004D1B" w:rsidRPr="0049396B">
        <w:t xml:space="preserve">alternative treatments. </w:t>
      </w:r>
      <w:bookmarkEnd w:id="93"/>
    </w:p>
    <w:p w14:paraId="3ACE4B5E" w14:textId="77777777" w:rsidR="006306B8" w:rsidRPr="0049396B" w:rsidRDefault="006306B8" w:rsidP="006306B8">
      <w:pPr>
        <w:pStyle w:val="3-BodyText"/>
      </w:pPr>
      <w:r w:rsidRPr="0049396B">
        <w:t xml:space="preserve">The PBAC also considered that a </w:t>
      </w:r>
      <w:r>
        <w:t>R</w:t>
      </w:r>
      <w:r w:rsidRPr="0049396B">
        <w:t>isk</w:t>
      </w:r>
      <w:r>
        <w:t xml:space="preserve"> S</w:t>
      </w:r>
      <w:r w:rsidRPr="0049396B">
        <w:t xml:space="preserve">haring </w:t>
      </w:r>
      <w:r>
        <w:t>A</w:t>
      </w:r>
      <w:r w:rsidRPr="0049396B">
        <w:t xml:space="preserve">rrangement </w:t>
      </w:r>
      <w:r>
        <w:t xml:space="preserve">with 100% rebate over the </w:t>
      </w:r>
      <w:r w:rsidRPr="0049396B">
        <w:t xml:space="preserve">caps would likely be required to address uncertainty regarding the overall expenditure and cost-effectiveness, especially where there is use in a broader population than that included in Study 19. </w:t>
      </w:r>
    </w:p>
    <w:p w14:paraId="34EE09FE" w14:textId="77777777" w:rsidR="00FA4CDF" w:rsidRPr="0049396B" w:rsidRDefault="00DF6726" w:rsidP="00282114">
      <w:pPr>
        <w:pStyle w:val="3-BodyText"/>
      </w:pPr>
      <w:r w:rsidRPr="0049396B">
        <w:t xml:space="preserve">The PBAC considered the outstanding issues could be easily resolved in a simple resubmission for </w:t>
      </w:r>
      <w:r w:rsidR="00282114" w:rsidRPr="0049396B">
        <w:t>edaravone</w:t>
      </w:r>
      <w:r w:rsidRPr="0049396B">
        <w:t xml:space="preserve"> using the early re-entry pathway. If the sponsor accepts this pathway, the following changes may address these outstanding issues without requiring further re-evaluation</w:t>
      </w:r>
      <w:r w:rsidR="00FA4CDF" w:rsidRPr="0049396B">
        <w:t>:</w:t>
      </w:r>
    </w:p>
    <w:p w14:paraId="6D8BA93E" w14:textId="00008A71" w:rsidR="00DF6726" w:rsidRPr="0049396B" w:rsidRDefault="00FA4CDF" w:rsidP="008D1F47">
      <w:pPr>
        <w:pStyle w:val="ListBullet"/>
        <w:spacing w:after="120"/>
        <w:ind w:left="1134" w:hanging="357"/>
        <w:contextualSpacing w:val="0"/>
      </w:pPr>
      <w:r w:rsidRPr="0049396B">
        <w:lastRenderedPageBreak/>
        <w:t xml:space="preserve">Revision of the restrictions to align the PBS population with patients included in the Study 19 as described in paragraphs </w:t>
      </w:r>
      <w:r w:rsidRPr="0049396B">
        <w:fldChar w:fldCharType="begin" w:fldLock="1"/>
      </w:r>
      <w:r w:rsidRPr="0049396B">
        <w:instrText xml:space="preserve"> REF _Ref151976907 \r \h </w:instrText>
      </w:r>
      <w:r w:rsidRPr="0049396B">
        <w:fldChar w:fldCharType="separate"/>
      </w:r>
      <w:r w:rsidRPr="0049396B">
        <w:t>7.4</w:t>
      </w:r>
      <w:r w:rsidRPr="0049396B">
        <w:fldChar w:fldCharType="end"/>
      </w:r>
      <w:r w:rsidRPr="0049396B">
        <w:t>-</w:t>
      </w:r>
      <w:r w:rsidRPr="0049396B">
        <w:fldChar w:fldCharType="begin" w:fldLock="1"/>
      </w:r>
      <w:r w:rsidRPr="0049396B">
        <w:instrText xml:space="preserve"> REF _Ref151976909 \r \h </w:instrText>
      </w:r>
      <w:r w:rsidRPr="0049396B">
        <w:fldChar w:fldCharType="separate"/>
      </w:r>
      <w:r w:rsidRPr="0049396B">
        <w:t>7.6</w:t>
      </w:r>
      <w:r w:rsidRPr="0049396B">
        <w:fldChar w:fldCharType="end"/>
      </w:r>
      <w:r w:rsidRPr="0049396B">
        <w:t>.</w:t>
      </w:r>
    </w:p>
    <w:p w14:paraId="14A7AF66" w14:textId="0831CD12" w:rsidR="00FA4CDF" w:rsidRPr="0049396B" w:rsidRDefault="00FA4CDF" w:rsidP="008D1F47">
      <w:pPr>
        <w:pStyle w:val="ListBullet"/>
        <w:spacing w:after="120"/>
        <w:ind w:left="1134" w:hanging="357"/>
        <w:contextualSpacing w:val="0"/>
        <w:rPr>
          <w:rFonts w:asciiTheme="minorHAnsi" w:hAnsiTheme="minorHAnsi"/>
          <w:snapToGrid w:val="0"/>
        </w:rPr>
      </w:pPr>
      <w:r w:rsidRPr="0049396B">
        <w:rPr>
          <w:rFonts w:asciiTheme="minorHAnsi" w:hAnsiTheme="minorHAnsi"/>
          <w:snapToGrid w:val="0"/>
        </w:rPr>
        <w:t xml:space="preserve">Revision of the economic model to remove the mortality adjustment (see paragraph </w:t>
      </w:r>
      <w:r w:rsidRPr="0049396B">
        <w:rPr>
          <w:rFonts w:asciiTheme="minorHAnsi" w:hAnsiTheme="minorHAnsi"/>
          <w:snapToGrid w:val="0"/>
        </w:rPr>
        <w:fldChar w:fldCharType="begin" w:fldLock="1"/>
      </w:r>
      <w:r w:rsidRPr="0049396B">
        <w:rPr>
          <w:rFonts w:asciiTheme="minorHAnsi" w:hAnsiTheme="minorHAnsi"/>
          <w:snapToGrid w:val="0"/>
        </w:rPr>
        <w:instrText xml:space="preserve"> REF _Ref151977088 \r \h </w:instrText>
      </w:r>
      <w:r w:rsidR="008D1F47" w:rsidRPr="0049396B">
        <w:rPr>
          <w:rFonts w:asciiTheme="minorHAnsi" w:hAnsiTheme="minorHAnsi"/>
          <w:snapToGrid w:val="0"/>
        </w:rPr>
        <w:instrText xml:space="preserve"> \* MERGEFORMAT </w:instrText>
      </w:r>
      <w:r w:rsidRPr="0049396B">
        <w:rPr>
          <w:rFonts w:asciiTheme="minorHAnsi" w:hAnsiTheme="minorHAnsi"/>
          <w:snapToGrid w:val="0"/>
        </w:rPr>
      </w:r>
      <w:r w:rsidRPr="0049396B">
        <w:rPr>
          <w:rFonts w:asciiTheme="minorHAnsi" w:hAnsiTheme="minorHAnsi"/>
          <w:snapToGrid w:val="0"/>
        </w:rPr>
        <w:fldChar w:fldCharType="separate"/>
      </w:r>
      <w:r w:rsidRPr="0049396B">
        <w:rPr>
          <w:rFonts w:asciiTheme="minorHAnsi" w:hAnsiTheme="minorHAnsi"/>
          <w:snapToGrid w:val="0"/>
        </w:rPr>
        <w:t>7.12</w:t>
      </w:r>
      <w:r w:rsidRPr="0049396B">
        <w:rPr>
          <w:rFonts w:asciiTheme="minorHAnsi" w:hAnsiTheme="minorHAnsi"/>
          <w:snapToGrid w:val="0"/>
        </w:rPr>
        <w:fldChar w:fldCharType="end"/>
      </w:r>
      <w:r w:rsidRPr="0049396B">
        <w:rPr>
          <w:rFonts w:asciiTheme="minorHAnsi" w:hAnsiTheme="minorHAnsi"/>
          <w:snapToGrid w:val="0"/>
        </w:rPr>
        <w:t xml:space="preserve">) and reduce the discontinuation rate to 15% (see paragraph </w:t>
      </w:r>
      <w:r w:rsidRPr="0049396B">
        <w:rPr>
          <w:rFonts w:asciiTheme="minorHAnsi" w:hAnsiTheme="minorHAnsi"/>
          <w:snapToGrid w:val="0"/>
        </w:rPr>
        <w:fldChar w:fldCharType="begin" w:fldLock="1"/>
      </w:r>
      <w:r w:rsidRPr="0049396B">
        <w:rPr>
          <w:rFonts w:asciiTheme="minorHAnsi" w:hAnsiTheme="minorHAnsi"/>
          <w:snapToGrid w:val="0"/>
        </w:rPr>
        <w:instrText xml:space="preserve"> REF _Ref151977110 \r \h </w:instrText>
      </w:r>
      <w:r w:rsidR="008D1F47" w:rsidRPr="0049396B">
        <w:rPr>
          <w:rFonts w:asciiTheme="minorHAnsi" w:hAnsiTheme="minorHAnsi"/>
          <w:snapToGrid w:val="0"/>
        </w:rPr>
        <w:instrText xml:space="preserve"> \* MERGEFORMAT </w:instrText>
      </w:r>
      <w:r w:rsidRPr="0049396B">
        <w:rPr>
          <w:rFonts w:asciiTheme="minorHAnsi" w:hAnsiTheme="minorHAnsi"/>
          <w:snapToGrid w:val="0"/>
        </w:rPr>
      </w:r>
      <w:r w:rsidRPr="0049396B">
        <w:rPr>
          <w:rFonts w:asciiTheme="minorHAnsi" w:hAnsiTheme="minorHAnsi"/>
          <w:snapToGrid w:val="0"/>
        </w:rPr>
        <w:fldChar w:fldCharType="separate"/>
      </w:r>
      <w:r w:rsidRPr="0049396B">
        <w:rPr>
          <w:rFonts w:asciiTheme="minorHAnsi" w:hAnsiTheme="minorHAnsi"/>
          <w:snapToGrid w:val="0"/>
        </w:rPr>
        <w:t>7.13</w:t>
      </w:r>
      <w:r w:rsidRPr="0049396B">
        <w:rPr>
          <w:rFonts w:asciiTheme="minorHAnsi" w:hAnsiTheme="minorHAnsi"/>
          <w:snapToGrid w:val="0"/>
        </w:rPr>
        <w:fldChar w:fldCharType="end"/>
      </w:r>
      <w:r w:rsidRPr="0049396B">
        <w:rPr>
          <w:rFonts w:asciiTheme="minorHAnsi" w:hAnsiTheme="minorHAnsi"/>
          <w:snapToGrid w:val="0"/>
        </w:rPr>
        <w:t>).</w:t>
      </w:r>
    </w:p>
    <w:p w14:paraId="4DBEA750" w14:textId="10E04C9F" w:rsidR="00FA4CDF" w:rsidRPr="0049396B" w:rsidRDefault="00FA4CDF" w:rsidP="008D1F47">
      <w:pPr>
        <w:pStyle w:val="ListBullet"/>
        <w:spacing w:after="120"/>
        <w:ind w:left="1134" w:hanging="357"/>
        <w:contextualSpacing w:val="0"/>
        <w:rPr>
          <w:rFonts w:asciiTheme="minorHAnsi" w:hAnsiTheme="minorHAnsi"/>
          <w:snapToGrid w:val="0"/>
        </w:rPr>
      </w:pPr>
      <w:r w:rsidRPr="0049396B">
        <w:rPr>
          <w:rFonts w:asciiTheme="minorHAnsi" w:hAnsiTheme="minorHAnsi"/>
          <w:snapToGrid w:val="0"/>
        </w:rPr>
        <w:t xml:space="preserve">Reduce the price for edaravone to </w:t>
      </w:r>
      <w:r w:rsidR="000E7D44" w:rsidRPr="0049396B">
        <w:rPr>
          <w:rFonts w:asciiTheme="minorHAnsi" w:hAnsiTheme="minorHAnsi"/>
          <w:snapToGrid w:val="0"/>
        </w:rPr>
        <w:t xml:space="preserve">result in </w:t>
      </w:r>
      <w:r w:rsidR="00DA6346" w:rsidRPr="0049396B">
        <w:rPr>
          <w:rFonts w:asciiTheme="minorHAnsi" w:hAnsiTheme="minorHAnsi"/>
          <w:snapToGrid w:val="0"/>
        </w:rPr>
        <w:t xml:space="preserve">an ICER of </w:t>
      </w:r>
      <w:r w:rsidR="000E7D44" w:rsidRPr="0049396B">
        <w:rPr>
          <w:rFonts w:asciiTheme="minorHAnsi" w:hAnsiTheme="minorHAnsi"/>
          <w:snapToGrid w:val="0"/>
        </w:rPr>
        <w:t>less than</w:t>
      </w:r>
      <w:r w:rsidR="00DA6346" w:rsidRPr="0049396B">
        <w:rPr>
          <w:rFonts w:asciiTheme="minorHAnsi" w:hAnsiTheme="minorHAnsi"/>
          <w:snapToGrid w:val="0"/>
        </w:rPr>
        <w:t xml:space="preserve"> $100,000 per QALY gained.</w:t>
      </w:r>
    </w:p>
    <w:p w14:paraId="1DCB8E20" w14:textId="28EDAABD" w:rsidR="00DA6346" w:rsidRDefault="00DA6346" w:rsidP="008D1F47">
      <w:pPr>
        <w:pStyle w:val="ListBullet"/>
        <w:spacing w:after="120"/>
        <w:ind w:left="1134" w:hanging="357"/>
        <w:contextualSpacing w:val="0"/>
        <w:rPr>
          <w:rFonts w:asciiTheme="minorHAnsi" w:hAnsiTheme="minorHAnsi"/>
          <w:snapToGrid w:val="0"/>
        </w:rPr>
      </w:pPr>
      <w:r w:rsidRPr="0049396B">
        <w:rPr>
          <w:rFonts w:asciiTheme="minorHAnsi" w:hAnsiTheme="minorHAnsi"/>
          <w:snapToGrid w:val="0"/>
        </w:rPr>
        <w:t xml:space="preserve">Reduction of the patient numbers </w:t>
      </w:r>
      <w:r w:rsidR="00865E91" w:rsidRPr="0049396B">
        <w:rPr>
          <w:rFonts w:asciiTheme="minorHAnsi" w:hAnsiTheme="minorHAnsi"/>
          <w:snapToGrid w:val="0"/>
        </w:rPr>
        <w:t xml:space="preserve">as outlined in paragraph </w:t>
      </w:r>
      <w:r w:rsidR="00865E91" w:rsidRPr="0049396B">
        <w:rPr>
          <w:rFonts w:asciiTheme="minorHAnsi" w:hAnsiTheme="minorHAnsi"/>
          <w:snapToGrid w:val="0"/>
        </w:rPr>
        <w:fldChar w:fldCharType="begin" w:fldLock="1"/>
      </w:r>
      <w:r w:rsidR="00865E91" w:rsidRPr="0049396B">
        <w:rPr>
          <w:rFonts w:asciiTheme="minorHAnsi" w:hAnsiTheme="minorHAnsi"/>
          <w:snapToGrid w:val="0"/>
        </w:rPr>
        <w:instrText xml:space="preserve"> REF _Ref151977969 \r \h </w:instrText>
      </w:r>
      <w:r w:rsidR="008D1F47" w:rsidRPr="0049396B">
        <w:rPr>
          <w:rFonts w:asciiTheme="minorHAnsi" w:hAnsiTheme="minorHAnsi"/>
          <w:snapToGrid w:val="0"/>
        </w:rPr>
        <w:instrText xml:space="preserve"> \* MERGEFORMAT </w:instrText>
      </w:r>
      <w:r w:rsidR="00865E91" w:rsidRPr="0049396B">
        <w:rPr>
          <w:rFonts w:asciiTheme="minorHAnsi" w:hAnsiTheme="minorHAnsi"/>
          <w:snapToGrid w:val="0"/>
        </w:rPr>
      </w:r>
      <w:r w:rsidR="00865E91" w:rsidRPr="0049396B">
        <w:rPr>
          <w:rFonts w:asciiTheme="minorHAnsi" w:hAnsiTheme="minorHAnsi"/>
          <w:snapToGrid w:val="0"/>
        </w:rPr>
        <w:fldChar w:fldCharType="separate"/>
      </w:r>
      <w:r w:rsidR="007A08DC">
        <w:rPr>
          <w:rFonts w:asciiTheme="minorHAnsi" w:hAnsiTheme="minorHAnsi"/>
          <w:snapToGrid w:val="0"/>
        </w:rPr>
        <w:t>7.16</w:t>
      </w:r>
      <w:r w:rsidR="00865E91" w:rsidRPr="0049396B">
        <w:rPr>
          <w:rFonts w:asciiTheme="minorHAnsi" w:hAnsiTheme="minorHAnsi"/>
          <w:snapToGrid w:val="0"/>
        </w:rPr>
        <w:fldChar w:fldCharType="end"/>
      </w:r>
      <w:r w:rsidR="00865E91" w:rsidRPr="0049396B">
        <w:rPr>
          <w:rFonts w:asciiTheme="minorHAnsi" w:hAnsiTheme="minorHAnsi"/>
          <w:snapToGrid w:val="0"/>
        </w:rPr>
        <w:t>.</w:t>
      </w:r>
      <w:r w:rsidR="007A08DC">
        <w:rPr>
          <w:rFonts w:asciiTheme="minorHAnsi" w:hAnsiTheme="minorHAnsi"/>
          <w:snapToGrid w:val="0"/>
        </w:rPr>
        <w:t xml:space="preserve"> The PBAC noted that estimated patient numbers as outlined in paragraph 7.16 remain uncertain and may require further consideration. </w:t>
      </w:r>
    </w:p>
    <w:p w14:paraId="289F23C3" w14:textId="4951C2EA" w:rsidR="006306B8" w:rsidRPr="0049396B" w:rsidRDefault="007A08DC" w:rsidP="008D1F47">
      <w:pPr>
        <w:pStyle w:val="ListBullet"/>
        <w:spacing w:after="120"/>
        <w:ind w:left="1134" w:hanging="357"/>
        <w:contextualSpacing w:val="0"/>
        <w:rPr>
          <w:rFonts w:asciiTheme="minorHAnsi" w:hAnsiTheme="minorHAnsi"/>
          <w:snapToGrid w:val="0"/>
        </w:rPr>
      </w:pPr>
      <w:r>
        <w:rPr>
          <w:rFonts w:asciiTheme="minorHAnsi" w:hAnsiTheme="minorHAnsi"/>
          <w:snapToGrid w:val="0"/>
        </w:rPr>
        <w:t xml:space="preserve">Proposal of an </w:t>
      </w:r>
      <w:r w:rsidR="006306B8">
        <w:rPr>
          <w:rFonts w:asciiTheme="minorHAnsi" w:hAnsiTheme="minorHAnsi"/>
          <w:snapToGrid w:val="0"/>
        </w:rPr>
        <w:t xml:space="preserve">RSA </w:t>
      </w:r>
    </w:p>
    <w:p w14:paraId="71CD9C63" w14:textId="4DC25B4F" w:rsidR="00DF6726" w:rsidRPr="0049396B" w:rsidRDefault="00DF6726" w:rsidP="008D1F47">
      <w:pPr>
        <w:pStyle w:val="3-BodyText"/>
      </w:pPr>
      <w:r w:rsidRPr="0049396B">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26010465" w14:textId="1B717945" w:rsidR="00282114" w:rsidRPr="0049396B" w:rsidRDefault="00DF6726" w:rsidP="000F21E3">
      <w:pPr>
        <w:widowControl w:val="0"/>
        <w:numPr>
          <w:ilvl w:val="1"/>
          <w:numId w:val="1"/>
        </w:numPr>
        <w:spacing w:after="240"/>
        <w:rPr>
          <w:rFonts w:asciiTheme="minorHAnsi" w:hAnsiTheme="minorHAnsi"/>
          <w:bCs/>
          <w:snapToGrid w:val="0"/>
        </w:rPr>
      </w:pPr>
      <w:r w:rsidRPr="0049396B">
        <w:rPr>
          <w:rFonts w:asciiTheme="minorHAnsi" w:hAnsiTheme="minorHAnsi"/>
          <w:bCs/>
          <w:snapToGrid w:val="0"/>
        </w:rPr>
        <w:t xml:space="preserve">The PBAC noted that this submission is eligible for an Independent Review. </w:t>
      </w:r>
    </w:p>
    <w:p w14:paraId="1091BF0E" w14:textId="77777777" w:rsidR="00DF6726" w:rsidRPr="0049396B" w:rsidRDefault="00DF6726" w:rsidP="00282114">
      <w:pPr>
        <w:widowControl w:val="0"/>
        <w:spacing w:after="120"/>
        <w:rPr>
          <w:rFonts w:asciiTheme="minorHAnsi" w:hAnsiTheme="minorHAnsi"/>
          <w:b/>
          <w:bCs/>
          <w:snapToGrid w:val="0"/>
        </w:rPr>
      </w:pPr>
      <w:r w:rsidRPr="0049396B">
        <w:rPr>
          <w:rFonts w:asciiTheme="minorHAnsi" w:hAnsiTheme="minorHAnsi"/>
          <w:b/>
          <w:bCs/>
          <w:snapToGrid w:val="0"/>
        </w:rPr>
        <w:t>Outcome:</w:t>
      </w:r>
    </w:p>
    <w:p w14:paraId="425B2C91" w14:textId="015B0402" w:rsidR="00DF6726" w:rsidRPr="0049396B" w:rsidRDefault="00DF6726" w:rsidP="00DF6726">
      <w:pPr>
        <w:rPr>
          <w:rFonts w:asciiTheme="minorHAnsi" w:hAnsiTheme="minorHAnsi"/>
          <w:bCs/>
          <w:snapToGrid w:val="0"/>
        </w:rPr>
      </w:pPr>
      <w:r w:rsidRPr="0049396B">
        <w:rPr>
          <w:rFonts w:asciiTheme="minorHAnsi" w:hAnsiTheme="minorHAnsi"/>
          <w:bCs/>
          <w:snapToGrid w:val="0"/>
        </w:rPr>
        <w:t>Not recommended</w:t>
      </w:r>
    </w:p>
    <w:bookmarkEnd w:id="82"/>
    <w:bookmarkEnd w:id="83"/>
    <w:bookmarkEnd w:id="87"/>
    <w:bookmarkEnd w:id="88"/>
    <w:p w14:paraId="36A8D542" w14:textId="77777777" w:rsidR="000F21E3" w:rsidRPr="000F21E3" w:rsidRDefault="000F21E3" w:rsidP="000F21E3">
      <w:pPr>
        <w:pStyle w:val="2-SectionHeading"/>
        <w:numPr>
          <w:ilvl w:val="0"/>
          <w:numId w:val="1"/>
        </w:numPr>
      </w:pPr>
      <w:r w:rsidRPr="00C07617">
        <w:t>Context for Decision</w:t>
      </w:r>
    </w:p>
    <w:p w14:paraId="060A27BC" w14:textId="77777777" w:rsidR="000F21E3" w:rsidRPr="00311EEF" w:rsidRDefault="000F21E3" w:rsidP="000F21E3">
      <w:pPr>
        <w:spacing w:after="120"/>
        <w:ind w:left="720"/>
        <w:rPr>
          <w:rFonts w:asciiTheme="minorHAnsi" w:hAnsiTheme="minorHAnsi"/>
          <w:bCs/>
          <w:lang w:val="en-GB"/>
        </w:rPr>
      </w:pPr>
      <w:r w:rsidRPr="00311EEF">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EA31A35" w14:textId="669460CD" w:rsidR="000F21E3" w:rsidRPr="00311EEF" w:rsidRDefault="000F21E3" w:rsidP="000F21E3">
      <w:pPr>
        <w:pStyle w:val="2-SectionHeading"/>
        <w:numPr>
          <w:ilvl w:val="0"/>
          <w:numId w:val="1"/>
        </w:numPr>
      </w:pPr>
      <w:r w:rsidRPr="00311EEF">
        <w:t>Sponsor’s Comment</w:t>
      </w:r>
    </w:p>
    <w:p w14:paraId="172F65D0" w14:textId="554D1236" w:rsidR="000F21E3" w:rsidRPr="00DD3190" w:rsidRDefault="005D4EF5" w:rsidP="000F21E3">
      <w:pPr>
        <w:spacing w:after="120"/>
        <w:ind w:left="720"/>
        <w:rPr>
          <w:rFonts w:asciiTheme="minorHAnsi" w:hAnsiTheme="minorHAnsi"/>
          <w:bCs/>
        </w:rPr>
      </w:pPr>
      <w:r w:rsidRPr="00DD3190">
        <w:rPr>
          <w:rFonts w:asciiTheme="minorHAnsi" w:hAnsiTheme="minorHAnsi"/>
        </w:rPr>
        <w:t>Teva Pharma appreciates the opportunity to resubmit via the early re-entry pathway and is committed to working with the PBAC to bring Radicava to Australian patients with ALS in a timely manner</w:t>
      </w:r>
      <w:r w:rsidR="000F21E3" w:rsidRPr="00DD3190">
        <w:rPr>
          <w:rFonts w:asciiTheme="minorHAnsi" w:hAnsiTheme="minorHAnsi"/>
          <w:bCs/>
        </w:rPr>
        <w:t>.</w:t>
      </w:r>
    </w:p>
    <w:p w14:paraId="4B1A9F4C" w14:textId="77777777" w:rsidR="00321EAD" w:rsidRPr="0049396B" w:rsidRDefault="00321EAD" w:rsidP="00DF6726">
      <w:pPr>
        <w:jc w:val="left"/>
      </w:pPr>
    </w:p>
    <w:sectPr w:rsidR="00321EAD" w:rsidRPr="0049396B" w:rsidSect="00B676F6">
      <w:headerReference w:type="even" r:id="rId29"/>
      <w:headerReference w:type="default" r:id="rId30"/>
      <w:footerReference w:type="even" r:id="rId31"/>
      <w:footerReference w:type="default" r:id="rId32"/>
      <w:headerReference w:type="first" r:id="rId33"/>
      <w:footerReference w:type="first" r:id="rId3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9B584" w14:textId="77777777" w:rsidR="00C27A41" w:rsidRDefault="00C27A41" w:rsidP="00124A51">
      <w:r>
        <w:separator/>
      </w:r>
    </w:p>
    <w:p w14:paraId="250550BD" w14:textId="77777777" w:rsidR="00C27A41" w:rsidRDefault="00C27A41"/>
  </w:endnote>
  <w:endnote w:type="continuationSeparator" w:id="0">
    <w:p w14:paraId="3D2A4D9C" w14:textId="77777777" w:rsidR="00C27A41" w:rsidRDefault="00C27A41" w:rsidP="00124A51">
      <w:r>
        <w:continuationSeparator/>
      </w:r>
    </w:p>
    <w:p w14:paraId="1AF040B3" w14:textId="77777777" w:rsidR="00C27A41" w:rsidRDefault="00C27A41"/>
  </w:endnote>
  <w:endnote w:type="continuationNotice" w:id="1">
    <w:p w14:paraId="209A827D" w14:textId="77777777" w:rsidR="00C27A41" w:rsidRDefault="00C27A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E8416" w14:textId="77777777" w:rsidR="00157755" w:rsidRDefault="001577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41113" w14:textId="77777777" w:rsidR="00A7570C" w:rsidRDefault="00A7570C" w:rsidP="00FF1D3C">
    <w:pPr>
      <w:pStyle w:val="Footer"/>
      <w:jc w:val="center"/>
    </w:pPr>
  </w:p>
  <w:p w14:paraId="53E7B583" w14:textId="57FED2B0" w:rsidR="00A7570C" w:rsidRDefault="001C0AB9" w:rsidP="00FF1D3C">
    <w:pPr>
      <w:pStyle w:val="Footer"/>
      <w:jc w:val="center"/>
    </w:pPr>
    <w:sdt>
      <w:sdtPr>
        <w:id w:val="-16164573"/>
        <w:docPartObj>
          <w:docPartGallery w:val="Page Numbers (Bottom of Page)"/>
          <w:docPartUnique/>
        </w:docPartObj>
      </w:sdtPr>
      <w:sdtEndPr>
        <w:rPr>
          <w:b/>
          <w:bCs/>
          <w:noProof/>
        </w:rPr>
      </w:sdtEndPr>
      <w:sdtContent>
        <w:r w:rsidR="00A7570C" w:rsidRPr="000D2EDC">
          <w:rPr>
            <w:b/>
            <w:bCs/>
          </w:rPr>
          <w:fldChar w:fldCharType="begin"/>
        </w:r>
        <w:r w:rsidR="00A7570C" w:rsidRPr="000D2EDC">
          <w:rPr>
            <w:b/>
            <w:bCs/>
          </w:rPr>
          <w:instrText xml:space="preserve"> PAGE   \* MERGEFORMAT </w:instrText>
        </w:r>
        <w:r w:rsidR="00A7570C" w:rsidRPr="000D2EDC">
          <w:rPr>
            <w:b/>
            <w:bCs/>
          </w:rPr>
          <w:fldChar w:fldCharType="separate"/>
        </w:r>
        <w:r w:rsidR="0037125F" w:rsidRPr="000D2EDC">
          <w:rPr>
            <w:b/>
            <w:bCs/>
            <w:noProof/>
          </w:rPr>
          <w:t>41</w:t>
        </w:r>
        <w:r w:rsidR="00A7570C" w:rsidRPr="000D2EDC">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18D24" w14:textId="77777777" w:rsidR="00157755" w:rsidRDefault="001577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ED58C" w14:textId="77777777" w:rsidR="00C27A41" w:rsidRDefault="00C27A41" w:rsidP="00124A51">
      <w:r>
        <w:separator/>
      </w:r>
    </w:p>
    <w:p w14:paraId="6F63304D" w14:textId="77777777" w:rsidR="00C27A41" w:rsidRDefault="00C27A41"/>
  </w:footnote>
  <w:footnote w:type="continuationSeparator" w:id="0">
    <w:p w14:paraId="151E1571" w14:textId="77777777" w:rsidR="00C27A41" w:rsidRDefault="00C27A41" w:rsidP="00124A51">
      <w:r>
        <w:continuationSeparator/>
      </w:r>
    </w:p>
    <w:p w14:paraId="3E29513D" w14:textId="77777777" w:rsidR="00C27A41" w:rsidRDefault="00C27A41"/>
  </w:footnote>
  <w:footnote w:type="continuationNotice" w:id="1">
    <w:p w14:paraId="7423EEDC" w14:textId="77777777" w:rsidR="00C27A41" w:rsidRDefault="00C27A41"/>
  </w:footnote>
  <w:footnote w:id="2">
    <w:p w14:paraId="59E7F53E" w14:textId="77777777" w:rsidR="00A7570C" w:rsidRDefault="00A7570C" w:rsidP="00F572A3">
      <w:pPr>
        <w:pStyle w:val="FootnoteText"/>
      </w:pPr>
      <w:r>
        <w:rPr>
          <w:rStyle w:val="FootnoteReference"/>
        </w:rPr>
        <w:footnoteRef/>
      </w:r>
      <w:r>
        <w:t xml:space="preserve"> CADTH. Drug Reimbursement Recommendation. Edaravone (RADICAVA). March 2019. Available from: </w:t>
      </w:r>
      <w:hyperlink r:id="rId1" w:history="1">
        <w:r w:rsidRPr="00DA40C6">
          <w:rPr>
            <w:rStyle w:val="Hyperlink"/>
          </w:rPr>
          <w:t>https://www.cadth.ca/sites/default/files/cdr/complete/sr0573-radicava-cdec-rec-march-29-2019.pdf</w:t>
        </w:r>
      </w:hyperlink>
      <w:r>
        <w:t>. Accessed on 21/07/2023.</w:t>
      </w:r>
    </w:p>
  </w:footnote>
  <w:footnote w:id="3">
    <w:p w14:paraId="32B8316D" w14:textId="77777777" w:rsidR="00A7570C" w:rsidRDefault="00A7570C" w:rsidP="00F572A3">
      <w:pPr>
        <w:pStyle w:val="FootnoteText"/>
      </w:pPr>
      <w:r>
        <w:rPr>
          <w:rStyle w:val="FootnoteReference"/>
        </w:rPr>
        <w:footnoteRef/>
      </w:r>
      <w:r>
        <w:t xml:space="preserve"> CADTH. </w:t>
      </w:r>
      <w:r w:rsidRPr="0016335D">
        <w:t>Reimbursement Recommendation</w:t>
      </w:r>
      <w:r>
        <w:t xml:space="preserve">. Edaravone Oral Suspension (Radicava). January 2023. Vol 3, issue 1. Available from: </w:t>
      </w:r>
    </w:p>
    <w:p w14:paraId="5F4CFDA2" w14:textId="77777777" w:rsidR="00A7570C" w:rsidRDefault="001C0AB9" w:rsidP="00F572A3">
      <w:pPr>
        <w:pStyle w:val="FootnoteText"/>
      </w:pPr>
      <w:hyperlink r:id="rId2" w:history="1">
        <w:r w:rsidR="00A7570C" w:rsidRPr="00DA40C6">
          <w:rPr>
            <w:rStyle w:val="Hyperlink"/>
          </w:rPr>
          <w:t>https://www.cadth.ca/sites/default/files/DRR/2023/SR0727%20Radicava%20-%20CADTH%20Final%20Recommendation_for%20posting.pdf</w:t>
        </w:r>
      </w:hyperlink>
      <w:r w:rsidR="00A7570C">
        <w:t>. Accessed on 21/07/2023.</w:t>
      </w:r>
    </w:p>
  </w:footnote>
  <w:footnote w:id="4">
    <w:p w14:paraId="37378666" w14:textId="3349795B" w:rsidR="00B643C4" w:rsidRPr="00B643C4" w:rsidRDefault="00B643C4" w:rsidP="00B643C4">
      <w:pPr>
        <w:pStyle w:val="EndNoteBibliography"/>
        <w:spacing w:before="120" w:after="40"/>
        <w:rPr>
          <w:sz w:val="18"/>
          <w:szCs w:val="18"/>
        </w:rPr>
      </w:pPr>
      <w:r w:rsidRPr="00B643C4">
        <w:rPr>
          <w:rStyle w:val="FootnoteReference"/>
          <w:sz w:val="18"/>
          <w:szCs w:val="18"/>
        </w:rPr>
        <w:footnoteRef/>
      </w:r>
      <w:r w:rsidRPr="00B643C4">
        <w:rPr>
          <w:sz w:val="18"/>
          <w:szCs w:val="18"/>
        </w:rPr>
        <w:t xml:space="preserve"> Pugdahl, K., Camdessanché, J.P., Cengiz, B., et al. (2021). "Gold Coast diagnostic criteria increase sensitivity in amyotrophic lateral sclerosis." Clin Neurophysiol 132(12): 3183-3189.</w:t>
      </w:r>
    </w:p>
  </w:footnote>
  <w:footnote w:id="5">
    <w:p w14:paraId="6B9C0F0F" w14:textId="77777777" w:rsidR="00A7570C" w:rsidRDefault="00A7570C" w:rsidP="00F572A3">
      <w:pPr>
        <w:pStyle w:val="FootnoteText"/>
      </w:pPr>
      <w:r>
        <w:rPr>
          <w:rStyle w:val="FootnoteReference"/>
        </w:rPr>
        <w:footnoteRef/>
      </w:r>
      <w:r>
        <w:t xml:space="preserve"> </w:t>
      </w:r>
      <w:r w:rsidRPr="00274433">
        <w:t>Traynor BJ, Codd MB, Corr B, Forde C, Frost E, Hardiman OM. Clinical features of amyotrophic lateral sclerosis according to the El Escorial and Airlie House diagnostic criteria: A population-based study. Arch</w:t>
      </w:r>
      <w:r>
        <w:t>ives of</w:t>
      </w:r>
      <w:r w:rsidRPr="00274433">
        <w:t xml:space="preserve"> Neurol</w:t>
      </w:r>
      <w:r>
        <w:t>ogy</w:t>
      </w:r>
      <w:r w:rsidRPr="00274433">
        <w:t>. 2000</w:t>
      </w:r>
      <w:r>
        <w:t xml:space="preserve">. </w:t>
      </w:r>
      <w:r w:rsidRPr="00274433">
        <w:t>57(8):1171-6.</w:t>
      </w:r>
    </w:p>
  </w:footnote>
  <w:footnote w:id="6">
    <w:p w14:paraId="5CFAAD08" w14:textId="77777777" w:rsidR="00A7570C" w:rsidRDefault="00A7570C" w:rsidP="00F572A3">
      <w:pPr>
        <w:pStyle w:val="FootnoteText"/>
      </w:pPr>
      <w:r>
        <w:rPr>
          <w:rStyle w:val="FootnoteReference"/>
        </w:rPr>
        <w:footnoteRef/>
      </w:r>
      <w:r>
        <w:t xml:space="preserve"> </w:t>
      </w:r>
      <w:r w:rsidRPr="00BF26C6">
        <w:t>Hannaford A, Pavey N, van den Bos M, Geevasinga N, Menon P, Shefner JM, Kiernan MC, Vucic S. Diagnostic Utility of Gold Coast Criteria in Amyotrophic Lateral Sclerosis. Ann</w:t>
      </w:r>
      <w:r>
        <w:t>als</w:t>
      </w:r>
      <w:r w:rsidRPr="00BF26C6">
        <w:t xml:space="preserve"> </w:t>
      </w:r>
      <w:r>
        <w:t xml:space="preserve">of </w:t>
      </w:r>
      <w:r w:rsidRPr="00BF26C6">
        <w:t>Neurol</w:t>
      </w:r>
      <w:r>
        <w:t>ogy</w:t>
      </w:r>
      <w:r w:rsidRPr="00BF26C6">
        <w:t>. 2021</w:t>
      </w:r>
      <w:r>
        <w:t xml:space="preserve">. </w:t>
      </w:r>
      <w:r w:rsidRPr="00BF26C6">
        <w:t>89(5):979-986.</w:t>
      </w:r>
    </w:p>
  </w:footnote>
  <w:footnote w:id="7">
    <w:p w14:paraId="17CCEC0B" w14:textId="77777777" w:rsidR="00A7570C" w:rsidRDefault="00A7570C" w:rsidP="00F572A3">
      <w:pPr>
        <w:pStyle w:val="FootnoteText"/>
      </w:pPr>
      <w:r>
        <w:rPr>
          <w:rStyle w:val="FootnoteReference"/>
        </w:rPr>
        <w:footnoteRef/>
      </w:r>
      <w:r>
        <w:t xml:space="preserve"> </w:t>
      </w:r>
      <w:r w:rsidRPr="005378B6">
        <w:t>Genge A, Chio A. The future of ALS diagnosis and staging: where do we go from here? Amyotroph</w:t>
      </w:r>
      <w:r>
        <w:t>ic</w:t>
      </w:r>
      <w:r w:rsidRPr="005378B6">
        <w:t xml:space="preserve"> Lateral Scler</w:t>
      </w:r>
      <w:r>
        <w:t>osis</w:t>
      </w:r>
      <w:r w:rsidRPr="005378B6">
        <w:t xml:space="preserve"> Frontotemporal Degener</w:t>
      </w:r>
      <w:r>
        <w:t>ation</w:t>
      </w:r>
      <w:r w:rsidRPr="005378B6">
        <w:t>. 2023</w:t>
      </w:r>
      <w:r>
        <w:t xml:space="preserve">. </w:t>
      </w:r>
      <w:r w:rsidRPr="005378B6">
        <w:t>24(3-4):165-174.</w:t>
      </w:r>
    </w:p>
  </w:footnote>
  <w:footnote w:id="8">
    <w:p w14:paraId="2B881732" w14:textId="77777777" w:rsidR="00A7570C" w:rsidRDefault="00A7570C" w:rsidP="00F572A3">
      <w:pPr>
        <w:pStyle w:val="FootnoteText"/>
      </w:pPr>
      <w:r>
        <w:rPr>
          <w:rStyle w:val="FootnoteReference"/>
        </w:rPr>
        <w:footnoteRef/>
      </w:r>
      <w:r>
        <w:t xml:space="preserve"> </w:t>
      </w:r>
      <w:r w:rsidRPr="00BF26C6">
        <w:t>Dharmadasa T, Henderson RD, Talman PS, Macdonell RA, Mathers S, Schultz DW, Needham M, Zoing M, Vucic S, Kiernan MC. Motor neurone disease: progress and challenges. Med</w:t>
      </w:r>
      <w:r>
        <w:t>ical</w:t>
      </w:r>
      <w:r w:rsidRPr="00BF26C6">
        <w:t xml:space="preserve"> J</w:t>
      </w:r>
      <w:r>
        <w:t>ournal of</w:t>
      </w:r>
      <w:r w:rsidRPr="00BF26C6">
        <w:t xml:space="preserve"> Aust</w:t>
      </w:r>
      <w:r>
        <w:t>ralia</w:t>
      </w:r>
      <w:r w:rsidRPr="00BF26C6">
        <w:t>. 2017</w:t>
      </w:r>
      <w:r>
        <w:t xml:space="preserve">. </w:t>
      </w:r>
      <w:r w:rsidRPr="00BF26C6">
        <w:t>206(8):357-362.</w:t>
      </w:r>
    </w:p>
  </w:footnote>
  <w:footnote w:id="9">
    <w:p w14:paraId="1EEEB1A8" w14:textId="77777777" w:rsidR="00A7570C" w:rsidRDefault="00A7570C" w:rsidP="00F572A3">
      <w:pPr>
        <w:pStyle w:val="FootnoteText"/>
      </w:pPr>
      <w:r>
        <w:rPr>
          <w:rStyle w:val="FootnoteReference"/>
        </w:rPr>
        <w:footnoteRef/>
      </w:r>
      <w:r>
        <w:t xml:space="preserve"> </w:t>
      </w:r>
      <w:r w:rsidRPr="0043726A">
        <w:t>Hogden A, Foley G, Henderson RD, James N, Aoun SM. Amyotrophic lateral sclerosis: improving care with a multidisciplinary approach. J</w:t>
      </w:r>
      <w:r>
        <w:t>ournal of</w:t>
      </w:r>
      <w:r w:rsidRPr="0043726A">
        <w:t xml:space="preserve"> Multidiscip</w:t>
      </w:r>
      <w:r>
        <w:t>linary</w:t>
      </w:r>
      <w:r w:rsidRPr="0043726A">
        <w:t xml:space="preserve"> Healthc</w:t>
      </w:r>
      <w:r>
        <w:t>are</w:t>
      </w:r>
      <w:r w:rsidRPr="0043726A">
        <w:t>. 2017</w:t>
      </w:r>
      <w:r>
        <w:t>.</w:t>
      </w:r>
      <w:r w:rsidRPr="0043726A">
        <w:t>;10:205-215.</w:t>
      </w:r>
    </w:p>
  </w:footnote>
  <w:footnote w:id="10">
    <w:p w14:paraId="4622415D" w14:textId="77777777" w:rsidR="00A7570C" w:rsidRDefault="00A7570C" w:rsidP="00F572A3">
      <w:pPr>
        <w:pStyle w:val="FootnoteText"/>
      </w:pPr>
      <w:r>
        <w:rPr>
          <w:rStyle w:val="FootnoteReference"/>
        </w:rPr>
        <w:footnoteRef/>
      </w:r>
      <w:r>
        <w:t xml:space="preserve"> </w:t>
      </w:r>
      <w:r w:rsidRPr="0099285A">
        <w:t>Lau FS, Brennan FP, Gardiner MD. Multidisciplinary management of motor neurone disease. Aust</w:t>
      </w:r>
      <w:r>
        <w:t>ralian</w:t>
      </w:r>
      <w:r w:rsidRPr="0099285A">
        <w:t xml:space="preserve"> J</w:t>
      </w:r>
      <w:r>
        <w:t>ournal of</w:t>
      </w:r>
      <w:r w:rsidRPr="0099285A">
        <w:t xml:space="preserve"> Gen</w:t>
      </w:r>
      <w:r>
        <w:t>eral</w:t>
      </w:r>
      <w:r w:rsidRPr="0099285A">
        <w:t xml:space="preserve"> Pract</w:t>
      </w:r>
      <w:r>
        <w:t>ice</w:t>
      </w:r>
      <w:r w:rsidRPr="0099285A">
        <w:t>. 2018</w:t>
      </w:r>
      <w:r>
        <w:t xml:space="preserve">. </w:t>
      </w:r>
      <w:r w:rsidRPr="0099285A">
        <w:t>47(9):593-597.</w:t>
      </w:r>
    </w:p>
  </w:footnote>
  <w:footnote w:id="11">
    <w:p w14:paraId="4724DEF8" w14:textId="77777777" w:rsidR="00A7570C" w:rsidRDefault="00A7570C" w:rsidP="00F572A3">
      <w:pPr>
        <w:pStyle w:val="FootnoteText"/>
      </w:pPr>
      <w:r>
        <w:rPr>
          <w:rStyle w:val="FootnoteReference"/>
        </w:rPr>
        <w:footnoteRef/>
      </w:r>
      <w:r>
        <w:t xml:space="preserve"> Food and Drug Administration (FDA). </w:t>
      </w:r>
      <w:r w:rsidRPr="001B347B">
        <w:t>Relyvrio (sodium phenylbutyrate/taurursodiol)</w:t>
      </w:r>
      <w:r>
        <w:t xml:space="preserve">. </w:t>
      </w:r>
      <w:r w:rsidRPr="009A453A">
        <w:t>FDA-Approved Drugs</w:t>
      </w:r>
      <w:r>
        <w:t>.</w:t>
      </w:r>
      <w:r w:rsidRPr="009A453A">
        <w:t xml:space="preserve"> </w:t>
      </w:r>
      <w:r>
        <w:t>29/09/2022.</w:t>
      </w:r>
      <w:r w:rsidRPr="001B347B">
        <w:t xml:space="preserve"> </w:t>
      </w:r>
      <w:r>
        <w:t xml:space="preserve">Available from: </w:t>
      </w:r>
      <w:hyperlink r:id="rId3" w:history="1">
        <w:r w:rsidRPr="00DA40C6">
          <w:rPr>
            <w:rStyle w:val="Hyperlink"/>
          </w:rPr>
          <w:t>https://www.accessdata.fda.gov/scripts/cder/daf/index.cfm?event=overview.process&amp;varApplNo=216660</w:t>
        </w:r>
      </w:hyperlink>
      <w:r>
        <w:t>. Accessed on: 21/07/2023.</w:t>
      </w:r>
    </w:p>
  </w:footnote>
  <w:footnote w:id="12">
    <w:p w14:paraId="6C8AB4DF" w14:textId="77777777" w:rsidR="00A7570C" w:rsidRDefault="00A7570C" w:rsidP="00F572A3">
      <w:pPr>
        <w:pStyle w:val="FootnoteText"/>
      </w:pPr>
      <w:r>
        <w:rPr>
          <w:rStyle w:val="FootnoteReference"/>
        </w:rPr>
        <w:footnoteRef/>
      </w:r>
      <w:r>
        <w:t xml:space="preserve"> Food and Drug Administration (FDA). </w:t>
      </w:r>
      <w:r w:rsidRPr="001B347B">
        <w:t>Qalsody (tofersen).</w:t>
      </w:r>
      <w:r w:rsidRPr="009A453A">
        <w:t xml:space="preserve"> FDA-Approved Drugs</w:t>
      </w:r>
      <w:r>
        <w:t xml:space="preserve">. 25/04/2023. Available from: </w:t>
      </w:r>
      <w:hyperlink r:id="rId4" w:history="1">
        <w:r w:rsidRPr="00DA40C6">
          <w:rPr>
            <w:rStyle w:val="Hyperlink"/>
          </w:rPr>
          <w:t>https://www.accessdata.fda.gov/scripts/cder/daf/index.cfm?event=BasicSearch.process</w:t>
        </w:r>
      </w:hyperlink>
      <w:r>
        <w:t>. Accessed on: 21/07/2023.</w:t>
      </w:r>
    </w:p>
  </w:footnote>
  <w:footnote w:id="13">
    <w:p w14:paraId="414FAEAF" w14:textId="2979427F" w:rsidR="00C01DA5" w:rsidRDefault="00C01DA5">
      <w:pPr>
        <w:pStyle w:val="FootnoteText"/>
      </w:pPr>
      <w:r>
        <w:rPr>
          <w:rStyle w:val="FootnoteReference"/>
        </w:rPr>
        <w:footnoteRef/>
      </w:r>
      <w:r>
        <w:t xml:space="preserve"> </w:t>
      </w:r>
      <w:r>
        <w:rPr>
          <w:rFonts w:ascii="Segoe UI" w:hAnsi="Segoe UI" w:cs="Segoe UI"/>
          <w:color w:val="212121"/>
          <w:shd w:val="clear" w:color="auto" w:fill="FFFFFF"/>
        </w:rPr>
        <w:t>Andrews JA, Jackson CE, Heiman-Patterson TD, Bettica P, Brooks BR, Pioro EP. Real-world evidence of riluzole effectiveness in treating amyotrophic lateral sclerosis. Amyotroph Lateral Scler Frontotemporal Degener. 2020 Nov;21(7-8):509-518. doi: 10.1080/21678421.2020.1771734. Epub 2020 Jun 23. PMID: 32573277.</w:t>
      </w:r>
    </w:p>
  </w:footnote>
  <w:footnote w:id="14">
    <w:p w14:paraId="2049B49E" w14:textId="77777777" w:rsidR="00A7570C" w:rsidRDefault="00A7570C" w:rsidP="00F572A3">
      <w:pPr>
        <w:pStyle w:val="FootnoteText"/>
      </w:pPr>
      <w:r>
        <w:rPr>
          <w:rStyle w:val="FootnoteReference"/>
        </w:rPr>
        <w:footnoteRef/>
      </w:r>
      <w:r>
        <w:t xml:space="preserve"> </w:t>
      </w:r>
      <w:r w:rsidRPr="005D7BAA">
        <w:t>WRITING GROUP ON BEHALF OF THE EDARAVONE (MCI-186) ALS 18 STUDY GROUP. Exploratory double-blind, parallel-group, placebo-controlled study of edaravone (MCI-186) in amyotrophic lateral sclerosis (Japan ALS severity classification: Grade 3, requiring assistance for eating, excretion or ambulation). Amyotroph</w:t>
      </w:r>
      <w:r>
        <w:t>ic</w:t>
      </w:r>
      <w:r w:rsidRPr="005D7BAA">
        <w:t xml:space="preserve"> Lateral Scler</w:t>
      </w:r>
      <w:r>
        <w:t>osis</w:t>
      </w:r>
      <w:r w:rsidRPr="005D7BAA">
        <w:t xml:space="preserve"> Frontotemporal Degener</w:t>
      </w:r>
      <w:r>
        <w:t>ation</w:t>
      </w:r>
      <w:r w:rsidRPr="005D7BAA">
        <w:t>. 2017</w:t>
      </w:r>
      <w:r>
        <w:t>.</w:t>
      </w:r>
      <w:r w:rsidRPr="005D7BAA">
        <w:t xml:space="preserve"> 18(sup1):40-48.</w:t>
      </w:r>
    </w:p>
  </w:footnote>
  <w:footnote w:id="15">
    <w:p w14:paraId="46A2D090" w14:textId="77777777" w:rsidR="00A7570C" w:rsidRDefault="00A7570C" w:rsidP="00F572A3">
      <w:pPr>
        <w:pStyle w:val="FootnoteText"/>
      </w:pPr>
      <w:r>
        <w:rPr>
          <w:rStyle w:val="FootnoteReference"/>
        </w:rPr>
        <w:footnoteRef/>
      </w:r>
      <w:r>
        <w:t xml:space="preserve"> EMA. </w:t>
      </w:r>
      <w:r w:rsidRPr="0085685A">
        <w:t>Guideline on clinical investigation of medicinal products for the treatment of amyotrophic lateral sclerosis (ALS)</w:t>
      </w:r>
      <w:r>
        <w:t xml:space="preserve">. November 2016. Available from: </w:t>
      </w:r>
      <w:hyperlink r:id="rId5" w:history="1">
        <w:r w:rsidRPr="00D74FF0">
          <w:rPr>
            <w:rStyle w:val="Hyperlink"/>
          </w:rPr>
          <w:t>https://www.ema.europa.eu/en/clinical-investigation-medicinal-products-treatment-amyotrophic-lateral-sclerosis-scientific</w:t>
        </w:r>
      </w:hyperlink>
      <w:r>
        <w:t>. Accessed 10/08/2023.</w:t>
      </w:r>
    </w:p>
  </w:footnote>
  <w:footnote w:id="16">
    <w:p w14:paraId="6F2802DF" w14:textId="77777777" w:rsidR="00A7570C" w:rsidRDefault="00A7570C" w:rsidP="00F572A3">
      <w:pPr>
        <w:pStyle w:val="FootnoteText"/>
      </w:pPr>
      <w:r>
        <w:rPr>
          <w:rStyle w:val="FootnoteReference"/>
        </w:rPr>
        <w:footnoteRef/>
      </w:r>
      <w:r>
        <w:t xml:space="preserve"> FDA. Amyotrophic Lateral Sclerosis: Developing Drugs for Treatment Guidance for Industry. September 2019. Available from: </w:t>
      </w:r>
      <w:hyperlink r:id="rId6" w:history="1">
        <w:r w:rsidRPr="00D74FF0">
          <w:rPr>
            <w:rStyle w:val="Hyperlink"/>
          </w:rPr>
          <w:t>https://www.fda.gov/regulatory-information/search-fda-guidance-documents/amyotrophic-lateral-sclerosis-developing-drugs-treatment-guidance-industry</w:t>
        </w:r>
      </w:hyperlink>
      <w:r>
        <w:t>. Accessed 10/08/2023.</w:t>
      </w:r>
    </w:p>
  </w:footnote>
  <w:footnote w:id="17">
    <w:p w14:paraId="6939E400" w14:textId="4EDB166C" w:rsidR="00E000C3" w:rsidRDefault="00E000C3">
      <w:pPr>
        <w:pStyle w:val="FootnoteText"/>
      </w:pPr>
      <w:r>
        <w:rPr>
          <w:rStyle w:val="FootnoteReference"/>
        </w:rPr>
        <w:footnoteRef/>
      </w:r>
      <w:r>
        <w:t xml:space="preserve"> </w:t>
      </w:r>
      <w:r>
        <w:rPr>
          <w:rStyle w:val="cf01"/>
        </w:rPr>
        <w:t>Fournier CN, James V, Glass JD. Clinically meaningful change: evaluation of the Rasch-built Overall Amyotrophic Lateral Sclerosis Disability Scale (ROADS) and the ALSFRS-R. Amyotroph Lateral Scler Frontotemporal Degener. 2023 May;24(3-4):311-316. doi: 10.1080/21678421.2022.2153607. Epub 2022 Dec 7. PMID: 36476010.</w:t>
      </w:r>
    </w:p>
  </w:footnote>
  <w:footnote w:id="18">
    <w:p w14:paraId="1C233F40" w14:textId="77777777" w:rsidR="00A7570C" w:rsidRPr="00D1175F" w:rsidRDefault="00A7570C" w:rsidP="007E20FB">
      <w:pPr>
        <w:pStyle w:val="FootnoteText"/>
        <w:rPr>
          <w:lang w:val="en-US"/>
        </w:rPr>
      </w:pPr>
      <w:r>
        <w:rPr>
          <w:rStyle w:val="FootnoteReference"/>
        </w:rPr>
        <w:footnoteRef/>
      </w:r>
      <w:r>
        <w:t xml:space="preserve"> </w:t>
      </w:r>
      <w:r w:rsidRPr="00D1175F">
        <w:t>McCaffrey N, Kaambwa B, Currow DC, Ratcliffe J. Health-related quality of life measured using the EQ-5D-5L: South Australian population norms. Health Qual Life Outcomes. 2016 Sep 20;14(1):133. doi: 10.1186/s12955-016-0537-0. PMID: 27644755; PMCID: PMC5028927.</w:t>
      </w:r>
    </w:p>
  </w:footnote>
  <w:footnote w:id="19">
    <w:p w14:paraId="0F3E2B1B" w14:textId="77777777" w:rsidR="00A7570C" w:rsidRPr="007A2900" w:rsidRDefault="00A7570C" w:rsidP="007E20FB">
      <w:pPr>
        <w:pStyle w:val="FootnoteText"/>
      </w:pPr>
      <w:r>
        <w:rPr>
          <w:rStyle w:val="FootnoteReference"/>
        </w:rPr>
        <w:footnoteRef/>
      </w:r>
      <w:r>
        <w:t xml:space="preserve"> </w:t>
      </w:r>
      <w:r w:rsidRPr="00385291">
        <w:t xml:space="preserve">Janssen, M.F., Szende, A., Cabases, J. et al. Population norms for the EQ-5D-3L: a cross-country analysis of population surveys for 20 countries. Eur J Health Econ 20, 205–216 (2019). </w:t>
      </w:r>
      <w:hyperlink r:id="rId7" w:history="1">
        <w:r w:rsidRPr="00FC0FF3">
          <w:rPr>
            <w:rStyle w:val="Hyperlink"/>
          </w:rPr>
          <w:t>https://doi.org/10.1007/s10198-018-0955-5</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5C857" w14:textId="77777777" w:rsidR="00157755" w:rsidRDefault="001577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095A9" w14:textId="7521B485" w:rsidR="00A7570C" w:rsidRPr="00195452" w:rsidRDefault="004F7C89" w:rsidP="00FF1D3C">
    <w:pPr>
      <w:pStyle w:val="Header"/>
      <w:rPr>
        <w:rFonts w:asciiTheme="minorHAnsi" w:hAnsiTheme="minorHAnsi"/>
        <w:i/>
        <w:color w:val="808080"/>
      </w:rPr>
    </w:pPr>
    <w:r>
      <w:rPr>
        <w:rFonts w:asciiTheme="minorHAnsi" w:hAnsiTheme="minorHAnsi"/>
        <w:i/>
        <w:color w:val="808080"/>
      </w:rPr>
      <w:t>Public Summary Document</w:t>
    </w:r>
    <w:r w:rsidR="003029B7">
      <w:rPr>
        <w:rFonts w:asciiTheme="minorHAnsi" w:hAnsiTheme="minorHAnsi"/>
        <w:i/>
        <w:color w:val="808080"/>
      </w:rPr>
      <w:t xml:space="preserve"> - </w:t>
    </w:r>
    <w:r w:rsidR="00A7570C">
      <w:rPr>
        <w:rFonts w:asciiTheme="minorHAnsi" w:hAnsiTheme="minorHAnsi"/>
        <w:i/>
        <w:color w:val="808080"/>
      </w:rPr>
      <w:t xml:space="preserve">November 2023 </w:t>
    </w:r>
    <w:r w:rsidR="00A7570C" w:rsidRPr="00195452">
      <w:rPr>
        <w:rFonts w:asciiTheme="minorHAnsi" w:hAnsiTheme="minorHAnsi"/>
        <w:i/>
        <w:color w:val="808080"/>
      </w:rPr>
      <w:t>PBAC Meeting</w:t>
    </w:r>
  </w:p>
  <w:p w14:paraId="18DC94BF" w14:textId="77777777" w:rsidR="00A7570C" w:rsidRDefault="00A757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D55DB" w14:textId="77777777" w:rsidR="00157755" w:rsidRDefault="001577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93601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053F11"/>
    <w:multiLevelType w:val="multilevel"/>
    <w:tmpl w:val="575CEDBE"/>
    <w:styleLink w:val="NumberBullet"/>
    <w:lvl w:ilvl="0">
      <w:start w:val="1"/>
      <w:numFmt w:val="decimal"/>
      <w:pStyle w:val="COMH1numbered"/>
      <w:lvlText w:val="%1."/>
      <w:lvlJc w:val="left"/>
      <w:pPr>
        <w:ind w:left="425" w:hanging="425"/>
      </w:pPr>
      <w:rPr>
        <w:rFonts w:ascii="Cambria" w:hAnsi="Cambria" w:hint="default"/>
      </w:rPr>
    </w:lvl>
    <w:lvl w:ilvl="1">
      <w:start w:val="1"/>
      <w:numFmt w:val="lowerLetter"/>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4" w15:restartNumberingAfterBreak="0">
    <w:nsid w:val="22D160FE"/>
    <w:multiLevelType w:val="hybridMultilevel"/>
    <w:tmpl w:val="66C64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DF86A592"/>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592E02"/>
    <w:multiLevelType w:val="hybridMultilevel"/>
    <w:tmpl w:val="65944E02"/>
    <w:lvl w:ilvl="0" w:tplc="1BB43908">
      <w:start w:val="5"/>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0611D7"/>
    <w:multiLevelType w:val="hybridMultilevel"/>
    <w:tmpl w:val="1F6A8B5C"/>
    <w:lvl w:ilvl="0" w:tplc="195E7E72">
      <w:start w:val="2"/>
      <w:numFmt w:val="bullet"/>
      <w:lvlText w:val="-"/>
      <w:lvlJc w:val="left"/>
      <w:pPr>
        <w:ind w:left="890" w:hanging="360"/>
      </w:pPr>
      <w:rPr>
        <w:rFonts w:ascii="Calibri" w:eastAsia="Times New Roman" w:hAnsi="Calibri" w:cs="Calibri" w:hint="default"/>
      </w:rPr>
    </w:lvl>
    <w:lvl w:ilvl="1" w:tplc="0C090003" w:tentative="1">
      <w:start w:val="1"/>
      <w:numFmt w:val="bullet"/>
      <w:lvlText w:val="o"/>
      <w:lvlJc w:val="left"/>
      <w:pPr>
        <w:ind w:left="1610" w:hanging="360"/>
      </w:pPr>
      <w:rPr>
        <w:rFonts w:ascii="Courier New" w:hAnsi="Courier New" w:cs="Courier New" w:hint="default"/>
      </w:rPr>
    </w:lvl>
    <w:lvl w:ilvl="2" w:tplc="0C090005" w:tentative="1">
      <w:start w:val="1"/>
      <w:numFmt w:val="bullet"/>
      <w:lvlText w:val=""/>
      <w:lvlJc w:val="left"/>
      <w:pPr>
        <w:ind w:left="2330" w:hanging="360"/>
      </w:pPr>
      <w:rPr>
        <w:rFonts w:ascii="Wingdings" w:hAnsi="Wingdings" w:hint="default"/>
      </w:rPr>
    </w:lvl>
    <w:lvl w:ilvl="3" w:tplc="0C090001" w:tentative="1">
      <w:start w:val="1"/>
      <w:numFmt w:val="bullet"/>
      <w:lvlText w:val=""/>
      <w:lvlJc w:val="left"/>
      <w:pPr>
        <w:ind w:left="3050" w:hanging="360"/>
      </w:pPr>
      <w:rPr>
        <w:rFonts w:ascii="Symbol" w:hAnsi="Symbol" w:hint="default"/>
      </w:rPr>
    </w:lvl>
    <w:lvl w:ilvl="4" w:tplc="0C090003" w:tentative="1">
      <w:start w:val="1"/>
      <w:numFmt w:val="bullet"/>
      <w:lvlText w:val="o"/>
      <w:lvlJc w:val="left"/>
      <w:pPr>
        <w:ind w:left="3770" w:hanging="360"/>
      </w:pPr>
      <w:rPr>
        <w:rFonts w:ascii="Courier New" w:hAnsi="Courier New" w:cs="Courier New" w:hint="default"/>
      </w:rPr>
    </w:lvl>
    <w:lvl w:ilvl="5" w:tplc="0C090005" w:tentative="1">
      <w:start w:val="1"/>
      <w:numFmt w:val="bullet"/>
      <w:lvlText w:val=""/>
      <w:lvlJc w:val="left"/>
      <w:pPr>
        <w:ind w:left="4490" w:hanging="360"/>
      </w:pPr>
      <w:rPr>
        <w:rFonts w:ascii="Wingdings" w:hAnsi="Wingdings" w:hint="default"/>
      </w:rPr>
    </w:lvl>
    <w:lvl w:ilvl="6" w:tplc="0C090001" w:tentative="1">
      <w:start w:val="1"/>
      <w:numFmt w:val="bullet"/>
      <w:lvlText w:val=""/>
      <w:lvlJc w:val="left"/>
      <w:pPr>
        <w:ind w:left="5210" w:hanging="360"/>
      </w:pPr>
      <w:rPr>
        <w:rFonts w:ascii="Symbol" w:hAnsi="Symbol" w:hint="default"/>
      </w:rPr>
    </w:lvl>
    <w:lvl w:ilvl="7" w:tplc="0C090003" w:tentative="1">
      <w:start w:val="1"/>
      <w:numFmt w:val="bullet"/>
      <w:lvlText w:val="o"/>
      <w:lvlJc w:val="left"/>
      <w:pPr>
        <w:ind w:left="5930" w:hanging="360"/>
      </w:pPr>
      <w:rPr>
        <w:rFonts w:ascii="Courier New" w:hAnsi="Courier New" w:cs="Courier New" w:hint="default"/>
      </w:rPr>
    </w:lvl>
    <w:lvl w:ilvl="8" w:tplc="0C090005" w:tentative="1">
      <w:start w:val="1"/>
      <w:numFmt w:val="bullet"/>
      <w:lvlText w:val=""/>
      <w:lvlJc w:val="left"/>
      <w:pPr>
        <w:ind w:left="665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6542375"/>
    <w:multiLevelType w:val="hybridMultilevel"/>
    <w:tmpl w:val="FE1E765C"/>
    <w:lvl w:ilvl="0" w:tplc="E1B6BF4A">
      <w:start w:val="1"/>
      <w:numFmt w:val="decimal"/>
      <w:lvlText w:val="%1."/>
      <w:lvlJc w:val="left"/>
      <w:pPr>
        <w:ind w:left="360" w:hanging="360"/>
      </w:pPr>
      <w:rPr>
        <w:rFonts w:hint="default"/>
        <w:color w:val="auto"/>
      </w:rPr>
    </w:lvl>
    <w:lvl w:ilvl="1" w:tplc="01406B0C">
      <w:numFmt w:val="bullet"/>
      <w:lvlText w:val="•"/>
      <w:lvlJc w:val="left"/>
      <w:pPr>
        <w:ind w:left="1080" w:hanging="360"/>
      </w:pPr>
      <w:rPr>
        <w:rFonts w:ascii="Calibri" w:eastAsia="Calibri" w:hAnsi="Calibri" w:cs="Calibri"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58521D92"/>
    <w:multiLevelType w:val="hybridMultilevel"/>
    <w:tmpl w:val="2738F4B6"/>
    <w:lvl w:ilvl="0" w:tplc="694ABEB4">
      <w:start w:val="2"/>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8" w15:restartNumberingAfterBreak="0">
    <w:nsid w:val="69830D20"/>
    <w:multiLevelType w:val="hybridMultilevel"/>
    <w:tmpl w:val="6EDA384C"/>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19" w15:restartNumberingAfterBreak="0">
    <w:nsid w:val="6AF22442"/>
    <w:multiLevelType w:val="hybridMultilevel"/>
    <w:tmpl w:val="A374237C"/>
    <w:lvl w:ilvl="0" w:tplc="0C090001">
      <w:start w:val="1"/>
      <w:numFmt w:val="bullet"/>
      <w:lvlText w:val=""/>
      <w:lvlJc w:val="left"/>
      <w:pPr>
        <w:ind w:left="703" w:hanging="360"/>
      </w:pPr>
      <w:rPr>
        <w:rFonts w:ascii="Symbol" w:hAnsi="Symbol" w:hint="default"/>
      </w:rPr>
    </w:lvl>
    <w:lvl w:ilvl="1" w:tplc="0C090001">
      <w:start w:val="1"/>
      <w:numFmt w:val="bullet"/>
      <w:lvlText w:val=""/>
      <w:lvlJc w:val="left"/>
      <w:pPr>
        <w:ind w:left="1423" w:hanging="360"/>
      </w:pPr>
      <w:rPr>
        <w:rFonts w:ascii="Symbol" w:hAnsi="Symbol" w:hint="default"/>
      </w:rPr>
    </w:lvl>
    <w:lvl w:ilvl="2" w:tplc="0C090001">
      <w:start w:val="1"/>
      <w:numFmt w:val="bullet"/>
      <w:lvlText w:val=""/>
      <w:lvlJc w:val="left"/>
      <w:pPr>
        <w:ind w:left="2143" w:hanging="360"/>
      </w:pPr>
      <w:rPr>
        <w:rFonts w:ascii="Symbol" w:hAnsi="Symbol" w:hint="default"/>
      </w:rPr>
    </w:lvl>
    <w:lvl w:ilvl="3" w:tplc="0C090001" w:tentative="1">
      <w:start w:val="1"/>
      <w:numFmt w:val="bullet"/>
      <w:lvlText w:val=""/>
      <w:lvlJc w:val="left"/>
      <w:pPr>
        <w:ind w:left="2863" w:hanging="360"/>
      </w:pPr>
      <w:rPr>
        <w:rFonts w:ascii="Symbol" w:hAnsi="Symbol" w:hint="default"/>
      </w:rPr>
    </w:lvl>
    <w:lvl w:ilvl="4" w:tplc="0C090003" w:tentative="1">
      <w:start w:val="1"/>
      <w:numFmt w:val="bullet"/>
      <w:lvlText w:val="o"/>
      <w:lvlJc w:val="left"/>
      <w:pPr>
        <w:ind w:left="3583" w:hanging="360"/>
      </w:pPr>
      <w:rPr>
        <w:rFonts w:ascii="Courier New" w:hAnsi="Courier New" w:cs="Courier New" w:hint="default"/>
      </w:rPr>
    </w:lvl>
    <w:lvl w:ilvl="5" w:tplc="0C090005" w:tentative="1">
      <w:start w:val="1"/>
      <w:numFmt w:val="bullet"/>
      <w:lvlText w:val=""/>
      <w:lvlJc w:val="left"/>
      <w:pPr>
        <w:ind w:left="4303" w:hanging="360"/>
      </w:pPr>
      <w:rPr>
        <w:rFonts w:ascii="Wingdings" w:hAnsi="Wingdings" w:hint="default"/>
      </w:rPr>
    </w:lvl>
    <w:lvl w:ilvl="6" w:tplc="0C090001" w:tentative="1">
      <w:start w:val="1"/>
      <w:numFmt w:val="bullet"/>
      <w:lvlText w:val=""/>
      <w:lvlJc w:val="left"/>
      <w:pPr>
        <w:ind w:left="5023" w:hanging="360"/>
      </w:pPr>
      <w:rPr>
        <w:rFonts w:ascii="Symbol" w:hAnsi="Symbol" w:hint="default"/>
      </w:rPr>
    </w:lvl>
    <w:lvl w:ilvl="7" w:tplc="0C090003" w:tentative="1">
      <w:start w:val="1"/>
      <w:numFmt w:val="bullet"/>
      <w:lvlText w:val="o"/>
      <w:lvlJc w:val="left"/>
      <w:pPr>
        <w:ind w:left="5743" w:hanging="360"/>
      </w:pPr>
      <w:rPr>
        <w:rFonts w:ascii="Courier New" w:hAnsi="Courier New" w:cs="Courier New" w:hint="default"/>
      </w:rPr>
    </w:lvl>
    <w:lvl w:ilvl="8" w:tplc="0C090005" w:tentative="1">
      <w:start w:val="1"/>
      <w:numFmt w:val="bullet"/>
      <w:lvlText w:val=""/>
      <w:lvlJc w:val="left"/>
      <w:pPr>
        <w:ind w:left="6463" w:hanging="360"/>
      </w:pPr>
      <w:rPr>
        <w:rFonts w:ascii="Wingdings" w:hAnsi="Wingdings" w:hint="default"/>
      </w:rPr>
    </w:lvl>
  </w:abstractNum>
  <w:abstractNum w:abstractNumId="20" w15:restartNumberingAfterBreak="0">
    <w:nsid w:val="6AFA3C06"/>
    <w:multiLevelType w:val="hybridMultilevel"/>
    <w:tmpl w:val="C478C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0000C8D"/>
    <w:multiLevelType w:val="hybridMultilevel"/>
    <w:tmpl w:val="53E4B450"/>
    <w:lvl w:ilvl="0" w:tplc="0C090001">
      <w:start w:val="1"/>
      <w:numFmt w:val="bullet"/>
      <w:lvlText w:val=""/>
      <w:lvlJc w:val="left"/>
      <w:pPr>
        <w:ind w:left="1040" w:hanging="360"/>
      </w:pPr>
      <w:rPr>
        <w:rFonts w:ascii="Symbol" w:hAnsi="Symbol" w:hint="default"/>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23" w15:restartNumberingAfterBreak="0">
    <w:nsid w:val="71F50A33"/>
    <w:multiLevelType w:val="hybridMultilevel"/>
    <w:tmpl w:val="FB70BC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819224147">
    <w:abstractNumId w:val="24"/>
  </w:num>
  <w:num w:numId="2" w16cid:durableId="1473717161">
    <w:abstractNumId w:val="9"/>
  </w:num>
  <w:num w:numId="3" w16cid:durableId="288323255">
    <w:abstractNumId w:val="11"/>
  </w:num>
  <w:num w:numId="4" w16cid:durableId="845829223">
    <w:abstractNumId w:val="0"/>
  </w:num>
  <w:num w:numId="5" w16cid:durableId="1720277659">
    <w:abstractNumId w:val="24"/>
  </w:num>
  <w:num w:numId="6" w16cid:durableId="11417051">
    <w:abstractNumId w:val="4"/>
  </w:num>
  <w:num w:numId="7" w16cid:durableId="1469712799">
    <w:abstractNumId w:val="17"/>
  </w:num>
  <w:num w:numId="8" w16cid:durableId="1077944647">
    <w:abstractNumId w:val="23"/>
  </w:num>
  <w:num w:numId="9" w16cid:durableId="735397501">
    <w:abstractNumId w:val="18"/>
  </w:num>
  <w:num w:numId="10" w16cid:durableId="1831407858">
    <w:abstractNumId w:val="22"/>
  </w:num>
  <w:num w:numId="11" w16cid:durableId="1565489314">
    <w:abstractNumId w:val="12"/>
  </w:num>
  <w:num w:numId="12" w16cid:durableId="891768777">
    <w:abstractNumId w:val="15"/>
  </w:num>
  <w:num w:numId="13" w16cid:durableId="931087914">
    <w:abstractNumId w:val="6"/>
  </w:num>
  <w:num w:numId="14" w16cid:durableId="1445611226">
    <w:abstractNumId w:val="14"/>
  </w:num>
  <w:num w:numId="15" w16cid:durableId="1863303">
    <w:abstractNumId w:val="25"/>
  </w:num>
  <w:num w:numId="16" w16cid:durableId="949822294">
    <w:abstractNumId w:val="19"/>
  </w:num>
  <w:num w:numId="17" w16cid:durableId="1582333285">
    <w:abstractNumId w:val="20"/>
  </w:num>
  <w:num w:numId="18" w16cid:durableId="456073667">
    <w:abstractNumId w:val="13"/>
  </w:num>
  <w:num w:numId="19" w16cid:durableId="1653098044">
    <w:abstractNumId w:val="2"/>
  </w:num>
  <w:num w:numId="20" w16cid:durableId="995494196">
    <w:abstractNumId w:val="1"/>
  </w:num>
  <w:num w:numId="21" w16cid:durableId="983042369">
    <w:abstractNumId w:val="7"/>
  </w:num>
  <w:num w:numId="22" w16cid:durableId="887304058">
    <w:abstractNumId w:val="8"/>
  </w:num>
  <w:num w:numId="23" w16cid:durableId="702563336">
    <w:abstractNumId w:val="5"/>
  </w:num>
  <w:num w:numId="24" w16cid:durableId="129744317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625047279">
    <w:abstractNumId w:val="21"/>
  </w:num>
  <w:num w:numId="26" w16cid:durableId="108277337">
    <w:abstractNumId w:val="24"/>
  </w:num>
  <w:num w:numId="27" w16cid:durableId="198053979">
    <w:abstractNumId w:val="24"/>
  </w:num>
  <w:num w:numId="28" w16cid:durableId="494079123">
    <w:abstractNumId w:val="24"/>
  </w:num>
  <w:num w:numId="29" w16cid:durableId="1256093878">
    <w:abstractNumId w:val="10"/>
  </w:num>
  <w:num w:numId="30" w16cid:durableId="576943532">
    <w:abstractNumId w:val="24"/>
  </w:num>
  <w:num w:numId="31" w16cid:durableId="619267409">
    <w:abstractNumId w:val="9"/>
  </w:num>
  <w:num w:numId="32" w16cid:durableId="225651214">
    <w:abstractNumId w:val="19"/>
  </w:num>
  <w:num w:numId="33" w16cid:durableId="372770559">
    <w:abstractNumId w:val="11"/>
  </w:num>
  <w:num w:numId="34" w16cid:durableId="162388120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70431520">
    <w:abstractNumId w:val="0"/>
  </w:num>
  <w:num w:numId="36" w16cid:durableId="237129363">
    <w:abstractNumId w:val="15"/>
  </w:num>
  <w:num w:numId="37" w16cid:durableId="984896336">
    <w:abstractNumId w:val="24"/>
  </w:num>
  <w:num w:numId="38" w16cid:durableId="57480475">
    <w:abstractNumId w:val="0"/>
  </w:num>
  <w:num w:numId="39" w16cid:durableId="1644430788">
    <w:abstractNumId w:val="3"/>
  </w:num>
  <w:num w:numId="40" w16cid:durableId="917204552">
    <w:abstractNumId w:val="24"/>
  </w:num>
  <w:num w:numId="41" w16cid:durableId="991447643">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ocial Science and Medicine&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E65E79"/>
    <w:rsid w:val="00000790"/>
    <w:rsid w:val="0000110B"/>
    <w:rsid w:val="00001B9A"/>
    <w:rsid w:val="00003499"/>
    <w:rsid w:val="000039B7"/>
    <w:rsid w:val="00004D1B"/>
    <w:rsid w:val="000056B9"/>
    <w:rsid w:val="0000639A"/>
    <w:rsid w:val="000072B8"/>
    <w:rsid w:val="00013247"/>
    <w:rsid w:val="00015886"/>
    <w:rsid w:val="000162EF"/>
    <w:rsid w:val="000207C9"/>
    <w:rsid w:val="0002225F"/>
    <w:rsid w:val="00023763"/>
    <w:rsid w:val="000243FB"/>
    <w:rsid w:val="00024EB5"/>
    <w:rsid w:val="00026EB1"/>
    <w:rsid w:val="000274B8"/>
    <w:rsid w:val="00033863"/>
    <w:rsid w:val="00033BA4"/>
    <w:rsid w:val="00035DC0"/>
    <w:rsid w:val="00036829"/>
    <w:rsid w:val="00040895"/>
    <w:rsid w:val="000410A0"/>
    <w:rsid w:val="00041148"/>
    <w:rsid w:val="0004153C"/>
    <w:rsid w:val="000435EE"/>
    <w:rsid w:val="00043C37"/>
    <w:rsid w:val="000442CE"/>
    <w:rsid w:val="00045017"/>
    <w:rsid w:val="00045A2B"/>
    <w:rsid w:val="0004698F"/>
    <w:rsid w:val="00046D64"/>
    <w:rsid w:val="000508C2"/>
    <w:rsid w:val="00051355"/>
    <w:rsid w:val="000539D0"/>
    <w:rsid w:val="00053EC2"/>
    <w:rsid w:val="00054621"/>
    <w:rsid w:val="000546D7"/>
    <w:rsid w:val="00054A8D"/>
    <w:rsid w:val="00056ECF"/>
    <w:rsid w:val="000604DF"/>
    <w:rsid w:val="00060798"/>
    <w:rsid w:val="000653B5"/>
    <w:rsid w:val="00066360"/>
    <w:rsid w:val="00066AF8"/>
    <w:rsid w:val="00071248"/>
    <w:rsid w:val="0007128E"/>
    <w:rsid w:val="000720B9"/>
    <w:rsid w:val="000737F7"/>
    <w:rsid w:val="0007468A"/>
    <w:rsid w:val="0007672F"/>
    <w:rsid w:val="00076B54"/>
    <w:rsid w:val="000774F0"/>
    <w:rsid w:val="00080909"/>
    <w:rsid w:val="00081192"/>
    <w:rsid w:val="000812CA"/>
    <w:rsid w:val="00081E63"/>
    <w:rsid w:val="0008258D"/>
    <w:rsid w:val="0008298E"/>
    <w:rsid w:val="00082B3E"/>
    <w:rsid w:val="00083E99"/>
    <w:rsid w:val="00084FA8"/>
    <w:rsid w:val="000856C5"/>
    <w:rsid w:val="00085C31"/>
    <w:rsid w:val="000902D9"/>
    <w:rsid w:val="00090C7E"/>
    <w:rsid w:val="000911AC"/>
    <w:rsid w:val="00092600"/>
    <w:rsid w:val="0009262B"/>
    <w:rsid w:val="00093310"/>
    <w:rsid w:val="000935CA"/>
    <w:rsid w:val="00093E39"/>
    <w:rsid w:val="0009445C"/>
    <w:rsid w:val="00094583"/>
    <w:rsid w:val="00095200"/>
    <w:rsid w:val="00095FE5"/>
    <w:rsid w:val="00096284"/>
    <w:rsid w:val="000979FC"/>
    <w:rsid w:val="000A1160"/>
    <w:rsid w:val="000A1B50"/>
    <w:rsid w:val="000A1BC0"/>
    <w:rsid w:val="000A2F9E"/>
    <w:rsid w:val="000A3E47"/>
    <w:rsid w:val="000A3FD9"/>
    <w:rsid w:val="000A44B6"/>
    <w:rsid w:val="000A4A48"/>
    <w:rsid w:val="000A522B"/>
    <w:rsid w:val="000A572B"/>
    <w:rsid w:val="000A6039"/>
    <w:rsid w:val="000A66C5"/>
    <w:rsid w:val="000A7453"/>
    <w:rsid w:val="000A7D08"/>
    <w:rsid w:val="000B0121"/>
    <w:rsid w:val="000B0670"/>
    <w:rsid w:val="000B0E75"/>
    <w:rsid w:val="000B120A"/>
    <w:rsid w:val="000B2DCB"/>
    <w:rsid w:val="000B3556"/>
    <w:rsid w:val="000B474B"/>
    <w:rsid w:val="000B5CE0"/>
    <w:rsid w:val="000B6CAC"/>
    <w:rsid w:val="000B7612"/>
    <w:rsid w:val="000B78AE"/>
    <w:rsid w:val="000C3544"/>
    <w:rsid w:val="000C3D60"/>
    <w:rsid w:val="000C3DF9"/>
    <w:rsid w:val="000C4857"/>
    <w:rsid w:val="000C4CF2"/>
    <w:rsid w:val="000C6713"/>
    <w:rsid w:val="000D1BFC"/>
    <w:rsid w:val="000D1D5D"/>
    <w:rsid w:val="000D281A"/>
    <w:rsid w:val="000D2848"/>
    <w:rsid w:val="000D2EDC"/>
    <w:rsid w:val="000D326A"/>
    <w:rsid w:val="000D51FB"/>
    <w:rsid w:val="000E0640"/>
    <w:rsid w:val="000E135D"/>
    <w:rsid w:val="000E20C4"/>
    <w:rsid w:val="000E4448"/>
    <w:rsid w:val="000E46E0"/>
    <w:rsid w:val="000E6CB8"/>
    <w:rsid w:val="000E78FD"/>
    <w:rsid w:val="000E7D44"/>
    <w:rsid w:val="000F00BA"/>
    <w:rsid w:val="000F1593"/>
    <w:rsid w:val="000F2160"/>
    <w:rsid w:val="000F21E3"/>
    <w:rsid w:val="000F316A"/>
    <w:rsid w:val="000F361C"/>
    <w:rsid w:val="000F3C74"/>
    <w:rsid w:val="000F4BB8"/>
    <w:rsid w:val="000F4FA9"/>
    <w:rsid w:val="000F53FB"/>
    <w:rsid w:val="000F7127"/>
    <w:rsid w:val="000F7B54"/>
    <w:rsid w:val="001000B3"/>
    <w:rsid w:val="00100F8A"/>
    <w:rsid w:val="0010330F"/>
    <w:rsid w:val="0010452E"/>
    <w:rsid w:val="00105218"/>
    <w:rsid w:val="00105AE2"/>
    <w:rsid w:val="001060C6"/>
    <w:rsid w:val="00106B80"/>
    <w:rsid w:val="00106EF9"/>
    <w:rsid w:val="0011032E"/>
    <w:rsid w:val="00113339"/>
    <w:rsid w:val="0011348B"/>
    <w:rsid w:val="00115982"/>
    <w:rsid w:val="00116C53"/>
    <w:rsid w:val="0011758A"/>
    <w:rsid w:val="00121799"/>
    <w:rsid w:val="0012196B"/>
    <w:rsid w:val="001222FC"/>
    <w:rsid w:val="00123902"/>
    <w:rsid w:val="00124A51"/>
    <w:rsid w:val="00126621"/>
    <w:rsid w:val="0012667D"/>
    <w:rsid w:val="00126B1D"/>
    <w:rsid w:val="001301E9"/>
    <w:rsid w:val="00131D82"/>
    <w:rsid w:val="00132984"/>
    <w:rsid w:val="00132B22"/>
    <w:rsid w:val="00132F90"/>
    <w:rsid w:val="001332CB"/>
    <w:rsid w:val="00133B7D"/>
    <w:rsid w:val="00133D36"/>
    <w:rsid w:val="00137645"/>
    <w:rsid w:val="0013773C"/>
    <w:rsid w:val="0014015A"/>
    <w:rsid w:val="00140E99"/>
    <w:rsid w:val="0014351D"/>
    <w:rsid w:val="001437F1"/>
    <w:rsid w:val="00143F67"/>
    <w:rsid w:val="00145234"/>
    <w:rsid w:val="00145540"/>
    <w:rsid w:val="001456B0"/>
    <w:rsid w:val="0015063D"/>
    <w:rsid w:val="0015085A"/>
    <w:rsid w:val="001547AB"/>
    <w:rsid w:val="00154E1F"/>
    <w:rsid w:val="00156BD6"/>
    <w:rsid w:val="00156F8F"/>
    <w:rsid w:val="00157130"/>
    <w:rsid w:val="001576B1"/>
    <w:rsid w:val="00157755"/>
    <w:rsid w:val="0016047B"/>
    <w:rsid w:val="00160A4C"/>
    <w:rsid w:val="00162913"/>
    <w:rsid w:val="001635F1"/>
    <w:rsid w:val="00163EFF"/>
    <w:rsid w:val="00163F66"/>
    <w:rsid w:val="0016478E"/>
    <w:rsid w:val="00165EC4"/>
    <w:rsid w:val="001661FB"/>
    <w:rsid w:val="00167178"/>
    <w:rsid w:val="001671A0"/>
    <w:rsid w:val="0016767F"/>
    <w:rsid w:val="00173565"/>
    <w:rsid w:val="00173B07"/>
    <w:rsid w:val="00174D6B"/>
    <w:rsid w:val="001751FA"/>
    <w:rsid w:val="00181C10"/>
    <w:rsid w:val="00181D9C"/>
    <w:rsid w:val="001837FF"/>
    <w:rsid w:val="00184B0E"/>
    <w:rsid w:val="0018752F"/>
    <w:rsid w:val="00193838"/>
    <w:rsid w:val="00194AD8"/>
    <w:rsid w:val="00195222"/>
    <w:rsid w:val="00195452"/>
    <w:rsid w:val="001975D8"/>
    <w:rsid w:val="001A049C"/>
    <w:rsid w:val="001A0DB1"/>
    <w:rsid w:val="001A178E"/>
    <w:rsid w:val="001A43FA"/>
    <w:rsid w:val="001A47C5"/>
    <w:rsid w:val="001A58A0"/>
    <w:rsid w:val="001A59FB"/>
    <w:rsid w:val="001A5E9E"/>
    <w:rsid w:val="001A6354"/>
    <w:rsid w:val="001A6366"/>
    <w:rsid w:val="001A7AE8"/>
    <w:rsid w:val="001B204E"/>
    <w:rsid w:val="001B2372"/>
    <w:rsid w:val="001B3443"/>
    <w:rsid w:val="001B4D20"/>
    <w:rsid w:val="001B5915"/>
    <w:rsid w:val="001B7F84"/>
    <w:rsid w:val="001C0B90"/>
    <w:rsid w:val="001C2A9B"/>
    <w:rsid w:val="001C3DD6"/>
    <w:rsid w:val="001C4299"/>
    <w:rsid w:val="001C4874"/>
    <w:rsid w:val="001C5F94"/>
    <w:rsid w:val="001C6B62"/>
    <w:rsid w:val="001C6E66"/>
    <w:rsid w:val="001D03BC"/>
    <w:rsid w:val="001D1100"/>
    <w:rsid w:val="001D1391"/>
    <w:rsid w:val="001D25D7"/>
    <w:rsid w:val="001D2B0A"/>
    <w:rsid w:val="001D50B2"/>
    <w:rsid w:val="001D71F4"/>
    <w:rsid w:val="001D7645"/>
    <w:rsid w:val="001E1E86"/>
    <w:rsid w:val="001E238E"/>
    <w:rsid w:val="001E2483"/>
    <w:rsid w:val="001E2B1E"/>
    <w:rsid w:val="001E2CFF"/>
    <w:rsid w:val="001E2F24"/>
    <w:rsid w:val="001E30D4"/>
    <w:rsid w:val="001E34DF"/>
    <w:rsid w:val="001E391B"/>
    <w:rsid w:val="001E52EB"/>
    <w:rsid w:val="001E61D2"/>
    <w:rsid w:val="001E740C"/>
    <w:rsid w:val="001F1235"/>
    <w:rsid w:val="001F1CB3"/>
    <w:rsid w:val="001F226F"/>
    <w:rsid w:val="001F38B5"/>
    <w:rsid w:val="001F4081"/>
    <w:rsid w:val="001F4F88"/>
    <w:rsid w:val="001F5955"/>
    <w:rsid w:val="001F671B"/>
    <w:rsid w:val="001F7361"/>
    <w:rsid w:val="002011B0"/>
    <w:rsid w:val="0020124D"/>
    <w:rsid w:val="002016F2"/>
    <w:rsid w:val="00202643"/>
    <w:rsid w:val="00203181"/>
    <w:rsid w:val="00203783"/>
    <w:rsid w:val="0020385F"/>
    <w:rsid w:val="002068A0"/>
    <w:rsid w:val="00207021"/>
    <w:rsid w:val="0020732F"/>
    <w:rsid w:val="00207D00"/>
    <w:rsid w:val="00210508"/>
    <w:rsid w:val="002105C1"/>
    <w:rsid w:val="002116FD"/>
    <w:rsid w:val="00213B24"/>
    <w:rsid w:val="00213EF5"/>
    <w:rsid w:val="00216BF5"/>
    <w:rsid w:val="00223B49"/>
    <w:rsid w:val="00223D5A"/>
    <w:rsid w:val="00224DD4"/>
    <w:rsid w:val="002278A0"/>
    <w:rsid w:val="002309CC"/>
    <w:rsid w:val="0023180D"/>
    <w:rsid w:val="00231BA9"/>
    <w:rsid w:val="0023209F"/>
    <w:rsid w:val="00233C01"/>
    <w:rsid w:val="00233F10"/>
    <w:rsid w:val="0023413C"/>
    <w:rsid w:val="002346F0"/>
    <w:rsid w:val="002355BF"/>
    <w:rsid w:val="0023629D"/>
    <w:rsid w:val="00237255"/>
    <w:rsid w:val="002424AF"/>
    <w:rsid w:val="002439DC"/>
    <w:rsid w:val="002441D2"/>
    <w:rsid w:val="00244DC8"/>
    <w:rsid w:val="002458BA"/>
    <w:rsid w:val="00245CE9"/>
    <w:rsid w:val="0024636C"/>
    <w:rsid w:val="00247925"/>
    <w:rsid w:val="00251006"/>
    <w:rsid w:val="002524D5"/>
    <w:rsid w:val="00253B1D"/>
    <w:rsid w:val="00254DCF"/>
    <w:rsid w:val="0025534B"/>
    <w:rsid w:val="00255BB7"/>
    <w:rsid w:val="002570DF"/>
    <w:rsid w:val="00257541"/>
    <w:rsid w:val="00257849"/>
    <w:rsid w:val="00257A39"/>
    <w:rsid w:val="00257AC4"/>
    <w:rsid w:val="00257BBE"/>
    <w:rsid w:val="002608EF"/>
    <w:rsid w:val="00261EEF"/>
    <w:rsid w:val="00262A1A"/>
    <w:rsid w:val="00262A87"/>
    <w:rsid w:val="002636E7"/>
    <w:rsid w:val="0026406D"/>
    <w:rsid w:val="00264D26"/>
    <w:rsid w:val="00267642"/>
    <w:rsid w:val="00267AEA"/>
    <w:rsid w:val="002700E6"/>
    <w:rsid w:val="002720C7"/>
    <w:rsid w:val="0027294B"/>
    <w:rsid w:val="00273EB4"/>
    <w:rsid w:val="00274682"/>
    <w:rsid w:val="00274F2F"/>
    <w:rsid w:val="00275158"/>
    <w:rsid w:val="002756AA"/>
    <w:rsid w:val="00275C5A"/>
    <w:rsid w:val="00281014"/>
    <w:rsid w:val="00282114"/>
    <w:rsid w:val="00284EE3"/>
    <w:rsid w:val="00285BCE"/>
    <w:rsid w:val="0028665D"/>
    <w:rsid w:val="00287323"/>
    <w:rsid w:val="002A14AB"/>
    <w:rsid w:val="002A2ADE"/>
    <w:rsid w:val="002A2F50"/>
    <w:rsid w:val="002A3329"/>
    <w:rsid w:val="002A543A"/>
    <w:rsid w:val="002A7943"/>
    <w:rsid w:val="002B05A1"/>
    <w:rsid w:val="002B09A4"/>
    <w:rsid w:val="002B09D6"/>
    <w:rsid w:val="002B0F90"/>
    <w:rsid w:val="002B1C1F"/>
    <w:rsid w:val="002B1EC7"/>
    <w:rsid w:val="002B432F"/>
    <w:rsid w:val="002B62B3"/>
    <w:rsid w:val="002B6754"/>
    <w:rsid w:val="002B6CCE"/>
    <w:rsid w:val="002C2510"/>
    <w:rsid w:val="002C2775"/>
    <w:rsid w:val="002C27C1"/>
    <w:rsid w:val="002C36E3"/>
    <w:rsid w:val="002C5099"/>
    <w:rsid w:val="002C5889"/>
    <w:rsid w:val="002C71CE"/>
    <w:rsid w:val="002D08F8"/>
    <w:rsid w:val="002D2129"/>
    <w:rsid w:val="002D577C"/>
    <w:rsid w:val="002D7832"/>
    <w:rsid w:val="002E1071"/>
    <w:rsid w:val="002E15B9"/>
    <w:rsid w:val="002E2158"/>
    <w:rsid w:val="002E2365"/>
    <w:rsid w:val="002E4F02"/>
    <w:rsid w:val="002E7722"/>
    <w:rsid w:val="002F07BA"/>
    <w:rsid w:val="002F0DA9"/>
    <w:rsid w:val="002F1014"/>
    <w:rsid w:val="002F1E3B"/>
    <w:rsid w:val="002F643C"/>
    <w:rsid w:val="002F71C0"/>
    <w:rsid w:val="002F74F1"/>
    <w:rsid w:val="002F7885"/>
    <w:rsid w:val="002F7B38"/>
    <w:rsid w:val="00301017"/>
    <w:rsid w:val="0030155F"/>
    <w:rsid w:val="003029B7"/>
    <w:rsid w:val="00304A04"/>
    <w:rsid w:val="0030587B"/>
    <w:rsid w:val="00305D3B"/>
    <w:rsid w:val="00306B52"/>
    <w:rsid w:val="00306D98"/>
    <w:rsid w:val="0030786C"/>
    <w:rsid w:val="0031031A"/>
    <w:rsid w:val="00310981"/>
    <w:rsid w:val="00311D9B"/>
    <w:rsid w:val="003124D9"/>
    <w:rsid w:val="00312594"/>
    <w:rsid w:val="00312747"/>
    <w:rsid w:val="00315498"/>
    <w:rsid w:val="00316474"/>
    <w:rsid w:val="00321EAD"/>
    <w:rsid w:val="00322107"/>
    <w:rsid w:val="00322355"/>
    <w:rsid w:val="00322846"/>
    <w:rsid w:val="00325CC0"/>
    <w:rsid w:val="00326DA7"/>
    <w:rsid w:val="003270E4"/>
    <w:rsid w:val="0032748D"/>
    <w:rsid w:val="00327600"/>
    <w:rsid w:val="00330AA4"/>
    <w:rsid w:val="00330DAA"/>
    <w:rsid w:val="00330F5C"/>
    <w:rsid w:val="003366C9"/>
    <w:rsid w:val="003371B0"/>
    <w:rsid w:val="00337F9C"/>
    <w:rsid w:val="00340DF1"/>
    <w:rsid w:val="00341CFB"/>
    <w:rsid w:val="0034508F"/>
    <w:rsid w:val="00350640"/>
    <w:rsid w:val="00350B8C"/>
    <w:rsid w:val="003516AA"/>
    <w:rsid w:val="003517F9"/>
    <w:rsid w:val="00351BA9"/>
    <w:rsid w:val="00353B98"/>
    <w:rsid w:val="00354F64"/>
    <w:rsid w:val="0035620E"/>
    <w:rsid w:val="003562D2"/>
    <w:rsid w:val="00357506"/>
    <w:rsid w:val="003575BE"/>
    <w:rsid w:val="00360345"/>
    <w:rsid w:val="0036173E"/>
    <w:rsid w:val="0036191A"/>
    <w:rsid w:val="00361A05"/>
    <w:rsid w:val="003624C4"/>
    <w:rsid w:val="00363B00"/>
    <w:rsid w:val="003654AC"/>
    <w:rsid w:val="003710CF"/>
    <w:rsid w:val="0037125F"/>
    <w:rsid w:val="0037358A"/>
    <w:rsid w:val="003750F6"/>
    <w:rsid w:val="003760FC"/>
    <w:rsid w:val="0038278B"/>
    <w:rsid w:val="0038365C"/>
    <w:rsid w:val="0038369B"/>
    <w:rsid w:val="00383A94"/>
    <w:rsid w:val="00383B78"/>
    <w:rsid w:val="00385A9D"/>
    <w:rsid w:val="00387121"/>
    <w:rsid w:val="003902B1"/>
    <w:rsid w:val="0039179C"/>
    <w:rsid w:val="00392681"/>
    <w:rsid w:val="0039636D"/>
    <w:rsid w:val="00396896"/>
    <w:rsid w:val="00396FD0"/>
    <w:rsid w:val="003A1A7A"/>
    <w:rsid w:val="003A2392"/>
    <w:rsid w:val="003A2831"/>
    <w:rsid w:val="003A3CB6"/>
    <w:rsid w:val="003A3ED1"/>
    <w:rsid w:val="003A44DB"/>
    <w:rsid w:val="003A4C14"/>
    <w:rsid w:val="003B022E"/>
    <w:rsid w:val="003B1A24"/>
    <w:rsid w:val="003B3971"/>
    <w:rsid w:val="003B55D1"/>
    <w:rsid w:val="003B5B61"/>
    <w:rsid w:val="003B7705"/>
    <w:rsid w:val="003C0077"/>
    <w:rsid w:val="003C1654"/>
    <w:rsid w:val="003C1DD0"/>
    <w:rsid w:val="003C4D88"/>
    <w:rsid w:val="003C5542"/>
    <w:rsid w:val="003C7C15"/>
    <w:rsid w:val="003C7D19"/>
    <w:rsid w:val="003C7D2F"/>
    <w:rsid w:val="003D06F9"/>
    <w:rsid w:val="003D0C5A"/>
    <w:rsid w:val="003D1828"/>
    <w:rsid w:val="003D1DE4"/>
    <w:rsid w:val="003D1E9A"/>
    <w:rsid w:val="003D2422"/>
    <w:rsid w:val="003D39A1"/>
    <w:rsid w:val="003D3FBF"/>
    <w:rsid w:val="003D4A30"/>
    <w:rsid w:val="003D6D09"/>
    <w:rsid w:val="003D7452"/>
    <w:rsid w:val="003D79BB"/>
    <w:rsid w:val="003D7C98"/>
    <w:rsid w:val="003D7D9D"/>
    <w:rsid w:val="003E0543"/>
    <w:rsid w:val="003E5603"/>
    <w:rsid w:val="003E749E"/>
    <w:rsid w:val="003F4156"/>
    <w:rsid w:val="003F5ADF"/>
    <w:rsid w:val="003F7C63"/>
    <w:rsid w:val="00400B29"/>
    <w:rsid w:val="00401F9E"/>
    <w:rsid w:val="00402812"/>
    <w:rsid w:val="0040504B"/>
    <w:rsid w:val="004059F4"/>
    <w:rsid w:val="00407FE5"/>
    <w:rsid w:val="004101B0"/>
    <w:rsid w:val="00410326"/>
    <w:rsid w:val="00410708"/>
    <w:rsid w:val="00410EC7"/>
    <w:rsid w:val="00411B39"/>
    <w:rsid w:val="004127A7"/>
    <w:rsid w:val="00413A1E"/>
    <w:rsid w:val="00414476"/>
    <w:rsid w:val="00414C2E"/>
    <w:rsid w:val="004151CF"/>
    <w:rsid w:val="00416364"/>
    <w:rsid w:val="0042047F"/>
    <w:rsid w:val="00420AA6"/>
    <w:rsid w:val="00420B9F"/>
    <w:rsid w:val="0042192C"/>
    <w:rsid w:val="00422260"/>
    <w:rsid w:val="0042413F"/>
    <w:rsid w:val="004251D9"/>
    <w:rsid w:val="004255D4"/>
    <w:rsid w:val="004319F8"/>
    <w:rsid w:val="00431E55"/>
    <w:rsid w:val="004321F6"/>
    <w:rsid w:val="00433044"/>
    <w:rsid w:val="00434088"/>
    <w:rsid w:val="004375B9"/>
    <w:rsid w:val="004428D0"/>
    <w:rsid w:val="00444185"/>
    <w:rsid w:val="004443A7"/>
    <w:rsid w:val="0044442C"/>
    <w:rsid w:val="00445027"/>
    <w:rsid w:val="00445941"/>
    <w:rsid w:val="004464EB"/>
    <w:rsid w:val="00447D26"/>
    <w:rsid w:val="00447DFC"/>
    <w:rsid w:val="00452395"/>
    <w:rsid w:val="00452B7B"/>
    <w:rsid w:val="004543B9"/>
    <w:rsid w:val="00454BD9"/>
    <w:rsid w:val="0045532D"/>
    <w:rsid w:val="00455D45"/>
    <w:rsid w:val="00464595"/>
    <w:rsid w:val="00465475"/>
    <w:rsid w:val="004658B5"/>
    <w:rsid w:val="004709DA"/>
    <w:rsid w:val="00471EA5"/>
    <w:rsid w:val="00472A79"/>
    <w:rsid w:val="00473F19"/>
    <w:rsid w:val="00475E22"/>
    <w:rsid w:val="0048088E"/>
    <w:rsid w:val="00480ECE"/>
    <w:rsid w:val="00480F2B"/>
    <w:rsid w:val="00482720"/>
    <w:rsid w:val="004835E7"/>
    <w:rsid w:val="004852CF"/>
    <w:rsid w:val="004859E1"/>
    <w:rsid w:val="004867E2"/>
    <w:rsid w:val="00490B17"/>
    <w:rsid w:val="00491B3A"/>
    <w:rsid w:val="004920B1"/>
    <w:rsid w:val="00492CFD"/>
    <w:rsid w:val="0049396B"/>
    <w:rsid w:val="00494207"/>
    <w:rsid w:val="00494DD5"/>
    <w:rsid w:val="004962D2"/>
    <w:rsid w:val="00496E26"/>
    <w:rsid w:val="004A06DC"/>
    <w:rsid w:val="004A08EA"/>
    <w:rsid w:val="004A0DA1"/>
    <w:rsid w:val="004A13D6"/>
    <w:rsid w:val="004A1557"/>
    <w:rsid w:val="004A52E9"/>
    <w:rsid w:val="004A6040"/>
    <w:rsid w:val="004A6597"/>
    <w:rsid w:val="004A7848"/>
    <w:rsid w:val="004A793B"/>
    <w:rsid w:val="004B1CB4"/>
    <w:rsid w:val="004B2F18"/>
    <w:rsid w:val="004B3DDB"/>
    <w:rsid w:val="004B44FD"/>
    <w:rsid w:val="004B59D3"/>
    <w:rsid w:val="004B5CFC"/>
    <w:rsid w:val="004B6F79"/>
    <w:rsid w:val="004B774D"/>
    <w:rsid w:val="004C2AC2"/>
    <w:rsid w:val="004C4AED"/>
    <w:rsid w:val="004D0F09"/>
    <w:rsid w:val="004D2C2D"/>
    <w:rsid w:val="004D69B5"/>
    <w:rsid w:val="004D7227"/>
    <w:rsid w:val="004D7B5E"/>
    <w:rsid w:val="004E0E7F"/>
    <w:rsid w:val="004E0EB8"/>
    <w:rsid w:val="004E18E9"/>
    <w:rsid w:val="004E2ADC"/>
    <w:rsid w:val="004E43B2"/>
    <w:rsid w:val="004F1D02"/>
    <w:rsid w:val="004F2679"/>
    <w:rsid w:val="004F2F21"/>
    <w:rsid w:val="004F3DE5"/>
    <w:rsid w:val="004F6913"/>
    <w:rsid w:val="004F7865"/>
    <w:rsid w:val="004F7C89"/>
    <w:rsid w:val="0050174E"/>
    <w:rsid w:val="00501854"/>
    <w:rsid w:val="0050219B"/>
    <w:rsid w:val="00503F17"/>
    <w:rsid w:val="00503F3A"/>
    <w:rsid w:val="00506928"/>
    <w:rsid w:val="00506A5E"/>
    <w:rsid w:val="005077EF"/>
    <w:rsid w:val="00510C04"/>
    <w:rsid w:val="00511AD5"/>
    <w:rsid w:val="00511DC7"/>
    <w:rsid w:val="005142C5"/>
    <w:rsid w:val="0051501B"/>
    <w:rsid w:val="005152B5"/>
    <w:rsid w:val="00515886"/>
    <w:rsid w:val="00515B78"/>
    <w:rsid w:val="0051699C"/>
    <w:rsid w:val="0052123C"/>
    <w:rsid w:val="00521319"/>
    <w:rsid w:val="00522BC8"/>
    <w:rsid w:val="0052329D"/>
    <w:rsid w:val="00523C28"/>
    <w:rsid w:val="00527EA4"/>
    <w:rsid w:val="0053176B"/>
    <w:rsid w:val="005341B3"/>
    <w:rsid w:val="00535D14"/>
    <w:rsid w:val="00536F42"/>
    <w:rsid w:val="00537182"/>
    <w:rsid w:val="005406B2"/>
    <w:rsid w:val="00541EDD"/>
    <w:rsid w:val="00542743"/>
    <w:rsid w:val="00542C2D"/>
    <w:rsid w:val="00545EFE"/>
    <w:rsid w:val="0054613D"/>
    <w:rsid w:val="005478BD"/>
    <w:rsid w:val="005479E3"/>
    <w:rsid w:val="00551985"/>
    <w:rsid w:val="00552BD3"/>
    <w:rsid w:val="005532A0"/>
    <w:rsid w:val="00555109"/>
    <w:rsid w:val="00556B35"/>
    <w:rsid w:val="0055741A"/>
    <w:rsid w:val="005611B7"/>
    <w:rsid w:val="005618D4"/>
    <w:rsid w:val="00564867"/>
    <w:rsid w:val="00565C79"/>
    <w:rsid w:val="00565DF0"/>
    <w:rsid w:val="0056696F"/>
    <w:rsid w:val="00566FCF"/>
    <w:rsid w:val="005717C8"/>
    <w:rsid w:val="00572269"/>
    <w:rsid w:val="0057244A"/>
    <w:rsid w:val="00572F26"/>
    <w:rsid w:val="005738BB"/>
    <w:rsid w:val="005750C5"/>
    <w:rsid w:val="005752DE"/>
    <w:rsid w:val="00575D60"/>
    <w:rsid w:val="00575D8D"/>
    <w:rsid w:val="00576972"/>
    <w:rsid w:val="00577248"/>
    <w:rsid w:val="005773A0"/>
    <w:rsid w:val="00577A08"/>
    <w:rsid w:val="00582C8F"/>
    <w:rsid w:val="00583699"/>
    <w:rsid w:val="00585CDD"/>
    <w:rsid w:val="00587058"/>
    <w:rsid w:val="00590FD9"/>
    <w:rsid w:val="00591957"/>
    <w:rsid w:val="00594DCF"/>
    <w:rsid w:val="00597BF9"/>
    <w:rsid w:val="005A0C11"/>
    <w:rsid w:val="005A0FA2"/>
    <w:rsid w:val="005A309A"/>
    <w:rsid w:val="005A373D"/>
    <w:rsid w:val="005A547B"/>
    <w:rsid w:val="005B0B58"/>
    <w:rsid w:val="005B1796"/>
    <w:rsid w:val="005B475E"/>
    <w:rsid w:val="005B4E53"/>
    <w:rsid w:val="005B57CE"/>
    <w:rsid w:val="005B5857"/>
    <w:rsid w:val="005C19C4"/>
    <w:rsid w:val="005C1B83"/>
    <w:rsid w:val="005C23F2"/>
    <w:rsid w:val="005C25FF"/>
    <w:rsid w:val="005C2D55"/>
    <w:rsid w:val="005C346B"/>
    <w:rsid w:val="005C36FE"/>
    <w:rsid w:val="005C5151"/>
    <w:rsid w:val="005C5ABC"/>
    <w:rsid w:val="005D044D"/>
    <w:rsid w:val="005D0ABD"/>
    <w:rsid w:val="005D18AD"/>
    <w:rsid w:val="005D26B4"/>
    <w:rsid w:val="005D4EF5"/>
    <w:rsid w:val="005D50DB"/>
    <w:rsid w:val="005E015C"/>
    <w:rsid w:val="005E1995"/>
    <w:rsid w:val="005E243A"/>
    <w:rsid w:val="005E6CBC"/>
    <w:rsid w:val="005E72FF"/>
    <w:rsid w:val="005E73C0"/>
    <w:rsid w:val="005F07ED"/>
    <w:rsid w:val="005F0E6A"/>
    <w:rsid w:val="005F2706"/>
    <w:rsid w:val="005F3753"/>
    <w:rsid w:val="005F6A8F"/>
    <w:rsid w:val="005F6BB7"/>
    <w:rsid w:val="005F72BD"/>
    <w:rsid w:val="005F7588"/>
    <w:rsid w:val="00602F57"/>
    <w:rsid w:val="00603DB9"/>
    <w:rsid w:val="00606FBA"/>
    <w:rsid w:val="00607669"/>
    <w:rsid w:val="006076F4"/>
    <w:rsid w:val="00607AFD"/>
    <w:rsid w:val="006110CF"/>
    <w:rsid w:val="00611B12"/>
    <w:rsid w:val="00612F97"/>
    <w:rsid w:val="0061345D"/>
    <w:rsid w:val="00614A56"/>
    <w:rsid w:val="0061549B"/>
    <w:rsid w:val="00616802"/>
    <w:rsid w:val="00617E12"/>
    <w:rsid w:val="00620637"/>
    <w:rsid w:val="00620C25"/>
    <w:rsid w:val="00621477"/>
    <w:rsid w:val="00621ADA"/>
    <w:rsid w:val="00623CD8"/>
    <w:rsid w:val="00623DE9"/>
    <w:rsid w:val="00623F7B"/>
    <w:rsid w:val="006248CB"/>
    <w:rsid w:val="00624BD4"/>
    <w:rsid w:val="006306B8"/>
    <w:rsid w:val="00630FC1"/>
    <w:rsid w:val="0063158F"/>
    <w:rsid w:val="00631974"/>
    <w:rsid w:val="00631D6B"/>
    <w:rsid w:val="00632183"/>
    <w:rsid w:val="006330A1"/>
    <w:rsid w:val="00634708"/>
    <w:rsid w:val="0063479F"/>
    <w:rsid w:val="006353F0"/>
    <w:rsid w:val="006357B5"/>
    <w:rsid w:val="006364A1"/>
    <w:rsid w:val="0063678E"/>
    <w:rsid w:val="00637BFD"/>
    <w:rsid w:val="00637C5C"/>
    <w:rsid w:val="00641C4E"/>
    <w:rsid w:val="00641FB3"/>
    <w:rsid w:val="00643F72"/>
    <w:rsid w:val="0064434C"/>
    <w:rsid w:val="006471CC"/>
    <w:rsid w:val="006472FE"/>
    <w:rsid w:val="006475DB"/>
    <w:rsid w:val="006477E5"/>
    <w:rsid w:val="00647A29"/>
    <w:rsid w:val="0065079F"/>
    <w:rsid w:val="006522C1"/>
    <w:rsid w:val="006525AB"/>
    <w:rsid w:val="00652706"/>
    <w:rsid w:val="00652A28"/>
    <w:rsid w:val="0065379F"/>
    <w:rsid w:val="00656188"/>
    <w:rsid w:val="0065715A"/>
    <w:rsid w:val="006610F1"/>
    <w:rsid w:val="00661C6B"/>
    <w:rsid w:val="00662D3E"/>
    <w:rsid w:val="00667BE3"/>
    <w:rsid w:val="00670818"/>
    <w:rsid w:val="00671004"/>
    <w:rsid w:val="00672646"/>
    <w:rsid w:val="00672C61"/>
    <w:rsid w:val="00674E42"/>
    <w:rsid w:val="006755A0"/>
    <w:rsid w:val="00676563"/>
    <w:rsid w:val="006813F8"/>
    <w:rsid w:val="00682112"/>
    <w:rsid w:val="00682BA6"/>
    <w:rsid w:val="0068547D"/>
    <w:rsid w:val="00686957"/>
    <w:rsid w:val="006872BA"/>
    <w:rsid w:val="00690795"/>
    <w:rsid w:val="00691648"/>
    <w:rsid w:val="006917D7"/>
    <w:rsid w:val="0069434C"/>
    <w:rsid w:val="00694F44"/>
    <w:rsid w:val="00696DE4"/>
    <w:rsid w:val="00696EF9"/>
    <w:rsid w:val="00696F51"/>
    <w:rsid w:val="006979A5"/>
    <w:rsid w:val="006A016F"/>
    <w:rsid w:val="006A0DF7"/>
    <w:rsid w:val="006A2F25"/>
    <w:rsid w:val="006A3DC8"/>
    <w:rsid w:val="006A4321"/>
    <w:rsid w:val="006A43D9"/>
    <w:rsid w:val="006A53AB"/>
    <w:rsid w:val="006A6B99"/>
    <w:rsid w:val="006A7E5F"/>
    <w:rsid w:val="006B261B"/>
    <w:rsid w:val="006B2C90"/>
    <w:rsid w:val="006B35E6"/>
    <w:rsid w:val="006B465A"/>
    <w:rsid w:val="006B6DD0"/>
    <w:rsid w:val="006C0399"/>
    <w:rsid w:val="006C10FF"/>
    <w:rsid w:val="006C2A8E"/>
    <w:rsid w:val="006C3255"/>
    <w:rsid w:val="006C3F26"/>
    <w:rsid w:val="006C4083"/>
    <w:rsid w:val="006C7ED2"/>
    <w:rsid w:val="006D0D17"/>
    <w:rsid w:val="006D3C7D"/>
    <w:rsid w:val="006D4659"/>
    <w:rsid w:val="006D5D5F"/>
    <w:rsid w:val="006D68FB"/>
    <w:rsid w:val="006E2868"/>
    <w:rsid w:val="006E28F1"/>
    <w:rsid w:val="006E46EB"/>
    <w:rsid w:val="006E70B2"/>
    <w:rsid w:val="006F306C"/>
    <w:rsid w:val="006F50CD"/>
    <w:rsid w:val="006F63A5"/>
    <w:rsid w:val="0070142B"/>
    <w:rsid w:val="0070276E"/>
    <w:rsid w:val="00702F8F"/>
    <w:rsid w:val="0070398E"/>
    <w:rsid w:val="007079FC"/>
    <w:rsid w:val="00711A36"/>
    <w:rsid w:val="00712051"/>
    <w:rsid w:val="007125D3"/>
    <w:rsid w:val="0071438C"/>
    <w:rsid w:val="00714C26"/>
    <w:rsid w:val="0071529C"/>
    <w:rsid w:val="007170DA"/>
    <w:rsid w:val="007172AD"/>
    <w:rsid w:val="00717546"/>
    <w:rsid w:val="00720801"/>
    <w:rsid w:val="00721DF7"/>
    <w:rsid w:val="00722B1B"/>
    <w:rsid w:val="0072416F"/>
    <w:rsid w:val="00727C94"/>
    <w:rsid w:val="00731B0A"/>
    <w:rsid w:val="00731EAE"/>
    <w:rsid w:val="00733073"/>
    <w:rsid w:val="00735033"/>
    <w:rsid w:val="00735328"/>
    <w:rsid w:val="0073685B"/>
    <w:rsid w:val="007418A9"/>
    <w:rsid w:val="00743E47"/>
    <w:rsid w:val="007449BF"/>
    <w:rsid w:val="00744F28"/>
    <w:rsid w:val="00746053"/>
    <w:rsid w:val="007463FE"/>
    <w:rsid w:val="00746BC0"/>
    <w:rsid w:val="00746E1A"/>
    <w:rsid w:val="00747CE0"/>
    <w:rsid w:val="007510B4"/>
    <w:rsid w:val="00752142"/>
    <w:rsid w:val="007523F9"/>
    <w:rsid w:val="0075357E"/>
    <w:rsid w:val="00753B29"/>
    <w:rsid w:val="007573E8"/>
    <w:rsid w:val="00757540"/>
    <w:rsid w:val="00757D28"/>
    <w:rsid w:val="00760C4E"/>
    <w:rsid w:val="00760F9E"/>
    <w:rsid w:val="007616E6"/>
    <w:rsid w:val="007627BE"/>
    <w:rsid w:val="00763B80"/>
    <w:rsid w:val="00764F03"/>
    <w:rsid w:val="00765B1A"/>
    <w:rsid w:val="00765DC1"/>
    <w:rsid w:val="00771726"/>
    <w:rsid w:val="00772DDB"/>
    <w:rsid w:val="00777335"/>
    <w:rsid w:val="00777C2B"/>
    <w:rsid w:val="0078178E"/>
    <w:rsid w:val="007843F2"/>
    <w:rsid w:val="007846FA"/>
    <w:rsid w:val="00785A9F"/>
    <w:rsid w:val="00787688"/>
    <w:rsid w:val="00787D7F"/>
    <w:rsid w:val="00791F7B"/>
    <w:rsid w:val="007925DF"/>
    <w:rsid w:val="00797349"/>
    <w:rsid w:val="007A08AA"/>
    <w:rsid w:val="007A08DC"/>
    <w:rsid w:val="007A0A12"/>
    <w:rsid w:val="007A132D"/>
    <w:rsid w:val="007A1345"/>
    <w:rsid w:val="007A2DDB"/>
    <w:rsid w:val="007A70BA"/>
    <w:rsid w:val="007A77C2"/>
    <w:rsid w:val="007B081D"/>
    <w:rsid w:val="007B0D68"/>
    <w:rsid w:val="007B251D"/>
    <w:rsid w:val="007B3533"/>
    <w:rsid w:val="007B4F58"/>
    <w:rsid w:val="007B528D"/>
    <w:rsid w:val="007B63CA"/>
    <w:rsid w:val="007B77D1"/>
    <w:rsid w:val="007C07C7"/>
    <w:rsid w:val="007C1025"/>
    <w:rsid w:val="007C1CD9"/>
    <w:rsid w:val="007C32EF"/>
    <w:rsid w:val="007C361D"/>
    <w:rsid w:val="007C4B84"/>
    <w:rsid w:val="007C70FF"/>
    <w:rsid w:val="007C7C25"/>
    <w:rsid w:val="007D004F"/>
    <w:rsid w:val="007D035F"/>
    <w:rsid w:val="007D06B2"/>
    <w:rsid w:val="007D0B38"/>
    <w:rsid w:val="007D5440"/>
    <w:rsid w:val="007D69EB"/>
    <w:rsid w:val="007E128F"/>
    <w:rsid w:val="007E20FB"/>
    <w:rsid w:val="007E38D4"/>
    <w:rsid w:val="007E4A08"/>
    <w:rsid w:val="007F0FE2"/>
    <w:rsid w:val="007F1017"/>
    <w:rsid w:val="007F4A3F"/>
    <w:rsid w:val="007F4A61"/>
    <w:rsid w:val="007F5255"/>
    <w:rsid w:val="007F56CC"/>
    <w:rsid w:val="007F61C2"/>
    <w:rsid w:val="00804DFC"/>
    <w:rsid w:val="00805142"/>
    <w:rsid w:val="00805FCE"/>
    <w:rsid w:val="00807A8B"/>
    <w:rsid w:val="00811383"/>
    <w:rsid w:val="00812149"/>
    <w:rsid w:val="00812CAC"/>
    <w:rsid w:val="00814D88"/>
    <w:rsid w:val="00816361"/>
    <w:rsid w:val="008166EF"/>
    <w:rsid w:val="00816FEF"/>
    <w:rsid w:val="00817E9E"/>
    <w:rsid w:val="00820A8C"/>
    <w:rsid w:val="008215FB"/>
    <w:rsid w:val="008220CC"/>
    <w:rsid w:val="00823174"/>
    <w:rsid w:val="00825751"/>
    <w:rsid w:val="008264EB"/>
    <w:rsid w:val="008268CE"/>
    <w:rsid w:val="008271B3"/>
    <w:rsid w:val="00827705"/>
    <w:rsid w:val="008279A8"/>
    <w:rsid w:val="00827C23"/>
    <w:rsid w:val="00830C9D"/>
    <w:rsid w:val="00831DBA"/>
    <w:rsid w:val="00833B05"/>
    <w:rsid w:val="00833DB7"/>
    <w:rsid w:val="00834982"/>
    <w:rsid w:val="008362B4"/>
    <w:rsid w:val="00836BDC"/>
    <w:rsid w:val="00840CA2"/>
    <w:rsid w:val="0084374F"/>
    <w:rsid w:val="00844A22"/>
    <w:rsid w:val="00847703"/>
    <w:rsid w:val="00847DF5"/>
    <w:rsid w:val="008500DF"/>
    <w:rsid w:val="00851185"/>
    <w:rsid w:val="008527DE"/>
    <w:rsid w:val="008527F8"/>
    <w:rsid w:val="0085309D"/>
    <w:rsid w:val="0085460D"/>
    <w:rsid w:val="00856897"/>
    <w:rsid w:val="00856E9A"/>
    <w:rsid w:val="0086075D"/>
    <w:rsid w:val="00862502"/>
    <w:rsid w:val="00862CC1"/>
    <w:rsid w:val="008642A7"/>
    <w:rsid w:val="00865208"/>
    <w:rsid w:val="00865E91"/>
    <w:rsid w:val="008660D4"/>
    <w:rsid w:val="00870B79"/>
    <w:rsid w:val="00871FA9"/>
    <w:rsid w:val="008728E9"/>
    <w:rsid w:val="00882699"/>
    <w:rsid w:val="00882874"/>
    <w:rsid w:val="00882E3C"/>
    <w:rsid w:val="0088308A"/>
    <w:rsid w:val="00883787"/>
    <w:rsid w:val="008855E4"/>
    <w:rsid w:val="00886CD2"/>
    <w:rsid w:val="00890A14"/>
    <w:rsid w:val="00891E6F"/>
    <w:rsid w:val="00891FF4"/>
    <w:rsid w:val="0089275D"/>
    <w:rsid w:val="00892A36"/>
    <w:rsid w:val="00893239"/>
    <w:rsid w:val="00894489"/>
    <w:rsid w:val="00894CD6"/>
    <w:rsid w:val="008963A5"/>
    <w:rsid w:val="00896D5D"/>
    <w:rsid w:val="00897001"/>
    <w:rsid w:val="008A3158"/>
    <w:rsid w:val="008A3363"/>
    <w:rsid w:val="008A3371"/>
    <w:rsid w:val="008A3C3E"/>
    <w:rsid w:val="008A79DE"/>
    <w:rsid w:val="008B1757"/>
    <w:rsid w:val="008B1C33"/>
    <w:rsid w:val="008B4B6F"/>
    <w:rsid w:val="008B65B0"/>
    <w:rsid w:val="008B7565"/>
    <w:rsid w:val="008B7606"/>
    <w:rsid w:val="008B7992"/>
    <w:rsid w:val="008B7D7E"/>
    <w:rsid w:val="008C5610"/>
    <w:rsid w:val="008C5739"/>
    <w:rsid w:val="008C7282"/>
    <w:rsid w:val="008C7ECB"/>
    <w:rsid w:val="008D1F47"/>
    <w:rsid w:val="008D29E8"/>
    <w:rsid w:val="008D3B86"/>
    <w:rsid w:val="008D4063"/>
    <w:rsid w:val="008D43FD"/>
    <w:rsid w:val="008D4755"/>
    <w:rsid w:val="008D4C3D"/>
    <w:rsid w:val="008D743C"/>
    <w:rsid w:val="008E0D3C"/>
    <w:rsid w:val="008E1B9E"/>
    <w:rsid w:val="008E3F21"/>
    <w:rsid w:val="008E55AB"/>
    <w:rsid w:val="008F120A"/>
    <w:rsid w:val="008F162E"/>
    <w:rsid w:val="008F27E0"/>
    <w:rsid w:val="008F3F4F"/>
    <w:rsid w:val="008F48EB"/>
    <w:rsid w:val="008F4F0B"/>
    <w:rsid w:val="008F6003"/>
    <w:rsid w:val="008F6CE4"/>
    <w:rsid w:val="009046C4"/>
    <w:rsid w:val="009062A5"/>
    <w:rsid w:val="00907699"/>
    <w:rsid w:val="0090783D"/>
    <w:rsid w:val="00910FA7"/>
    <w:rsid w:val="00911272"/>
    <w:rsid w:val="00911339"/>
    <w:rsid w:val="00912766"/>
    <w:rsid w:val="009135D6"/>
    <w:rsid w:val="00914C77"/>
    <w:rsid w:val="00921ACB"/>
    <w:rsid w:val="0092369B"/>
    <w:rsid w:val="00934988"/>
    <w:rsid w:val="00935388"/>
    <w:rsid w:val="00936CC1"/>
    <w:rsid w:val="00937089"/>
    <w:rsid w:val="00942C23"/>
    <w:rsid w:val="00944F8A"/>
    <w:rsid w:val="009510A2"/>
    <w:rsid w:val="00953257"/>
    <w:rsid w:val="00953425"/>
    <w:rsid w:val="0095474C"/>
    <w:rsid w:val="00954928"/>
    <w:rsid w:val="00957D92"/>
    <w:rsid w:val="00962CB9"/>
    <w:rsid w:val="00964312"/>
    <w:rsid w:val="00965B8A"/>
    <w:rsid w:val="0096717D"/>
    <w:rsid w:val="0097071F"/>
    <w:rsid w:val="009712FB"/>
    <w:rsid w:val="009713E2"/>
    <w:rsid w:val="009717AC"/>
    <w:rsid w:val="009751C1"/>
    <w:rsid w:val="009811F1"/>
    <w:rsid w:val="00983E57"/>
    <w:rsid w:val="00985DE2"/>
    <w:rsid w:val="0098675D"/>
    <w:rsid w:val="00987BA4"/>
    <w:rsid w:val="009926E0"/>
    <w:rsid w:val="0099451E"/>
    <w:rsid w:val="00995D2F"/>
    <w:rsid w:val="00996B1A"/>
    <w:rsid w:val="009A18F6"/>
    <w:rsid w:val="009A2DCC"/>
    <w:rsid w:val="009A5ABC"/>
    <w:rsid w:val="009A7F10"/>
    <w:rsid w:val="009B3E26"/>
    <w:rsid w:val="009B4233"/>
    <w:rsid w:val="009B4DB9"/>
    <w:rsid w:val="009C1271"/>
    <w:rsid w:val="009C3706"/>
    <w:rsid w:val="009C3A3A"/>
    <w:rsid w:val="009C5532"/>
    <w:rsid w:val="009C6CEA"/>
    <w:rsid w:val="009C780B"/>
    <w:rsid w:val="009C7B85"/>
    <w:rsid w:val="009D0254"/>
    <w:rsid w:val="009D0A21"/>
    <w:rsid w:val="009D1A64"/>
    <w:rsid w:val="009D5B91"/>
    <w:rsid w:val="009D792E"/>
    <w:rsid w:val="009E0DFE"/>
    <w:rsid w:val="009E31F6"/>
    <w:rsid w:val="009E4C07"/>
    <w:rsid w:val="009E4F60"/>
    <w:rsid w:val="009E777F"/>
    <w:rsid w:val="009F6120"/>
    <w:rsid w:val="00A00D76"/>
    <w:rsid w:val="00A01184"/>
    <w:rsid w:val="00A01449"/>
    <w:rsid w:val="00A037C2"/>
    <w:rsid w:val="00A03D43"/>
    <w:rsid w:val="00A04380"/>
    <w:rsid w:val="00A04786"/>
    <w:rsid w:val="00A05472"/>
    <w:rsid w:val="00A05C32"/>
    <w:rsid w:val="00A0653F"/>
    <w:rsid w:val="00A10D6F"/>
    <w:rsid w:val="00A11CD0"/>
    <w:rsid w:val="00A13948"/>
    <w:rsid w:val="00A14B76"/>
    <w:rsid w:val="00A1555B"/>
    <w:rsid w:val="00A155C5"/>
    <w:rsid w:val="00A16AD8"/>
    <w:rsid w:val="00A2021E"/>
    <w:rsid w:val="00A21418"/>
    <w:rsid w:val="00A21488"/>
    <w:rsid w:val="00A21C95"/>
    <w:rsid w:val="00A21CF3"/>
    <w:rsid w:val="00A24813"/>
    <w:rsid w:val="00A27AEC"/>
    <w:rsid w:val="00A320DB"/>
    <w:rsid w:val="00A35522"/>
    <w:rsid w:val="00A35D16"/>
    <w:rsid w:val="00A37686"/>
    <w:rsid w:val="00A37BCD"/>
    <w:rsid w:val="00A41689"/>
    <w:rsid w:val="00A42592"/>
    <w:rsid w:val="00A426C8"/>
    <w:rsid w:val="00A43C59"/>
    <w:rsid w:val="00A50ECD"/>
    <w:rsid w:val="00A518F3"/>
    <w:rsid w:val="00A52729"/>
    <w:rsid w:val="00A53675"/>
    <w:rsid w:val="00A554A4"/>
    <w:rsid w:val="00A564D7"/>
    <w:rsid w:val="00A56B6A"/>
    <w:rsid w:val="00A578DC"/>
    <w:rsid w:val="00A60A7B"/>
    <w:rsid w:val="00A640E2"/>
    <w:rsid w:val="00A64D65"/>
    <w:rsid w:val="00A6725B"/>
    <w:rsid w:val="00A70605"/>
    <w:rsid w:val="00A71544"/>
    <w:rsid w:val="00A73134"/>
    <w:rsid w:val="00A7365A"/>
    <w:rsid w:val="00A75637"/>
    <w:rsid w:val="00A7570C"/>
    <w:rsid w:val="00A76001"/>
    <w:rsid w:val="00A777B2"/>
    <w:rsid w:val="00A825D4"/>
    <w:rsid w:val="00A828F6"/>
    <w:rsid w:val="00A82B73"/>
    <w:rsid w:val="00A86E8B"/>
    <w:rsid w:val="00A87164"/>
    <w:rsid w:val="00A90829"/>
    <w:rsid w:val="00A93072"/>
    <w:rsid w:val="00A938BD"/>
    <w:rsid w:val="00A93953"/>
    <w:rsid w:val="00A959D8"/>
    <w:rsid w:val="00AA113D"/>
    <w:rsid w:val="00AA592F"/>
    <w:rsid w:val="00AA6BD5"/>
    <w:rsid w:val="00AA6BD8"/>
    <w:rsid w:val="00AA6C7D"/>
    <w:rsid w:val="00AA7FD6"/>
    <w:rsid w:val="00AB042A"/>
    <w:rsid w:val="00AB11AD"/>
    <w:rsid w:val="00AB19EF"/>
    <w:rsid w:val="00AB1EAD"/>
    <w:rsid w:val="00AB2495"/>
    <w:rsid w:val="00AB2D34"/>
    <w:rsid w:val="00AB3430"/>
    <w:rsid w:val="00AB37B9"/>
    <w:rsid w:val="00AB3894"/>
    <w:rsid w:val="00AB4AD1"/>
    <w:rsid w:val="00AB58F1"/>
    <w:rsid w:val="00AB5E07"/>
    <w:rsid w:val="00AB7CFA"/>
    <w:rsid w:val="00AC5B42"/>
    <w:rsid w:val="00AC5B48"/>
    <w:rsid w:val="00AD1450"/>
    <w:rsid w:val="00AD15E8"/>
    <w:rsid w:val="00AD2AD5"/>
    <w:rsid w:val="00AD356D"/>
    <w:rsid w:val="00AD4D4B"/>
    <w:rsid w:val="00AD6502"/>
    <w:rsid w:val="00AE0695"/>
    <w:rsid w:val="00AE077E"/>
    <w:rsid w:val="00AE3E7E"/>
    <w:rsid w:val="00AE768E"/>
    <w:rsid w:val="00AE7E53"/>
    <w:rsid w:val="00AF0AF4"/>
    <w:rsid w:val="00AF1315"/>
    <w:rsid w:val="00AF19BF"/>
    <w:rsid w:val="00AF2DC3"/>
    <w:rsid w:val="00AF4119"/>
    <w:rsid w:val="00B00FEA"/>
    <w:rsid w:val="00B033E5"/>
    <w:rsid w:val="00B03A63"/>
    <w:rsid w:val="00B100A5"/>
    <w:rsid w:val="00B129A4"/>
    <w:rsid w:val="00B201A4"/>
    <w:rsid w:val="00B201D1"/>
    <w:rsid w:val="00B213A6"/>
    <w:rsid w:val="00B231CB"/>
    <w:rsid w:val="00B235B0"/>
    <w:rsid w:val="00B24743"/>
    <w:rsid w:val="00B24DF6"/>
    <w:rsid w:val="00B27A61"/>
    <w:rsid w:val="00B30E4C"/>
    <w:rsid w:val="00B32D63"/>
    <w:rsid w:val="00B34FE2"/>
    <w:rsid w:val="00B35166"/>
    <w:rsid w:val="00B357D8"/>
    <w:rsid w:val="00B360F4"/>
    <w:rsid w:val="00B36A00"/>
    <w:rsid w:val="00B3792B"/>
    <w:rsid w:val="00B37BFC"/>
    <w:rsid w:val="00B40358"/>
    <w:rsid w:val="00B41026"/>
    <w:rsid w:val="00B41614"/>
    <w:rsid w:val="00B4260B"/>
    <w:rsid w:val="00B42851"/>
    <w:rsid w:val="00B42F80"/>
    <w:rsid w:val="00B435CB"/>
    <w:rsid w:val="00B43E8D"/>
    <w:rsid w:val="00B465EC"/>
    <w:rsid w:val="00B474B9"/>
    <w:rsid w:val="00B505C8"/>
    <w:rsid w:val="00B50DB8"/>
    <w:rsid w:val="00B53654"/>
    <w:rsid w:val="00B53905"/>
    <w:rsid w:val="00B546DB"/>
    <w:rsid w:val="00B54B5B"/>
    <w:rsid w:val="00B5562E"/>
    <w:rsid w:val="00B55862"/>
    <w:rsid w:val="00B55D65"/>
    <w:rsid w:val="00B56305"/>
    <w:rsid w:val="00B57000"/>
    <w:rsid w:val="00B60939"/>
    <w:rsid w:val="00B60AFD"/>
    <w:rsid w:val="00B62715"/>
    <w:rsid w:val="00B62EF1"/>
    <w:rsid w:val="00B643C4"/>
    <w:rsid w:val="00B65611"/>
    <w:rsid w:val="00B6688F"/>
    <w:rsid w:val="00B676F6"/>
    <w:rsid w:val="00B70E8E"/>
    <w:rsid w:val="00B73C05"/>
    <w:rsid w:val="00B73C19"/>
    <w:rsid w:val="00B7498C"/>
    <w:rsid w:val="00B76C92"/>
    <w:rsid w:val="00B80EFD"/>
    <w:rsid w:val="00B818A4"/>
    <w:rsid w:val="00B81921"/>
    <w:rsid w:val="00B83739"/>
    <w:rsid w:val="00B84117"/>
    <w:rsid w:val="00B858F0"/>
    <w:rsid w:val="00B85AA2"/>
    <w:rsid w:val="00B8649C"/>
    <w:rsid w:val="00B8695D"/>
    <w:rsid w:val="00B87F0A"/>
    <w:rsid w:val="00B90BCC"/>
    <w:rsid w:val="00B91AD8"/>
    <w:rsid w:val="00B92D0B"/>
    <w:rsid w:val="00B93AE0"/>
    <w:rsid w:val="00B94945"/>
    <w:rsid w:val="00B94DD6"/>
    <w:rsid w:val="00B9725C"/>
    <w:rsid w:val="00BA322D"/>
    <w:rsid w:val="00BA3DCD"/>
    <w:rsid w:val="00BA63FA"/>
    <w:rsid w:val="00BB00B3"/>
    <w:rsid w:val="00BB0BDD"/>
    <w:rsid w:val="00BB176C"/>
    <w:rsid w:val="00BB2A73"/>
    <w:rsid w:val="00BB3A45"/>
    <w:rsid w:val="00BB4ACC"/>
    <w:rsid w:val="00BB692F"/>
    <w:rsid w:val="00BB6E1E"/>
    <w:rsid w:val="00BB703E"/>
    <w:rsid w:val="00BB732D"/>
    <w:rsid w:val="00BB7405"/>
    <w:rsid w:val="00BC34D5"/>
    <w:rsid w:val="00BC3631"/>
    <w:rsid w:val="00BC3E6F"/>
    <w:rsid w:val="00BC4DBB"/>
    <w:rsid w:val="00BC591F"/>
    <w:rsid w:val="00BC6190"/>
    <w:rsid w:val="00BC7B08"/>
    <w:rsid w:val="00BC7D6D"/>
    <w:rsid w:val="00BD2108"/>
    <w:rsid w:val="00BD4166"/>
    <w:rsid w:val="00BD68A3"/>
    <w:rsid w:val="00BD6938"/>
    <w:rsid w:val="00BD6CF3"/>
    <w:rsid w:val="00BD7F72"/>
    <w:rsid w:val="00BE0ECA"/>
    <w:rsid w:val="00BE2180"/>
    <w:rsid w:val="00BE21F2"/>
    <w:rsid w:val="00BE248F"/>
    <w:rsid w:val="00BE4275"/>
    <w:rsid w:val="00BF06AE"/>
    <w:rsid w:val="00BF0E84"/>
    <w:rsid w:val="00BF0F95"/>
    <w:rsid w:val="00BF2433"/>
    <w:rsid w:val="00BF257A"/>
    <w:rsid w:val="00BF2BCD"/>
    <w:rsid w:val="00BF2E6E"/>
    <w:rsid w:val="00BF61C9"/>
    <w:rsid w:val="00BF6C94"/>
    <w:rsid w:val="00C00424"/>
    <w:rsid w:val="00C00BB0"/>
    <w:rsid w:val="00C01DA5"/>
    <w:rsid w:val="00C1179F"/>
    <w:rsid w:val="00C127B9"/>
    <w:rsid w:val="00C128FA"/>
    <w:rsid w:val="00C12C14"/>
    <w:rsid w:val="00C15F04"/>
    <w:rsid w:val="00C179B3"/>
    <w:rsid w:val="00C17E3F"/>
    <w:rsid w:val="00C200AA"/>
    <w:rsid w:val="00C211A3"/>
    <w:rsid w:val="00C22B29"/>
    <w:rsid w:val="00C237ED"/>
    <w:rsid w:val="00C24632"/>
    <w:rsid w:val="00C25418"/>
    <w:rsid w:val="00C25D9C"/>
    <w:rsid w:val="00C2778B"/>
    <w:rsid w:val="00C27A41"/>
    <w:rsid w:val="00C31649"/>
    <w:rsid w:val="00C32C7D"/>
    <w:rsid w:val="00C3434C"/>
    <w:rsid w:val="00C40385"/>
    <w:rsid w:val="00C41768"/>
    <w:rsid w:val="00C47020"/>
    <w:rsid w:val="00C475AA"/>
    <w:rsid w:val="00C47C83"/>
    <w:rsid w:val="00C508C0"/>
    <w:rsid w:val="00C527C7"/>
    <w:rsid w:val="00C53C98"/>
    <w:rsid w:val="00C56FCF"/>
    <w:rsid w:val="00C57B6C"/>
    <w:rsid w:val="00C61A59"/>
    <w:rsid w:val="00C628A6"/>
    <w:rsid w:val="00C64248"/>
    <w:rsid w:val="00C64344"/>
    <w:rsid w:val="00C65108"/>
    <w:rsid w:val="00C65576"/>
    <w:rsid w:val="00C66165"/>
    <w:rsid w:val="00C66DEB"/>
    <w:rsid w:val="00C7060A"/>
    <w:rsid w:val="00C7151A"/>
    <w:rsid w:val="00C717E3"/>
    <w:rsid w:val="00C71F60"/>
    <w:rsid w:val="00C72241"/>
    <w:rsid w:val="00C750C8"/>
    <w:rsid w:val="00C7560F"/>
    <w:rsid w:val="00C80A0E"/>
    <w:rsid w:val="00C82125"/>
    <w:rsid w:val="00C8213F"/>
    <w:rsid w:val="00C8303F"/>
    <w:rsid w:val="00C85154"/>
    <w:rsid w:val="00C85A70"/>
    <w:rsid w:val="00C8711C"/>
    <w:rsid w:val="00C8797A"/>
    <w:rsid w:val="00C900B8"/>
    <w:rsid w:val="00C90197"/>
    <w:rsid w:val="00C90C71"/>
    <w:rsid w:val="00C91FD1"/>
    <w:rsid w:val="00C931CF"/>
    <w:rsid w:val="00C938CF"/>
    <w:rsid w:val="00C94053"/>
    <w:rsid w:val="00C9624D"/>
    <w:rsid w:val="00C969DA"/>
    <w:rsid w:val="00CA2C77"/>
    <w:rsid w:val="00CA444F"/>
    <w:rsid w:val="00CA5245"/>
    <w:rsid w:val="00CA71F4"/>
    <w:rsid w:val="00CA7B09"/>
    <w:rsid w:val="00CB12A5"/>
    <w:rsid w:val="00CB1CAC"/>
    <w:rsid w:val="00CB2F2A"/>
    <w:rsid w:val="00CB3EA0"/>
    <w:rsid w:val="00CB5B1A"/>
    <w:rsid w:val="00CB6B22"/>
    <w:rsid w:val="00CB7F5F"/>
    <w:rsid w:val="00CC1B39"/>
    <w:rsid w:val="00CC1BFA"/>
    <w:rsid w:val="00CC2066"/>
    <w:rsid w:val="00CC2E9F"/>
    <w:rsid w:val="00CC35EA"/>
    <w:rsid w:val="00CC3848"/>
    <w:rsid w:val="00CC6D5E"/>
    <w:rsid w:val="00CD0200"/>
    <w:rsid w:val="00CD3F77"/>
    <w:rsid w:val="00CD6567"/>
    <w:rsid w:val="00CD6ADC"/>
    <w:rsid w:val="00CD7193"/>
    <w:rsid w:val="00CE32A1"/>
    <w:rsid w:val="00CE38C8"/>
    <w:rsid w:val="00CE524F"/>
    <w:rsid w:val="00CE58CC"/>
    <w:rsid w:val="00CE6274"/>
    <w:rsid w:val="00CE656B"/>
    <w:rsid w:val="00CE77B6"/>
    <w:rsid w:val="00CF2B8D"/>
    <w:rsid w:val="00CF3A1B"/>
    <w:rsid w:val="00CF456B"/>
    <w:rsid w:val="00CF5176"/>
    <w:rsid w:val="00CF5A22"/>
    <w:rsid w:val="00D011CD"/>
    <w:rsid w:val="00D0262E"/>
    <w:rsid w:val="00D03679"/>
    <w:rsid w:val="00D05E3D"/>
    <w:rsid w:val="00D06139"/>
    <w:rsid w:val="00D10008"/>
    <w:rsid w:val="00D107E4"/>
    <w:rsid w:val="00D110BD"/>
    <w:rsid w:val="00D13675"/>
    <w:rsid w:val="00D141E1"/>
    <w:rsid w:val="00D14CB0"/>
    <w:rsid w:val="00D15314"/>
    <w:rsid w:val="00D15B48"/>
    <w:rsid w:val="00D17D6C"/>
    <w:rsid w:val="00D21120"/>
    <w:rsid w:val="00D2155B"/>
    <w:rsid w:val="00D21AC7"/>
    <w:rsid w:val="00D23D11"/>
    <w:rsid w:val="00D244B6"/>
    <w:rsid w:val="00D26A69"/>
    <w:rsid w:val="00D26F79"/>
    <w:rsid w:val="00D2754D"/>
    <w:rsid w:val="00D27588"/>
    <w:rsid w:val="00D27B27"/>
    <w:rsid w:val="00D3015F"/>
    <w:rsid w:val="00D30D5B"/>
    <w:rsid w:val="00D33BE9"/>
    <w:rsid w:val="00D33F93"/>
    <w:rsid w:val="00D357FF"/>
    <w:rsid w:val="00D40218"/>
    <w:rsid w:val="00D424C7"/>
    <w:rsid w:val="00D43B2A"/>
    <w:rsid w:val="00D43CF1"/>
    <w:rsid w:val="00D43D83"/>
    <w:rsid w:val="00D451A7"/>
    <w:rsid w:val="00D47575"/>
    <w:rsid w:val="00D5243B"/>
    <w:rsid w:val="00D533EC"/>
    <w:rsid w:val="00D56A95"/>
    <w:rsid w:val="00D6076E"/>
    <w:rsid w:val="00D677F3"/>
    <w:rsid w:val="00D70F16"/>
    <w:rsid w:val="00D72617"/>
    <w:rsid w:val="00D72F57"/>
    <w:rsid w:val="00D737CA"/>
    <w:rsid w:val="00D76A44"/>
    <w:rsid w:val="00D80B85"/>
    <w:rsid w:val="00D80F6A"/>
    <w:rsid w:val="00D815EF"/>
    <w:rsid w:val="00D81949"/>
    <w:rsid w:val="00D81F26"/>
    <w:rsid w:val="00D822E2"/>
    <w:rsid w:val="00D843F2"/>
    <w:rsid w:val="00D86231"/>
    <w:rsid w:val="00D912AB"/>
    <w:rsid w:val="00D91923"/>
    <w:rsid w:val="00D92DEC"/>
    <w:rsid w:val="00D93753"/>
    <w:rsid w:val="00D93F0C"/>
    <w:rsid w:val="00D94CF5"/>
    <w:rsid w:val="00D94E16"/>
    <w:rsid w:val="00D97C41"/>
    <w:rsid w:val="00DA3167"/>
    <w:rsid w:val="00DA4DC3"/>
    <w:rsid w:val="00DA6346"/>
    <w:rsid w:val="00DA77A5"/>
    <w:rsid w:val="00DB0E36"/>
    <w:rsid w:val="00DB3DBF"/>
    <w:rsid w:val="00DB484F"/>
    <w:rsid w:val="00DB6CB2"/>
    <w:rsid w:val="00DC04F6"/>
    <w:rsid w:val="00DC0690"/>
    <w:rsid w:val="00DC1D65"/>
    <w:rsid w:val="00DC3C57"/>
    <w:rsid w:val="00DC4A56"/>
    <w:rsid w:val="00DC5501"/>
    <w:rsid w:val="00DC5952"/>
    <w:rsid w:val="00DC5DE4"/>
    <w:rsid w:val="00DC7154"/>
    <w:rsid w:val="00DC7E8A"/>
    <w:rsid w:val="00DD0F78"/>
    <w:rsid w:val="00DD273C"/>
    <w:rsid w:val="00DD3190"/>
    <w:rsid w:val="00DD3F28"/>
    <w:rsid w:val="00DD4446"/>
    <w:rsid w:val="00DD4537"/>
    <w:rsid w:val="00DD4E15"/>
    <w:rsid w:val="00DD57ED"/>
    <w:rsid w:val="00DE2304"/>
    <w:rsid w:val="00DE3138"/>
    <w:rsid w:val="00DE37F8"/>
    <w:rsid w:val="00DE4273"/>
    <w:rsid w:val="00DE4FCB"/>
    <w:rsid w:val="00DE5D07"/>
    <w:rsid w:val="00DE72A7"/>
    <w:rsid w:val="00DE76E4"/>
    <w:rsid w:val="00DE7832"/>
    <w:rsid w:val="00DF18FC"/>
    <w:rsid w:val="00DF32EF"/>
    <w:rsid w:val="00DF386A"/>
    <w:rsid w:val="00DF5D2B"/>
    <w:rsid w:val="00DF6341"/>
    <w:rsid w:val="00DF6726"/>
    <w:rsid w:val="00E000C3"/>
    <w:rsid w:val="00E00E8E"/>
    <w:rsid w:val="00E0211F"/>
    <w:rsid w:val="00E0230F"/>
    <w:rsid w:val="00E05630"/>
    <w:rsid w:val="00E0690D"/>
    <w:rsid w:val="00E06DBB"/>
    <w:rsid w:val="00E10149"/>
    <w:rsid w:val="00E11340"/>
    <w:rsid w:val="00E122A1"/>
    <w:rsid w:val="00E14AC2"/>
    <w:rsid w:val="00E16372"/>
    <w:rsid w:val="00E16AD8"/>
    <w:rsid w:val="00E17FFA"/>
    <w:rsid w:val="00E20E4D"/>
    <w:rsid w:val="00E20ED6"/>
    <w:rsid w:val="00E21358"/>
    <w:rsid w:val="00E21657"/>
    <w:rsid w:val="00E2249B"/>
    <w:rsid w:val="00E22A0D"/>
    <w:rsid w:val="00E24379"/>
    <w:rsid w:val="00E244F6"/>
    <w:rsid w:val="00E24E69"/>
    <w:rsid w:val="00E258DB"/>
    <w:rsid w:val="00E2771E"/>
    <w:rsid w:val="00E311EF"/>
    <w:rsid w:val="00E32180"/>
    <w:rsid w:val="00E34948"/>
    <w:rsid w:val="00E37283"/>
    <w:rsid w:val="00E37569"/>
    <w:rsid w:val="00E37783"/>
    <w:rsid w:val="00E401B2"/>
    <w:rsid w:val="00E41E30"/>
    <w:rsid w:val="00E42F73"/>
    <w:rsid w:val="00E43920"/>
    <w:rsid w:val="00E43D70"/>
    <w:rsid w:val="00E466F3"/>
    <w:rsid w:val="00E47B2C"/>
    <w:rsid w:val="00E51560"/>
    <w:rsid w:val="00E51821"/>
    <w:rsid w:val="00E53030"/>
    <w:rsid w:val="00E53FC8"/>
    <w:rsid w:val="00E54347"/>
    <w:rsid w:val="00E55424"/>
    <w:rsid w:val="00E55915"/>
    <w:rsid w:val="00E55BB5"/>
    <w:rsid w:val="00E55F5C"/>
    <w:rsid w:val="00E611DF"/>
    <w:rsid w:val="00E65E79"/>
    <w:rsid w:val="00E66BA2"/>
    <w:rsid w:val="00E67416"/>
    <w:rsid w:val="00E718B6"/>
    <w:rsid w:val="00E723BA"/>
    <w:rsid w:val="00E725DF"/>
    <w:rsid w:val="00E73581"/>
    <w:rsid w:val="00E7593C"/>
    <w:rsid w:val="00E76D03"/>
    <w:rsid w:val="00E833F7"/>
    <w:rsid w:val="00E83BDF"/>
    <w:rsid w:val="00E83D2B"/>
    <w:rsid w:val="00E86FCC"/>
    <w:rsid w:val="00E87A1D"/>
    <w:rsid w:val="00E90390"/>
    <w:rsid w:val="00E9094A"/>
    <w:rsid w:val="00E9175B"/>
    <w:rsid w:val="00E91D35"/>
    <w:rsid w:val="00E92316"/>
    <w:rsid w:val="00E926A5"/>
    <w:rsid w:val="00E962CC"/>
    <w:rsid w:val="00EA16CE"/>
    <w:rsid w:val="00EA17C3"/>
    <w:rsid w:val="00EA22A2"/>
    <w:rsid w:val="00EA2CAA"/>
    <w:rsid w:val="00EA3864"/>
    <w:rsid w:val="00EA7F1C"/>
    <w:rsid w:val="00EB15B6"/>
    <w:rsid w:val="00EB254E"/>
    <w:rsid w:val="00EB3D06"/>
    <w:rsid w:val="00EB46E5"/>
    <w:rsid w:val="00EB4916"/>
    <w:rsid w:val="00EC00C9"/>
    <w:rsid w:val="00EC0DD9"/>
    <w:rsid w:val="00EC1855"/>
    <w:rsid w:val="00EC2649"/>
    <w:rsid w:val="00EC31ED"/>
    <w:rsid w:val="00EC5836"/>
    <w:rsid w:val="00EC688C"/>
    <w:rsid w:val="00ED0795"/>
    <w:rsid w:val="00ED12E3"/>
    <w:rsid w:val="00ED4486"/>
    <w:rsid w:val="00ED4B04"/>
    <w:rsid w:val="00ED57EA"/>
    <w:rsid w:val="00ED5BD4"/>
    <w:rsid w:val="00EE0095"/>
    <w:rsid w:val="00EE07D3"/>
    <w:rsid w:val="00EE1996"/>
    <w:rsid w:val="00EE1C01"/>
    <w:rsid w:val="00EE22AF"/>
    <w:rsid w:val="00EF0171"/>
    <w:rsid w:val="00EF1B25"/>
    <w:rsid w:val="00EF1DA0"/>
    <w:rsid w:val="00EF27EE"/>
    <w:rsid w:val="00EF4747"/>
    <w:rsid w:val="00EF4BF8"/>
    <w:rsid w:val="00EF6B11"/>
    <w:rsid w:val="00EF7EB9"/>
    <w:rsid w:val="00F015D7"/>
    <w:rsid w:val="00F02253"/>
    <w:rsid w:val="00F03C2E"/>
    <w:rsid w:val="00F04A66"/>
    <w:rsid w:val="00F04B4B"/>
    <w:rsid w:val="00F0516C"/>
    <w:rsid w:val="00F067A2"/>
    <w:rsid w:val="00F07B9E"/>
    <w:rsid w:val="00F10BC6"/>
    <w:rsid w:val="00F1116F"/>
    <w:rsid w:val="00F1263A"/>
    <w:rsid w:val="00F139C5"/>
    <w:rsid w:val="00F14D29"/>
    <w:rsid w:val="00F15B77"/>
    <w:rsid w:val="00F17613"/>
    <w:rsid w:val="00F20C89"/>
    <w:rsid w:val="00F21236"/>
    <w:rsid w:val="00F23A7A"/>
    <w:rsid w:val="00F24837"/>
    <w:rsid w:val="00F25574"/>
    <w:rsid w:val="00F2575F"/>
    <w:rsid w:val="00F27565"/>
    <w:rsid w:val="00F310D4"/>
    <w:rsid w:val="00F31D5A"/>
    <w:rsid w:val="00F32640"/>
    <w:rsid w:val="00F33975"/>
    <w:rsid w:val="00F33DE9"/>
    <w:rsid w:val="00F35065"/>
    <w:rsid w:val="00F35E6D"/>
    <w:rsid w:val="00F35EF4"/>
    <w:rsid w:val="00F3619A"/>
    <w:rsid w:val="00F40AAA"/>
    <w:rsid w:val="00F40BA7"/>
    <w:rsid w:val="00F40F9D"/>
    <w:rsid w:val="00F41ACD"/>
    <w:rsid w:val="00F45F96"/>
    <w:rsid w:val="00F46CB6"/>
    <w:rsid w:val="00F4756D"/>
    <w:rsid w:val="00F47DE8"/>
    <w:rsid w:val="00F50F60"/>
    <w:rsid w:val="00F542C1"/>
    <w:rsid w:val="00F550E3"/>
    <w:rsid w:val="00F55B6A"/>
    <w:rsid w:val="00F55E73"/>
    <w:rsid w:val="00F55EDA"/>
    <w:rsid w:val="00F56C80"/>
    <w:rsid w:val="00F572A3"/>
    <w:rsid w:val="00F60092"/>
    <w:rsid w:val="00F613D6"/>
    <w:rsid w:val="00F61C18"/>
    <w:rsid w:val="00F64F07"/>
    <w:rsid w:val="00F6592B"/>
    <w:rsid w:val="00F65F4B"/>
    <w:rsid w:val="00F679E0"/>
    <w:rsid w:val="00F67A69"/>
    <w:rsid w:val="00F70BFF"/>
    <w:rsid w:val="00F70C9D"/>
    <w:rsid w:val="00F73443"/>
    <w:rsid w:val="00F73E08"/>
    <w:rsid w:val="00F74CD9"/>
    <w:rsid w:val="00F74F95"/>
    <w:rsid w:val="00F77D83"/>
    <w:rsid w:val="00F80A7B"/>
    <w:rsid w:val="00F80E5D"/>
    <w:rsid w:val="00F81E78"/>
    <w:rsid w:val="00F83916"/>
    <w:rsid w:val="00F851CE"/>
    <w:rsid w:val="00F91219"/>
    <w:rsid w:val="00F91F6B"/>
    <w:rsid w:val="00F92444"/>
    <w:rsid w:val="00F9393E"/>
    <w:rsid w:val="00F96FD0"/>
    <w:rsid w:val="00F97A78"/>
    <w:rsid w:val="00FA0B20"/>
    <w:rsid w:val="00FA24E7"/>
    <w:rsid w:val="00FA2588"/>
    <w:rsid w:val="00FA46E4"/>
    <w:rsid w:val="00FA4CDF"/>
    <w:rsid w:val="00FA5EE6"/>
    <w:rsid w:val="00FA7956"/>
    <w:rsid w:val="00FB0824"/>
    <w:rsid w:val="00FB2FCB"/>
    <w:rsid w:val="00FB4C9C"/>
    <w:rsid w:val="00FB6A7A"/>
    <w:rsid w:val="00FB791A"/>
    <w:rsid w:val="00FB7C55"/>
    <w:rsid w:val="00FC0228"/>
    <w:rsid w:val="00FC1074"/>
    <w:rsid w:val="00FC1884"/>
    <w:rsid w:val="00FC371D"/>
    <w:rsid w:val="00FC37F4"/>
    <w:rsid w:val="00FC5F0B"/>
    <w:rsid w:val="00FC7A40"/>
    <w:rsid w:val="00FD018D"/>
    <w:rsid w:val="00FD2100"/>
    <w:rsid w:val="00FD436C"/>
    <w:rsid w:val="00FD446D"/>
    <w:rsid w:val="00FD4F2C"/>
    <w:rsid w:val="00FD6394"/>
    <w:rsid w:val="00FE0E6C"/>
    <w:rsid w:val="00FE1CDC"/>
    <w:rsid w:val="00FE6CBC"/>
    <w:rsid w:val="00FE70C3"/>
    <w:rsid w:val="00FE7366"/>
    <w:rsid w:val="00FF1A8B"/>
    <w:rsid w:val="00FF1D3C"/>
    <w:rsid w:val="00FF2AD9"/>
    <w:rsid w:val="00FF359F"/>
    <w:rsid w:val="00FF3DCF"/>
    <w:rsid w:val="00FF492C"/>
    <w:rsid w:val="00FF4A21"/>
    <w:rsid w:val="00FF5AA3"/>
    <w:rsid w:val="00FF5AD8"/>
    <w:rsid w:val="00FF79AC"/>
    <w:rsid w:val="590AA9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408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 1,Bullets Points,Styl moj,Akapit z listą1,Akapit z listą11,Table Legend,Bullet1,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1 Char,Bullets Points Char,Styl moj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PBAC table,new style,MSD Table Grid,RTI AMCP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620637"/>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A75637"/>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93E39"/>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93E39"/>
    <w:rPr>
      <w:rFonts w:ascii="Arial Narrow" w:hAnsi="Arial Narrow" w:cs="Arial"/>
      <w:snapToGrid w:val="0"/>
      <w:sz w:val="18"/>
      <w:szCs w:val="22"/>
    </w:rPr>
  </w:style>
  <w:style w:type="paragraph" w:styleId="FootnoteText">
    <w:name w:val="footnote text"/>
    <w:aliases w:val="Footnote Text Char1,Footnote Text Char Char,Footnote Text Char2,Footnote Text Char Char1"/>
    <w:basedOn w:val="Normal"/>
    <w:link w:val="FootnoteTextChar"/>
    <w:unhideWhenUsed/>
    <w:rsid w:val="007E20FB"/>
    <w:rPr>
      <w:rFonts w:ascii="Arial Narrow" w:hAnsi="Arial Narrow"/>
      <w:sz w:val="18"/>
      <w:szCs w:val="20"/>
    </w:rPr>
  </w:style>
  <w:style w:type="character" w:customStyle="1" w:styleId="FootnoteTextChar">
    <w:name w:val="Footnote Text Char"/>
    <w:aliases w:val="Footnote Text Char1 Char,Footnote Text Char Char Char,Footnote Text Char2 Char,Footnote Text Char Char1 Char"/>
    <w:basedOn w:val="DefaultParagraphFont"/>
    <w:link w:val="FootnoteText"/>
    <w:rsid w:val="007E20FB"/>
    <w:rPr>
      <w:rFonts w:ascii="Arial Narrow" w:hAnsi="Arial Narrow" w:cs="Arial"/>
      <w:sz w:val="18"/>
    </w:rPr>
  </w:style>
  <w:style w:type="character" w:styleId="FootnoteReference">
    <w:name w:val="footnote reference"/>
    <w:basedOn w:val="DefaultParagraphFont"/>
    <w:unhideWhenUsed/>
    <w:rsid w:val="007E20FB"/>
    <w:rPr>
      <w:vertAlign w:val="superscript"/>
    </w:rPr>
  </w:style>
  <w:style w:type="character" w:customStyle="1" w:styleId="UnresolvedMention1">
    <w:name w:val="Unresolved Mention1"/>
    <w:basedOn w:val="DefaultParagraphFont"/>
    <w:uiPriority w:val="99"/>
    <w:semiHidden/>
    <w:unhideWhenUsed/>
    <w:rsid w:val="007E20FB"/>
    <w:rPr>
      <w:color w:val="605E5C"/>
      <w:shd w:val="clear" w:color="auto" w:fill="E1DFDD"/>
    </w:rPr>
  </w:style>
  <w:style w:type="table" w:customStyle="1" w:styleId="ASDTable2">
    <w:name w:val="ASD Table2"/>
    <w:basedOn w:val="TableNormal"/>
    <w:next w:val="TableGrid"/>
    <w:uiPriority w:val="39"/>
    <w:rsid w:val="007E20F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0">
    <w:name w:val="Table Heading"/>
    <w:basedOn w:val="TableofFigures"/>
    <w:qFormat/>
    <w:rsid w:val="007E20FB"/>
    <w:pPr>
      <w:spacing w:line="259" w:lineRule="auto"/>
      <w:jc w:val="left"/>
    </w:pPr>
    <w:rPr>
      <w:rFonts w:ascii="Arial Narrow" w:eastAsiaTheme="minorEastAsia" w:hAnsi="Arial Narrow" w:cstheme="minorBidi"/>
      <w:b/>
      <w:sz w:val="20"/>
      <w:szCs w:val="22"/>
      <w:lang w:eastAsia="zh-CN"/>
    </w:rPr>
  </w:style>
  <w:style w:type="paragraph" w:styleId="TableofFigures">
    <w:name w:val="table of figures"/>
    <w:basedOn w:val="Normal"/>
    <w:next w:val="Normal"/>
    <w:semiHidden/>
    <w:unhideWhenUsed/>
    <w:rsid w:val="007E20FB"/>
  </w:style>
  <w:style w:type="character" w:customStyle="1" w:styleId="UnresolvedMention2">
    <w:name w:val="Unresolved Mention2"/>
    <w:basedOn w:val="DefaultParagraphFont"/>
    <w:uiPriority w:val="99"/>
    <w:semiHidden/>
    <w:unhideWhenUsed/>
    <w:rsid w:val="007E20FB"/>
    <w:rPr>
      <w:color w:val="605E5C"/>
      <w:shd w:val="clear" w:color="auto" w:fill="E1DFDD"/>
    </w:rPr>
  </w:style>
  <w:style w:type="character" w:customStyle="1" w:styleId="UnresolvedMention3">
    <w:name w:val="Unresolved Mention3"/>
    <w:basedOn w:val="DefaultParagraphFont"/>
    <w:uiPriority w:val="99"/>
    <w:semiHidden/>
    <w:unhideWhenUsed/>
    <w:rsid w:val="007E20FB"/>
    <w:rPr>
      <w:color w:val="605E5C"/>
      <w:shd w:val="clear" w:color="auto" w:fill="E1DFDD"/>
    </w:rPr>
  </w:style>
  <w:style w:type="paragraph" w:styleId="EndnoteText">
    <w:name w:val="endnote text"/>
    <w:basedOn w:val="Normal"/>
    <w:link w:val="EndnoteTextChar"/>
    <w:semiHidden/>
    <w:unhideWhenUsed/>
    <w:rsid w:val="00E000C3"/>
    <w:rPr>
      <w:sz w:val="20"/>
      <w:szCs w:val="20"/>
    </w:rPr>
  </w:style>
  <w:style w:type="character" w:customStyle="1" w:styleId="EndnoteTextChar">
    <w:name w:val="Endnote Text Char"/>
    <w:basedOn w:val="DefaultParagraphFont"/>
    <w:link w:val="EndnoteText"/>
    <w:semiHidden/>
    <w:rsid w:val="00E000C3"/>
    <w:rPr>
      <w:rFonts w:ascii="Calibri" w:hAnsi="Calibri" w:cs="Arial"/>
    </w:rPr>
  </w:style>
  <w:style w:type="character" w:styleId="EndnoteReference">
    <w:name w:val="endnote reference"/>
    <w:basedOn w:val="DefaultParagraphFont"/>
    <w:semiHidden/>
    <w:unhideWhenUsed/>
    <w:rsid w:val="00E000C3"/>
    <w:rPr>
      <w:vertAlign w:val="superscript"/>
    </w:rPr>
  </w:style>
  <w:style w:type="character" w:customStyle="1" w:styleId="cf01">
    <w:name w:val="cf01"/>
    <w:basedOn w:val="DefaultParagraphFont"/>
    <w:rsid w:val="00E000C3"/>
    <w:rPr>
      <w:rFonts w:ascii="Segoe UI" w:hAnsi="Segoe UI" w:cs="Segoe UI" w:hint="default"/>
      <w:color w:val="212121"/>
      <w:sz w:val="18"/>
      <w:szCs w:val="18"/>
    </w:rPr>
  </w:style>
  <w:style w:type="paragraph" w:customStyle="1" w:styleId="3-SubsectionHeading">
    <w:name w:val="3-Subsection Heading"/>
    <w:basedOn w:val="Heading2"/>
    <w:next w:val="Normal"/>
    <w:link w:val="3-SubsectionHeadingChar"/>
    <w:qFormat/>
    <w:rsid w:val="003029B7"/>
    <w:pPr>
      <w:keepNext/>
      <w:spacing w:before="120" w:after="120"/>
      <w:outlineLvl w:val="9"/>
    </w:pPr>
    <w:rPr>
      <w:rFonts w:asciiTheme="minorHAnsi" w:eastAsiaTheme="majorEastAsia" w:hAnsiTheme="minorHAnsi" w:cstheme="majorBidi"/>
      <w:color w:val="365F91" w:themeColor="accent1" w:themeShade="BF"/>
      <w:spacing w:val="5"/>
      <w:kern w:val="28"/>
      <w:szCs w:val="36"/>
      <w:lang w:eastAsia="en-US"/>
    </w:rPr>
  </w:style>
  <w:style w:type="character" w:customStyle="1" w:styleId="3-SubsectionHeadingChar">
    <w:name w:val="3-Subsection Heading Char"/>
    <w:basedOn w:val="Heading2Char"/>
    <w:link w:val="3-SubsectionHeading"/>
    <w:rsid w:val="003029B7"/>
    <w:rPr>
      <w:rFonts w:asciiTheme="minorHAnsi" w:eastAsiaTheme="majorEastAsia" w:hAnsiTheme="minorHAnsi" w:cstheme="majorBidi"/>
      <w:b/>
      <w:i/>
      <w:snapToGrid/>
      <w:color w:val="365F91" w:themeColor="accent1" w:themeShade="BF"/>
      <w:spacing w:val="5"/>
      <w:kern w:val="28"/>
      <w:sz w:val="28"/>
      <w:szCs w:val="36"/>
      <w:lang w:eastAsia="en-US"/>
    </w:rPr>
  </w:style>
  <w:style w:type="paragraph" w:customStyle="1" w:styleId="EndNoteBibliography">
    <w:name w:val="EndNote Bibliography"/>
    <w:basedOn w:val="Normal"/>
    <w:link w:val="EndNoteBibliographyChar"/>
    <w:rsid w:val="00B643C4"/>
    <w:pPr>
      <w:spacing w:after="240"/>
    </w:pPr>
    <w:rPr>
      <w:rFonts w:ascii="Arial Narrow" w:eastAsiaTheme="minorHAnsi" w:hAnsi="Arial Narrow" w:cs="Calibri"/>
      <w:noProof/>
      <w:sz w:val="22"/>
      <w:szCs w:val="22"/>
      <w:lang w:val="en-US" w:eastAsia="en-US"/>
    </w:rPr>
  </w:style>
  <w:style w:type="character" w:customStyle="1" w:styleId="EndNoteBibliographyChar">
    <w:name w:val="EndNote Bibliography Char"/>
    <w:basedOn w:val="DefaultParagraphFont"/>
    <w:link w:val="EndNoteBibliography"/>
    <w:rsid w:val="00B643C4"/>
    <w:rPr>
      <w:rFonts w:ascii="Arial Narrow" w:eastAsiaTheme="minorHAnsi" w:hAnsi="Arial Narrow" w:cs="Calibri"/>
      <w:noProof/>
      <w:sz w:val="22"/>
      <w:szCs w:val="22"/>
      <w:lang w:val="en-US" w:eastAsia="en-US"/>
    </w:rPr>
  </w:style>
  <w:style w:type="character" w:customStyle="1" w:styleId="eop">
    <w:name w:val="eop"/>
    <w:basedOn w:val="DefaultParagraphFont"/>
    <w:rsid w:val="001A58A0"/>
  </w:style>
  <w:style w:type="paragraph" w:customStyle="1" w:styleId="Numberbullet2">
    <w:name w:val="Number bullet 2"/>
    <w:basedOn w:val="ListBullet2"/>
    <w:qFormat/>
    <w:rsid w:val="000F21E3"/>
    <w:pPr>
      <w:numPr>
        <w:ilvl w:val="1"/>
      </w:numPr>
      <w:spacing w:before="120" w:after="180" w:line="240" w:lineRule="atLeast"/>
      <w:ind w:left="1080" w:hanging="360"/>
      <w:contextualSpacing w:val="0"/>
      <w:jc w:val="left"/>
    </w:pPr>
    <w:rPr>
      <w:rFonts w:ascii="Cambria" w:eastAsia="Cambria" w:hAnsi="Cambria" w:cs="Times New Roman"/>
      <w:sz w:val="22"/>
      <w:szCs w:val="22"/>
      <w:lang w:eastAsia="en-US"/>
    </w:rPr>
  </w:style>
  <w:style w:type="paragraph" w:customStyle="1" w:styleId="Numberbullet3">
    <w:name w:val="Number bullet 3"/>
    <w:basedOn w:val="ListBullet3"/>
    <w:qFormat/>
    <w:rsid w:val="000F21E3"/>
    <w:pPr>
      <w:numPr>
        <w:ilvl w:val="2"/>
        <w:numId w:val="39"/>
      </w:numPr>
      <w:spacing w:before="120" w:after="180" w:line="240" w:lineRule="atLeast"/>
      <w:ind w:left="1800" w:hanging="180"/>
      <w:contextualSpacing w:val="0"/>
      <w:jc w:val="left"/>
    </w:pPr>
    <w:rPr>
      <w:rFonts w:ascii="Cambria" w:eastAsia="Cambria" w:hAnsi="Cambria" w:cs="Times New Roman"/>
      <w:sz w:val="22"/>
      <w:szCs w:val="22"/>
      <w:lang w:eastAsia="en-US"/>
    </w:rPr>
  </w:style>
  <w:style w:type="numbering" w:customStyle="1" w:styleId="NumberBullet">
    <w:name w:val="NumberBullet"/>
    <w:uiPriority w:val="99"/>
    <w:locked/>
    <w:rsid w:val="000F21E3"/>
    <w:pPr>
      <w:numPr>
        <w:numId w:val="39"/>
      </w:numPr>
    </w:pPr>
  </w:style>
  <w:style w:type="paragraph" w:customStyle="1" w:styleId="COMH1numbered">
    <w:name w:val="COM H1 numbered"/>
    <w:next w:val="Normal"/>
    <w:link w:val="COMH1numberedChar"/>
    <w:qFormat/>
    <w:rsid w:val="000F21E3"/>
    <w:pPr>
      <w:keepNext/>
      <w:numPr>
        <w:numId w:val="39"/>
      </w:numPr>
      <w:spacing w:before="240" w:after="120"/>
      <w:outlineLvl w:val="0"/>
    </w:pPr>
    <w:rPr>
      <w:rFonts w:asciiTheme="minorHAnsi" w:hAnsiTheme="minorHAnsi" w:cs="Arial"/>
      <w:b/>
      <w:snapToGrid w:val="0"/>
      <w:sz w:val="32"/>
      <w:szCs w:val="32"/>
    </w:rPr>
  </w:style>
  <w:style w:type="character" w:customStyle="1" w:styleId="COMH1numberedChar">
    <w:name w:val="COM H1 numbered Char"/>
    <w:basedOn w:val="DefaultParagraphFont"/>
    <w:link w:val="COMH1numbered"/>
    <w:rsid w:val="000F21E3"/>
    <w:rPr>
      <w:rFonts w:asciiTheme="minorHAnsi" w:hAnsiTheme="minorHAnsi" w:cs="Arial"/>
      <w:b/>
      <w:snapToGrid w:val="0"/>
      <w:sz w:val="32"/>
      <w:szCs w:val="32"/>
    </w:rPr>
  </w:style>
  <w:style w:type="paragraph" w:styleId="ListBullet2">
    <w:name w:val="List Bullet 2"/>
    <w:basedOn w:val="Normal"/>
    <w:semiHidden/>
    <w:unhideWhenUsed/>
    <w:rsid w:val="000F21E3"/>
    <w:pPr>
      <w:ind w:left="425" w:hanging="425"/>
      <w:contextualSpacing/>
    </w:pPr>
  </w:style>
  <w:style w:type="paragraph" w:styleId="ListBullet3">
    <w:name w:val="List Bullet 3"/>
    <w:basedOn w:val="Normal"/>
    <w:semiHidden/>
    <w:unhideWhenUsed/>
    <w:rsid w:val="000F21E3"/>
    <w:pPr>
      <w:tabs>
        <w:tab w:val="num" w:pos="360"/>
      </w:tabs>
      <w:contextualSpacing/>
    </w:pPr>
  </w:style>
  <w:style w:type="character" w:styleId="UnresolvedMention">
    <w:name w:val="Unresolved Mention"/>
    <w:basedOn w:val="DefaultParagraphFont"/>
    <w:uiPriority w:val="99"/>
    <w:semiHidden/>
    <w:unhideWhenUsed/>
    <w:rsid w:val="000E6C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855169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4536577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807970359">
      <w:bodyDiv w:val="1"/>
      <w:marLeft w:val="0"/>
      <w:marRight w:val="0"/>
      <w:marTop w:val="0"/>
      <w:marBottom w:val="0"/>
      <w:divBdr>
        <w:top w:val="none" w:sz="0" w:space="0" w:color="auto"/>
        <w:left w:val="none" w:sz="0" w:space="0" w:color="auto"/>
        <w:bottom w:val="none" w:sz="0" w:space="0" w:color="auto"/>
        <w:right w:val="none" w:sz="0" w:space="0" w:color="auto"/>
      </w:divBdr>
    </w:div>
    <w:div w:id="182900831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11342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2.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accessdata.fda.gov/scripts/cder/daf/index.cfm?event=overview.process&amp;varApplNo=216660" TargetMode="External"/><Relationship Id="rId7" Type="http://schemas.openxmlformats.org/officeDocument/2006/relationships/hyperlink" Target="https://doi.org/10.1007/s10198-018-0955-5" TargetMode="External"/><Relationship Id="rId2" Type="http://schemas.openxmlformats.org/officeDocument/2006/relationships/hyperlink" Target="https://www.cadth.ca/sites/default/files/DRR/2023/SR0727%20Radicava%20-%20CADTH%20Final%20Recommendation_for%20posting.pdf" TargetMode="External"/><Relationship Id="rId1" Type="http://schemas.openxmlformats.org/officeDocument/2006/relationships/hyperlink" Target="https://www.cadth.ca/sites/default/files/cdr/complete/sr0573-radicava-cdec-rec-march-29-2019.pdf" TargetMode="External"/><Relationship Id="rId6" Type="http://schemas.openxmlformats.org/officeDocument/2006/relationships/hyperlink" Target="https://www.fda.gov/regulatory-information/search-fda-guidance-documents/amyotrophic-lateral-sclerosis-developing-drugs-treatment-guidance-industry" TargetMode="External"/><Relationship Id="rId5" Type="http://schemas.openxmlformats.org/officeDocument/2006/relationships/hyperlink" Target="https://www.ema.europa.eu/en/clinical-investigation-medicinal-products-treatment-amyotrophic-lateral-sclerosis-scientific" TargetMode="External"/><Relationship Id="rId4" Type="http://schemas.openxmlformats.org/officeDocument/2006/relationships/hyperlink" Target="https://www.accessdata.fda.gov/scripts/cder/daf/index.cfm?event=BasicSearch.proc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72DA3-403B-419E-978B-504474DF27B3}">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55</Pages>
  <Words>23713</Words>
  <Characters>128304</Characters>
  <Application>Microsoft Office Word</Application>
  <DocSecurity>0</DocSecurity>
  <Lines>1069</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2024-03-03T23:34:00Z</dcterms:created>
  <dcterms:modified xsi:type="dcterms:W3CDTF">2024-03-14T02:52:00Z</dcterms:modified>
</cp:coreProperties>
</file>