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3F3DF4F" w:rsidR="00B60939" w:rsidRPr="00804648" w:rsidRDefault="00AD5614" w:rsidP="00F26ED8">
      <w:pPr>
        <w:pStyle w:val="1-MainHeading"/>
        <w:ind w:left="851" w:hanging="851"/>
      </w:pPr>
      <w:bookmarkStart w:id="0" w:name="_Toc135224886"/>
      <w:r w:rsidRPr="00804648">
        <w:t>5</w:t>
      </w:r>
      <w:r w:rsidR="00433044" w:rsidRPr="00804648">
        <w:t>.</w:t>
      </w:r>
      <w:r w:rsidRPr="00804648">
        <w:t>08</w:t>
      </w:r>
      <w:r w:rsidR="00163F66" w:rsidRPr="00804648">
        <w:tab/>
      </w:r>
      <w:r w:rsidR="00817C33" w:rsidRPr="00804648">
        <w:t>OLIPUDASE ALFA</w:t>
      </w:r>
      <w:r w:rsidR="00163F66" w:rsidRPr="00804648">
        <w:t>,</w:t>
      </w:r>
      <w:r w:rsidR="00163F66" w:rsidRPr="00804648">
        <w:br/>
      </w:r>
      <w:r w:rsidR="00817C33" w:rsidRPr="00804648">
        <w:t xml:space="preserve">Powder for </w:t>
      </w:r>
      <w:r w:rsidR="00EE4FFD" w:rsidRPr="00804648">
        <w:t xml:space="preserve">I.V. infusion </w:t>
      </w:r>
      <w:r w:rsidR="00817C33" w:rsidRPr="00804648">
        <w:t>20 mg</w:t>
      </w:r>
      <w:r w:rsidR="00163F66" w:rsidRPr="00804648">
        <w:t>,</w:t>
      </w:r>
      <w:r w:rsidR="00163F66" w:rsidRPr="00804648">
        <w:br/>
      </w:r>
      <w:r w:rsidR="00817C33" w:rsidRPr="00804648">
        <w:t>Xenpozyme</w:t>
      </w:r>
      <w:r w:rsidR="00B60939" w:rsidRPr="00804648">
        <w:rPr>
          <w:vertAlign w:val="superscript"/>
        </w:rPr>
        <w:t>®</w:t>
      </w:r>
      <w:r w:rsidR="004A6040" w:rsidRPr="00804648">
        <w:t>,</w:t>
      </w:r>
      <w:r w:rsidR="004A6040" w:rsidRPr="00804648">
        <w:br/>
      </w:r>
      <w:r w:rsidR="00433044" w:rsidRPr="00804648">
        <w:t>S</w:t>
      </w:r>
      <w:r w:rsidR="00817C33" w:rsidRPr="00804648">
        <w:t>anofi-Aventis Australia Pty Ltd</w:t>
      </w:r>
      <w:bookmarkEnd w:id="0"/>
      <w:r w:rsidR="00F73E08" w:rsidRPr="00804648">
        <w:t xml:space="preserve"> </w:t>
      </w:r>
    </w:p>
    <w:p w14:paraId="11C00795" w14:textId="3DFB6D23" w:rsidR="00B50DB8" w:rsidRPr="00804648" w:rsidRDefault="00B50DB8" w:rsidP="004A6040">
      <w:pPr>
        <w:pStyle w:val="2-SectionHeading"/>
      </w:pPr>
      <w:bookmarkStart w:id="1" w:name="_Toc135224888"/>
      <w:r w:rsidRPr="00804648">
        <w:t xml:space="preserve">Purpose of </w:t>
      </w:r>
      <w:r w:rsidR="00CD7193" w:rsidRPr="00804648">
        <w:t>s</w:t>
      </w:r>
      <w:r w:rsidR="00BB3A45" w:rsidRPr="00804648">
        <w:t>ubmission</w:t>
      </w:r>
      <w:bookmarkEnd w:id="1"/>
    </w:p>
    <w:p w14:paraId="308566D8" w14:textId="70C62ED8" w:rsidR="000568DC" w:rsidRPr="00804648" w:rsidRDefault="000568DC" w:rsidP="000568DC">
      <w:pPr>
        <w:pStyle w:val="3-BodyText"/>
      </w:pPr>
      <w:r w:rsidRPr="00804648">
        <w:t>The Category 1 submission requested Section 100 (Highly Specialised Drugs Program)</w:t>
      </w:r>
      <w:r w:rsidR="0077244E" w:rsidRPr="00804648">
        <w:t>,</w:t>
      </w:r>
      <w:r w:rsidRPr="00804648">
        <w:t xml:space="preserve"> Authority Required listing for olipudase alfa for the treatment of acid sphingomyelinase (ASMD) type A/B or</w:t>
      </w:r>
      <w:r w:rsidR="0045698D" w:rsidRPr="00804648">
        <w:t xml:space="preserve"> type</w:t>
      </w:r>
      <w:r w:rsidRPr="00804648">
        <w:t xml:space="preserve"> B. </w:t>
      </w:r>
    </w:p>
    <w:p w14:paraId="664469AF" w14:textId="1F48735A" w:rsidR="000568DC" w:rsidRPr="00804648" w:rsidRDefault="00C64810" w:rsidP="00C64810">
      <w:pPr>
        <w:pStyle w:val="3-BodyText"/>
      </w:pPr>
      <w:r w:rsidRPr="00804648">
        <w:t>Listing was requested on the basis of a cost-utility analysis versus best supportive care (BSC)</w:t>
      </w:r>
      <w:r w:rsidR="001F091D" w:rsidRPr="00804648">
        <w:t xml:space="preserve"> (</w:t>
      </w:r>
      <w:r w:rsidR="001F091D" w:rsidRPr="00804648">
        <w:fldChar w:fldCharType="begin" w:fldLock="1"/>
      </w:r>
      <w:r w:rsidR="001F091D" w:rsidRPr="00804648">
        <w:instrText xml:space="preserve"> REF _Ref134608456 \h </w:instrText>
      </w:r>
      <w:r w:rsidR="001F091D" w:rsidRPr="00804648">
        <w:fldChar w:fldCharType="separate"/>
      </w:r>
      <w:r w:rsidR="005D02DA" w:rsidRPr="00804648">
        <w:t>Table 1</w:t>
      </w:r>
      <w:r w:rsidR="001F091D" w:rsidRPr="00804648">
        <w:fldChar w:fldCharType="end"/>
      </w:r>
      <w:r w:rsidR="001F091D" w:rsidRPr="00804648">
        <w:t>)</w:t>
      </w:r>
      <w:r w:rsidRPr="00804648">
        <w:t xml:space="preserve">. </w:t>
      </w:r>
    </w:p>
    <w:p w14:paraId="3718DE61" w14:textId="08A3B2A0" w:rsidR="008B1757" w:rsidRPr="00804648" w:rsidRDefault="00696EF9" w:rsidP="004A6040">
      <w:pPr>
        <w:pStyle w:val="TableFigureHeading"/>
      </w:pPr>
      <w:bookmarkStart w:id="2" w:name="_Ref134608456"/>
      <w:r w:rsidRPr="00804648">
        <w:t xml:space="preserve">Table </w:t>
      </w:r>
      <w:fldSimple w:instr=" SEQ Table \* ARABIC " w:fldLock="1">
        <w:r w:rsidR="005D02DA" w:rsidRPr="00804648">
          <w:t>1</w:t>
        </w:r>
      </w:fldSimple>
      <w:bookmarkEnd w:id="2"/>
      <w:r w:rsidRPr="00804648">
        <w:t>:</w:t>
      </w:r>
      <w:r w:rsidR="00BC591F" w:rsidRPr="00804648">
        <w:t xml:space="preserve"> </w:t>
      </w:r>
      <w:r w:rsidR="008B1757" w:rsidRPr="00804648">
        <w:t>Key components of the clinical issue addressed by the submission</w:t>
      </w:r>
      <w:r w:rsidR="007170DA" w:rsidRPr="00804648">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36"/>
        <w:gridCol w:w="7581"/>
      </w:tblGrid>
      <w:tr w:rsidR="008B1757" w:rsidRPr="00804648" w14:paraId="569F5103" w14:textId="77777777" w:rsidTr="00A9033C">
        <w:trPr>
          <w:cantSplit/>
          <w:tblHeader/>
        </w:trPr>
        <w:tc>
          <w:tcPr>
            <w:tcW w:w="796" w:type="pct"/>
            <w:shd w:val="clear" w:color="auto" w:fill="auto"/>
          </w:tcPr>
          <w:p w14:paraId="501803FB" w14:textId="77777777" w:rsidR="008B1757" w:rsidRPr="00804648" w:rsidRDefault="008B1757" w:rsidP="00827B95">
            <w:pPr>
              <w:pStyle w:val="In-tableHeading"/>
              <w:rPr>
                <w:szCs w:val="20"/>
                <w:lang w:val="en-AU"/>
              </w:rPr>
            </w:pPr>
            <w:r w:rsidRPr="00804648">
              <w:rPr>
                <w:lang w:val="en-AU"/>
              </w:rPr>
              <w:t>Component</w:t>
            </w:r>
          </w:p>
        </w:tc>
        <w:tc>
          <w:tcPr>
            <w:tcW w:w="4204" w:type="pct"/>
            <w:shd w:val="clear" w:color="auto" w:fill="auto"/>
          </w:tcPr>
          <w:p w14:paraId="445D9EBB" w14:textId="77777777" w:rsidR="008B1757" w:rsidRPr="00804648" w:rsidRDefault="008B1757" w:rsidP="00827B95">
            <w:pPr>
              <w:pStyle w:val="In-tableHeading"/>
              <w:rPr>
                <w:lang w:val="en-AU"/>
              </w:rPr>
            </w:pPr>
            <w:r w:rsidRPr="00804648">
              <w:rPr>
                <w:lang w:val="en-AU"/>
              </w:rPr>
              <w:t>Description</w:t>
            </w:r>
          </w:p>
        </w:tc>
      </w:tr>
      <w:tr w:rsidR="008B1757" w:rsidRPr="00804648" w14:paraId="2EB546E2" w14:textId="77777777" w:rsidTr="00A9033C">
        <w:trPr>
          <w:cantSplit/>
        </w:trPr>
        <w:tc>
          <w:tcPr>
            <w:tcW w:w="796" w:type="pct"/>
            <w:shd w:val="clear" w:color="auto" w:fill="auto"/>
          </w:tcPr>
          <w:p w14:paraId="38F3BB34" w14:textId="77777777" w:rsidR="008B1757" w:rsidRPr="00804648" w:rsidRDefault="008B1757" w:rsidP="004A6040">
            <w:pPr>
              <w:pStyle w:val="TableText0"/>
            </w:pPr>
            <w:r w:rsidRPr="00804648">
              <w:t>Population</w:t>
            </w:r>
          </w:p>
        </w:tc>
        <w:tc>
          <w:tcPr>
            <w:tcW w:w="4204" w:type="pct"/>
            <w:shd w:val="clear" w:color="auto" w:fill="auto"/>
          </w:tcPr>
          <w:p w14:paraId="79618EEE" w14:textId="7E0001DC" w:rsidR="00233C01" w:rsidRPr="00804648" w:rsidRDefault="00F16A3B" w:rsidP="00233C01">
            <w:pPr>
              <w:pStyle w:val="TableText0"/>
              <w:rPr>
                <w:szCs w:val="20"/>
              </w:rPr>
            </w:pPr>
            <w:r w:rsidRPr="00804648">
              <w:rPr>
                <w:i/>
                <w:iCs/>
              </w:rPr>
              <w:t>Adult and paediatric patients with</w:t>
            </w:r>
            <w:r w:rsidRPr="00804648">
              <w:t xml:space="preserve"> ASMD type A/B or</w:t>
            </w:r>
            <w:r w:rsidR="001F091D" w:rsidRPr="00804648">
              <w:t xml:space="preserve"> type</w:t>
            </w:r>
            <w:r w:rsidRPr="00804648">
              <w:t xml:space="preserve"> B</w:t>
            </w:r>
          </w:p>
        </w:tc>
      </w:tr>
      <w:tr w:rsidR="008B1757" w:rsidRPr="00804648" w14:paraId="0CA523AF" w14:textId="77777777" w:rsidTr="00A9033C">
        <w:trPr>
          <w:cantSplit/>
        </w:trPr>
        <w:tc>
          <w:tcPr>
            <w:tcW w:w="796" w:type="pct"/>
            <w:shd w:val="clear" w:color="auto" w:fill="auto"/>
          </w:tcPr>
          <w:p w14:paraId="7B6D20D8" w14:textId="77777777" w:rsidR="008B1757" w:rsidRPr="00804648" w:rsidRDefault="008B1757" w:rsidP="004A6040">
            <w:pPr>
              <w:pStyle w:val="TableText0"/>
            </w:pPr>
            <w:r w:rsidRPr="00804648">
              <w:t>Intervention</w:t>
            </w:r>
          </w:p>
        </w:tc>
        <w:tc>
          <w:tcPr>
            <w:tcW w:w="4204" w:type="pct"/>
            <w:shd w:val="clear" w:color="auto" w:fill="auto"/>
          </w:tcPr>
          <w:p w14:paraId="694D1953" w14:textId="77777777" w:rsidR="00E7747E" w:rsidRPr="00804648" w:rsidRDefault="00E7747E" w:rsidP="00E7747E">
            <w:pPr>
              <w:pStyle w:val="TableText0"/>
            </w:pPr>
            <w:r w:rsidRPr="00804648">
              <w:t>Olipudase alfa IV infusion Q2W:</w:t>
            </w:r>
          </w:p>
          <w:p w14:paraId="4DD16FC6" w14:textId="039AB40F" w:rsidR="00E7747E" w:rsidRPr="00804648" w:rsidRDefault="00E7747E" w:rsidP="00973855">
            <w:pPr>
              <w:pStyle w:val="TableText0"/>
              <w:numPr>
                <w:ilvl w:val="0"/>
                <w:numId w:val="7"/>
              </w:numPr>
            </w:pPr>
            <w:r w:rsidRPr="00804648">
              <w:t>Starting dose: 0.1 mg/kg for adults and 0.03 mg/kg for paediatric patients</w:t>
            </w:r>
          </w:p>
          <w:p w14:paraId="2491E905" w14:textId="00586317" w:rsidR="00233C01" w:rsidRPr="00804648" w:rsidRDefault="00E7747E" w:rsidP="00973855">
            <w:pPr>
              <w:pStyle w:val="TableText0"/>
              <w:numPr>
                <w:ilvl w:val="0"/>
                <w:numId w:val="7"/>
              </w:numPr>
            </w:pPr>
            <w:r w:rsidRPr="00804648">
              <w:t>Maintenance dose: 3 mg/kg for both adults and paediatric patients</w:t>
            </w:r>
          </w:p>
        </w:tc>
      </w:tr>
      <w:tr w:rsidR="008B1757" w:rsidRPr="00804648" w14:paraId="0F81EBE4" w14:textId="77777777" w:rsidTr="00A9033C">
        <w:trPr>
          <w:cantSplit/>
        </w:trPr>
        <w:tc>
          <w:tcPr>
            <w:tcW w:w="796" w:type="pct"/>
            <w:shd w:val="clear" w:color="auto" w:fill="auto"/>
          </w:tcPr>
          <w:p w14:paraId="3656B343" w14:textId="77777777" w:rsidR="008B1757" w:rsidRPr="00804648" w:rsidRDefault="008B1757" w:rsidP="004A6040">
            <w:pPr>
              <w:pStyle w:val="TableText0"/>
            </w:pPr>
            <w:r w:rsidRPr="00804648">
              <w:t>Comparator</w:t>
            </w:r>
          </w:p>
        </w:tc>
        <w:tc>
          <w:tcPr>
            <w:tcW w:w="4204" w:type="pct"/>
            <w:shd w:val="clear" w:color="auto" w:fill="auto"/>
          </w:tcPr>
          <w:p w14:paraId="3727DE24" w14:textId="13CBCA0B" w:rsidR="00233C01" w:rsidRPr="00804648" w:rsidRDefault="006A2384" w:rsidP="001E1E86">
            <w:pPr>
              <w:pStyle w:val="TableText0"/>
            </w:pPr>
            <w:r w:rsidRPr="00804648">
              <w:t>Placebo, representing best supportive care</w:t>
            </w:r>
          </w:p>
        </w:tc>
      </w:tr>
      <w:tr w:rsidR="008B1757" w:rsidRPr="00804648" w14:paraId="02F86F0D" w14:textId="77777777" w:rsidTr="00A9033C">
        <w:trPr>
          <w:cantSplit/>
        </w:trPr>
        <w:tc>
          <w:tcPr>
            <w:tcW w:w="796" w:type="pct"/>
            <w:shd w:val="clear" w:color="auto" w:fill="auto"/>
          </w:tcPr>
          <w:p w14:paraId="06433105" w14:textId="77777777" w:rsidR="008B1757" w:rsidRPr="00804648" w:rsidRDefault="008B1757" w:rsidP="004A6040">
            <w:pPr>
              <w:pStyle w:val="TableText0"/>
            </w:pPr>
            <w:r w:rsidRPr="00804648">
              <w:t>Outcomes</w:t>
            </w:r>
          </w:p>
        </w:tc>
        <w:tc>
          <w:tcPr>
            <w:tcW w:w="4204" w:type="pct"/>
            <w:shd w:val="clear" w:color="auto" w:fill="auto"/>
          </w:tcPr>
          <w:p w14:paraId="5ABC4037" w14:textId="47CDCDCA" w:rsidR="00233C01" w:rsidRPr="00804648" w:rsidRDefault="00F0183A" w:rsidP="004A6040">
            <w:pPr>
              <w:pStyle w:val="TableText0"/>
              <w:rPr>
                <w:rFonts w:eastAsia="Times New Roman" w:cs="Arial"/>
                <w:bCs w:val="0"/>
                <w:snapToGrid w:val="0"/>
                <w:color w:val="0066FF"/>
                <w:szCs w:val="20"/>
              </w:rPr>
            </w:pPr>
            <w:r w:rsidRPr="00804648">
              <w:t>Spleen volume, DLco, liver volume, platelet count</w:t>
            </w:r>
          </w:p>
        </w:tc>
      </w:tr>
      <w:tr w:rsidR="008B1757" w:rsidRPr="00804648" w14:paraId="22223890" w14:textId="77777777" w:rsidTr="00A9033C">
        <w:trPr>
          <w:cantSplit/>
        </w:trPr>
        <w:tc>
          <w:tcPr>
            <w:tcW w:w="796" w:type="pct"/>
            <w:shd w:val="clear" w:color="auto" w:fill="auto"/>
          </w:tcPr>
          <w:p w14:paraId="0FC8FCE0" w14:textId="77777777" w:rsidR="008B1757" w:rsidRPr="00804648" w:rsidRDefault="008B1757" w:rsidP="004A6040">
            <w:pPr>
              <w:pStyle w:val="TableText0"/>
            </w:pPr>
            <w:r w:rsidRPr="00804648">
              <w:t>Clinical claim</w:t>
            </w:r>
          </w:p>
        </w:tc>
        <w:tc>
          <w:tcPr>
            <w:tcW w:w="4204" w:type="pct"/>
            <w:shd w:val="clear" w:color="auto" w:fill="auto"/>
          </w:tcPr>
          <w:p w14:paraId="2C99C4DE" w14:textId="3E854A8E" w:rsidR="00233C01" w:rsidRPr="00804648" w:rsidRDefault="0045657A" w:rsidP="00D43D83">
            <w:pPr>
              <w:pStyle w:val="TableText0"/>
              <w:rPr>
                <w:rFonts w:eastAsia="Times New Roman" w:cs="Arial"/>
                <w:bCs w:val="0"/>
                <w:snapToGrid w:val="0"/>
                <w:color w:val="0066FF"/>
                <w:szCs w:val="20"/>
              </w:rPr>
            </w:pPr>
            <w:r w:rsidRPr="00804648">
              <w:t>In patients with ASMD, olipudase alfa is more effective than best supportive care at improving measures of spleen volume, DLco (in adults</w:t>
            </w:r>
            <w:r w:rsidR="007E7604" w:rsidRPr="00804648">
              <w:t xml:space="preserve"> only</w:t>
            </w:r>
            <w:r w:rsidRPr="00804648">
              <w:t>), liver volume, platelet counts</w:t>
            </w:r>
            <w:r w:rsidR="00E425DE" w:rsidRPr="00804648">
              <w:t xml:space="preserve"> and growth (in children</w:t>
            </w:r>
            <w:r w:rsidR="007E7604" w:rsidRPr="00804648">
              <w:t xml:space="preserve"> only</w:t>
            </w:r>
            <w:r w:rsidR="00E425DE" w:rsidRPr="00804648">
              <w:t>)</w:t>
            </w:r>
            <w:r w:rsidRPr="00804648">
              <w:t>, with a non-inferior safety profile.</w:t>
            </w:r>
          </w:p>
        </w:tc>
      </w:tr>
    </w:tbl>
    <w:p w14:paraId="1CB7328A" w14:textId="77777777" w:rsidR="000743A2" w:rsidRPr="00804648" w:rsidRDefault="008B1757" w:rsidP="000743A2">
      <w:pPr>
        <w:pStyle w:val="FooterTableFigure"/>
      </w:pPr>
      <w:r w:rsidRPr="00804648">
        <w:t xml:space="preserve">Source: </w:t>
      </w:r>
      <w:r w:rsidR="000743A2" w:rsidRPr="00804648">
        <w:t>Source: Table 1.1.1, p1; Section 2(a).8.2, p66 and Section 2(b).8.2, p93 of the submission.</w:t>
      </w:r>
    </w:p>
    <w:p w14:paraId="5DF090EA" w14:textId="0DB882F2" w:rsidR="00ED1CEC" w:rsidRPr="00804648" w:rsidRDefault="000743A2" w:rsidP="000743A2">
      <w:pPr>
        <w:pStyle w:val="FooterTableFigure"/>
      </w:pPr>
      <w:r w:rsidRPr="00804648">
        <w:t>ASMD = acid sphingomyelinase deficiency</w:t>
      </w:r>
      <w:r w:rsidR="00A224E8" w:rsidRPr="00804648">
        <w:t xml:space="preserve">, </w:t>
      </w:r>
      <w:r w:rsidRPr="00804648">
        <w:t xml:space="preserve">IV = intravenous, Q2W = every two weeks, </w:t>
      </w:r>
      <w:r w:rsidR="00ED1CEC" w:rsidRPr="00804648">
        <w:t>DLco = diffusing capacity of the lung for carbon monoxide.</w:t>
      </w:r>
    </w:p>
    <w:p w14:paraId="527CA7F0" w14:textId="497D108B" w:rsidR="004E43B2" w:rsidRPr="00804648" w:rsidRDefault="000743A2" w:rsidP="000743A2">
      <w:pPr>
        <w:pStyle w:val="FooterTableFigure"/>
      </w:pPr>
      <w:r w:rsidRPr="00804648">
        <w:rPr>
          <w:i/>
          <w:iCs/>
        </w:rPr>
        <w:t>Italics</w:t>
      </w:r>
      <w:r w:rsidRPr="00804648">
        <w:t xml:space="preserve"> added during the evaluation.</w:t>
      </w:r>
    </w:p>
    <w:p w14:paraId="6B4AB6C2" w14:textId="2D13BA92" w:rsidR="005C25FF" w:rsidRPr="00804648" w:rsidRDefault="005C25FF" w:rsidP="004A6040">
      <w:pPr>
        <w:pStyle w:val="2-SectionHeading"/>
      </w:pPr>
      <w:bookmarkStart w:id="3" w:name="_Toc135224889"/>
      <w:r w:rsidRPr="00804648">
        <w:t>Background</w:t>
      </w:r>
      <w:bookmarkEnd w:id="3"/>
    </w:p>
    <w:p w14:paraId="2C521D6D" w14:textId="78CF03EE" w:rsidR="005C25FF" w:rsidRPr="00804648" w:rsidRDefault="005C25FF" w:rsidP="004A6040">
      <w:pPr>
        <w:pStyle w:val="4-SubsectionHeading"/>
      </w:pPr>
      <w:bookmarkStart w:id="4" w:name="_Toc22897638"/>
      <w:bookmarkStart w:id="5" w:name="_Toc135224890"/>
      <w:r w:rsidRPr="00804648">
        <w:t>Registration status</w:t>
      </w:r>
      <w:bookmarkEnd w:id="4"/>
      <w:bookmarkEnd w:id="5"/>
    </w:p>
    <w:p w14:paraId="081098EA" w14:textId="285E01FE" w:rsidR="001E4182" w:rsidRPr="00804648" w:rsidRDefault="001E4182" w:rsidP="00C35202">
      <w:pPr>
        <w:pStyle w:val="3-BodyText"/>
      </w:pPr>
      <w:r w:rsidRPr="00804648">
        <w:t>The Delegate’s Overview was provided</w:t>
      </w:r>
      <w:r w:rsidR="003B4D07" w:rsidRPr="00804648">
        <w:t xml:space="preserve"> with</w:t>
      </w:r>
      <w:r w:rsidRPr="00804648">
        <w:t xml:space="preserve"> the submission. </w:t>
      </w:r>
      <w:r w:rsidR="00E831E4" w:rsidRPr="00804648">
        <w:t>T</w:t>
      </w:r>
      <w:r w:rsidRPr="00804648">
        <w:t xml:space="preserve">he </w:t>
      </w:r>
      <w:r w:rsidR="006D67CF" w:rsidRPr="00804648">
        <w:t>D</w:t>
      </w:r>
      <w:r w:rsidRPr="00804648">
        <w:t xml:space="preserve">elegate </w:t>
      </w:r>
      <w:r w:rsidR="00FA4A69" w:rsidRPr="00804648">
        <w:t>intend</w:t>
      </w:r>
      <w:r w:rsidR="00F13207" w:rsidRPr="00804648">
        <w:t>ed</w:t>
      </w:r>
      <w:r w:rsidRPr="00804648">
        <w:t xml:space="preserve"> to approve olipudase alfa</w:t>
      </w:r>
      <w:r w:rsidR="001702D0" w:rsidRPr="00804648">
        <w:t xml:space="preserve"> pending the outcome of</w:t>
      </w:r>
      <w:r w:rsidR="00D92E40" w:rsidRPr="00804648">
        <w:t xml:space="preserve"> consideration by</w:t>
      </w:r>
      <w:r w:rsidR="00B30AD2" w:rsidRPr="00804648">
        <w:t xml:space="preserve"> </w:t>
      </w:r>
      <w:r w:rsidR="000C0BA5" w:rsidRPr="00804648">
        <w:t xml:space="preserve">the </w:t>
      </w:r>
      <w:r w:rsidR="00B30AD2" w:rsidRPr="00804648">
        <w:t>Advisory Committee on Medicines (ACM)</w:t>
      </w:r>
      <w:r w:rsidRPr="00804648">
        <w:t xml:space="preserve"> for the following indication: ‘XENPOZYME® (olipudase alfa), is indicated as an enzyme replacement therapy for the treatment of non-central nervous system (CNS) manifestations of acid sphingomyelinase deficiency (ASMD) in paediatric and adult patients with type A/B or type B’</w:t>
      </w:r>
      <w:r w:rsidR="000C0BA5" w:rsidRPr="00804648">
        <w:t>.</w:t>
      </w:r>
    </w:p>
    <w:p w14:paraId="58DC9C8F" w14:textId="1515441E" w:rsidR="00F13207" w:rsidRPr="00804648" w:rsidRDefault="00F13207" w:rsidP="00C35202">
      <w:pPr>
        <w:pStyle w:val="3-BodyText"/>
      </w:pPr>
      <w:bookmarkStart w:id="6" w:name="_Ref141716358"/>
      <w:r w:rsidRPr="00804648">
        <w:t xml:space="preserve">The </w:t>
      </w:r>
      <w:r w:rsidR="00530D6C" w:rsidRPr="00804648">
        <w:t xml:space="preserve">ACM considered olipudase alfa to have an overall positive risk-benefit profile for the indication: </w:t>
      </w:r>
      <w:r w:rsidR="00986123" w:rsidRPr="00804648">
        <w:t>‘</w:t>
      </w:r>
      <w:r w:rsidR="00530D6C" w:rsidRPr="00804648">
        <w:t>XENPOZYME® is indicated as an enzyme replacement therapy for the treatment of non-central nervous system (CNS) manifestations of acid sphingomyelinase deficiency (ASMD) (also known as Niemann-Pick Disease) in paediatric and adult patients with Type B and intermediate form</w:t>
      </w:r>
      <w:r w:rsidR="00986123" w:rsidRPr="00804648">
        <w:t xml:space="preserve">’ (ACM Meeting </w:t>
      </w:r>
      <w:r w:rsidR="00986123" w:rsidRPr="00804648">
        <w:lastRenderedPageBreak/>
        <w:t>Outcomes document 30/31 March 2023)</w:t>
      </w:r>
      <w:r w:rsidR="00530D6C" w:rsidRPr="00804648">
        <w:t>. The ACM noted that</w:t>
      </w:r>
      <w:r w:rsidR="00986123" w:rsidRPr="00804648">
        <w:t xml:space="preserve"> ‘ASMD type A/B’ is alternatively referred to as ‘ASMD intermediate form.’</w:t>
      </w:r>
      <w:bookmarkEnd w:id="6"/>
      <w:r w:rsidR="00530D6C" w:rsidRPr="00804648">
        <w:t xml:space="preserve"> </w:t>
      </w:r>
    </w:p>
    <w:p w14:paraId="6E55E515" w14:textId="7E4F1810" w:rsidR="00D6203A" w:rsidRPr="00804648" w:rsidRDefault="00583C6C" w:rsidP="007216B1">
      <w:pPr>
        <w:pStyle w:val="3-BodyText"/>
      </w:pPr>
      <w:bookmarkStart w:id="7" w:name="_Ref138192651"/>
      <w:r w:rsidRPr="00804648">
        <w:rPr>
          <w:rFonts w:eastAsia="Calibri" w:cstheme="minorHAnsi"/>
        </w:rPr>
        <w:t>The submission requested PBS listing of two vial strengths: 4 mg and 20 mg; however,</w:t>
      </w:r>
      <w:r w:rsidRPr="00804648">
        <w:t xml:space="preserve"> a positive Delegate’s Overview was available for the 20 mg vial</w:t>
      </w:r>
      <w:r w:rsidR="00C35202" w:rsidRPr="00804648">
        <w:t xml:space="preserve"> only</w:t>
      </w:r>
      <w:r w:rsidRPr="00804648">
        <w:t xml:space="preserve">. </w:t>
      </w:r>
      <w:r w:rsidR="00857427" w:rsidRPr="00804648">
        <w:t>At the time of evaluation, t</w:t>
      </w:r>
      <w:r w:rsidRPr="00804648">
        <w:t>he 4 mg vial strength ha</w:t>
      </w:r>
      <w:r w:rsidR="00857427" w:rsidRPr="00804648">
        <w:t>d</w:t>
      </w:r>
      <w:r w:rsidRPr="00804648">
        <w:t xml:space="preserve"> not been submitted to the TGA for approval.</w:t>
      </w:r>
      <w:r w:rsidR="007216B1" w:rsidRPr="00804648">
        <w:t xml:space="preserve"> </w:t>
      </w:r>
      <w:r w:rsidR="00D6203A" w:rsidRPr="00804648">
        <w:t>While the Pre-Sub-Committee Response (PSCR) clarified that an application seeking registration for the 4 mg vial will be lodged with the TGA immediately after the TGA approval of the 20 mg vial, the PBAC can only consider the vial strength associated with a positive Delegate’s Overview (20 mg).</w:t>
      </w:r>
      <w:bookmarkEnd w:id="7"/>
    </w:p>
    <w:p w14:paraId="24C4F114" w14:textId="5AD1ECF0" w:rsidR="00267813" w:rsidRPr="00804648" w:rsidRDefault="00267813" w:rsidP="00267813">
      <w:pPr>
        <w:pStyle w:val="3-BodyText"/>
        <w:numPr>
          <w:ilvl w:val="0"/>
          <w:numId w:val="0"/>
        </w:numPr>
        <w:ind w:left="720"/>
      </w:pPr>
      <w:r w:rsidRPr="00804648">
        <w:rPr>
          <w:i/>
        </w:rPr>
        <w:t>For more detail on PBAC’s view, see section 7 PBAC outcome.</w:t>
      </w:r>
    </w:p>
    <w:p w14:paraId="1B423B86" w14:textId="53C45087" w:rsidR="003A4C14" w:rsidRPr="00804648" w:rsidRDefault="00B50DB8" w:rsidP="00CE3953">
      <w:pPr>
        <w:pStyle w:val="2-SectionHeading"/>
        <w:keepLines/>
      </w:pPr>
      <w:bookmarkStart w:id="8" w:name="_Toc135059303"/>
      <w:bookmarkStart w:id="9" w:name="_Toc107902078"/>
      <w:bookmarkStart w:id="10" w:name="_Toc135224891"/>
      <w:bookmarkEnd w:id="8"/>
      <w:bookmarkEnd w:id="9"/>
      <w:r w:rsidRPr="00804648">
        <w:t>Requested listing</w:t>
      </w:r>
      <w:bookmarkEnd w:id="10"/>
    </w:p>
    <w:p w14:paraId="79E65EB4" w14:textId="78B9CC4B" w:rsidR="00C32E2C" w:rsidRPr="00804648" w:rsidRDefault="002C0E4C" w:rsidP="00F26ED8">
      <w:pPr>
        <w:pStyle w:val="3-BodyText"/>
        <w:rPr>
          <w:rFonts w:eastAsia="Calibri" w:cs="Tahoma"/>
        </w:rPr>
      </w:pPr>
      <w:bookmarkStart w:id="11" w:name="_Ref141773060"/>
      <w:r w:rsidRPr="00804648">
        <w:t xml:space="preserve">The </w:t>
      </w:r>
      <w:r w:rsidR="005A1DFE" w:rsidRPr="00804648">
        <w:t>S</w:t>
      </w:r>
      <w:r w:rsidR="003665E0" w:rsidRPr="00804648">
        <w:t>ecretariat</w:t>
      </w:r>
      <w:r w:rsidRPr="00804648">
        <w:t>-</w:t>
      </w:r>
      <w:r w:rsidR="003665E0" w:rsidRPr="00804648">
        <w:t xml:space="preserve">suggested wording for the restriction is shown below. </w:t>
      </w:r>
      <w:r w:rsidR="003665E0" w:rsidRPr="00804648">
        <w:rPr>
          <w:rFonts w:eastAsia="Calibri"/>
        </w:rPr>
        <w:t>The Secretariat rephrased the adult and paediatric manifestations</w:t>
      </w:r>
      <w:r w:rsidR="005E000A" w:rsidRPr="00804648">
        <w:rPr>
          <w:rFonts w:eastAsia="Calibri"/>
        </w:rPr>
        <w:t xml:space="preserve"> of the requested restrictions</w:t>
      </w:r>
      <w:r w:rsidR="003665E0" w:rsidRPr="00804648">
        <w:rPr>
          <w:rFonts w:eastAsia="Calibri"/>
        </w:rPr>
        <w:t xml:space="preserve"> to allow a single restriction.</w:t>
      </w:r>
      <w:r w:rsidR="005E000A" w:rsidRPr="00804648">
        <w:rPr>
          <w:rFonts w:eastAsia="Calibri"/>
        </w:rPr>
        <w:t xml:space="preserve"> Also, the Secretariat noted that the requested clinical criteria for continuing therapy</w:t>
      </w:r>
      <w:r w:rsidRPr="00804648">
        <w:rPr>
          <w:rFonts w:eastAsia="Calibri"/>
        </w:rPr>
        <w:t xml:space="preserve"> did not have defined continuation rules with respect to improvements in specific clinical parameters, and therefore proposed that the listing could be simplified by combining initial and continuing treatment into one treatment phase.</w:t>
      </w:r>
      <w:r w:rsidR="008578B6" w:rsidRPr="00804648">
        <w:rPr>
          <w:rFonts w:eastAsia="Calibri"/>
        </w:rPr>
        <w:t xml:space="preserve"> The proposed restriction allows grandfathered patients to move to PBS-subsidised treatment.</w:t>
      </w:r>
      <w:bookmarkEnd w:id="1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984"/>
        <w:gridCol w:w="993"/>
        <w:gridCol w:w="992"/>
        <w:gridCol w:w="850"/>
        <w:gridCol w:w="1134"/>
      </w:tblGrid>
      <w:tr w:rsidR="003665E0" w:rsidRPr="00804648" w14:paraId="7D59D8C6" w14:textId="77777777" w:rsidTr="0034009B">
        <w:trPr>
          <w:cantSplit/>
          <w:trHeight w:val="471"/>
        </w:trPr>
        <w:tc>
          <w:tcPr>
            <w:tcW w:w="9067" w:type="dxa"/>
            <w:gridSpan w:val="6"/>
          </w:tcPr>
          <w:p w14:paraId="1C40CF35" w14:textId="12F9E17D" w:rsidR="003665E0" w:rsidRPr="00804648" w:rsidRDefault="003665E0" w:rsidP="00000A16">
            <w:pPr>
              <w:keepNext/>
              <w:keepLines/>
              <w:ind w:left="-57"/>
              <w:rPr>
                <w:rFonts w:ascii="Arial Narrow" w:eastAsia="Calibri" w:hAnsi="Arial Narrow"/>
                <w:sz w:val="20"/>
                <w:szCs w:val="20"/>
              </w:rPr>
            </w:pPr>
            <w:r w:rsidRPr="00804648">
              <w:rPr>
                <w:rFonts w:ascii="Arial Narrow" w:eastAsia="Calibri" w:hAnsi="Arial Narrow"/>
                <w:b/>
                <w:sz w:val="20"/>
                <w:szCs w:val="20"/>
              </w:rPr>
              <w:t xml:space="preserve">Category / Program:   </w:t>
            </w:r>
            <w:r w:rsidRPr="00804648">
              <w:rPr>
                <w:rFonts w:ascii="Arial Narrow" w:eastAsia="Calibri" w:hAnsi="Arial Narrow"/>
                <w:sz w:val="20"/>
                <w:szCs w:val="20"/>
              </w:rPr>
              <w:t>Section 100 – Highly Specialised Drugs Program (Public/Private hospital codes)</w:t>
            </w:r>
          </w:p>
        </w:tc>
      </w:tr>
      <w:tr w:rsidR="003665E0" w:rsidRPr="00804648" w14:paraId="6076A1CB" w14:textId="77777777" w:rsidTr="0034009B">
        <w:trPr>
          <w:cantSplit/>
          <w:trHeight w:val="471"/>
        </w:trPr>
        <w:tc>
          <w:tcPr>
            <w:tcW w:w="3114" w:type="dxa"/>
          </w:tcPr>
          <w:p w14:paraId="7ADE30CB" w14:textId="77777777" w:rsidR="003665E0" w:rsidRPr="00804648" w:rsidRDefault="003665E0" w:rsidP="0034009B">
            <w:pPr>
              <w:keepNext/>
              <w:keepLines/>
              <w:ind w:left="-57"/>
              <w:rPr>
                <w:rFonts w:ascii="Arial Narrow" w:eastAsia="Calibri" w:hAnsi="Arial Narrow"/>
                <w:b/>
                <w:bCs/>
                <w:sz w:val="20"/>
                <w:szCs w:val="20"/>
              </w:rPr>
            </w:pPr>
            <w:r w:rsidRPr="00804648">
              <w:rPr>
                <w:rFonts w:ascii="Arial Narrow" w:eastAsia="Calibri" w:hAnsi="Arial Narrow"/>
                <w:b/>
                <w:bCs/>
                <w:sz w:val="20"/>
                <w:szCs w:val="20"/>
              </w:rPr>
              <w:t>MEDICINAL PRODUCT</w:t>
            </w:r>
          </w:p>
          <w:p w14:paraId="3902C82B" w14:textId="77777777" w:rsidR="003665E0" w:rsidRPr="00804648" w:rsidRDefault="003665E0" w:rsidP="0034009B">
            <w:pPr>
              <w:keepNext/>
              <w:keepLines/>
              <w:ind w:left="-57"/>
              <w:rPr>
                <w:rFonts w:ascii="Arial Narrow" w:eastAsia="Calibri" w:hAnsi="Arial Narrow"/>
                <w:b/>
                <w:sz w:val="20"/>
                <w:szCs w:val="20"/>
              </w:rPr>
            </w:pPr>
            <w:r w:rsidRPr="00804648">
              <w:rPr>
                <w:rFonts w:ascii="Arial Narrow" w:eastAsia="Calibri" w:hAnsi="Arial Narrow"/>
                <w:b/>
                <w:bCs/>
                <w:sz w:val="20"/>
                <w:szCs w:val="20"/>
              </w:rPr>
              <w:t>medicinal product pack</w:t>
            </w:r>
          </w:p>
        </w:tc>
        <w:tc>
          <w:tcPr>
            <w:tcW w:w="1984" w:type="dxa"/>
          </w:tcPr>
          <w:p w14:paraId="3AC5ED2B" w14:textId="77777777" w:rsidR="003665E0" w:rsidRPr="00804648" w:rsidRDefault="003665E0" w:rsidP="0034009B">
            <w:pPr>
              <w:keepNext/>
              <w:keepLines/>
              <w:ind w:left="-57"/>
              <w:jc w:val="center"/>
              <w:rPr>
                <w:rFonts w:ascii="Arial Narrow" w:eastAsia="Calibri" w:hAnsi="Arial Narrow"/>
                <w:b/>
                <w:sz w:val="20"/>
                <w:szCs w:val="20"/>
              </w:rPr>
            </w:pPr>
            <w:r w:rsidRPr="00804648">
              <w:rPr>
                <w:rFonts w:ascii="Arial Narrow" w:eastAsia="Calibri" w:hAnsi="Arial Narrow"/>
                <w:b/>
                <w:sz w:val="20"/>
                <w:szCs w:val="20"/>
              </w:rPr>
              <w:t>PBS item code</w:t>
            </w:r>
          </w:p>
        </w:tc>
        <w:tc>
          <w:tcPr>
            <w:tcW w:w="993" w:type="dxa"/>
          </w:tcPr>
          <w:p w14:paraId="56285267" w14:textId="77777777" w:rsidR="003665E0" w:rsidRPr="00804648" w:rsidRDefault="003665E0" w:rsidP="0034009B">
            <w:pPr>
              <w:keepNext/>
              <w:keepLines/>
              <w:ind w:left="-57"/>
              <w:jc w:val="center"/>
              <w:rPr>
                <w:rFonts w:ascii="Arial Narrow" w:eastAsia="Calibri" w:hAnsi="Arial Narrow"/>
                <w:b/>
                <w:sz w:val="20"/>
                <w:szCs w:val="20"/>
              </w:rPr>
            </w:pPr>
            <w:r w:rsidRPr="00804648">
              <w:rPr>
                <w:rFonts w:ascii="Arial Narrow" w:eastAsia="Calibri" w:hAnsi="Arial Narrow"/>
                <w:b/>
                <w:sz w:val="20"/>
                <w:szCs w:val="20"/>
              </w:rPr>
              <w:t>Max. qty packs</w:t>
            </w:r>
          </w:p>
        </w:tc>
        <w:tc>
          <w:tcPr>
            <w:tcW w:w="992" w:type="dxa"/>
          </w:tcPr>
          <w:p w14:paraId="63EE13B4" w14:textId="77777777" w:rsidR="003665E0" w:rsidRPr="00804648" w:rsidRDefault="003665E0" w:rsidP="0034009B">
            <w:pPr>
              <w:keepNext/>
              <w:keepLines/>
              <w:ind w:left="-57"/>
              <w:jc w:val="center"/>
              <w:rPr>
                <w:rFonts w:ascii="Arial Narrow" w:eastAsia="Calibri" w:hAnsi="Arial Narrow"/>
                <w:b/>
                <w:sz w:val="20"/>
                <w:szCs w:val="20"/>
              </w:rPr>
            </w:pPr>
            <w:r w:rsidRPr="00804648">
              <w:rPr>
                <w:rFonts w:ascii="Arial Narrow" w:eastAsia="Calibri" w:hAnsi="Arial Narrow"/>
                <w:b/>
                <w:sz w:val="20"/>
                <w:szCs w:val="20"/>
              </w:rPr>
              <w:t>Max. qty units</w:t>
            </w:r>
          </w:p>
        </w:tc>
        <w:tc>
          <w:tcPr>
            <w:tcW w:w="850" w:type="dxa"/>
          </w:tcPr>
          <w:p w14:paraId="3F76DBDF" w14:textId="77777777" w:rsidR="003665E0" w:rsidRPr="00804648" w:rsidRDefault="003665E0" w:rsidP="0034009B">
            <w:pPr>
              <w:keepNext/>
              <w:keepLines/>
              <w:ind w:left="-57"/>
              <w:jc w:val="center"/>
              <w:rPr>
                <w:rFonts w:ascii="Arial Narrow" w:eastAsia="Calibri" w:hAnsi="Arial Narrow"/>
                <w:b/>
                <w:sz w:val="20"/>
                <w:szCs w:val="20"/>
              </w:rPr>
            </w:pPr>
            <w:r w:rsidRPr="00804648">
              <w:rPr>
                <w:rFonts w:ascii="Arial Narrow" w:eastAsia="Calibri" w:hAnsi="Arial Narrow"/>
                <w:b/>
                <w:sz w:val="20"/>
                <w:szCs w:val="20"/>
              </w:rPr>
              <w:t>№.of</w:t>
            </w:r>
          </w:p>
          <w:p w14:paraId="4DDDE10A" w14:textId="77777777" w:rsidR="003665E0" w:rsidRPr="00804648" w:rsidRDefault="003665E0" w:rsidP="0034009B">
            <w:pPr>
              <w:keepNext/>
              <w:keepLines/>
              <w:ind w:left="-57"/>
              <w:jc w:val="center"/>
              <w:rPr>
                <w:rFonts w:ascii="Arial Narrow" w:eastAsia="Calibri" w:hAnsi="Arial Narrow"/>
                <w:b/>
                <w:sz w:val="20"/>
                <w:szCs w:val="20"/>
              </w:rPr>
            </w:pPr>
            <w:r w:rsidRPr="00804648">
              <w:rPr>
                <w:rFonts w:ascii="Arial Narrow" w:eastAsia="Calibri" w:hAnsi="Arial Narrow"/>
                <w:b/>
                <w:sz w:val="20"/>
                <w:szCs w:val="20"/>
              </w:rPr>
              <w:t>Rpts</w:t>
            </w:r>
          </w:p>
        </w:tc>
        <w:tc>
          <w:tcPr>
            <w:tcW w:w="1134" w:type="dxa"/>
          </w:tcPr>
          <w:p w14:paraId="540F0D1B" w14:textId="77777777" w:rsidR="003665E0" w:rsidRPr="00804648" w:rsidRDefault="003665E0" w:rsidP="0034009B">
            <w:pPr>
              <w:keepNext/>
              <w:keepLines/>
              <w:ind w:left="-57"/>
              <w:rPr>
                <w:rFonts w:ascii="Arial Narrow" w:eastAsia="Calibri" w:hAnsi="Arial Narrow"/>
                <w:b/>
                <w:sz w:val="20"/>
                <w:szCs w:val="20"/>
              </w:rPr>
            </w:pPr>
            <w:r w:rsidRPr="00804648">
              <w:rPr>
                <w:rFonts w:ascii="Arial Narrow" w:eastAsia="Calibri" w:hAnsi="Arial Narrow"/>
                <w:b/>
                <w:sz w:val="20"/>
                <w:szCs w:val="20"/>
              </w:rPr>
              <w:t>Available brands</w:t>
            </w:r>
          </w:p>
        </w:tc>
      </w:tr>
      <w:tr w:rsidR="003665E0" w:rsidRPr="00804648" w14:paraId="597F0A9E" w14:textId="77777777" w:rsidTr="0034009B">
        <w:trPr>
          <w:cantSplit/>
          <w:trHeight w:val="224"/>
        </w:trPr>
        <w:tc>
          <w:tcPr>
            <w:tcW w:w="9067" w:type="dxa"/>
            <w:gridSpan w:val="6"/>
          </w:tcPr>
          <w:p w14:paraId="4229D28C" w14:textId="77777777" w:rsidR="003665E0" w:rsidRPr="00804648" w:rsidRDefault="003665E0" w:rsidP="0034009B">
            <w:pPr>
              <w:keepNext/>
              <w:keepLines/>
              <w:ind w:left="-57"/>
              <w:rPr>
                <w:rFonts w:ascii="Arial Narrow" w:eastAsia="Calibri" w:hAnsi="Arial Narrow"/>
                <w:sz w:val="20"/>
                <w:szCs w:val="20"/>
              </w:rPr>
            </w:pPr>
            <w:r w:rsidRPr="00804648">
              <w:rPr>
                <w:rFonts w:ascii="Arial Narrow" w:eastAsia="Calibri" w:hAnsi="Arial Narrow"/>
                <w:sz w:val="20"/>
                <w:szCs w:val="20"/>
              </w:rPr>
              <w:t xml:space="preserve">OLIPUDASE ALFA </w:t>
            </w:r>
          </w:p>
        </w:tc>
      </w:tr>
      <w:tr w:rsidR="003665E0" w:rsidRPr="00804648" w14:paraId="7F592AB1" w14:textId="77777777" w:rsidTr="0034009B">
        <w:trPr>
          <w:cantSplit/>
          <w:trHeight w:val="347"/>
        </w:trPr>
        <w:tc>
          <w:tcPr>
            <w:tcW w:w="3114" w:type="dxa"/>
          </w:tcPr>
          <w:p w14:paraId="79C72D5B" w14:textId="77777777" w:rsidR="003665E0" w:rsidRPr="00804648" w:rsidRDefault="003665E0" w:rsidP="0034009B">
            <w:pPr>
              <w:keepNext/>
              <w:keepLines/>
              <w:ind w:left="-57"/>
              <w:jc w:val="left"/>
              <w:rPr>
                <w:rFonts w:ascii="Arial Narrow" w:eastAsia="Calibri" w:hAnsi="Arial Narrow"/>
                <w:sz w:val="20"/>
                <w:szCs w:val="20"/>
              </w:rPr>
            </w:pPr>
            <w:r w:rsidRPr="00804648">
              <w:rPr>
                <w:rFonts w:ascii="Arial Narrow" w:eastAsia="Calibri" w:hAnsi="Arial Narrow"/>
                <w:sz w:val="20"/>
                <w:szCs w:val="20"/>
              </w:rPr>
              <w:t>olipudase alfa powder for injection 20 mg, 1</w:t>
            </w:r>
          </w:p>
        </w:tc>
        <w:tc>
          <w:tcPr>
            <w:tcW w:w="1984" w:type="dxa"/>
          </w:tcPr>
          <w:p w14:paraId="6923F3B8" w14:textId="77777777" w:rsidR="003665E0" w:rsidRPr="00804648" w:rsidRDefault="003665E0" w:rsidP="0034009B">
            <w:pPr>
              <w:keepNext/>
              <w:keepLines/>
              <w:ind w:left="-57"/>
              <w:jc w:val="center"/>
              <w:rPr>
                <w:rFonts w:ascii="Arial Narrow" w:eastAsia="Calibri" w:hAnsi="Arial Narrow"/>
                <w:sz w:val="20"/>
                <w:szCs w:val="20"/>
              </w:rPr>
            </w:pPr>
            <w:r w:rsidRPr="00804648">
              <w:rPr>
                <w:rFonts w:ascii="Arial Narrow" w:eastAsia="Calibri" w:hAnsi="Arial Narrow"/>
                <w:sz w:val="20"/>
                <w:szCs w:val="20"/>
              </w:rPr>
              <w:t>New 2 (Public)</w:t>
            </w:r>
          </w:p>
          <w:p w14:paraId="2349B6D5" w14:textId="77777777" w:rsidR="003665E0" w:rsidRPr="00804648" w:rsidRDefault="003665E0" w:rsidP="0034009B">
            <w:pPr>
              <w:keepNext/>
              <w:keepLines/>
              <w:ind w:left="-57"/>
              <w:jc w:val="center"/>
              <w:rPr>
                <w:rFonts w:ascii="Arial Narrow" w:eastAsia="Calibri" w:hAnsi="Arial Narrow"/>
                <w:sz w:val="20"/>
                <w:szCs w:val="20"/>
              </w:rPr>
            </w:pPr>
            <w:r w:rsidRPr="00804648">
              <w:rPr>
                <w:rFonts w:ascii="Arial Narrow" w:eastAsia="Calibri" w:hAnsi="Arial Narrow"/>
                <w:sz w:val="20"/>
                <w:szCs w:val="20"/>
              </w:rPr>
              <w:t>New 2.1 (Private)</w:t>
            </w:r>
          </w:p>
          <w:p w14:paraId="5DF7CCD0" w14:textId="77777777" w:rsidR="003665E0" w:rsidRPr="00804648" w:rsidRDefault="003665E0" w:rsidP="0034009B">
            <w:pPr>
              <w:keepNext/>
              <w:keepLines/>
              <w:ind w:left="-57"/>
              <w:jc w:val="center"/>
              <w:rPr>
                <w:rFonts w:ascii="Arial Narrow" w:eastAsia="Calibri" w:hAnsi="Arial Narrow"/>
                <w:sz w:val="20"/>
                <w:szCs w:val="20"/>
                <w:vertAlign w:val="subscript"/>
              </w:rPr>
            </w:pPr>
            <w:r w:rsidRPr="00804648">
              <w:rPr>
                <w:rFonts w:ascii="Arial Narrow" w:eastAsia="Calibri" w:hAnsi="Arial Narrow"/>
                <w:sz w:val="20"/>
                <w:szCs w:val="20"/>
                <w:vertAlign w:val="subscript"/>
              </w:rPr>
              <w:t>MP</w:t>
            </w:r>
          </w:p>
        </w:tc>
        <w:tc>
          <w:tcPr>
            <w:tcW w:w="993" w:type="dxa"/>
          </w:tcPr>
          <w:p w14:paraId="067933B0" w14:textId="77777777" w:rsidR="003665E0" w:rsidRPr="00804648" w:rsidRDefault="003665E0" w:rsidP="0034009B">
            <w:pPr>
              <w:keepNext/>
              <w:keepLines/>
              <w:ind w:left="-57"/>
              <w:jc w:val="center"/>
              <w:rPr>
                <w:rFonts w:ascii="Arial Narrow" w:eastAsia="Calibri" w:hAnsi="Arial Narrow"/>
                <w:sz w:val="20"/>
                <w:szCs w:val="20"/>
              </w:rPr>
            </w:pPr>
            <w:r w:rsidRPr="00804648">
              <w:rPr>
                <w:rFonts w:ascii="Arial Narrow" w:eastAsia="Calibri" w:hAnsi="Arial Narrow"/>
                <w:sz w:val="20"/>
                <w:szCs w:val="20"/>
              </w:rPr>
              <w:t>12</w:t>
            </w:r>
          </w:p>
        </w:tc>
        <w:tc>
          <w:tcPr>
            <w:tcW w:w="992" w:type="dxa"/>
          </w:tcPr>
          <w:p w14:paraId="72C09E88" w14:textId="77777777" w:rsidR="003665E0" w:rsidRPr="00804648" w:rsidRDefault="003665E0" w:rsidP="0034009B">
            <w:pPr>
              <w:keepNext/>
              <w:keepLines/>
              <w:ind w:left="-57"/>
              <w:jc w:val="center"/>
              <w:rPr>
                <w:rFonts w:ascii="Arial Narrow" w:eastAsia="Calibri" w:hAnsi="Arial Narrow"/>
                <w:sz w:val="20"/>
                <w:szCs w:val="20"/>
              </w:rPr>
            </w:pPr>
            <w:r w:rsidRPr="00804648">
              <w:rPr>
                <w:rFonts w:ascii="Arial Narrow" w:eastAsia="Calibri" w:hAnsi="Arial Narrow"/>
                <w:sz w:val="20"/>
                <w:szCs w:val="20"/>
              </w:rPr>
              <w:t>12</w:t>
            </w:r>
          </w:p>
        </w:tc>
        <w:tc>
          <w:tcPr>
            <w:tcW w:w="850" w:type="dxa"/>
          </w:tcPr>
          <w:p w14:paraId="628EBF11" w14:textId="77777777" w:rsidR="003665E0" w:rsidRPr="00804648" w:rsidRDefault="003665E0" w:rsidP="0034009B">
            <w:pPr>
              <w:keepNext/>
              <w:keepLines/>
              <w:ind w:left="-57"/>
              <w:jc w:val="center"/>
              <w:rPr>
                <w:rFonts w:ascii="Arial Narrow" w:eastAsia="Calibri" w:hAnsi="Arial Narrow"/>
                <w:sz w:val="20"/>
                <w:szCs w:val="20"/>
              </w:rPr>
            </w:pPr>
            <w:r w:rsidRPr="00804648">
              <w:rPr>
                <w:rFonts w:ascii="Arial Narrow" w:eastAsia="Calibri" w:hAnsi="Arial Narrow"/>
                <w:sz w:val="20"/>
                <w:szCs w:val="20"/>
              </w:rPr>
              <w:t>11</w:t>
            </w:r>
          </w:p>
        </w:tc>
        <w:tc>
          <w:tcPr>
            <w:tcW w:w="1134" w:type="dxa"/>
          </w:tcPr>
          <w:p w14:paraId="1944CC2A" w14:textId="77777777" w:rsidR="003665E0" w:rsidRPr="00804648" w:rsidRDefault="003665E0" w:rsidP="0034009B">
            <w:pPr>
              <w:keepNext/>
              <w:keepLines/>
              <w:ind w:left="-57"/>
              <w:rPr>
                <w:rFonts w:ascii="Arial Narrow" w:eastAsia="Calibri" w:hAnsi="Arial Narrow"/>
                <w:sz w:val="20"/>
                <w:szCs w:val="20"/>
              </w:rPr>
            </w:pPr>
            <w:r w:rsidRPr="00804648">
              <w:rPr>
                <w:rFonts w:ascii="Arial Narrow" w:eastAsia="Calibri" w:hAnsi="Arial Narrow"/>
                <w:sz w:val="20"/>
                <w:szCs w:val="20"/>
              </w:rPr>
              <w:t>Xenpozyme</w:t>
            </w:r>
          </w:p>
        </w:tc>
      </w:tr>
      <w:tr w:rsidR="003665E0" w:rsidRPr="00804648" w14:paraId="7A617144"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1AC7B46D" w14:textId="77777777" w:rsidR="003665E0" w:rsidRPr="00804648" w:rsidRDefault="003665E0" w:rsidP="0034009B">
            <w:pPr>
              <w:rPr>
                <w:rFonts w:ascii="Arial Narrow" w:eastAsia="Calibri" w:hAnsi="Arial Narrow"/>
                <w:b/>
                <w:sz w:val="20"/>
                <w:szCs w:val="20"/>
              </w:rPr>
            </w:pPr>
          </w:p>
        </w:tc>
      </w:tr>
      <w:tr w:rsidR="003665E0" w:rsidRPr="00804648" w14:paraId="5AAB8011"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07433C56" w14:textId="75EF30EA" w:rsidR="003665E0" w:rsidRPr="00804648" w:rsidRDefault="003665E0" w:rsidP="0034009B">
            <w:pPr>
              <w:rPr>
                <w:rFonts w:ascii="Arial Narrow" w:eastAsia="Calibri" w:hAnsi="Arial Narrow" w:cs="Times New Roman"/>
                <w:b/>
                <w:sz w:val="20"/>
                <w:szCs w:val="20"/>
              </w:rPr>
            </w:pPr>
            <w:r w:rsidRPr="00804648">
              <w:rPr>
                <w:rFonts w:ascii="Arial Narrow" w:eastAsia="Calibri" w:hAnsi="Arial Narrow" w:cs="Times New Roman"/>
                <w:b/>
                <w:sz w:val="20"/>
                <w:szCs w:val="20"/>
              </w:rPr>
              <w:t xml:space="preserve"> Authority Required </w:t>
            </w:r>
          </w:p>
          <w:p w14:paraId="396E61D2" w14:textId="77777777" w:rsidR="003665E0" w:rsidRPr="00804648" w:rsidRDefault="003665E0" w:rsidP="0034009B">
            <w:pPr>
              <w:rPr>
                <w:rFonts w:ascii="Arial Narrow" w:hAnsi="Arial Narrow" w:cs="Times New Roman"/>
                <w:b/>
                <w:bCs/>
                <w:color w:val="333333"/>
                <w:sz w:val="20"/>
                <w:szCs w:val="20"/>
              </w:rPr>
            </w:pPr>
          </w:p>
        </w:tc>
      </w:tr>
      <w:tr w:rsidR="00C32E2C" w:rsidRPr="00804648" w14:paraId="10A0D67E"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088926C4" w14:textId="77777777" w:rsidR="00C32E2C" w:rsidRPr="00804648" w:rsidRDefault="00C32E2C" w:rsidP="0034009B">
            <w:pPr>
              <w:rPr>
                <w:rFonts w:ascii="Arial Narrow" w:hAnsi="Arial Narrow" w:cs="Times New Roman"/>
                <w:b/>
                <w:bCs/>
                <w:color w:val="BFBFBF"/>
                <w:sz w:val="20"/>
                <w:szCs w:val="20"/>
              </w:rPr>
            </w:pPr>
            <w:r w:rsidRPr="00804648">
              <w:rPr>
                <w:rFonts w:ascii="Arial Narrow" w:hAnsi="Arial Narrow" w:cs="Times New Roman"/>
                <w:b/>
                <w:bCs/>
                <w:color w:val="BFBFBF"/>
                <w:sz w:val="20"/>
                <w:szCs w:val="20"/>
              </w:rPr>
              <w:t xml:space="preserve">Episodicity: </w:t>
            </w:r>
            <w:r w:rsidRPr="00804648">
              <w:rPr>
                <w:rFonts w:ascii="Arial Narrow" w:hAnsi="Arial Narrow" w:cs="Times New Roman"/>
                <w:color w:val="BFBFBF"/>
                <w:sz w:val="20"/>
                <w:szCs w:val="20"/>
              </w:rPr>
              <w:t>[blank]</w:t>
            </w:r>
          </w:p>
        </w:tc>
      </w:tr>
      <w:tr w:rsidR="00C32E2C" w:rsidRPr="00804648" w14:paraId="16BFED2E"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E96B58F" w14:textId="77777777" w:rsidR="00C32E2C" w:rsidRPr="00804648" w:rsidRDefault="00C32E2C" w:rsidP="0034009B">
            <w:pPr>
              <w:rPr>
                <w:rFonts w:ascii="Arial Narrow" w:hAnsi="Arial Narrow" w:cs="Times New Roman"/>
                <w:b/>
                <w:bCs/>
                <w:color w:val="BFBFBF"/>
                <w:sz w:val="20"/>
                <w:szCs w:val="20"/>
              </w:rPr>
            </w:pPr>
            <w:r w:rsidRPr="00804648">
              <w:rPr>
                <w:rFonts w:ascii="Arial Narrow" w:hAnsi="Arial Narrow" w:cs="Times New Roman"/>
                <w:b/>
                <w:bCs/>
                <w:color w:val="BFBFBF"/>
                <w:sz w:val="20"/>
                <w:szCs w:val="20"/>
              </w:rPr>
              <w:t xml:space="preserve">Severity: </w:t>
            </w:r>
            <w:r w:rsidRPr="00804648">
              <w:rPr>
                <w:rFonts w:ascii="Arial Narrow" w:hAnsi="Arial Narrow" w:cs="Times New Roman"/>
                <w:color w:val="BFBFBF"/>
                <w:sz w:val="20"/>
                <w:szCs w:val="20"/>
              </w:rPr>
              <w:t>[blank]</w:t>
            </w:r>
          </w:p>
        </w:tc>
      </w:tr>
      <w:tr w:rsidR="00C32E2C" w:rsidRPr="00804648" w14:paraId="05EFC4DE"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D7328C4" w14:textId="77777777" w:rsidR="00C32E2C" w:rsidRPr="00804648" w:rsidRDefault="00C32E2C" w:rsidP="0034009B">
            <w:pPr>
              <w:rPr>
                <w:rFonts w:ascii="Arial Narrow" w:hAnsi="Arial Narrow" w:cs="Times New Roman"/>
                <w:b/>
                <w:bCs/>
                <w:color w:val="BFBFBF"/>
                <w:sz w:val="20"/>
                <w:szCs w:val="20"/>
              </w:rPr>
            </w:pPr>
            <w:r w:rsidRPr="00804648">
              <w:rPr>
                <w:rFonts w:ascii="Arial Narrow" w:hAnsi="Arial Narrow" w:cs="Times New Roman"/>
                <w:b/>
                <w:bCs/>
                <w:color w:val="BFBFBF"/>
                <w:sz w:val="20"/>
                <w:szCs w:val="20"/>
              </w:rPr>
              <w:t xml:space="preserve">Condition: </w:t>
            </w:r>
            <w:r w:rsidRPr="00804648">
              <w:rPr>
                <w:rFonts w:ascii="Arial Narrow" w:hAnsi="Arial Narrow" w:cs="Times New Roman"/>
                <w:color w:val="BFBFBF"/>
                <w:sz w:val="20"/>
                <w:szCs w:val="20"/>
              </w:rPr>
              <w:t>Sphingomyelin/cholesterol lipidosis (also known as Niemann-Pick disease, or, acid sphingomyelinase deficiency)</w:t>
            </w:r>
          </w:p>
        </w:tc>
      </w:tr>
      <w:tr w:rsidR="00C32E2C" w:rsidRPr="00804648" w14:paraId="0AF19329"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6D455EF"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b/>
                <w:bCs/>
                <w:color w:val="333333"/>
                <w:sz w:val="20"/>
                <w:szCs w:val="20"/>
              </w:rPr>
              <w:t>Indication:</w:t>
            </w:r>
            <w:r w:rsidRPr="00804648">
              <w:rPr>
                <w:rFonts w:ascii="Arial Narrow" w:hAnsi="Arial Narrow" w:cs="Times New Roman"/>
                <w:color w:val="333333"/>
                <w:sz w:val="20"/>
                <w:szCs w:val="20"/>
              </w:rPr>
              <w:t xml:space="preserve"> Sphingomyelin/cholesterol lipidosis (also known as Niemann-Pick disease, or, acid sphingomyelinase deficiency)</w:t>
            </w:r>
          </w:p>
        </w:tc>
      </w:tr>
      <w:tr w:rsidR="00C32E2C" w:rsidRPr="00804648" w14:paraId="20EF1A46"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AEF146A" w14:textId="77777777" w:rsidR="00C32E2C" w:rsidRPr="00804648" w:rsidRDefault="00C32E2C" w:rsidP="0034009B">
            <w:pPr>
              <w:rPr>
                <w:rFonts w:ascii="Arial Narrow" w:hAnsi="Arial Narrow" w:cs="Times New Roman"/>
                <w:b/>
                <w:bCs/>
                <w:color w:val="333333"/>
                <w:sz w:val="20"/>
                <w:szCs w:val="20"/>
              </w:rPr>
            </w:pPr>
          </w:p>
        </w:tc>
      </w:tr>
      <w:tr w:rsidR="00C32E2C" w:rsidRPr="00804648" w14:paraId="1D9D2B7F"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F4FA5EC"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b/>
                <w:bCs/>
                <w:color w:val="333333"/>
                <w:sz w:val="20"/>
                <w:szCs w:val="20"/>
              </w:rPr>
              <w:t>Clinical criteria:</w:t>
            </w:r>
          </w:p>
        </w:tc>
      </w:tr>
      <w:tr w:rsidR="00C32E2C" w:rsidRPr="00804648" w14:paraId="07BB1662"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0E951108" w14:textId="77777777" w:rsidR="00C32E2C" w:rsidRPr="00804648" w:rsidRDefault="00C32E2C" w:rsidP="0034009B">
            <w:pPr>
              <w:rPr>
                <w:rFonts w:ascii="Arial Narrow" w:hAnsi="Arial Narrow" w:cs="Times New Roman"/>
                <w:color w:val="333333"/>
                <w:sz w:val="20"/>
                <w:szCs w:val="20"/>
              </w:rPr>
            </w:pPr>
            <w:r w:rsidRPr="00804648">
              <w:rPr>
                <w:rFonts w:ascii="Arial Narrow" w:eastAsia="Calibri" w:hAnsi="Arial Narrow" w:cs="Arial Narrow"/>
                <w:sz w:val="20"/>
                <w:szCs w:val="20"/>
              </w:rPr>
              <w:t xml:space="preserve">The condition must be </w:t>
            </w:r>
            <w:proofErr w:type="gramStart"/>
            <w:r w:rsidRPr="00804648">
              <w:rPr>
                <w:rFonts w:ascii="Arial Narrow" w:eastAsia="Calibri" w:hAnsi="Arial Narrow" w:cs="Arial Narrow"/>
                <w:sz w:val="20"/>
                <w:szCs w:val="20"/>
              </w:rPr>
              <w:t>type</w:t>
            </w:r>
            <w:proofErr w:type="gramEnd"/>
            <w:r w:rsidRPr="00804648">
              <w:rPr>
                <w:rFonts w:ascii="Arial Narrow" w:eastAsia="Calibri" w:hAnsi="Arial Narrow" w:cs="Arial Narrow"/>
                <w:sz w:val="20"/>
                <w:szCs w:val="20"/>
              </w:rPr>
              <w:t xml:space="preserve"> B disease; or</w:t>
            </w:r>
          </w:p>
        </w:tc>
      </w:tr>
      <w:tr w:rsidR="00C32E2C" w:rsidRPr="00804648" w14:paraId="39ABB4A0" w14:textId="77777777" w:rsidTr="0034009B">
        <w:tblPrEx>
          <w:tblCellMar>
            <w:top w:w="15" w:type="dxa"/>
            <w:left w:w="15" w:type="dxa"/>
            <w:bottom w:w="15" w:type="dxa"/>
            <w:right w:w="15" w:type="dxa"/>
          </w:tblCellMar>
          <w:tblLook w:val="04A0" w:firstRow="1" w:lastRow="0" w:firstColumn="1" w:lastColumn="0" w:noHBand="0" w:noVBand="1"/>
        </w:tblPrEx>
        <w:trPr>
          <w:trHeight w:val="423"/>
        </w:trPr>
        <w:tc>
          <w:tcPr>
            <w:tcW w:w="9067" w:type="dxa"/>
            <w:gridSpan w:val="6"/>
            <w:vAlign w:val="center"/>
          </w:tcPr>
          <w:p w14:paraId="2024AA73" w14:textId="77777777" w:rsidR="00C32E2C" w:rsidRPr="00804648" w:rsidRDefault="00C32E2C" w:rsidP="0034009B">
            <w:pPr>
              <w:pStyle w:val="CommentText"/>
            </w:pPr>
            <w:r w:rsidRPr="00804648">
              <w:rPr>
                <w:rFonts w:ascii="Arial Narrow" w:eastAsia="Calibri" w:hAnsi="Arial Narrow" w:cs="Arial Narrow"/>
              </w:rPr>
              <w:t xml:space="preserve">The condition must be </w:t>
            </w:r>
            <w:proofErr w:type="gramStart"/>
            <w:r w:rsidRPr="00804648">
              <w:rPr>
                <w:rFonts w:ascii="Arial Narrow" w:eastAsia="Calibri" w:hAnsi="Arial Narrow" w:cs="Arial Narrow"/>
              </w:rPr>
              <w:t>type</w:t>
            </w:r>
            <w:proofErr w:type="gramEnd"/>
            <w:r w:rsidRPr="00804648">
              <w:rPr>
                <w:rFonts w:ascii="Arial Narrow" w:eastAsia="Calibri" w:hAnsi="Arial Narrow" w:cs="Arial Narrow"/>
              </w:rPr>
              <w:t xml:space="preserve"> A/B disease (i.e. disease that is neither type A disease, nor type B disease, but has disease manifestations intermediate to types A and B)</w:t>
            </w:r>
          </w:p>
        </w:tc>
      </w:tr>
      <w:tr w:rsidR="00C32E2C" w:rsidRPr="00804648" w14:paraId="51FF92FE"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65F52FD"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b/>
                <w:bCs/>
                <w:color w:val="333333"/>
                <w:sz w:val="20"/>
                <w:szCs w:val="20"/>
              </w:rPr>
              <w:t>AND</w:t>
            </w:r>
          </w:p>
        </w:tc>
      </w:tr>
      <w:tr w:rsidR="00C32E2C" w:rsidRPr="00804648" w14:paraId="5306EE8B"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0CA28CF9" w14:textId="77777777" w:rsidR="00C32E2C" w:rsidRPr="00804648" w:rsidRDefault="00C32E2C" w:rsidP="0034009B">
            <w:pPr>
              <w:rPr>
                <w:rFonts w:ascii="Arial Narrow" w:hAnsi="Arial Narrow" w:cs="Times New Roman"/>
                <w:b/>
                <w:bCs/>
                <w:color w:val="333333"/>
                <w:sz w:val="20"/>
                <w:szCs w:val="20"/>
              </w:rPr>
            </w:pPr>
            <w:r w:rsidRPr="00804648">
              <w:rPr>
                <w:rFonts w:ascii="Arial Narrow" w:hAnsi="Arial Narrow" w:cs="Times New Roman"/>
                <w:b/>
                <w:bCs/>
                <w:color w:val="333333"/>
                <w:sz w:val="20"/>
                <w:szCs w:val="20"/>
              </w:rPr>
              <w:t>Clinical criteria:</w:t>
            </w:r>
          </w:p>
        </w:tc>
      </w:tr>
      <w:tr w:rsidR="00C32E2C" w:rsidRPr="00804648" w14:paraId="1D606ACF"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7817B34"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color w:val="333333"/>
                <w:sz w:val="20"/>
                <w:szCs w:val="20"/>
              </w:rPr>
              <w:t>The condition must have, prior to initiating treatment with this drug, evidence of acid sphingomyelinase deficiency (ASMD) in any of: (i) peripheral leukocytes, (ii) cultured fibroblasts, (iii) lymphocytes; or</w:t>
            </w:r>
          </w:p>
        </w:tc>
      </w:tr>
      <w:tr w:rsidR="00C32E2C" w:rsidRPr="00804648" w14:paraId="696A74B4"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083C006"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color w:val="333333"/>
                <w:sz w:val="20"/>
                <w:szCs w:val="20"/>
              </w:rPr>
              <w:lastRenderedPageBreak/>
              <w:t>The condition must have, prior to initiating treatment with this drug, evidence of bi allelic variants in the sphingomyelin phosphodiesterase 1 (SMPD1) gene that are either: (i) pathogenic, (ii) likely pathogenic; or</w:t>
            </w:r>
          </w:p>
        </w:tc>
      </w:tr>
      <w:tr w:rsidR="00C32E2C" w:rsidRPr="00804648" w14:paraId="67615514"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C294C4F"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color w:val="333333"/>
                <w:sz w:val="20"/>
                <w:szCs w:val="20"/>
              </w:rPr>
              <w:t>The condition must have, prior to initiating treatment with this drug, evidence of both: (i) ASMD, (ii) pathogenic/likely pathogenic SMPD1 gene variants</w:t>
            </w:r>
          </w:p>
        </w:tc>
      </w:tr>
      <w:tr w:rsidR="00C32E2C" w:rsidRPr="00804648" w14:paraId="64994169"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F0CAEC3"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b/>
                <w:bCs/>
                <w:color w:val="333333"/>
                <w:sz w:val="20"/>
                <w:szCs w:val="20"/>
              </w:rPr>
              <w:t>AND</w:t>
            </w:r>
          </w:p>
        </w:tc>
      </w:tr>
      <w:tr w:rsidR="00C32E2C" w:rsidRPr="00804648" w14:paraId="5D733354"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3FAF419"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b/>
                <w:bCs/>
                <w:color w:val="333333"/>
                <w:sz w:val="20"/>
                <w:szCs w:val="20"/>
              </w:rPr>
              <w:t>Clinical criteria:</w:t>
            </w:r>
          </w:p>
        </w:tc>
      </w:tr>
      <w:tr w:rsidR="00C32E2C" w:rsidRPr="00804648" w14:paraId="5161B241"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628AC2B" w14:textId="5CC1E5EC"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color w:val="333333"/>
                <w:sz w:val="20"/>
                <w:szCs w:val="20"/>
              </w:rPr>
              <w:t xml:space="preserve">The condition must have at least one of the following clinical findings prior to initiating treatment with this drug: (i) a spleen volume at least 6 multiples of normal where the patient is aged at least 18 years, (ii) a spleen volume at least 5 multiples of normal where the patient is aged less than 18 years, (iii) symptomatic organomegaly, (iv) interstitial lung disease, (v) increased liver enzymes greater than 2 times the upper limit of normal, (vi) hypersplenism, (vii) growth delay, where the patient is a child </w:t>
            </w:r>
          </w:p>
        </w:tc>
      </w:tr>
      <w:tr w:rsidR="00C32E2C" w:rsidRPr="00804648" w14:paraId="4954370C"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028D3DA" w14:textId="77777777" w:rsidR="00C32E2C" w:rsidRPr="00804648" w:rsidRDefault="00C32E2C" w:rsidP="0034009B">
            <w:pPr>
              <w:rPr>
                <w:rFonts w:ascii="Arial Narrow" w:hAnsi="Arial Narrow" w:cs="Times New Roman"/>
                <w:color w:val="333333"/>
                <w:sz w:val="20"/>
                <w:szCs w:val="20"/>
              </w:rPr>
            </w:pPr>
          </w:p>
        </w:tc>
      </w:tr>
      <w:tr w:rsidR="00C32E2C" w:rsidRPr="00804648" w14:paraId="23762D96"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679392DE"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hAnsi="Arial Narrow" w:cs="Times New Roman"/>
                <w:b/>
                <w:bCs/>
                <w:color w:val="333333"/>
                <w:sz w:val="20"/>
                <w:szCs w:val="20"/>
              </w:rPr>
              <w:t>Treatment criteria:</w:t>
            </w:r>
          </w:p>
        </w:tc>
      </w:tr>
      <w:tr w:rsidR="00C32E2C" w:rsidRPr="00804648" w14:paraId="7269FBD4"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A75C095"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Must be treated by a specialist physician with expertise in the management of inherited metabolic disorders; or</w:t>
            </w:r>
          </w:p>
        </w:tc>
      </w:tr>
      <w:tr w:rsidR="00C32E2C" w:rsidRPr="00804648" w14:paraId="79B976D3"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49B0270"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Must be treated by a medical practitioner who has been directed by a specialist physician of the type above to prescribe treatment with this drug</w:t>
            </w:r>
          </w:p>
        </w:tc>
      </w:tr>
      <w:tr w:rsidR="00C32E2C" w:rsidRPr="00804648" w14:paraId="008C2D10" w14:textId="77777777" w:rsidTr="00F26ED8">
        <w:tblPrEx>
          <w:tblCellMar>
            <w:top w:w="15" w:type="dxa"/>
            <w:left w:w="15" w:type="dxa"/>
            <w:bottom w:w="15" w:type="dxa"/>
            <w:right w:w="15" w:type="dxa"/>
          </w:tblCellMar>
          <w:tblLook w:val="04A0" w:firstRow="1" w:lastRow="0" w:firstColumn="1" w:lastColumn="0" w:noHBand="0" w:noVBand="1"/>
        </w:tblPrEx>
        <w:trPr>
          <w:trHeight w:val="227"/>
        </w:trPr>
        <w:tc>
          <w:tcPr>
            <w:tcW w:w="9067" w:type="dxa"/>
            <w:gridSpan w:val="6"/>
            <w:vAlign w:val="center"/>
          </w:tcPr>
          <w:p w14:paraId="1FF7CD50" w14:textId="77777777" w:rsidR="00C32E2C" w:rsidRPr="00804648" w:rsidRDefault="00C32E2C" w:rsidP="0034009B">
            <w:pPr>
              <w:autoSpaceDE w:val="0"/>
              <w:autoSpaceDN w:val="0"/>
              <w:adjustRightInd w:val="0"/>
              <w:rPr>
                <w:rFonts w:ascii="Arial Narrow" w:eastAsia="Calibri" w:hAnsi="Arial Narrow" w:cs="Arial Narrow"/>
                <w:sz w:val="20"/>
                <w:szCs w:val="20"/>
              </w:rPr>
            </w:pPr>
          </w:p>
        </w:tc>
      </w:tr>
      <w:tr w:rsidR="00C32E2C" w:rsidRPr="00804648" w14:paraId="36916462"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2D6F7D17" w14:textId="77777777" w:rsidR="00C32E2C" w:rsidRPr="00804648" w:rsidRDefault="00C32E2C" w:rsidP="0034009B">
            <w:pPr>
              <w:autoSpaceDE w:val="0"/>
              <w:autoSpaceDN w:val="0"/>
              <w:adjustRightInd w:val="0"/>
              <w:rPr>
                <w:rFonts w:ascii="Arial Narrow" w:eastAsia="Calibri" w:hAnsi="Arial Narrow" w:cs="Arial Narrow"/>
                <w:b/>
                <w:bCs/>
                <w:sz w:val="20"/>
                <w:szCs w:val="20"/>
              </w:rPr>
            </w:pPr>
            <w:r w:rsidRPr="00804648">
              <w:rPr>
                <w:rFonts w:ascii="Arial Narrow" w:eastAsia="Calibri" w:hAnsi="Arial Narrow" w:cs="Arial Narrow"/>
                <w:b/>
                <w:bCs/>
                <w:sz w:val="20"/>
                <w:szCs w:val="20"/>
              </w:rPr>
              <w:t>Prescribing instructions:</w:t>
            </w:r>
          </w:p>
          <w:p w14:paraId="291EA054"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By prescribing this PBS benefit, the prescriber declares that reasonable steps have been taken to exclude each of the following differential diagnoses:</w:t>
            </w:r>
          </w:p>
          <w:p w14:paraId="16F984DB"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 xml:space="preserve">(i) lysosomal acid lipase deficiency (Wolman disease), </w:t>
            </w:r>
          </w:p>
          <w:p w14:paraId="7D6A8894"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(ii) ASMD type A,</w:t>
            </w:r>
          </w:p>
          <w:p w14:paraId="7B06951A" w14:textId="419D8A50"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(iii) Niemann-Pick disease type C,</w:t>
            </w:r>
          </w:p>
          <w:p w14:paraId="46930E4A"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 xml:space="preserve">(iv) Chanarin Dorfman syndrome, </w:t>
            </w:r>
          </w:p>
          <w:p w14:paraId="129812DD"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 xml:space="preserve">(v) galactosemia, </w:t>
            </w:r>
          </w:p>
          <w:p w14:paraId="6F1863ED"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 xml:space="preserve">(vi) fructose intolerance, </w:t>
            </w:r>
          </w:p>
          <w:p w14:paraId="15BE6B6B"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 xml:space="preserve">(vii) specific disorders of amino acid metabolism, </w:t>
            </w:r>
          </w:p>
          <w:p w14:paraId="452BA623" w14:textId="77777777" w:rsidR="00C32E2C" w:rsidRPr="00804648" w:rsidRDefault="00C32E2C" w:rsidP="0034009B">
            <w:pPr>
              <w:autoSpaceDE w:val="0"/>
              <w:autoSpaceDN w:val="0"/>
              <w:adjustRightInd w:val="0"/>
              <w:rPr>
                <w:rFonts w:ascii="Arial Narrow" w:eastAsia="Calibri" w:hAnsi="Arial Narrow" w:cs="Arial Narrow"/>
                <w:sz w:val="20"/>
                <w:szCs w:val="20"/>
              </w:rPr>
            </w:pPr>
            <w:r w:rsidRPr="00804648">
              <w:rPr>
                <w:rFonts w:ascii="Arial Narrow" w:eastAsia="Calibri" w:hAnsi="Arial Narrow" w:cs="Arial Narrow"/>
                <w:sz w:val="20"/>
                <w:szCs w:val="20"/>
              </w:rPr>
              <w:t>(viii) Gaucher disease</w:t>
            </w:r>
          </w:p>
        </w:tc>
      </w:tr>
      <w:tr w:rsidR="00C32E2C" w:rsidRPr="00804648" w14:paraId="4E88167F" w14:textId="77777777" w:rsidTr="00F26ED8">
        <w:tblPrEx>
          <w:tblCellMar>
            <w:top w:w="15" w:type="dxa"/>
            <w:left w:w="15" w:type="dxa"/>
            <w:bottom w:w="15" w:type="dxa"/>
            <w:right w:w="15" w:type="dxa"/>
          </w:tblCellMar>
          <w:tblLook w:val="04A0" w:firstRow="1" w:lastRow="0" w:firstColumn="1" w:lastColumn="0" w:noHBand="0" w:noVBand="1"/>
        </w:tblPrEx>
        <w:trPr>
          <w:trHeight w:val="227"/>
        </w:trPr>
        <w:tc>
          <w:tcPr>
            <w:tcW w:w="9067" w:type="dxa"/>
            <w:gridSpan w:val="6"/>
            <w:vAlign w:val="center"/>
          </w:tcPr>
          <w:p w14:paraId="52ACE989" w14:textId="77777777" w:rsidR="00C32E2C" w:rsidRPr="00804648" w:rsidRDefault="00C32E2C" w:rsidP="0034009B">
            <w:pPr>
              <w:autoSpaceDE w:val="0"/>
              <w:autoSpaceDN w:val="0"/>
              <w:adjustRightInd w:val="0"/>
              <w:rPr>
                <w:rFonts w:ascii="Arial Narrow" w:eastAsia="Calibri" w:hAnsi="Arial Narrow" w:cs="Arial Narrow"/>
                <w:sz w:val="20"/>
                <w:szCs w:val="20"/>
              </w:rPr>
            </w:pPr>
          </w:p>
        </w:tc>
      </w:tr>
      <w:tr w:rsidR="00C32E2C" w:rsidRPr="00804648" w14:paraId="24C3EBF3"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BA9127A" w14:textId="77777777" w:rsidR="00C32E2C" w:rsidRPr="00804648" w:rsidRDefault="00C32E2C" w:rsidP="0034009B">
            <w:pPr>
              <w:autoSpaceDE w:val="0"/>
              <w:autoSpaceDN w:val="0"/>
              <w:adjustRightInd w:val="0"/>
              <w:rPr>
                <w:rFonts w:ascii="Arial Narrow" w:eastAsia="Verdana" w:hAnsi="Arial Narrow" w:cs="Times New Roman"/>
                <w:b/>
                <w:bCs/>
                <w:sz w:val="20"/>
                <w:szCs w:val="20"/>
              </w:rPr>
            </w:pPr>
            <w:r w:rsidRPr="00804648">
              <w:rPr>
                <w:rFonts w:ascii="Arial Narrow" w:eastAsia="Verdana" w:hAnsi="Arial Narrow" w:cs="Times New Roman"/>
                <w:b/>
                <w:bCs/>
                <w:sz w:val="20"/>
                <w:szCs w:val="20"/>
              </w:rPr>
              <w:t>Administrative Advice:</w:t>
            </w:r>
          </w:p>
          <w:p w14:paraId="6036A411"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The stated maximum quantity of this listing is based on providing sufficient drug for one dose in an 80 kg patient stabilised on a dose of 3 mg/kg.</w:t>
            </w:r>
          </w:p>
          <w:p w14:paraId="2B410089"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77BE51DF"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Refer to the product information for guidance on the appropriate dose on a given occasion. At the start of treatment, due to dose escalation, the dose is not uniform.</w:t>
            </w:r>
          </w:p>
          <w:p w14:paraId="5B57CA80"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52007F51"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Once the appropriate dose has been determined, the strengths and number of units prescribed per dispensing will need to be either lower (for smaller patients and/or dosing at a lower mg/kg dose than 3 mg/kg) or higher (for a patient larger than 80 kg, an increase in maximum quantity may need to be sought) compared to the stated values of this PBS listing. The quantity per dispensing is to be sufficient to provide a treatment duration of no greater than 28 days at dosing intervals specified by the approved Product Information.</w:t>
            </w:r>
          </w:p>
          <w:p w14:paraId="78213910"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2D971792"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The first prescription is to be for the dose at week zero only. Prescribe nil repeats.</w:t>
            </w:r>
          </w:p>
          <w:p w14:paraId="18700027"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The second new prescription is to cover the doses due at weeks 2 and 4. Prescribe 1 repeat only to cover week 4’s dose.</w:t>
            </w:r>
          </w:p>
          <w:p w14:paraId="1BC28FEB"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The third new prescription is to cover the doses due at weeks 6 and 8. Prescribe 1 repeat only to cover week 8’s dose.</w:t>
            </w:r>
          </w:p>
          <w:p w14:paraId="1217E33F"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The fourth new prescription is to be for the dose at week 10 only. Prescribe nil repeats.</w:t>
            </w:r>
          </w:p>
          <w:p w14:paraId="39759631"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 xml:space="preserve">The fifth new prescription is to be for the dose at week 12 only. Prescribe nil repeats. </w:t>
            </w:r>
          </w:p>
          <w:p w14:paraId="6F0FB961"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The sixth and subsequent new prescription is to cover doses from week 14 onwards. Prescribe up to 11 repeats.</w:t>
            </w:r>
          </w:p>
          <w:p w14:paraId="4947A770"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5CEF4E6D"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As examples, for a 20 kg patient with a BMI below 30, the first 6 prescriptions would prescribe the following quantities and repeat prescriptions:</w:t>
            </w:r>
          </w:p>
          <w:p w14:paraId="63A08429"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1FFB0D8F"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one: 1 x 20 mg  vial, zero repeats</w:t>
            </w:r>
          </w:p>
          <w:p w14:paraId="7D43F9AB"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two: 1 x 20 mg  vials, 1 repeat</w:t>
            </w:r>
          </w:p>
          <w:p w14:paraId="33CE0357"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lastRenderedPageBreak/>
              <w:t>Prescription three: 1 x 20 mg  vials, 1 repeat</w:t>
            </w:r>
          </w:p>
          <w:p w14:paraId="016301F1"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four: 1 x 20 mg vial, zero repeats</w:t>
            </w:r>
          </w:p>
          <w:p w14:paraId="4E4E2C27"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five: 2 x 20 mg vials, zero repeats</w:t>
            </w:r>
          </w:p>
          <w:p w14:paraId="2800B773"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six: 3 x 20 mg vials, 11 repeats</w:t>
            </w:r>
          </w:p>
          <w:p w14:paraId="3E8A8F91"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64B290E1"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For a 40 kg patient with a BMI below 30, the first 6 prescriptions would prescribe the following quantities and repeat prescriptions:</w:t>
            </w:r>
          </w:p>
          <w:p w14:paraId="316CF476"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3BEB1BD9"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one: 1 x 20 mg  vial, zero repeats</w:t>
            </w:r>
          </w:p>
          <w:p w14:paraId="45982A86"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two: 1 x 20 mg  vials, 1 repeat</w:t>
            </w:r>
          </w:p>
          <w:p w14:paraId="79A43696"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three: 2 x 20 mg  vial, 1 repeat</w:t>
            </w:r>
          </w:p>
          <w:p w14:paraId="2BCF0584"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four: 2 x 20 mg vials, zero repeats</w:t>
            </w:r>
          </w:p>
          <w:p w14:paraId="40135785"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five: 4 x 20 mg vials, zero repeats</w:t>
            </w:r>
          </w:p>
          <w:p w14:paraId="4111567E"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six: 6 x 20 mg vials, 11 repeats</w:t>
            </w:r>
          </w:p>
          <w:p w14:paraId="512FFD0F"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390C07C2"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For a 60 kg patient with a BMI below 30, the first 6 prescriptions would prescribe the following quantities and repeat prescriptions:</w:t>
            </w:r>
          </w:p>
          <w:p w14:paraId="1D92791E" w14:textId="77777777" w:rsidR="00C32E2C" w:rsidRPr="00804648" w:rsidRDefault="00C32E2C" w:rsidP="0034009B">
            <w:pPr>
              <w:autoSpaceDE w:val="0"/>
              <w:autoSpaceDN w:val="0"/>
              <w:adjustRightInd w:val="0"/>
              <w:rPr>
                <w:rFonts w:ascii="Arial Narrow" w:eastAsia="Verdana" w:hAnsi="Arial Narrow" w:cs="Times New Roman"/>
                <w:sz w:val="20"/>
                <w:szCs w:val="20"/>
              </w:rPr>
            </w:pPr>
          </w:p>
          <w:p w14:paraId="173D2CFF"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one: 1 x 20 mg   vials, zero repeats</w:t>
            </w:r>
          </w:p>
          <w:p w14:paraId="20F3F5DA"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two: 1 x 20 mg vials, 1 repeat</w:t>
            </w:r>
          </w:p>
          <w:p w14:paraId="4A2B5D0C"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three: 2 x 20 mg vial, 1 repeat</w:t>
            </w:r>
          </w:p>
          <w:p w14:paraId="7C9D7FAE"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four: 3 x 20 mg vials, zero repeats</w:t>
            </w:r>
          </w:p>
          <w:p w14:paraId="41382CBF"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five: 6 x 20 mg vials, zero repeats</w:t>
            </w:r>
          </w:p>
          <w:p w14:paraId="23198304" w14:textId="77777777" w:rsidR="00C32E2C" w:rsidRPr="00804648" w:rsidRDefault="00C32E2C" w:rsidP="0034009B">
            <w:pPr>
              <w:autoSpaceDE w:val="0"/>
              <w:autoSpaceDN w:val="0"/>
              <w:adjustRightInd w:val="0"/>
              <w:rPr>
                <w:rFonts w:ascii="Arial Narrow" w:eastAsia="Verdana" w:hAnsi="Arial Narrow" w:cs="Times New Roman"/>
                <w:sz w:val="20"/>
                <w:szCs w:val="20"/>
              </w:rPr>
            </w:pPr>
            <w:r w:rsidRPr="00804648">
              <w:rPr>
                <w:rFonts w:ascii="Arial Narrow" w:eastAsia="Verdana" w:hAnsi="Arial Narrow" w:cs="Times New Roman"/>
                <w:sz w:val="20"/>
                <w:szCs w:val="20"/>
              </w:rPr>
              <w:t>Prescription six: 9 x 20 mg vials, 11 repeats</w:t>
            </w:r>
          </w:p>
        </w:tc>
      </w:tr>
      <w:tr w:rsidR="00C32E2C" w:rsidRPr="00804648" w14:paraId="7EF02A7B"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1EE97B0B" w14:textId="77777777" w:rsidR="00C32E2C" w:rsidRPr="00804648" w:rsidRDefault="00C32E2C" w:rsidP="0034009B">
            <w:pPr>
              <w:rPr>
                <w:rFonts w:ascii="Arial Narrow" w:hAnsi="Arial Narrow" w:cs="Times New Roman"/>
                <w:b/>
                <w:bCs/>
                <w:color w:val="333333"/>
                <w:sz w:val="20"/>
                <w:szCs w:val="20"/>
              </w:rPr>
            </w:pPr>
            <w:r w:rsidRPr="00804648">
              <w:rPr>
                <w:rFonts w:ascii="Arial Narrow" w:hAnsi="Arial Narrow" w:cs="Times New Roman"/>
                <w:b/>
                <w:bCs/>
                <w:color w:val="333333"/>
                <w:sz w:val="20"/>
                <w:szCs w:val="20"/>
              </w:rPr>
              <w:lastRenderedPageBreak/>
              <w:t xml:space="preserve">Administrative Advice: </w:t>
            </w:r>
          </w:p>
          <w:p w14:paraId="7E2224F1" w14:textId="77777777" w:rsidR="00C32E2C" w:rsidRPr="00804648" w:rsidRDefault="00C32E2C" w:rsidP="0034009B">
            <w:pPr>
              <w:rPr>
                <w:rFonts w:ascii="Arial Narrow" w:hAnsi="Arial Narrow" w:cs="Times New Roman"/>
                <w:color w:val="333333"/>
                <w:sz w:val="20"/>
                <w:szCs w:val="20"/>
              </w:rPr>
            </w:pPr>
            <w:r w:rsidRPr="00804648">
              <w:rPr>
                <w:rFonts w:ascii="Arial Narrow" w:hAnsi="Arial Narrow" w:cs="Times New Roman"/>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C32E2C" w:rsidRPr="00804648" w14:paraId="22754C5B"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tcPr>
          <w:p w14:paraId="707DBAD4" w14:textId="77777777" w:rsidR="00C32E2C" w:rsidRPr="00804648" w:rsidRDefault="00C32E2C" w:rsidP="0034009B">
            <w:pPr>
              <w:rPr>
                <w:rFonts w:ascii="Arial Narrow" w:hAnsi="Arial Narrow" w:cs="Times New Roman"/>
                <w:b/>
                <w:bCs/>
                <w:color w:val="333333"/>
                <w:sz w:val="20"/>
                <w:szCs w:val="20"/>
              </w:rPr>
            </w:pPr>
            <w:r w:rsidRPr="00804648">
              <w:rPr>
                <w:rFonts w:ascii="Arial Narrow" w:eastAsia="Calibri" w:hAnsi="Arial Narrow" w:cs="Times New Roman"/>
                <w:b/>
                <w:bCs/>
                <w:sz w:val="20"/>
                <w:szCs w:val="20"/>
              </w:rPr>
              <w:t xml:space="preserve">Administrative Advice: </w:t>
            </w:r>
            <w:r w:rsidRPr="00804648">
              <w:rPr>
                <w:rFonts w:ascii="Arial Narrow" w:eastAsia="Calibri" w:hAnsi="Arial Narrow" w:cs="Times New Roman"/>
                <w:sz w:val="20"/>
                <w:szCs w:val="20"/>
              </w:rPr>
              <w:t>No increase in the maximum number of repeats may be authorised.</w:t>
            </w:r>
          </w:p>
        </w:tc>
      </w:tr>
      <w:tr w:rsidR="00C32E2C" w:rsidRPr="00804648" w14:paraId="30171613" w14:textId="77777777" w:rsidTr="0034009B">
        <w:tblPrEx>
          <w:tblCellMar>
            <w:top w:w="15" w:type="dxa"/>
            <w:left w:w="15" w:type="dxa"/>
            <w:bottom w:w="15" w:type="dxa"/>
            <w:right w:w="15" w:type="dxa"/>
          </w:tblCellMar>
          <w:tblLook w:val="04A0" w:firstRow="1" w:lastRow="0" w:firstColumn="1" w:lastColumn="0" w:noHBand="0" w:noVBand="1"/>
        </w:tblPrEx>
        <w:tc>
          <w:tcPr>
            <w:tcW w:w="9067" w:type="dxa"/>
            <w:gridSpan w:val="6"/>
          </w:tcPr>
          <w:p w14:paraId="3A462570" w14:textId="77777777" w:rsidR="00C32E2C" w:rsidRPr="00804648" w:rsidRDefault="00C32E2C" w:rsidP="0034009B">
            <w:pPr>
              <w:rPr>
                <w:rFonts w:ascii="Arial Narrow" w:eastAsia="Calibri" w:hAnsi="Arial Narrow" w:cs="Times New Roman"/>
                <w:b/>
                <w:bCs/>
                <w:sz w:val="20"/>
                <w:szCs w:val="20"/>
              </w:rPr>
            </w:pPr>
            <w:r w:rsidRPr="00804648">
              <w:rPr>
                <w:rFonts w:ascii="Arial Narrow" w:eastAsia="Calibri" w:hAnsi="Arial Narrow" w:cs="Times New Roman"/>
                <w:b/>
                <w:bCs/>
                <w:sz w:val="20"/>
                <w:szCs w:val="20"/>
              </w:rPr>
              <w:t xml:space="preserve">Administrative Advice: </w:t>
            </w:r>
            <w:r w:rsidRPr="00804648">
              <w:rPr>
                <w:rFonts w:ascii="Arial Narrow" w:eastAsia="Calibri" w:hAnsi="Arial Narrow" w:cs="Times New Roman"/>
                <w:sz w:val="20"/>
                <w:szCs w:val="20"/>
              </w:rPr>
              <w:t>Special Pricing Arrangements apply.</w:t>
            </w:r>
          </w:p>
        </w:tc>
      </w:tr>
    </w:tbl>
    <w:p w14:paraId="0D5AA2B8" w14:textId="77777777" w:rsidR="00D265E5" w:rsidRPr="00F26ED8" w:rsidRDefault="00D265E5" w:rsidP="003665E0">
      <w:pPr>
        <w:rPr>
          <w:rFonts w:cs="Calibri"/>
          <w:bCs/>
          <w:iCs/>
          <w:sz w:val="12"/>
          <w:szCs w:val="12"/>
        </w:rPr>
      </w:pPr>
    </w:p>
    <w:p w14:paraId="0E866ADD" w14:textId="79FB1554" w:rsidR="00CF7B94" w:rsidRPr="00804648" w:rsidRDefault="00045142" w:rsidP="00045142">
      <w:pPr>
        <w:pStyle w:val="3-BodyText"/>
        <w:rPr>
          <w:rFonts w:eastAsia="Calibri" w:cstheme="minorHAnsi"/>
        </w:rPr>
      </w:pPr>
      <w:r w:rsidRPr="00804648">
        <w:rPr>
          <w:rFonts w:eastAsia="Calibri" w:cstheme="minorHAnsi"/>
        </w:rPr>
        <w:t>The Secretariat proposed that, as ASMD Type A is not part of the requested indication for TGA approval or PBS recommendation, it should be noted for exclusion in the restriction</w:t>
      </w:r>
      <w:r w:rsidR="00BC19AC" w:rsidRPr="00804648">
        <w:rPr>
          <w:rFonts w:eastAsia="Calibri" w:cstheme="minorHAnsi"/>
        </w:rPr>
        <w:t xml:space="preserve"> (see paragraph </w:t>
      </w:r>
      <w:r w:rsidR="00BC19AC" w:rsidRPr="00804648">
        <w:rPr>
          <w:rFonts w:eastAsia="Calibri" w:cstheme="minorHAnsi"/>
        </w:rPr>
        <w:fldChar w:fldCharType="begin" w:fldLock="1"/>
      </w:r>
      <w:r w:rsidR="00BC19AC" w:rsidRPr="00804648">
        <w:rPr>
          <w:rFonts w:eastAsia="Calibri" w:cstheme="minorHAnsi"/>
        </w:rPr>
        <w:instrText xml:space="preserve"> REF _Ref141777011 \r \h </w:instrText>
      </w:r>
      <w:r w:rsidR="00BC19AC" w:rsidRPr="00804648">
        <w:rPr>
          <w:rFonts w:eastAsia="Calibri" w:cstheme="minorHAnsi"/>
        </w:rPr>
      </w:r>
      <w:r w:rsidR="00BC19AC" w:rsidRPr="00804648">
        <w:rPr>
          <w:rFonts w:eastAsia="Calibri" w:cstheme="minorHAnsi"/>
        </w:rPr>
        <w:fldChar w:fldCharType="separate"/>
      </w:r>
      <w:r w:rsidR="00F31DC4" w:rsidRPr="00804648">
        <w:rPr>
          <w:rFonts w:eastAsia="Calibri" w:cstheme="minorHAnsi"/>
        </w:rPr>
        <w:t>4.11</w:t>
      </w:r>
      <w:r w:rsidR="00BC19AC" w:rsidRPr="00804648">
        <w:rPr>
          <w:rFonts w:eastAsia="Calibri" w:cstheme="minorHAnsi"/>
        </w:rPr>
        <w:fldChar w:fldCharType="end"/>
      </w:r>
      <w:r w:rsidR="00BC19AC" w:rsidRPr="00804648">
        <w:rPr>
          <w:rFonts w:eastAsia="Calibri" w:cstheme="minorHAnsi"/>
        </w:rPr>
        <w:t xml:space="preserve"> below),</w:t>
      </w:r>
      <w:r w:rsidR="00CF7B94" w:rsidRPr="00804648">
        <w:rPr>
          <w:rFonts w:eastAsia="Calibri" w:cstheme="minorHAnsi"/>
        </w:rPr>
        <w:t xml:space="preserve"> along with other differential diagnoses</w:t>
      </w:r>
      <w:r w:rsidR="00A21AC4" w:rsidRPr="00804648">
        <w:rPr>
          <w:rFonts w:eastAsia="Calibri" w:cstheme="minorHAnsi"/>
        </w:rPr>
        <w:t xml:space="preserve"> of similar presentation to ASMD type A/B and B</w:t>
      </w:r>
      <w:r w:rsidRPr="00804648">
        <w:rPr>
          <w:rFonts w:eastAsia="Calibri" w:cstheme="minorHAnsi"/>
        </w:rPr>
        <w:t xml:space="preserve">. </w:t>
      </w:r>
    </w:p>
    <w:p w14:paraId="64B7F0C2" w14:textId="2DF9A272" w:rsidR="00045142" w:rsidRPr="00804648" w:rsidRDefault="00CF7B94" w:rsidP="00045142">
      <w:pPr>
        <w:pStyle w:val="3-BodyText"/>
        <w:rPr>
          <w:rFonts w:eastAsia="Calibri" w:cstheme="minorHAnsi"/>
        </w:rPr>
      </w:pPr>
      <w:r w:rsidRPr="00804648">
        <w:rPr>
          <w:rFonts w:eastAsia="Calibri" w:cstheme="minorHAnsi"/>
        </w:rPr>
        <w:t>N</w:t>
      </w:r>
      <w:r w:rsidR="00045142" w:rsidRPr="00804648">
        <w:rPr>
          <w:rFonts w:eastAsia="Calibri" w:cstheme="minorHAnsi"/>
        </w:rPr>
        <w:t xml:space="preserve">oting that ASMD type A/B includes patients with disease manifestations intermediate to types A and B, the Secretariat modified the clinical criteria to accurately reflect the included ASMD disease types </w:t>
      </w:r>
      <w:r w:rsidR="008578B6" w:rsidRPr="00804648">
        <w:rPr>
          <w:rFonts w:eastAsia="Calibri" w:cstheme="minorHAnsi"/>
        </w:rPr>
        <w:t>[</w:t>
      </w:r>
      <w:r w:rsidR="00045142" w:rsidRPr="00804648">
        <w:rPr>
          <w:rFonts w:eastAsia="Calibri" w:cstheme="minorHAnsi"/>
        </w:rPr>
        <w:t xml:space="preserve">‘The condition must be </w:t>
      </w:r>
      <w:proofErr w:type="gramStart"/>
      <w:r w:rsidR="00045142" w:rsidRPr="00804648">
        <w:rPr>
          <w:rFonts w:eastAsia="Calibri" w:cstheme="minorHAnsi"/>
        </w:rPr>
        <w:t>type</w:t>
      </w:r>
      <w:proofErr w:type="gramEnd"/>
      <w:r w:rsidR="00045142" w:rsidRPr="00804648">
        <w:rPr>
          <w:rFonts w:eastAsia="Calibri" w:cstheme="minorHAnsi"/>
        </w:rPr>
        <w:t xml:space="preserve"> B disease; or </w:t>
      </w:r>
      <w:r w:rsidR="00A015AE" w:rsidRPr="00804648">
        <w:rPr>
          <w:rFonts w:eastAsia="Calibri" w:cstheme="minorHAnsi"/>
        </w:rPr>
        <w:t>t</w:t>
      </w:r>
      <w:r w:rsidR="00045142" w:rsidRPr="00804648">
        <w:rPr>
          <w:rFonts w:eastAsia="Calibri" w:cstheme="minorHAnsi"/>
        </w:rPr>
        <w:t>he condition must be type A/B disease (i.e. disease that is neither type A disease, nor type B disease, but has disease manifestations intermediate to types A and B)</w:t>
      </w:r>
      <w:r w:rsidR="008578B6" w:rsidRPr="00804648">
        <w:rPr>
          <w:rFonts w:eastAsia="Calibri" w:cstheme="minorHAnsi"/>
        </w:rPr>
        <w:t>]</w:t>
      </w:r>
      <w:r w:rsidR="00045142" w:rsidRPr="00804648">
        <w:rPr>
          <w:rFonts w:eastAsia="Calibri" w:cstheme="minorHAnsi"/>
        </w:rPr>
        <w:t>.’ The Secretariat noted that this wording is consistent with the TGA indication recommended by the ACM (</w:t>
      </w:r>
      <w:r w:rsidR="003A5E92" w:rsidRPr="00804648">
        <w:rPr>
          <w:rFonts w:eastAsia="Calibri" w:cstheme="minorHAnsi"/>
        </w:rPr>
        <w:t>‘</w:t>
      </w:r>
      <w:r w:rsidR="003A5E92" w:rsidRPr="00804648">
        <w:t>patients with Type B and intermediate form</w:t>
      </w:r>
      <w:r w:rsidR="003A5E92" w:rsidRPr="00804648">
        <w:rPr>
          <w:rFonts w:eastAsia="Calibri" w:cstheme="minorHAnsi"/>
        </w:rPr>
        <w:t>,’ paragraph </w:t>
      </w:r>
      <w:r w:rsidR="003A5E92" w:rsidRPr="00804648">
        <w:rPr>
          <w:rFonts w:eastAsia="Calibri" w:cstheme="minorHAnsi"/>
        </w:rPr>
        <w:fldChar w:fldCharType="begin" w:fldLock="1"/>
      </w:r>
      <w:r w:rsidR="003A5E92" w:rsidRPr="00804648">
        <w:rPr>
          <w:rFonts w:eastAsia="Calibri" w:cstheme="minorHAnsi"/>
        </w:rPr>
        <w:instrText xml:space="preserve"> REF _Ref141716358 \r \h  \* MERGEFORMAT </w:instrText>
      </w:r>
      <w:r w:rsidR="003A5E92" w:rsidRPr="00804648">
        <w:rPr>
          <w:rFonts w:eastAsia="Calibri" w:cstheme="minorHAnsi"/>
        </w:rPr>
      </w:r>
      <w:r w:rsidR="003A5E92" w:rsidRPr="00804648">
        <w:rPr>
          <w:rFonts w:eastAsia="Calibri" w:cstheme="minorHAnsi"/>
        </w:rPr>
        <w:fldChar w:fldCharType="separate"/>
      </w:r>
      <w:r w:rsidR="005D02DA" w:rsidRPr="00804648">
        <w:rPr>
          <w:rFonts w:eastAsia="Calibri" w:cstheme="minorHAnsi"/>
        </w:rPr>
        <w:t>2.2</w:t>
      </w:r>
      <w:r w:rsidR="003A5E92" w:rsidRPr="00804648">
        <w:rPr>
          <w:rFonts w:eastAsia="Calibri" w:cstheme="minorHAnsi"/>
        </w:rPr>
        <w:fldChar w:fldCharType="end"/>
      </w:r>
      <w:r w:rsidR="003A5E92" w:rsidRPr="00804648">
        <w:rPr>
          <w:rFonts w:eastAsia="Calibri" w:cstheme="minorHAnsi"/>
        </w:rPr>
        <w:t>).</w:t>
      </w:r>
    </w:p>
    <w:p w14:paraId="7FEDC439" w14:textId="41E15B93" w:rsidR="0093108C" w:rsidRPr="00804648" w:rsidRDefault="00366EAE" w:rsidP="006F6FE5">
      <w:pPr>
        <w:pStyle w:val="3-BodyText"/>
        <w:rPr>
          <w:iCs/>
        </w:rPr>
      </w:pPr>
      <w:r w:rsidRPr="00804648">
        <w:rPr>
          <w:iCs/>
        </w:rPr>
        <w:t xml:space="preserve">The </w:t>
      </w:r>
      <w:r w:rsidR="0093108C" w:rsidRPr="00804648">
        <w:rPr>
          <w:iCs/>
        </w:rPr>
        <w:t>TGA indication</w:t>
      </w:r>
      <w:r w:rsidR="005E000A" w:rsidRPr="00804648">
        <w:rPr>
          <w:iCs/>
        </w:rPr>
        <w:t xml:space="preserve"> recommended by the ACM</w:t>
      </w:r>
      <w:r w:rsidRPr="00804648">
        <w:rPr>
          <w:iCs/>
        </w:rPr>
        <w:t xml:space="preserve"> </w:t>
      </w:r>
      <w:r w:rsidR="0093108C" w:rsidRPr="00804648">
        <w:rPr>
          <w:iCs/>
        </w:rPr>
        <w:t>precludes olipudase alfa for the treatment of CNS manifestations of ASMD</w:t>
      </w:r>
      <w:r w:rsidR="007729F9" w:rsidRPr="00804648">
        <w:rPr>
          <w:iCs/>
        </w:rPr>
        <w:t xml:space="preserve"> (</w:t>
      </w:r>
      <w:r w:rsidR="007729F9" w:rsidRPr="00804648">
        <w:t>‘XENPOZYME® is indicated as an enzyme replacement therapy for the treatment of non-CNS manifestations of ASMD …’</w:t>
      </w:r>
      <w:r w:rsidR="007729F9" w:rsidRPr="00804648">
        <w:rPr>
          <w:iCs/>
        </w:rPr>
        <w:t>)</w:t>
      </w:r>
      <w:r w:rsidR="005E000A" w:rsidRPr="00804648">
        <w:rPr>
          <w:iCs/>
        </w:rPr>
        <w:t>,</w:t>
      </w:r>
      <w:r w:rsidR="00B5234C" w:rsidRPr="00804648">
        <w:rPr>
          <w:iCs/>
        </w:rPr>
        <w:t xml:space="preserve"> given that olipudase alfa does not cross the blood-brain barrier and has no effect on neurological symptoms of ASMD</w:t>
      </w:r>
      <w:r w:rsidR="003F5210" w:rsidRPr="00804648">
        <w:rPr>
          <w:iCs/>
        </w:rPr>
        <w:t>.</w:t>
      </w:r>
      <w:r w:rsidRPr="00804648">
        <w:rPr>
          <w:iCs/>
        </w:rPr>
        <w:t xml:space="preserve"> </w:t>
      </w:r>
      <w:r w:rsidR="007729F9" w:rsidRPr="00804648">
        <w:rPr>
          <w:iCs/>
        </w:rPr>
        <w:t>While the PBS indication does not specifically refer to non-CNS manifestations, t</w:t>
      </w:r>
      <w:r w:rsidR="00A40B00" w:rsidRPr="00804648">
        <w:rPr>
          <w:iCs/>
        </w:rPr>
        <w:t>he clinical manifestations listed in the restriction</w:t>
      </w:r>
      <w:r w:rsidR="002C0E4C" w:rsidRPr="00804648">
        <w:rPr>
          <w:iCs/>
        </w:rPr>
        <w:t xml:space="preserve"> </w:t>
      </w:r>
      <w:r w:rsidR="002C0E4C" w:rsidRPr="00804648">
        <w:rPr>
          <w:iCs/>
        </w:rPr>
        <w:lastRenderedPageBreak/>
        <w:t>proposed by the Secretariat</w:t>
      </w:r>
      <w:r w:rsidR="00A40B00" w:rsidRPr="00804648">
        <w:rPr>
          <w:iCs/>
        </w:rPr>
        <w:t>, of which at least one must be present, are non-CNS manifestations and are consistent with the TGA indication</w:t>
      </w:r>
      <w:r w:rsidR="005E000A" w:rsidRPr="00804648">
        <w:rPr>
          <w:iCs/>
        </w:rPr>
        <w:t xml:space="preserve"> recommended by the ACM</w:t>
      </w:r>
      <w:r w:rsidR="00B5234C" w:rsidRPr="00804648">
        <w:rPr>
          <w:iCs/>
        </w:rPr>
        <w:t xml:space="preserve">. </w:t>
      </w:r>
    </w:p>
    <w:p w14:paraId="5B12CBB4" w14:textId="2938BDBA" w:rsidR="0093108C" w:rsidRPr="00804648" w:rsidRDefault="00EF6C8D" w:rsidP="0093108C">
      <w:pPr>
        <w:pStyle w:val="3-BodyText"/>
      </w:pPr>
      <w:r w:rsidRPr="00804648">
        <w:t>The ESC noted the Secretariat’s suggestion that there could be simplification of the listing by combining initial and continuing treatment into one treatment phase listing (paragraph</w:t>
      </w:r>
      <w:r w:rsidR="008578B6" w:rsidRPr="00804648">
        <w:t xml:space="preserve"> </w:t>
      </w:r>
      <w:r w:rsidR="008578B6" w:rsidRPr="00804648">
        <w:fldChar w:fldCharType="begin" w:fldLock="1"/>
      </w:r>
      <w:r w:rsidR="008578B6" w:rsidRPr="00804648">
        <w:instrText xml:space="preserve"> REF _Ref141773060 \r \h </w:instrText>
      </w:r>
      <w:r w:rsidR="008578B6" w:rsidRPr="00804648">
        <w:fldChar w:fldCharType="separate"/>
      </w:r>
      <w:r w:rsidR="005D02DA" w:rsidRPr="00804648">
        <w:t>3.1</w:t>
      </w:r>
      <w:r w:rsidR="008578B6" w:rsidRPr="00804648">
        <w:fldChar w:fldCharType="end"/>
      </w:r>
      <w:r w:rsidRPr="00804648">
        <w:t>); however, the ESC expressed concern regarding continued use beyond benefit or with adverse events, given that olipudase alfa would be the only agent available.</w:t>
      </w:r>
    </w:p>
    <w:p w14:paraId="0E5C550F" w14:textId="4C759154" w:rsidR="00666D00" w:rsidRPr="00804648" w:rsidRDefault="009D24AB" w:rsidP="00666D00">
      <w:pPr>
        <w:pStyle w:val="3-BodyText"/>
      </w:pPr>
      <w:bookmarkStart w:id="12" w:name="_Ref142292857"/>
      <w:r w:rsidRPr="00804648">
        <w:t xml:space="preserve">The ESC noted the </w:t>
      </w:r>
      <w:r w:rsidR="00F31DC4" w:rsidRPr="00804648">
        <w:t>s</w:t>
      </w:r>
      <w:r w:rsidRPr="00804648">
        <w:t>ponsor’s request in the PSCR to add “recurrent bleeding episodes” to the list of clinical findings in the restriction, one of which is required prior to initiating treatment with olipudase alfa. The ESC not</w:t>
      </w:r>
      <w:r w:rsidR="00056683" w:rsidRPr="00804648">
        <w:t>ed</w:t>
      </w:r>
      <w:r w:rsidRPr="00804648">
        <w:t xml:space="preserve"> that the </w:t>
      </w:r>
      <w:r w:rsidR="00F31DC4" w:rsidRPr="00804648">
        <w:t>s</w:t>
      </w:r>
      <w:r w:rsidRPr="00804648">
        <w:t>ponsor did</w:t>
      </w:r>
      <w:r w:rsidR="000F18E0" w:rsidRPr="00804648">
        <w:t xml:space="preserve"> no</w:t>
      </w:r>
      <w:r w:rsidRPr="00804648">
        <w:t>t include a rationale in the PSCR for making the change and bleeding episodes are not part of the inclusion criteria for the olipudase alfa trials, although bleeding problems are a symptom of ASMD.</w:t>
      </w:r>
      <w:r w:rsidR="00666D00" w:rsidRPr="00804648">
        <w:t xml:space="preserve"> The PSCR also requested to modify the criteria for “increased liver enzymes” by removing the </w:t>
      </w:r>
      <w:r w:rsidR="000F18E0" w:rsidRPr="00804648">
        <w:t>requirement for the increase to be “greater than 2 times the upper limit of normal”; a rationale for making the change was not included.</w:t>
      </w:r>
      <w:bookmarkEnd w:id="12"/>
    </w:p>
    <w:p w14:paraId="79DB00E2" w14:textId="5034E77A" w:rsidR="00B66EAD" w:rsidRPr="00804648" w:rsidRDefault="00B66EAD" w:rsidP="00B66EAD">
      <w:pPr>
        <w:pStyle w:val="3-BodyText"/>
      </w:pPr>
      <w:r w:rsidRPr="00804648">
        <w:t>The dose regimen of olipudase alfa involves a</w:t>
      </w:r>
      <w:r w:rsidR="007678DB" w:rsidRPr="00804648">
        <w:t xml:space="preserve"> dose</w:t>
      </w:r>
      <w:r w:rsidRPr="00804648">
        <w:t xml:space="preserve"> escalation phase followed by a maintenance phase. The starting dose of olipudase alfa is 0.03 mg/kg in paediatric patients and 0.1 mg/kg in adult patients every two weeks; the dose is escalated in increments over 14 weeks for adults and 16 weeks for paediatric patients</w:t>
      </w:r>
      <w:r w:rsidR="00101437" w:rsidRPr="00804648">
        <w:t xml:space="preserve"> to minimise infusion-associated reactions from pro-inflammatory breakdown products and/or transient liver enzyme elevations</w:t>
      </w:r>
      <w:r w:rsidRPr="00804648">
        <w:t>. The maintenance dose is olipudase alfa 3.0</w:t>
      </w:r>
      <w:r w:rsidR="00F26ED8">
        <w:t> </w:t>
      </w:r>
      <w:r w:rsidRPr="00804648">
        <w:t xml:space="preserve">mg/kg for both paediatric and adult patients every two weeks. Adult patients in the dose escalation phase will receive olipudase alfa as hospital outpatients, while paediatric patients in the escalation phase will receive it as day patients in an in-hospital setting (admitted for a day). In the maintenance phase, </w:t>
      </w:r>
      <w:r w:rsidR="00366EAE" w:rsidRPr="00804648">
        <w:t xml:space="preserve">the Sponsor stated </w:t>
      </w:r>
      <w:r w:rsidRPr="00804648">
        <w:t xml:space="preserve">50% of both adult and paediatric patients will receive olipudase alfa as outpatients and 50% will receive it as part of the </w:t>
      </w:r>
      <w:r w:rsidR="00F31DC4" w:rsidRPr="00804648">
        <w:t>s</w:t>
      </w:r>
      <w:r w:rsidRPr="00804648">
        <w:t xml:space="preserve">ponsor’s home-based infusion program. </w:t>
      </w:r>
      <w:r w:rsidR="00395CF7" w:rsidRPr="00804648">
        <w:t>Of note, w</w:t>
      </w:r>
      <w:r w:rsidRPr="00804648">
        <w:t xml:space="preserve">ith respect to paediatric patients in the dose escalation phase, </w:t>
      </w:r>
      <w:r w:rsidRPr="00804648">
        <w:rPr>
          <w:lang w:eastAsia="en-US"/>
        </w:rPr>
        <w:t>the PBS does not fund in-patient medicines.</w:t>
      </w:r>
    </w:p>
    <w:p w14:paraId="221CD1FE" w14:textId="12FE78C8" w:rsidR="00267813" w:rsidRPr="00804648" w:rsidRDefault="00267813" w:rsidP="00267813">
      <w:pPr>
        <w:pStyle w:val="3-BodyText"/>
        <w:numPr>
          <w:ilvl w:val="0"/>
          <w:numId w:val="0"/>
        </w:numPr>
        <w:ind w:left="720"/>
      </w:pPr>
      <w:r w:rsidRPr="00804648">
        <w:rPr>
          <w:i/>
        </w:rPr>
        <w:t>For more detail on PBAC’s view, see section 7 PBAC outcome.</w:t>
      </w:r>
    </w:p>
    <w:p w14:paraId="7075B85C" w14:textId="62A47B7B" w:rsidR="00B50DB8" w:rsidRPr="00804648" w:rsidDel="00195452" w:rsidRDefault="00203181" w:rsidP="004E18E9">
      <w:pPr>
        <w:pStyle w:val="2-SectionHeading"/>
      </w:pPr>
      <w:bookmarkStart w:id="13" w:name="_Toc135224892"/>
      <w:r w:rsidRPr="00804648" w:rsidDel="00195452">
        <w:t xml:space="preserve">Population and </w:t>
      </w:r>
      <w:r w:rsidR="008E0D3C" w:rsidRPr="00804648" w:rsidDel="00195452">
        <w:t>d</w:t>
      </w:r>
      <w:r w:rsidRPr="00804648" w:rsidDel="00195452">
        <w:t>isease</w:t>
      </w:r>
      <w:bookmarkEnd w:id="13"/>
    </w:p>
    <w:p w14:paraId="65C7E569" w14:textId="0E7013D2" w:rsidR="001A6F55" w:rsidRPr="00804648" w:rsidRDefault="00B849B8" w:rsidP="001A6F55">
      <w:pPr>
        <w:pStyle w:val="3-BodyText"/>
      </w:pPr>
      <w:r w:rsidRPr="00804648">
        <w:t>Acid sphingomyelinase</w:t>
      </w:r>
      <w:r w:rsidR="001A6F55" w:rsidRPr="00804648">
        <w:t>, historically known as Niemann-Pick disease type A and type B, is a</w:t>
      </w:r>
      <w:r w:rsidR="00607022" w:rsidRPr="00804648">
        <w:t>n</w:t>
      </w:r>
      <w:r w:rsidR="001A6F55" w:rsidRPr="00804648">
        <w:t xml:space="preserve"> </w:t>
      </w:r>
      <w:r w:rsidR="00607022" w:rsidRPr="00804648">
        <w:t>ultra-</w:t>
      </w:r>
      <w:r w:rsidR="001A6F55" w:rsidRPr="00804648">
        <w:t>rare lysosomal storage disorder (LSD) resulting from deficiency of the lysosomal enzyme acid sphingomyelinase (ASM) due to bi-allelic mutations in the sphingomyelin phosphodiesterase 1 (SMPD1) gene.</w:t>
      </w:r>
    </w:p>
    <w:p w14:paraId="576706A5" w14:textId="43871829" w:rsidR="003D479A" w:rsidRPr="00804648" w:rsidRDefault="003D479A" w:rsidP="003D479A">
      <w:pPr>
        <w:pStyle w:val="3-BodyText"/>
      </w:pPr>
      <w:r w:rsidRPr="00804648">
        <w:lastRenderedPageBreak/>
        <w:t>Currently, three types of ASMD are recognised and distinguished by differences in the implicated alleles, age of onset, presence or absence of CNS manifestations and prognosis</w:t>
      </w:r>
      <w:r w:rsidR="00290775" w:rsidRPr="00804648">
        <w:rPr>
          <w:rStyle w:val="FootnoteReference"/>
        </w:rPr>
        <w:footnoteReference w:id="1"/>
      </w:r>
      <w:r w:rsidRPr="00804648">
        <w:t>.</w:t>
      </w:r>
    </w:p>
    <w:p w14:paraId="7D5B7B00" w14:textId="7A7A95D8" w:rsidR="00C856E4" w:rsidRPr="00804648" w:rsidRDefault="00C856E4" w:rsidP="00973855">
      <w:pPr>
        <w:pStyle w:val="3-BodyText"/>
        <w:numPr>
          <w:ilvl w:val="0"/>
          <w:numId w:val="8"/>
        </w:numPr>
        <w:ind w:left="1134" w:hanging="283"/>
      </w:pPr>
      <w:r w:rsidRPr="00804648">
        <w:t>ASMD type A (also referred to as infantile neurovisceral ASMD) is</w:t>
      </w:r>
      <w:r w:rsidR="003D479A" w:rsidRPr="00804648">
        <w:t xml:space="preserve"> associated with a severe phenotype, with onset of hepatosplenomegaly, lung and neurological disease and death usually before </w:t>
      </w:r>
      <w:r w:rsidR="00290775" w:rsidRPr="00804648">
        <w:t xml:space="preserve">the </w:t>
      </w:r>
      <w:r w:rsidR="003D479A" w:rsidRPr="00804648">
        <w:t xml:space="preserve">age </w:t>
      </w:r>
      <w:r w:rsidR="00290775" w:rsidRPr="00804648">
        <w:t xml:space="preserve">of </w:t>
      </w:r>
      <w:r w:rsidR="003D479A" w:rsidRPr="00804648">
        <w:t>3</w:t>
      </w:r>
      <w:r w:rsidR="00575641" w:rsidRPr="00804648">
        <w:t xml:space="preserve"> years</w:t>
      </w:r>
      <w:r w:rsidR="003D479A" w:rsidRPr="00804648">
        <w:t>.</w:t>
      </w:r>
      <w:r w:rsidR="00575641" w:rsidRPr="00804648">
        <w:t xml:space="preserve"> </w:t>
      </w:r>
      <w:r w:rsidR="00575641" w:rsidRPr="00804648">
        <w:rPr>
          <w:rFonts w:eastAsia="Calibri" w:cstheme="minorHAnsi"/>
        </w:rPr>
        <w:t xml:space="preserve">ASMD type A is not part of the requested indication for TGA approval or PBS </w:t>
      </w:r>
      <w:r w:rsidR="00EB703F" w:rsidRPr="00804648">
        <w:rPr>
          <w:rFonts w:eastAsia="Calibri" w:cstheme="minorHAnsi"/>
        </w:rPr>
        <w:t>listing</w:t>
      </w:r>
      <w:r w:rsidR="00575641" w:rsidRPr="00804648">
        <w:rPr>
          <w:rFonts w:eastAsia="Calibri" w:cstheme="minorHAnsi"/>
        </w:rPr>
        <w:t>.</w:t>
      </w:r>
    </w:p>
    <w:p w14:paraId="398AB3E3" w14:textId="648159ED" w:rsidR="00C856E4" w:rsidRPr="00804648" w:rsidRDefault="00C856E4" w:rsidP="00973855">
      <w:pPr>
        <w:pStyle w:val="3-BodyText"/>
        <w:numPr>
          <w:ilvl w:val="0"/>
          <w:numId w:val="8"/>
        </w:numPr>
        <w:ind w:left="1134" w:hanging="283"/>
      </w:pPr>
      <w:r w:rsidRPr="00804648">
        <w:t xml:space="preserve">ASMD type B (also referred to as chronic visceral ASMD) </w:t>
      </w:r>
      <w:r w:rsidR="003D479A" w:rsidRPr="00804648">
        <w:t xml:space="preserve">is </w:t>
      </w:r>
      <w:r w:rsidR="00290775" w:rsidRPr="00804648">
        <w:t xml:space="preserve">usually </w:t>
      </w:r>
      <w:r w:rsidR="003D479A" w:rsidRPr="00804648">
        <w:t xml:space="preserve">diagnosed </w:t>
      </w:r>
      <w:r w:rsidR="00290775" w:rsidRPr="00804648">
        <w:t>in early childhood</w:t>
      </w:r>
      <w:r w:rsidR="003D479A" w:rsidRPr="00804648">
        <w:t xml:space="preserve"> with hepatosplenomegaly as the presenting feature. It </w:t>
      </w:r>
      <w:r w:rsidR="00290775" w:rsidRPr="00804648">
        <w:t>presents a</w:t>
      </w:r>
      <w:r w:rsidR="003D479A" w:rsidRPr="00804648">
        <w:t xml:space="preserve"> slower </w:t>
      </w:r>
      <w:r w:rsidR="00290775" w:rsidRPr="00804648">
        <w:t xml:space="preserve">progression </w:t>
      </w:r>
      <w:r w:rsidR="003D479A" w:rsidRPr="00804648">
        <w:t xml:space="preserve">and is </w:t>
      </w:r>
      <w:r w:rsidR="00197A49" w:rsidRPr="00804648">
        <w:t xml:space="preserve">also </w:t>
      </w:r>
      <w:r w:rsidR="003D479A" w:rsidRPr="00804648">
        <w:t xml:space="preserve">characterised </w:t>
      </w:r>
      <w:r w:rsidR="006634E6" w:rsidRPr="00804648">
        <w:t xml:space="preserve">by </w:t>
      </w:r>
      <w:r w:rsidR="003D479A" w:rsidRPr="00804648">
        <w:t>thrombocytopaenia, hyperlipidaemia, interstitial lung disease, retinal stigmata and impaired growth. CNS manifestations are not prominent. Patients with ASMD type B</w:t>
      </w:r>
      <w:r w:rsidR="00A227FD" w:rsidRPr="00804648">
        <w:t xml:space="preserve"> </w:t>
      </w:r>
      <w:r w:rsidR="003D479A" w:rsidRPr="00804648">
        <w:t>frequently survive into adulthood (even later adulthood).</w:t>
      </w:r>
    </w:p>
    <w:p w14:paraId="1923D785" w14:textId="17DFF31D" w:rsidR="00C856E4" w:rsidRPr="00804648" w:rsidRDefault="00C856E4" w:rsidP="00973855">
      <w:pPr>
        <w:pStyle w:val="3-BodyText"/>
        <w:numPr>
          <w:ilvl w:val="0"/>
          <w:numId w:val="8"/>
        </w:numPr>
        <w:ind w:left="1134" w:hanging="283"/>
      </w:pPr>
      <w:r w:rsidRPr="00804648">
        <w:t>ASMD type A/B (also referred to as chronic neurovisceral ASMD</w:t>
      </w:r>
      <w:r w:rsidR="00986123" w:rsidRPr="00804648">
        <w:t xml:space="preserve"> or ASMD intermediate form</w:t>
      </w:r>
      <w:r w:rsidRPr="00804648">
        <w:t>) includes patients with disease manifestations intermediate to types A and B</w:t>
      </w:r>
      <w:r w:rsidR="00847960" w:rsidRPr="00804648">
        <w:t>, but does not refer individually to</w:t>
      </w:r>
      <w:r w:rsidR="002F1207" w:rsidRPr="00804648">
        <w:t xml:space="preserve"> ASMD</w:t>
      </w:r>
      <w:r w:rsidR="00847960" w:rsidRPr="00804648">
        <w:t xml:space="preserve"> type A or type B</w:t>
      </w:r>
      <w:r w:rsidR="002F1207" w:rsidRPr="00804648">
        <w:rPr>
          <w:rFonts w:eastAsia="Calibri" w:cstheme="minorHAnsi"/>
        </w:rPr>
        <w:t xml:space="preserve">. </w:t>
      </w:r>
    </w:p>
    <w:p w14:paraId="1F96C7C9" w14:textId="55F5DAA9" w:rsidR="00197A49" w:rsidRPr="00804648" w:rsidRDefault="00197A49" w:rsidP="00197A49">
      <w:pPr>
        <w:pStyle w:val="3-BodyText"/>
      </w:pPr>
      <w:r w:rsidRPr="00804648">
        <w:t>The diagnosis of ASMD must be confirmed by biochemical and/or molecular genetic testing (SMPD1) to distinguish ASMD from diseases with similar manifestations, such as Gaucher disease.</w:t>
      </w:r>
    </w:p>
    <w:p w14:paraId="05C01111" w14:textId="77777777" w:rsidR="00C562B6" w:rsidRPr="00804648" w:rsidRDefault="00197A49" w:rsidP="00197A49">
      <w:pPr>
        <w:pStyle w:val="3-BodyText"/>
      </w:pPr>
      <w:r w:rsidRPr="00804648">
        <w:t>Based on a recent study, the incidence and prevalence of ASMD in Australia was 0.27 per 100,000 live births and 0.30 per 100,000 live births, respectively</w:t>
      </w:r>
      <w:r w:rsidRPr="00804648">
        <w:rPr>
          <w:rStyle w:val="FootnoteReference"/>
        </w:rPr>
        <w:footnoteReference w:id="2"/>
      </w:r>
      <w:r w:rsidRPr="00804648">
        <w:t xml:space="preserve">. </w:t>
      </w:r>
    </w:p>
    <w:p w14:paraId="7AC5137B" w14:textId="6C8EA20B" w:rsidR="00197A49" w:rsidRPr="00804648" w:rsidRDefault="00C562B6" w:rsidP="00197A49">
      <w:pPr>
        <w:pStyle w:val="3-BodyText"/>
      </w:pPr>
      <w:r w:rsidRPr="00804648">
        <w:t xml:space="preserve">The submission conducted a survey </w:t>
      </w:r>
      <w:r w:rsidRPr="00405740">
        <w:t>of</w:t>
      </w:r>
      <w:r w:rsidR="001B4A91" w:rsidRPr="00405740">
        <w:t xml:space="preserve"> </w:t>
      </w:r>
      <w:r w:rsidR="00405740" w:rsidRPr="00405740">
        <w:t>&lt;</w:t>
      </w:r>
      <w:r w:rsidR="00324536">
        <w:t> </w:t>
      </w:r>
      <w:r w:rsidR="00405740" w:rsidRPr="00405740">
        <w:t xml:space="preserve">500 </w:t>
      </w:r>
      <w:r w:rsidRPr="00405740">
        <w:t xml:space="preserve">Australian clinicians </w:t>
      </w:r>
      <w:r w:rsidR="00B849B8" w:rsidRPr="00405740">
        <w:t xml:space="preserve">who </w:t>
      </w:r>
      <w:r w:rsidRPr="00405740">
        <w:t>treat</w:t>
      </w:r>
      <w:r w:rsidR="00676A18" w:rsidRPr="00405740">
        <w:t xml:space="preserve"> </w:t>
      </w:r>
      <w:r w:rsidRPr="00405740">
        <w:t xml:space="preserve">patients with ASMD. </w:t>
      </w:r>
      <w:r w:rsidR="00197A49" w:rsidRPr="00405740">
        <w:t xml:space="preserve">Based on </w:t>
      </w:r>
      <w:r w:rsidRPr="00405740">
        <w:t>the</w:t>
      </w:r>
      <w:r w:rsidR="00197A49" w:rsidRPr="00405740">
        <w:t xml:space="preserve"> survey, </w:t>
      </w:r>
      <w:r w:rsidR="00405740" w:rsidRPr="00405740">
        <w:t>&lt;</w:t>
      </w:r>
      <w:r w:rsidR="00324536">
        <w:t> </w:t>
      </w:r>
      <w:r w:rsidR="00405740" w:rsidRPr="00405740">
        <w:t>500</w:t>
      </w:r>
      <w:r w:rsidRPr="00405740">
        <w:t xml:space="preserve"> patients were identified (</w:t>
      </w:r>
      <w:r w:rsidR="00405740" w:rsidRPr="00405740">
        <w:t>&lt;</w:t>
      </w:r>
      <w:r w:rsidR="00324536">
        <w:t> </w:t>
      </w:r>
      <w:r w:rsidR="00405740" w:rsidRPr="00405740">
        <w:t>500</w:t>
      </w:r>
      <w:r w:rsidRPr="00405740">
        <w:t xml:space="preserve"> adult</w:t>
      </w:r>
      <w:r w:rsidR="00B0058E" w:rsidRPr="00405740">
        <w:t>s</w:t>
      </w:r>
      <w:r w:rsidRPr="00405740">
        <w:t xml:space="preserve"> and </w:t>
      </w:r>
      <w:r w:rsidR="00405740" w:rsidRPr="00405740">
        <w:t>&lt;</w:t>
      </w:r>
      <w:r w:rsidR="00405740">
        <w:t> </w:t>
      </w:r>
      <w:r w:rsidR="00405740" w:rsidRPr="00405740">
        <w:t>500</w:t>
      </w:r>
      <w:r w:rsidRPr="00405740">
        <w:t xml:space="preserve"> paediatric patient). Out of the </w:t>
      </w:r>
      <w:r w:rsidR="00405740" w:rsidRPr="00405740">
        <w:t>&lt;</w:t>
      </w:r>
      <w:r w:rsidR="00324536">
        <w:t> </w:t>
      </w:r>
      <w:r w:rsidR="00405740" w:rsidRPr="00405740">
        <w:t xml:space="preserve">500 </w:t>
      </w:r>
      <w:r w:rsidRPr="00405740">
        <w:t xml:space="preserve">adults, </w:t>
      </w:r>
      <w:r w:rsidR="00405740" w:rsidRPr="00405740">
        <w:t>&lt;</w:t>
      </w:r>
      <w:r w:rsidR="00324536">
        <w:t> </w:t>
      </w:r>
      <w:r w:rsidR="00405740" w:rsidRPr="00405740">
        <w:t xml:space="preserve">500 </w:t>
      </w:r>
      <w:r w:rsidRPr="00405740">
        <w:t>were assumed to be eligible for treatment with olipudase alfa</w:t>
      </w:r>
      <w:r w:rsidR="00B0058E" w:rsidRPr="00405740">
        <w:t xml:space="preserve">. </w:t>
      </w:r>
      <w:r w:rsidR="00A47568" w:rsidRPr="00405740">
        <w:t>The ESC noted that a</w:t>
      </w:r>
      <w:r w:rsidR="00B0058E" w:rsidRPr="00405740">
        <w:t>ll patients were diagnosed with ASMD type B and the median</w:t>
      </w:r>
      <w:r w:rsidR="00B0058E" w:rsidRPr="00804648">
        <w:t xml:space="preserve"> age at diagnosis was 11 years (range: 3, 43)</w:t>
      </w:r>
      <w:r w:rsidR="00A47568" w:rsidRPr="00804648">
        <w:t xml:space="preserve">, and that </w:t>
      </w:r>
      <w:r w:rsidR="001F63F2" w:rsidRPr="00804648">
        <w:t xml:space="preserve">adult </w:t>
      </w:r>
      <w:r w:rsidR="00A47568" w:rsidRPr="00804648">
        <w:t>patients had been living for between 18 and 55 years with the condition</w:t>
      </w:r>
      <w:r w:rsidR="00B0058E" w:rsidRPr="00804648">
        <w:t xml:space="preserve">. </w:t>
      </w:r>
      <w:r w:rsidR="001B4A91" w:rsidRPr="00804648">
        <w:t>The ESC commented on the difficulty of assessing the reliability of this survey to reflect the ASMD disease landscape in Australia.</w:t>
      </w:r>
    </w:p>
    <w:p w14:paraId="2E9B79EF" w14:textId="224AF73C" w:rsidR="00197A49" w:rsidRPr="00804648" w:rsidRDefault="00A227FD" w:rsidP="00197A49">
      <w:pPr>
        <w:pStyle w:val="3-BodyText"/>
      </w:pPr>
      <w:bookmarkStart w:id="14" w:name="_Ref134190401"/>
      <w:r w:rsidRPr="00804648">
        <w:t xml:space="preserve">Whilst the prognosis for ASMD type B and </w:t>
      </w:r>
      <w:r w:rsidR="003F5210" w:rsidRPr="00804648">
        <w:t xml:space="preserve">type </w:t>
      </w:r>
      <w:r w:rsidRPr="00804648">
        <w:t>A/B is better than for type A, they are still associated with significant premature death</w:t>
      </w:r>
      <w:r w:rsidR="00C920CA" w:rsidRPr="00804648">
        <w:rPr>
          <w:rStyle w:val="FootnoteReference"/>
        </w:rPr>
        <w:footnoteReference w:id="3"/>
      </w:r>
      <w:r w:rsidRPr="00804648">
        <w:t>.</w:t>
      </w:r>
      <w:r w:rsidR="00197A49" w:rsidRPr="00804648">
        <w:t xml:space="preserve"> Based on McGovern et al. (2013), </w:t>
      </w:r>
      <w:r w:rsidR="00197A49" w:rsidRPr="00804648">
        <w:lastRenderedPageBreak/>
        <w:t xml:space="preserve">the median </w:t>
      </w:r>
      <w:r w:rsidR="005E7B65" w:rsidRPr="00804648">
        <w:t>age at death</w:t>
      </w:r>
      <w:r w:rsidR="00197A49" w:rsidRPr="00804648">
        <w:t xml:space="preserve"> of patients with </w:t>
      </w:r>
      <w:r w:rsidRPr="00804648">
        <w:t xml:space="preserve">ASMD </w:t>
      </w:r>
      <w:r w:rsidR="00197A49" w:rsidRPr="00804648">
        <w:t xml:space="preserve">type </w:t>
      </w:r>
      <w:r w:rsidRPr="00804648">
        <w:t>B</w:t>
      </w:r>
      <w:r w:rsidR="00197A49" w:rsidRPr="00804648">
        <w:t xml:space="preserve"> was</w:t>
      </w:r>
      <w:r w:rsidRPr="00804648">
        <w:t xml:space="preserve"> 15.5 years</w:t>
      </w:r>
      <w:r w:rsidR="00197A49" w:rsidRPr="00804648">
        <w:t xml:space="preserve"> (range: 1, 72)</w:t>
      </w:r>
      <w:r w:rsidR="00382179" w:rsidRPr="00804648">
        <w:rPr>
          <w:rStyle w:val="FootnoteReference"/>
        </w:rPr>
        <w:footnoteReference w:id="4"/>
      </w:r>
      <w:r w:rsidR="00EA5519" w:rsidRPr="00804648">
        <w:t>.</w:t>
      </w:r>
      <w:r w:rsidRPr="00804648">
        <w:t xml:space="preserve"> A</w:t>
      </w:r>
      <w:r w:rsidR="005E7B65" w:rsidRPr="00804648">
        <w:t xml:space="preserve">ccording to </w:t>
      </w:r>
      <w:r w:rsidR="00197A49" w:rsidRPr="00804648">
        <w:t xml:space="preserve">Cassiman et al. (2017), </w:t>
      </w:r>
      <w:r w:rsidR="005E7B65" w:rsidRPr="00804648">
        <w:t xml:space="preserve">the median age at death was </w:t>
      </w:r>
      <w:r w:rsidRPr="00804648">
        <w:t>23.5 years for ASMD type B and 8.5 years for ASMD type A/B</w:t>
      </w:r>
      <w:r w:rsidR="00C920CA" w:rsidRPr="00804648">
        <w:rPr>
          <w:vertAlign w:val="superscript"/>
        </w:rPr>
        <w:t>3</w:t>
      </w:r>
      <w:r w:rsidRPr="00804648">
        <w:t>.</w:t>
      </w:r>
      <w:bookmarkEnd w:id="14"/>
    </w:p>
    <w:p w14:paraId="5F06B3AE" w14:textId="73D16CF8" w:rsidR="00197A49" w:rsidRPr="00804648" w:rsidRDefault="00197A49" w:rsidP="00AD46C3">
      <w:pPr>
        <w:pStyle w:val="3-BodyText"/>
      </w:pPr>
      <w:r w:rsidRPr="00804648">
        <w:t>Based on data from a natural history study (SPHINGO-100) and mortality data from the US general population</w:t>
      </w:r>
      <w:r w:rsidR="008B3971" w:rsidRPr="00804648">
        <w:t xml:space="preserve"> (2017)</w:t>
      </w:r>
      <w:r w:rsidRPr="00804648">
        <w:t>, a standardised mortality rate (SMR) of 12.50 (95% CI: 4.33, 20.67) was estimated for ASMD type B.</w:t>
      </w:r>
      <w:r w:rsidR="00522570" w:rsidRPr="00804648">
        <w:t xml:space="preserve"> </w:t>
      </w:r>
      <w:r w:rsidR="00676A18" w:rsidRPr="00804648">
        <w:t>T</w:t>
      </w:r>
      <w:r w:rsidRPr="00804648">
        <w:t>he SMR for the paediatric population was higher compared to the adult population (36.23 compared to 6.88)</w:t>
      </w:r>
      <w:r w:rsidRPr="00804648">
        <w:rPr>
          <w:rStyle w:val="FootnoteReference"/>
        </w:rPr>
        <w:footnoteReference w:id="5"/>
      </w:r>
      <w:r w:rsidRPr="00804648">
        <w:t>.</w:t>
      </w:r>
    </w:p>
    <w:p w14:paraId="576DE828" w14:textId="49AF0E3D" w:rsidR="00C02F24" w:rsidRPr="00804648" w:rsidRDefault="00C02F24" w:rsidP="00C02F24">
      <w:pPr>
        <w:pStyle w:val="3-BodyText"/>
      </w:pPr>
      <w:r w:rsidRPr="00804648">
        <w:t>The population targeted in the submission was paediatric and adult patients with ASMD type A/B or type B.</w:t>
      </w:r>
      <w:r w:rsidRPr="00804648">
        <w:rPr>
          <w:i/>
          <w:iCs/>
        </w:rPr>
        <w:t xml:space="preserve"> </w:t>
      </w:r>
      <w:r w:rsidRPr="00804648">
        <w:t>Of note, limited evidence was provided for patients diagnosed with ASMD type A/B throughout the submission. The submission did not differentiate between ASMD type A/B or type B</w:t>
      </w:r>
      <w:r w:rsidR="00676A18" w:rsidRPr="00804648">
        <w:t xml:space="preserve"> and </w:t>
      </w:r>
      <w:r w:rsidRPr="00804648">
        <w:t>no subgroup analyses were presented to assess the comparative treatment effect of olipudase alfa on ASMD type A/B or type B.</w:t>
      </w:r>
    </w:p>
    <w:p w14:paraId="6BE4113B" w14:textId="54D523BD" w:rsidR="00C856E4" w:rsidRPr="00804648" w:rsidRDefault="00C856E4" w:rsidP="0034009B">
      <w:pPr>
        <w:pStyle w:val="3-BodyText"/>
      </w:pPr>
      <w:r w:rsidRPr="00804648">
        <w:t xml:space="preserve">Currently, there </w:t>
      </w:r>
      <w:r w:rsidR="006634E6" w:rsidRPr="00804648">
        <w:t>is</w:t>
      </w:r>
      <w:r w:rsidRPr="00804648">
        <w:t xml:space="preserve"> no </w:t>
      </w:r>
      <w:r w:rsidR="003C7C7D" w:rsidRPr="00804648">
        <w:t>TGA-</w:t>
      </w:r>
      <w:r w:rsidRPr="00804648">
        <w:t>approved disease-modifying treatment for patients with ASMD. Treatment options are limited to disease monitoring and symptom management.</w:t>
      </w:r>
      <w:r w:rsidR="003C7C7D" w:rsidRPr="00804648">
        <w:t xml:space="preserve"> The ACM has</w:t>
      </w:r>
      <w:r w:rsidR="002B54B4" w:rsidRPr="00804648">
        <w:t xml:space="preserve"> recently</w:t>
      </w:r>
      <w:r w:rsidR="003C7C7D" w:rsidRPr="00804648">
        <w:t xml:space="preserve"> recommended olipudase alfa for registration for the treatment of ASMD type B and intermediate form (paragraph </w:t>
      </w:r>
      <w:r w:rsidR="003C7C7D" w:rsidRPr="00804648">
        <w:fldChar w:fldCharType="begin" w:fldLock="1"/>
      </w:r>
      <w:r w:rsidR="003C7C7D" w:rsidRPr="00804648">
        <w:instrText xml:space="preserve"> REF _Ref141716358 \r \h </w:instrText>
      </w:r>
      <w:r w:rsidR="003C7C7D" w:rsidRPr="00804648">
        <w:fldChar w:fldCharType="separate"/>
      </w:r>
      <w:r w:rsidR="005D02DA" w:rsidRPr="00804648">
        <w:t>2.2</w:t>
      </w:r>
      <w:r w:rsidR="003C7C7D" w:rsidRPr="00804648">
        <w:fldChar w:fldCharType="end"/>
      </w:r>
      <w:r w:rsidR="003C7C7D" w:rsidRPr="00804648">
        <w:t>).</w:t>
      </w:r>
    </w:p>
    <w:p w14:paraId="68458A3F" w14:textId="51C01610" w:rsidR="008C0861" w:rsidRPr="00804648" w:rsidRDefault="00C856E4" w:rsidP="008C0861">
      <w:pPr>
        <w:pStyle w:val="3-BodyText"/>
      </w:pPr>
      <w:r w:rsidRPr="00804648">
        <w:t xml:space="preserve">Olipudase alfa is an enzyme replacement therapy (ERT) designed to replace ASM, the enzyme deficient in patients with ASMD type A/B or </w:t>
      </w:r>
      <w:r w:rsidR="001D43A8" w:rsidRPr="00804648">
        <w:t xml:space="preserve">type </w:t>
      </w:r>
      <w:r w:rsidRPr="00804648">
        <w:t>B (hereafter referred to as ASMD). By supplementing the deficient functional enzyme, olipudase alfa can reduce sphingomyelin accumulation and retain the enzymatic activity and lysosomal targeting of the native protein.</w:t>
      </w:r>
    </w:p>
    <w:p w14:paraId="18F2DC38" w14:textId="4BD36632" w:rsidR="00C02F24" w:rsidRPr="00804648" w:rsidRDefault="00C02F24" w:rsidP="00C02F24">
      <w:pPr>
        <w:pStyle w:val="3-BodyText"/>
      </w:pPr>
      <w:bookmarkStart w:id="15" w:name="_Ref141777011"/>
      <w:r w:rsidRPr="00804648">
        <w:t>Treatment with olipudase alfa is likely to have an effect on the visceral symptoms of ASMD</w:t>
      </w:r>
      <w:r w:rsidR="00927380" w:rsidRPr="00804648">
        <w:t>,</w:t>
      </w:r>
      <w:r w:rsidRPr="00804648">
        <w:t xml:space="preserve"> </w:t>
      </w:r>
      <w:r w:rsidR="00927380" w:rsidRPr="00804648">
        <w:t>which</w:t>
      </w:r>
      <w:r w:rsidRPr="00804648">
        <w:t xml:space="preserve"> mainly occur in ASMD type B. Considering that olipudase alfa does not cross the brain blood barrier, </w:t>
      </w:r>
      <w:r w:rsidR="00C92052" w:rsidRPr="00804648">
        <w:t xml:space="preserve">it is not indicated for the treatment of patients with ASMD type A, and it has </w:t>
      </w:r>
      <w:r w:rsidRPr="00804648">
        <w:t xml:space="preserve">no effect on the neurological symptoms of ASMD, </w:t>
      </w:r>
      <w:r w:rsidR="00C92052" w:rsidRPr="00804648">
        <w:t>which</w:t>
      </w:r>
      <w:r w:rsidRPr="00804648">
        <w:t xml:space="preserve"> mainly occur in ASMD type A and ASMD type A/B.</w:t>
      </w:r>
      <w:r w:rsidRPr="00804648">
        <w:rPr>
          <w:rStyle w:val="FootnoteReference"/>
        </w:rPr>
        <w:footnoteReference w:id="6"/>
      </w:r>
      <w:bookmarkEnd w:id="15"/>
      <w:r w:rsidRPr="00804648">
        <w:t xml:space="preserve"> </w:t>
      </w:r>
    </w:p>
    <w:p w14:paraId="7CC13F0B" w14:textId="37F1AE83" w:rsidR="00267813" w:rsidRPr="00804648" w:rsidDel="00195452" w:rsidRDefault="00267813" w:rsidP="00267813">
      <w:pPr>
        <w:pStyle w:val="3-BodyText"/>
        <w:numPr>
          <w:ilvl w:val="0"/>
          <w:numId w:val="0"/>
        </w:numPr>
        <w:ind w:left="720"/>
      </w:pPr>
      <w:r w:rsidRPr="00804648">
        <w:rPr>
          <w:i/>
        </w:rPr>
        <w:t>For more detail on PBAC’s view, see section 7 PBAC outcome.</w:t>
      </w:r>
    </w:p>
    <w:p w14:paraId="51E5AE96" w14:textId="136A63B1" w:rsidR="00B50DB8" w:rsidRPr="00804648" w:rsidRDefault="00B50DB8" w:rsidP="004E18E9">
      <w:pPr>
        <w:pStyle w:val="2-SectionHeading"/>
      </w:pPr>
      <w:bookmarkStart w:id="16" w:name="_Toc135224893"/>
      <w:r w:rsidRPr="00804648">
        <w:lastRenderedPageBreak/>
        <w:t>Comparator</w:t>
      </w:r>
      <w:bookmarkEnd w:id="16"/>
    </w:p>
    <w:p w14:paraId="1D1A5795" w14:textId="1AAD7AEA" w:rsidR="00FB720E" w:rsidRPr="00804648" w:rsidRDefault="00FB720E" w:rsidP="00FB720E">
      <w:pPr>
        <w:pStyle w:val="3-BodyText"/>
      </w:pPr>
      <w:bookmarkStart w:id="17" w:name="_Toc22897640"/>
      <w:r w:rsidRPr="00804648">
        <w:t>The submission nominated placebo representing BSC, defined as the management of symptoms and treatment of complications, as the main comparator. The main arguments provided in support of this nomination were:</w:t>
      </w:r>
    </w:p>
    <w:p w14:paraId="28D62CA7" w14:textId="5BDE37C4" w:rsidR="00793556" w:rsidRPr="00804648" w:rsidRDefault="00793556" w:rsidP="001F6077">
      <w:pPr>
        <w:pStyle w:val="ListParagraph"/>
        <w:ind w:left="1134" w:hanging="283"/>
        <w:rPr>
          <w:snapToGrid/>
        </w:rPr>
      </w:pPr>
      <w:r w:rsidRPr="00804648">
        <w:rPr>
          <w:snapToGrid/>
        </w:rPr>
        <w:t xml:space="preserve">Currently, there </w:t>
      </w:r>
      <w:r w:rsidR="006634E6" w:rsidRPr="00804648">
        <w:rPr>
          <w:snapToGrid/>
        </w:rPr>
        <w:t>is</w:t>
      </w:r>
      <w:r w:rsidRPr="00804648">
        <w:rPr>
          <w:snapToGrid/>
        </w:rPr>
        <w:t xml:space="preserve"> no treatment that modifies the natural course or alters the progression of ASMD.</w:t>
      </w:r>
    </w:p>
    <w:p w14:paraId="0C511A62" w14:textId="7F2C9CC7" w:rsidR="00793556" w:rsidRPr="00804648" w:rsidRDefault="00425537" w:rsidP="001F6077">
      <w:pPr>
        <w:pStyle w:val="ListParagraph"/>
        <w:ind w:left="1134" w:hanging="283"/>
        <w:rPr>
          <w:snapToGrid/>
        </w:rPr>
      </w:pPr>
      <w:r w:rsidRPr="00804648">
        <w:rPr>
          <w:snapToGrid/>
        </w:rPr>
        <w:t>S</w:t>
      </w:r>
      <w:r w:rsidR="00793556" w:rsidRPr="00804648">
        <w:rPr>
          <w:snapToGrid/>
        </w:rPr>
        <w:t>plenectomy, liver transplantation, and allogenic stem cell transplantation are not considered disease</w:t>
      </w:r>
      <w:r w:rsidRPr="00804648">
        <w:rPr>
          <w:snapToGrid/>
        </w:rPr>
        <w:t>-</w:t>
      </w:r>
      <w:r w:rsidR="00793556" w:rsidRPr="00804648">
        <w:rPr>
          <w:snapToGrid/>
        </w:rPr>
        <w:t xml:space="preserve">modifying treatments for ASMD and are avoided in most cases because the benefit does not outweigh the risk, or the patient has severe co-morbidities that precludes them. </w:t>
      </w:r>
    </w:p>
    <w:p w14:paraId="04D6849E" w14:textId="1EDFD5CC" w:rsidR="00FB720E" w:rsidRPr="00804648" w:rsidRDefault="00FB720E" w:rsidP="00FB720E">
      <w:pPr>
        <w:pStyle w:val="3-BodyText"/>
      </w:pPr>
      <w:r w:rsidRPr="00804648">
        <w:t>The</w:t>
      </w:r>
      <w:r w:rsidR="00CE7369" w:rsidRPr="00804648">
        <w:t xml:space="preserve"> </w:t>
      </w:r>
      <w:r w:rsidR="00A23076" w:rsidRPr="00804648">
        <w:t xml:space="preserve">ESC agreed with the </w:t>
      </w:r>
      <w:r w:rsidR="00CE7369" w:rsidRPr="00804648">
        <w:t>evaluation that the</w:t>
      </w:r>
      <w:r w:rsidRPr="00804648">
        <w:t xml:space="preserve"> submission’s nomination of BSC as the main comparator was appropriate. </w:t>
      </w:r>
    </w:p>
    <w:p w14:paraId="0C19AFBB" w14:textId="04D2E545" w:rsidR="00267813" w:rsidRPr="00804648" w:rsidRDefault="00267813" w:rsidP="00267813">
      <w:pPr>
        <w:pStyle w:val="3-BodyText"/>
        <w:numPr>
          <w:ilvl w:val="0"/>
          <w:numId w:val="0"/>
        </w:numPr>
        <w:ind w:left="720"/>
      </w:pPr>
      <w:r w:rsidRPr="00804648">
        <w:rPr>
          <w:i/>
        </w:rPr>
        <w:t>For more detail on PBAC’s view, see section 7 PBAC outcome.</w:t>
      </w:r>
    </w:p>
    <w:p w14:paraId="7F9C27C8" w14:textId="15E911A0" w:rsidR="00223D5A" w:rsidRPr="00804648" w:rsidRDefault="00223D5A" w:rsidP="00223D5A">
      <w:pPr>
        <w:pStyle w:val="2-SectionHeading"/>
        <w:numPr>
          <w:ilvl w:val="0"/>
          <w:numId w:val="1"/>
        </w:numPr>
      </w:pPr>
      <w:bookmarkStart w:id="18" w:name="_Toc135224894"/>
      <w:r w:rsidRPr="00804648">
        <w:t>Consideration of the evidence</w:t>
      </w:r>
      <w:bookmarkEnd w:id="18"/>
    </w:p>
    <w:p w14:paraId="1E68B5AF" w14:textId="77777777" w:rsidR="00267813" w:rsidRPr="00804648" w:rsidRDefault="00267813" w:rsidP="00D92E40">
      <w:pPr>
        <w:pStyle w:val="4-SubsectionHeading"/>
      </w:pPr>
      <w:bookmarkStart w:id="19" w:name="_Hlk76375935"/>
      <w:r w:rsidRPr="00804648">
        <w:t>Sponsor hearing</w:t>
      </w:r>
    </w:p>
    <w:p w14:paraId="320EAF8D" w14:textId="77BB09AB" w:rsidR="00267813" w:rsidRPr="00804648" w:rsidRDefault="00814521" w:rsidP="00267813">
      <w:pPr>
        <w:widowControl w:val="0"/>
        <w:numPr>
          <w:ilvl w:val="1"/>
          <w:numId w:val="1"/>
        </w:numPr>
        <w:spacing w:after="120"/>
        <w:rPr>
          <w:rFonts w:asciiTheme="minorHAnsi" w:hAnsiTheme="minorHAnsi"/>
          <w:bCs/>
          <w:snapToGrid w:val="0"/>
        </w:rPr>
      </w:pPr>
      <w:bookmarkStart w:id="20" w:name="_Hlk76382586"/>
      <w:r w:rsidRPr="00804648">
        <w:rPr>
          <w:rFonts w:asciiTheme="minorHAnsi" w:hAnsiTheme="minorHAnsi"/>
          <w:bCs/>
          <w:snapToGrid w:val="0"/>
        </w:rPr>
        <w:t>The sponsor requested a hearing for this item. Two clinicians presented clinical case studies and discussed the natural history of ASMD. One clinician described how olipudase alfa has been used in clinical practice and the highly positive effects on a patient, and in contrast, a patient interview described the negative effects of the untreated disease on everyday life. The PBAC considered that the hearing was informative as it provided a clinical perspective on treating this uncommon disease.</w:t>
      </w:r>
    </w:p>
    <w:bookmarkEnd w:id="20"/>
    <w:p w14:paraId="1B1E0DFD" w14:textId="77777777" w:rsidR="00267813" w:rsidRPr="00804648" w:rsidRDefault="00267813" w:rsidP="00D92E40">
      <w:pPr>
        <w:pStyle w:val="4-SubsectionHeading"/>
      </w:pPr>
      <w:r w:rsidRPr="00804648">
        <w:t>Consumer comments</w:t>
      </w:r>
    </w:p>
    <w:p w14:paraId="2DF5A37D" w14:textId="77777777" w:rsidR="00C264E6" w:rsidRPr="00804648" w:rsidRDefault="00C264E6" w:rsidP="00C264E6">
      <w:pPr>
        <w:widowControl w:val="0"/>
        <w:numPr>
          <w:ilvl w:val="1"/>
          <w:numId w:val="1"/>
        </w:numPr>
        <w:spacing w:after="120"/>
        <w:rPr>
          <w:rFonts w:asciiTheme="minorHAnsi" w:hAnsiTheme="minorHAnsi"/>
          <w:bCs/>
          <w:snapToGrid w:val="0"/>
        </w:rPr>
      </w:pPr>
      <w:bookmarkStart w:id="21" w:name="_Ref142041243"/>
      <w:bookmarkStart w:id="22" w:name="_Hlk76382618"/>
      <w:r w:rsidRPr="00804648">
        <w:rPr>
          <w:rFonts w:asciiTheme="minorHAnsi" w:hAnsiTheme="minorHAnsi"/>
          <w:bCs/>
          <w:snapToGrid w:val="0"/>
        </w:rPr>
        <w:t>The PBAC noted and welcomed the input from individuals (3) and health care professionals (3) via the Consumer Comments facility on the PBS website.</w:t>
      </w:r>
      <w:bookmarkEnd w:id="21"/>
    </w:p>
    <w:p w14:paraId="6B0B558F" w14:textId="570456BB" w:rsidR="00267813" w:rsidRPr="00804648" w:rsidRDefault="00C264E6" w:rsidP="00C264E6">
      <w:pPr>
        <w:widowControl w:val="0"/>
        <w:numPr>
          <w:ilvl w:val="1"/>
          <w:numId w:val="1"/>
        </w:numPr>
        <w:spacing w:after="120"/>
        <w:rPr>
          <w:rFonts w:asciiTheme="minorHAnsi" w:hAnsiTheme="minorHAnsi"/>
          <w:bCs/>
          <w:snapToGrid w:val="0"/>
        </w:rPr>
      </w:pPr>
      <w:r w:rsidRPr="00804648">
        <w:rPr>
          <w:rFonts w:asciiTheme="minorHAnsi" w:hAnsiTheme="minorHAnsi"/>
          <w:bCs/>
          <w:snapToGrid w:val="0"/>
        </w:rPr>
        <w:t>The health care professionals commented on the favourable clinical trial results with respect to improvements in lung function, organ size and blood counts. Olipudase alfa treatment was reported to result in general quality of life improvements with respect to energy and well-being, with an expectation that treatment early in the disease course would allow a nearly normal life, largely free of disease manifestations. Overall, the treatment was described as transformative. However, one healthcare professional commented that fortnightly infusions for life represented a significant burden of care for the patient.</w:t>
      </w:r>
    </w:p>
    <w:p w14:paraId="2CDE4710" w14:textId="74D61F64" w:rsidR="00267813" w:rsidRPr="00804648" w:rsidRDefault="00C264E6" w:rsidP="00C264E6">
      <w:pPr>
        <w:widowControl w:val="0"/>
        <w:numPr>
          <w:ilvl w:val="1"/>
          <w:numId w:val="1"/>
        </w:numPr>
        <w:spacing w:after="120"/>
        <w:rPr>
          <w:rFonts w:asciiTheme="minorHAnsi" w:hAnsiTheme="minorHAnsi"/>
          <w:bCs/>
          <w:snapToGrid w:val="0"/>
        </w:rPr>
      </w:pPr>
      <w:bookmarkStart w:id="23" w:name="_Ref142041260"/>
      <w:r w:rsidRPr="00804648">
        <w:rPr>
          <w:rFonts w:asciiTheme="minorHAnsi" w:hAnsiTheme="minorHAnsi"/>
          <w:bCs/>
          <w:snapToGrid w:val="0"/>
        </w:rPr>
        <w:t xml:space="preserve">The individuals who commented comprised an ASMD patient, a parent/partner of an ASMD patient, and one other interested individual. </w:t>
      </w:r>
      <w:r w:rsidR="003544C2" w:rsidRPr="00804648">
        <w:rPr>
          <w:rFonts w:asciiTheme="minorHAnsi" w:hAnsiTheme="minorHAnsi"/>
          <w:bCs/>
          <w:snapToGrid w:val="0"/>
        </w:rPr>
        <w:t>The comments noted the</w:t>
      </w:r>
      <w:r w:rsidR="00F94599" w:rsidRPr="00804648">
        <w:rPr>
          <w:rFonts w:asciiTheme="minorHAnsi" w:hAnsiTheme="minorHAnsi"/>
          <w:bCs/>
          <w:snapToGrid w:val="0"/>
        </w:rPr>
        <w:t xml:space="preserve"> declining quality of life for the patient requiring oxygen, and the</w:t>
      </w:r>
      <w:r w:rsidR="003544C2" w:rsidRPr="00804648">
        <w:rPr>
          <w:rFonts w:asciiTheme="minorHAnsi" w:hAnsiTheme="minorHAnsi"/>
          <w:bCs/>
          <w:snapToGrid w:val="0"/>
        </w:rPr>
        <w:t xml:space="preserve"> anticipated improvement upon treatment with olipudase alfa and the manageable side effects. The comments also described the social</w:t>
      </w:r>
      <w:r w:rsidR="00F94599" w:rsidRPr="00804648">
        <w:rPr>
          <w:rFonts w:asciiTheme="minorHAnsi" w:hAnsiTheme="minorHAnsi"/>
          <w:bCs/>
          <w:snapToGrid w:val="0"/>
        </w:rPr>
        <w:t>, financial</w:t>
      </w:r>
      <w:r w:rsidR="003544C2" w:rsidRPr="00804648">
        <w:rPr>
          <w:rFonts w:asciiTheme="minorHAnsi" w:hAnsiTheme="minorHAnsi"/>
          <w:bCs/>
          <w:snapToGrid w:val="0"/>
        </w:rPr>
        <w:t xml:space="preserve"> and mental impact of </w:t>
      </w:r>
      <w:r w:rsidR="00F94599" w:rsidRPr="00804648">
        <w:rPr>
          <w:rFonts w:asciiTheme="minorHAnsi" w:hAnsiTheme="minorHAnsi"/>
          <w:bCs/>
          <w:snapToGrid w:val="0"/>
        </w:rPr>
        <w:t xml:space="preserve">living with </w:t>
      </w:r>
      <w:r w:rsidR="003544C2" w:rsidRPr="00804648">
        <w:rPr>
          <w:rFonts w:asciiTheme="minorHAnsi" w:hAnsiTheme="minorHAnsi"/>
          <w:bCs/>
          <w:snapToGrid w:val="0"/>
        </w:rPr>
        <w:t xml:space="preserve">ASMD without effective </w:t>
      </w:r>
      <w:r w:rsidR="003544C2" w:rsidRPr="00804648">
        <w:rPr>
          <w:rFonts w:asciiTheme="minorHAnsi" w:hAnsiTheme="minorHAnsi"/>
          <w:bCs/>
          <w:snapToGrid w:val="0"/>
        </w:rPr>
        <w:lastRenderedPageBreak/>
        <w:t>treatment, where planning for the future for themsel</w:t>
      </w:r>
      <w:r w:rsidR="00F94599" w:rsidRPr="00804648">
        <w:rPr>
          <w:rFonts w:asciiTheme="minorHAnsi" w:hAnsiTheme="minorHAnsi"/>
          <w:bCs/>
          <w:snapToGrid w:val="0"/>
        </w:rPr>
        <w:t>ves</w:t>
      </w:r>
      <w:r w:rsidR="003544C2" w:rsidRPr="00804648">
        <w:rPr>
          <w:rFonts w:asciiTheme="minorHAnsi" w:hAnsiTheme="minorHAnsi"/>
          <w:bCs/>
          <w:snapToGrid w:val="0"/>
        </w:rPr>
        <w:t xml:space="preserve"> and</w:t>
      </w:r>
      <w:r w:rsidR="008B538D" w:rsidRPr="00804648">
        <w:rPr>
          <w:rFonts w:asciiTheme="minorHAnsi" w:hAnsiTheme="minorHAnsi"/>
          <w:bCs/>
          <w:snapToGrid w:val="0"/>
        </w:rPr>
        <w:t xml:space="preserve"> their</w:t>
      </w:r>
      <w:r w:rsidR="003544C2" w:rsidRPr="00804648">
        <w:rPr>
          <w:rFonts w:asciiTheme="minorHAnsi" w:hAnsiTheme="minorHAnsi"/>
          <w:bCs/>
          <w:snapToGrid w:val="0"/>
        </w:rPr>
        <w:t xml:space="preserve"> family is marred by the expectation of premature death.</w:t>
      </w:r>
      <w:bookmarkEnd w:id="23"/>
    </w:p>
    <w:p w14:paraId="609C0765" w14:textId="74BA324F" w:rsidR="00B60939" w:rsidRPr="00804648" w:rsidRDefault="00B60939" w:rsidP="002E4F02">
      <w:pPr>
        <w:pStyle w:val="4-SubsectionHeading"/>
      </w:pPr>
      <w:bookmarkStart w:id="24" w:name="_Toc135224895"/>
      <w:bookmarkEnd w:id="19"/>
      <w:bookmarkEnd w:id="22"/>
      <w:r w:rsidRPr="00804648">
        <w:t xml:space="preserve">Clinical </w:t>
      </w:r>
      <w:r w:rsidR="008205F1" w:rsidRPr="00804648">
        <w:t>trials/</w:t>
      </w:r>
      <w:r w:rsidR="00D5243B" w:rsidRPr="00804648">
        <w:t>studies</w:t>
      </w:r>
      <w:bookmarkEnd w:id="17"/>
      <w:bookmarkEnd w:id="24"/>
    </w:p>
    <w:p w14:paraId="4546B4D1" w14:textId="7FBBDA39" w:rsidR="00644C7A" w:rsidRPr="00804648" w:rsidRDefault="00644C7A" w:rsidP="00644C7A">
      <w:pPr>
        <w:pStyle w:val="3-BodyText"/>
        <w:rPr>
          <w:snapToGrid/>
        </w:rPr>
      </w:pPr>
      <w:r w:rsidRPr="00804648">
        <w:rPr>
          <w:snapToGrid/>
        </w:rPr>
        <w:t xml:space="preserve">The submission was based on the following evidence: </w:t>
      </w:r>
    </w:p>
    <w:p w14:paraId="76CB4C17" w14:textId="690E044C" w:rsidR="00644C7A" w:rsidRPr="00804648" w:rsidRDefault="005E79B8" w:rsidP="00A9033C">
      <w:pPr>
        <w:pStyle w:val="ListParagraph"/>
        <w:ind w:left="1080"/>
        <w:rPr>
          <w:snapToGrid/>
        </w:rPr>
      </w:pPr>
      <w:r w:rsidRPr="00804648">
        <w:rPr>
          <w:snapToGrid/>
        </w:rPr>
        <w:t>ASCEND (DF12712; N=36) is an ongoing phase II/III, multicentre, randomised, double-blinded, placebo-controlled trial of olipudase alfa in adult patients with ASMD.</w:t>
      </w:r>
    </w:p>
    <w:p w14:paraId="213638FB" w14:textId="569E2EDE" w:rsidR="00B8525B" w:rsidRPr="00804648" w:rsidRDefault="00B8525B" w:rsidP="00A9033C">
      <w:pPr>
        <w:pStyle w:val="ListParagraph"/>
        <w:ind w:left="1080"/>
      </w:pPr>
      <w:r w:rsidRPr="00804648">
        <w:t>ASCEND-peds (DFI13803; N=20) is a completed phase I/II, multicentre, open-label, single</w:t>
      </w:r>
      <w:r w:rsidR="00284E28" w:rsidRPr="00804648">
        <w:t xml:space="preserve"> </w:t>
      </w:r>
      <w:r w:rsidRPr="00804648">
        <w:t xml:space="preserve">arm trial of olipudase alfa in paediatric patients with ASMD. </w:t>
      </w:r>
    </w:p>
    <w:p w14:paraId="3834BD31" w14:textId="7A1E9B8A" w:rsidR="00B8525B" w:rsidRPr="00804648" w:rsidRDefault="00B8525B" w:rsidP="00A9033C">
      <w:pPr>
        <w:pStyle w:val="ListParagraph"/>
        <w:ind w:left="1080"/>
      </w:pPr>
      <w:r w:rsidRPr="00804648">
        <w:t>SPHINGO-100 (N=59; paediatric cohort=30 and adult cohort=29) is a completed prospective natural history study of patients with ASMD. A</w:t>
      </w:r>
      <w:r w:rsidR="00044E64" w:rsidRPr="00804648">
        <w:t>n</w:t>
      </w:r>
      <w:r w:rsidRPr="00804648">
        <w:t xml:space="preserve"> </w:t>
      </w:r>
      <w:r w:rsidR="006D301F" w:rsidRPr="00804648">
        <w:t xml:space="preserve">unanchored and </w:t>
      </w:r>
      <w:r w:rsidR="006E429B" w:rsidRPr="00804648">
        <w:t xml:space="preserve">partially </w:t>
      </w:r>
      <w:r w:rsidR="006D301F" w:rsidRPr="00804648">
        <w:t>adjusted</w:t>
      </w:r>
      <w:r w:rsidR="009906BC" w:rsidRPr="00804648">
        <w:t xml:space="preserve"> comparison </w:t>
      </w:r>
      <w:r w:rsidRPr="00804648">
        <w:t xml:space="preserve">of patients from ASCEND-peds and paediatric patients from SPHINGO-100 was conducted to assess the comparative effectiveness of olipudase alfa versus BSC in paediatric patients. </w:t>
      </w:r>
    </w:p>
    <w:p w14:paraId="5A4AC9A1" w14:textId="2E7B492B" w:rsidR="00B8525B" w:rsidRPr="00804648" w:rsidRDefault="00B8525B" w:rsidP="00A9033C">
      <w:pPr>
        <w:pStyle w:val="ListParagraph"/>
        <w:ind w:left="1080"/>
      </w:pPr>
      <w:r w:rsidRPr="00804648">
        <w:t>DFI13412 (N=5) is a completed Phase 1b</w:t>
      </w:r>
      <w:r w:rsidR="00284E28" w:rsidRPr="00804648">
        <w:t xml:space="preserve"> single arm</w:t>
      </w:r>
      <w:r w:rsidRPr="00804648">
        <w:t xml:space="preserve"> dose escalation trial of tolerability and safety of recombinant human acid sphingomyelinase (</w:t>
      </w:r>
      <w:r w:rsidR="00522570" w:rsidRPr="00804648">
        <w:t>i.e.</w:t>
      </w:r>
      <w:r w:rsidR="00EA1168" w:rsidRPr="00804648">
        <w:t>, olipudase alfa)</w:t>
      </w:r>
      <w:r w:rsidRPr="00804648">
        <w:t xml:space="preserve"> in adult patients with ASMD.</w:t>
      </w:r>
      <w:r w:rsidR="00DA3ADA" w:rsidRPr="00804648">
        <w:t xml:space="preserve"> The results for study DFI13412 are not presented separately, rather they are presented as part of study LTS13632 (below).</w:t>
      </w:r>
    </w:p>
    <w:p w14:paraId="1EE5DF68" w14:textId="3F25246C" w:rsidR="001835D7" w:rsidRPr="00804648" w:rsidRDefault="00B8525B" w:rsidP="00A9033C">
      <w:pPr>
        <w:pStyle w:val="ListParagraph"/>
        <w:ind w:left="1080"/>
      </w:pPr>
      <w:r w:rsidRPr="00804648">
        <w:t>LTS13632 (N=25) is a</w:t>
      </w:r>
      <w:r w:rsidR="00284E28" w:rsidRPr="00804648">
        <w:t xml:space="preserve"> single arm</w:t>
      </w:r>
      <w:r w:rsidRPr="00804648">
        <w:t xml:space="preserve"> ongoing long-term study, which </w:t>
      </w:r>
      <w:r w:rsidR="00277943" w:rsidRPr="00804648">
        <w:t xml:space="preserve">comprises </w:t>
      </w:r>
      <w:r w:rsidRPr="00804648">
        <w:t>an adult group (n=5) and a paediatric group (n=20). The adult group includes the five patients from Phase 1b study DFI13412 and the paediatric group includes</w:t>
      </w:r>
      <w:r w:rsidR="00F43EE2" w:rsidRPr="00804648">
        <w:t xml:space="preserve"> the</w:t>
      </w:r>
      <w:r w:rsidR="00DA729A" w:rsidRPr="00804648">
        <w:t xml:space="preserve"> 20</w:t>
      </w:r>
      <w:r w:rsidRPr="00804648">
        <w:t xml:space="preserve"> patients from ASCEND-peds.</w:t>
      </w:r>
    </w:p>
    <w:p w14:paraId="2B59ABAC" w14:textId="367F52CD" w:rsidR="00862502" w:rsidRPr="00804648" w:rsidRDefault="00A73134" w:rsidP="002E4F02">
      <w:pPr>
        <w:pStyle w:val="3-BodyText"/>
      </w:pPr>
      <w:r w:rsidRPr="00804648">
        <w:rPr>
          <w:snapToGrid/>
        </w:rPr>
        <w:t xml:space="preserve">Details of the </w:t>
      </w:r>
      <w:r w:rsidR="008205F1" w:rsidRPr="00804648">
        <w:rPr>
          <w:snapToGrid/>
        </w:rPr>
        <w:t>included evidence</w:t>
      </w:r>
      <w:r w:rsidRPr="00804648">
        <w:rPr>
          <w:snapToGrid/>
        </w:rPr>
        <w:t xml:space="preserve"> presented in the submission are provided in </w:t>
      </w:r>
      <w:r w:rsidR="00696EF9" w:rsidRPr="00804648">
        <w:rPr>
          <w:snapToGrid/>
        </w:rPr>
        <w:fldChar w:fldCharType="begin" w:fldLock="1"/>
      </w:r>
      <w:r w:rsidR="00696EF9" w:rsidRPr="00804648">
        <w:rPr>
          <w:snapToGrid/>
        </w:rPr>
        <w:instrText xml:space="preserve"> REF _Ref104803956 \h </w:instrText>
      </w:r>
      <w:r w:rsidR="00696EF9" w:rsidRPr="00804648">
        <w:rPr>
          <w:snapToGrid/>
        </w:rPr>
      </w:r>
      <w:r w:rsidR="00696EF9" w:rsidRPr="00804648">
        <w:rPr>
          <w:snapToGrid/>
        </w:rPr>
        <w:fldChar w:fldCharType="separate"/>
      </w:r>
      <w:r w:rsidR="005D02DA" w:rsidRPr="00804648">
        <w:t>Table 2</w:t>
      </w:r>
      <w:r w:rsidR="00696EF9" w:rsidRPr="00804648">
        <w:rPr>
          <w:snapToGrid/>
        </w:rPr>
        <w:fldChar w:fldCharType="end"/>
      </w:r>
      <w:r w:rsidRPr="00804648">
        <w:rPr>
          <w:snapToGrid/>
        </w:rPr>
        <w:t>.</w:t>
      </w:r>
      <w:r w:rsidR="00BC591F" w:rsidRPr="00804648">
        <w:rPr>
          <w:snapToGrid/>
        </w:rPr>
        <w:t xml:space="preserve"> </w:t>
      </w:r>
    </w:p>
    <w:p w14:paraId="7DE3A286" w14:textId="29330635" w:rsidR="008E0D3C" w:rsidRPr="00804648" w:rsidRDefault="00696EF9" w:rsidP="002E4F02">
      <w:pPr>
        <w:pStyle w:val="TableFigureHeading"/>
      </w:pPr>
      <w:bookmarkStart w:id="25" w:name="_Ref104803956"/>
      <w:r w:rsidRPr="00804648">
        <w:lastRenderedPageBreak/>
        <w:t xml:space="preserve">Table </w:t>
      </w:r>
      <w:fldSimple w:instr=" SEQ Table \* ARABIC " w:fldLock="1">
        <w:r w:rsidR="005D02DA" w:rsidRPr="00804648">
          <w:t>2</w:t>
        </w:r>
      </w:fldSimple>
      <w:bookmarkEnd w:id="25"/>
      <w:r w:rsidRPr="00804648">
        <w:t>:</w:t>
      </w:r>
      <w:r w:rsidR="00BC591F" w:rsidRPr="00804648">
        <w:t xml:space="preserve"> </w:t>
      </w:r>
      <w:r w:rsidR="008205F1" w:rsidRPr="00804648">
        <w:t>Included evidence</w:t>
      </w:r>
      <w:r w:rsidR="008E0D3C" w:rsidRPr="00804648">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5244"/>
        <w:gridCol w:w="2501"/>
      </w:tblGrid>
      <w:tr w:rsidR="008205F1" w:rsidRPr="00804648" w14:paraId="5FA2416E" w14:textId="77777777" w:rsidTr="008C351B">
        <w:trPr>
          <w:tblHeader/>
        </w:trPr>
        <w:tc>
          <w:tcPr>
            <w:tcW w:w="705" w:type="pct"/>
            <w:vAlign w:val="center"/>
          </w:tcPr>
          <w:p w14:paraId="4089AEF7" w14:textId="77777777" w:rsidR="008205F1" w:rsidRPr="00804648" w:rsidRDefault="008205F1" w:rsidP="006F6FE5">
            <w:pPr>
              <w:pStyle w:val="In-tableHeading"/>
              <w:rPr>
                <w:lang w:val="en-AU"/>
              </w:rPr>
            </w:pPr>
            <w:r w:rsidRPr="00804648">
              <w:rPr>
                <w:lang w:val="en-AU"/>
              </w:rPr>
              <w:t>Trial ID</w:t>
            </w:r>
          </w:p>
        </w:tc>
        <w:tc>
          <w:tcPr>
            <w:tcW w:w="2908" w:type="pct"/>
            <w:tcBorders>
              <w:bottom w:val="single" w:sz="4" w:space="0" w:color="auto"/>
            </w:tcBorders>
            <w:vAlign w:val="center"/>
          </w:tcPr>
          <w:p w14:paraId="7D0A03E8" w14:textId="77777777" w:rsidR="008205F1" w:rsidRPr="00804648" w:rsidRDefault="008205F1" w:rsidP="006F6FE5">
            <w:pPr>
              <w:pStyle w:val="In-tableHeading"/>
              <w:rPr>
                <w:lang w:val="en-AU"/>
              </w:rPr>
            </w:pPr>
            <w:r w:rsidRPr="00804648">
              <w:rPr>
                <w:lang w:val="en-AU"/>
              </w:rPr>
              <w:t>Protocol title/ Publication title</w:t>
            </w:r>
          </w:p>
        </w:tc>
        <w:tc>
          <w:tcPr>
            <w:tcW w:w="1387" w:type="pct"/>
            <w:tcBorders>
              <w:bottom w:val="single" w:sz="4" w:space="0" w:color="auto"/>
            </w:tcBorders>
            <w:vAlign w:val="center"/>
          </w:tcPr>
          <w:p w14:paraId="0444D4BE" w14:textId="77777777" w:rsidR="008205F1" w:rsidRPr="00804648" w:rsidRDefault="008205F1" w:rsidP="006F6FE5">
            <w:pPr>
              <w:pStyle w:val="In-tableHeading"/>
              <w:rPr>
                <w:lang w:val="en-AU"/>
              </w:rPr>
            </w:pPr>
            <w:r w:rsidRPr="00804648">
              <w:rPr>
                <w:lang w:val="en-AU"/>
              </w:rPr>
              <w:t>Publication citation</w:t>
            </w:r>
          </w:p>
        </w:tc>
      </w:tr>
      <w:tr w:rsidR="008205F1" w:rsidRPr="00804648" w14:paraId="51AE5640" w14:textId="77777777" w:rsidTr="008C351B">
        <w:tc>
          <w:tcPr>
            <w:tcW w:w="705" w:type="pct"/>
            <w:vMerge w:val="restart"/>
            <w:vAlign w:val="center"/>
          </w:tcPr>
          <w:p w14:paraId="6EB512F1" w14:textId="77777777" w:rsidR="008205F1" w:rsidRPr="00804648" w:rsidRDefault="008205F1" w:rsidP="006F6FE5">
            <w:pPr>
              <w:pStyle w:val="TableText0"/>
            </w:pPr>
            <w:r w:rsidRPr="00804648">
              <w:t>ASCEND</w:t>
            </w:r>
          </w:p>
          <w:p w14:paraId="33A49CAA" w14:textId="77777777" w:rsidR="008205F1" w:rsidRPr="00804648" w:rsidRDefault="008205F1" w:rsidP="006F6FE5">
            <w:pPr>
              <w:pStyle w:val="TableText0"/>
            </w:pPr>
            <w:r w:rsidRPr="00804648">
              <w:t>(NCT02004691)</w:t>
            </w:r>
          </w:p>
        </w:tc>
        <w:tc>
          <w:tcPr>
            <w:tcW w:w="2908" w:type="pct"/>
            <w:tcBorders>
              <w:bottom w:val="nil"/>
            </w:tcBorders>
            <w:vAlign w:val="center"/>
          </w:tcPr>
          <w:p w14:paraId="4D1AFC00" w14:textId="77777777" w:rsidR="008205F1" w:rsidRPr="00804648" w:rsidRDefault="008205F1" w:rsidP="006F6FE5">
            <w:pPr>
              <w:pStyle w:val="TableText0"/>
              <w:rPr>
                <w:szCs w:val="18"/>
              </w:rPr>
            </w:pPr>
            <w:r w:rsidRPr="00804648">
              <w:rPr>
                <w:szCs w:val="18"/>
              </w:rPr>
              <w:t>A Phase 2/3, multicentre, randomized, double blinded, placebo controlled, repeat dose study to evaluate the efficacy, safety, pharmacodynamics, and pharmacokinetics of olipudase alfa in patients with acid sphingomyelinase deficiency.</w:t>
            </w:r>
          </w:p>
        </w:tc>
        <w:tc>
          <w:tcPr>
            <w:tcW w:w="1387" w:type="pct"/>
            <w:tcBorders>
              <w:bottom w:val="nil"/>
            </w:tcBorders>
            <w:vAlign w:val="center"/>
          </w:tcPr>
          <w:p w14:paraId="1F426877" w14:textId="77777777" w:rsidR="008205F1" w:rsidRPr="00804648" w:rsidRDefault="008205F1" w:rsidP="006F6FE5">
            <w:pPr>
              <w:pStyle w:val="TableText0"/>
            </w:pPr>
            <w:r w:rsidRPr="00804648">
              <w:t>September 2021</w:t>
            </w:r>
          </w:p>
        </w:tc>
      </w:tr>
      <w:tr w:rsidR="008205F1" w:rsidRPr="00804648" w14:paraId="45BB46C6" w14:textId="77777777" w:rsidTr="008C351B">
        <w:tc>
          <w:tcPr>
            <w:tcW w:w="705" w:type="pct"/>
            <w:vMerge/>
            <w:tcBorders>
              <w:bottom w:val="nil"/>
            </w:tcBorders>
            <w:vAlign w:val="center"/>
          </w:tcPr>
          <w:p w14:paraId="282FB7DB" w14:textId="77777777" w:rsidR="008205F1" w:rsidRPr="00804648" w:rsidRDefault="008205F1" w:rsidP="006F6FE5">
            <w:pPr>
              <w:pStyle w:val="TableText0"/>
            </w:pPr>
          </w:p>
        </w:tc>
        <w:tc>
          <w:tcPr>
            <w:tcW w:w="2908" w:type="pct"/>
            <w:tcBorders>
              <w:top w:val="nil"/>
              <w:bottom w:val="single" w:sz="4" w:space="0" w:color="auto"/>
            </w:tcBorders>
            <w:vAlign w:val="center"/>
          </w:tcPr>
          <w:p w14:paraId="49AD27E5" w14:textId="77777777" w:rsidR="008205F1" w:rsidRPr="00804648" w:rsidRDefault="008205F1" w:rsidP="006F6FE5">
            <w:pPr>
              <w:pStyle w:val="TableText0"/>
              <w:rPr>
                <w:szCs w:val="18"/>
              </w:rPr>
            </w:pPr>
            <w:r w:rsidRPr="00804648">
              <w:rPr>
                <w:szCs w:val="18"/>
              </w:rPr>
              <w:t xml:space="preserve">Wasserstein et al. A randomized, placebo controlled clinical trial evaluating olipudase alfa enzyme replacement therapy for chronic acid sphingomyelinase deficiency (ASMD) in adults: One year results. </w:t>
            </w:r>
          </w:p>
        </w:tc>
        <w:tc>
          <w:tcPr>
            <w:tcW w:w="1387" w:type="pct"/>
            <w:tcBorders>
              <w:top w:val="nil"/>
              <w:bottom w:val="single" w:sz="4" w:space="0" w:color="auto"/>
            </w:tcBorders>
            <w:vAlign w:val="center"/>
          </w:tcPr>
          <w:p w14:paraId="12E06625" w14:textId="77777777" w:rsidR="008205F1" w:rsidRPr="00804648" w:rsidRDefault="008205F1" w:rsidP="006F6FE5">
            <w:pPr>
              <w:pStyle w:val="TableText0"/>
              <w:rPr>
                <w:szCs w:val="18"/>
              </w:rPr>
            </w:pPr>
            <w:r w:rsidRPr="00804648">
              <w:rPr>
                <w:i/>
                <w:iCs/>
                <w:szCs w:val="18"/>
              </w:rPr>
              <w:t>Genetics in Medicine</w:t>
            </w:r>
            <w:r w:rsidRPr="00804648">
              <w:rPr>
                <w:szCs w:val="18"/>
              </w:rPr>
              <w:t xml:space="preserve"> 2022; 24(7):1425-1436.</w:t>
            </w:r>
          </w:p>
        </w:tc>
      </w:tr>
      <w:tr w:rsidR="008205F1" w:rsidRPr="00804648" w14:paraId="3A37503C" w14:textId="77777777" w:rsidTr="008C351B">
        <w:tc>
          <w:tcPr>
            <w:tcW w:w="705" w:type="pct"/>
            <w:vMerge w:val="restart"/>
            <w:vAlign w:val="center"/>
          </w:tcPr>
          <w:p w14:paraId="3C96EFA6" w14:textId="77777777" w:rsidR="008205F1" w:rsidRPr="00804648" w:rsidRDefault="008205F1" w:rsidP="006F6FE5">
            <w:pPr>
              <w:pStyle w:val="TableText0"/>
            </w:pPr>
            <w:r w:rsidRPr="00804648">
              <w:t>ASCEND-Peds</w:t>
            </w:r>
          </w:p>
          <w:p w14:paraId="0574855B" w14:textId="77777777" w:rsidR="008205F1" w:rsidRPr="00804648" w:rsidRDefault="008205F1" w:rsidP="006F6FE5">
            <w:pPr>
              <w:pStyle w:val="TableText0"/>
            </w:pPr>
            <w:r w:rsidRPr="00804648">
              <w:t>(NCT02292654)</w:t>
            </w:r>
          </w:p>
        </w:tc>
        <w:tc>
          <w:tcPr>
            <w:tcW w:w="2908" w:type="pct"/>
            <w:tcBorders>
              <w:top w:val="single" w:sz="4" w:space="0" w:color="auto"/>
              <w:bottom w:val="nil"/>
            </w:tcBorders>
            <w:vAlign w:val="center"/>
          </w:tcPr>
          <w:p w14:paraId="622CA390" w14:textId="77777777" w:rsidR="008205F1" w:rsidRPr="00804648" w:rsidRDefault="008205F1" w:rsidP="006F6FE5">
            <w:pPr>
              <w:pStyle w:val="TableText0"/>
            </w:pPr>
            <w:r w:rsidRPr="00804648">
              <w:t xml:space="preserve">A Phase 1/2, multicentre, open label, ascending dose study to evaluate the safety, tolerability, pharmacokinetics, pharmacodynamics and exploratory efficacy of olipudase alfa in paediatric patients aged &lt;18 years with acid sphingomyelinase deficiency. </w:t>
            </w:r>
          </w:p>
        </w:tc>
        <w:tc>
          <w:tcPr>
            <w:tcW w:w="1387" w:type="pct"/>
            <w:tcBorders>
              <w:top w:val="single" w:sz="4" w:space="0" w:color="auto"/>
              <w:bottom w:val="nil"/>
            </w:tcBorders>
            <w:vAlign w:val="center"/>
          </w:tcPr>
          <w:p w14:paraId="658BAB4B" w14:textId="77777777" w:rsidR="008205F1" w:rsidRPr="00804648" w:rsidRDefault="008205F1" w:rsidP="006F6FE5">
            <w:pPr>
              <w:pStyle w:val="TableText0"/>
            </w:pPr>
            <w:r w:rsidRPr="00804648">
              <w:t>August 2020</w:t>
            </w:r>
          </w:p>
        </w:tc>
      </w:tr>
      <w:tr w:rsidR="008205F1" w:rsidRPr="00804648" w14:paraId="4535AC41" w14:textId="77777777" w:rsidTr="008C351B">
        <w:tc>
          <w:tcPr>
            <w:tcW w:w="705" w:type="pct"/>
            <w:vMerge/>
            <w:tcBorders>
              <w:bottom w:val="nil"/>
            </w:tcBorders>
            <w:vAlign w:val="center"/>
          </w:tcPr>
          <w:p w14:paraId="770DEE87" w14:textId="77777777" w:rsidR="008205F1" w:rsidRPr="00804648" w:rsidRDefault="008205F1" w:rsidP="006F6FE5">
            <w:pPr>
              <w:pStyle w:val="TableText0"/>
            </w:pPr>
          </w:p>
        </w:tc>
        <w:tc>
          <w:tcPr>
            <w:tcW w:w="2908" w:type="pct"/>
            <w:tcBorders>
              <w:top w:val="nil"/>
              <w:bottom w:val="single" w:sz="4" w:space="0" w:color="auto"/>
            </w:tcBorders>
            <w:vAlign w:val="center"/>
          </w:tcPr>
          <w:p w14:paraId="6C849DFC" w14:textId="77777777" w:rsidR="008205F1" w:rsidRPr="00804648" w:rsidRDefault="008205F1" w:rsidP="006F6FE5">
            <w:pPr>
              <w:pStyle w:val="TableText0"/>
              <w:rPr>
                <w:szCs w:val="18"/>
              </w:rPr>
            </w:pPr>
            <w:r w:rsidRPr="00804648">
              <w:rPr>
                <w:szCs w:val="18"/>
              </w:rPr>
              <w:t xml:space="preserve">Diaz et al. One year results of a clinical trial of olipudase alfa enzyme replacement therapy in paediatric patients with acid sphingomyelinase deficiency. </w:t>
            </w:r>
          </w:p>
        </w:tc>
        <w:tc>
          <w:tcPr>
            <w:tcW w:w="1387" w:type="pct"/>
            <w:tcBorders>
              <w:top w:val="nil"/>
              <w:bottom w:val="single" w:sz="4" w:space="0" w:color="auto"/>
            </w:tcBorders>
            <w:vAlign w:val="center"/>
          </w:tcPr>
          <w:p w14:paraId="36ADD0F2" w14:textId="77777777" w:rsidR="008205F1" w:rsidRPr="00804648" w:rsidRDefault="008205F1" w:rsidP="006F6FE5">
            <w:pPr>
              <w:pStyle w:val="TableText0"/>
              <w:rPr>
                <w:i/>
              </w:rPr>
            </w:pPr>
            <w:r w:rsidRPr="00804648">
              <w:rPr>
                <w:i/>
                <w:iCs/>
                <w:szCs w:val="18"/>
              </w:rPr>
              <w:t>Genetics in Medicine</w:t>
            </w:r>
            <w:r w:rsidRPr="00804648">
              <w:rPr>
                <w:szCs w:val="18"/>
              </w:rPr>
              <w:t xml:space="preserve"> 2021; 23(8):1543-1550</w:t>
            </w:r>
          </w:p>
        </w:tc>
      </w:tr>
      <w:tr w:rsidR="008205F1" w:rsidRPr="00804648" w14:paraId="4DD8528D" w14:textId="77777777" w:rsidTr="008C351B">
        <w:tc>
          <w:tcPr>
            <w:tcW w:w="705" w:type="pct"/>
            <w:vMerge w:val="restart"/>
            <w:vAlign w:val="center"/>
          </w:tcPr>
          <w:p w14:paraId="371E195F" w14:textId="77777777" w:rsidR="008205F1" w:rsidRPr="00804648" w:rsidRDefault="008205F1" w:rsidP="006F6FE5">
            <w:pPr>
              <w:pStyle w:val="TableText0"/>
            </w:pPr>
            <w:r w:rsidRPr="00804648">
              <w:t>DFI13412</w:t>
            </w:r>
          </w:p>
          <w:p w14:paraId="18C03099" w14:textId="77777777" w:rsidR="008205F1" w:rsidRPr="00804648" w:rsidRDefault="008205F1" w:rsidP="006F6FE5">
            <w:pPr>
              <w:pStyle w:val="TableText0"/>
            </w:pPr>
            <w:r w:rsidRPr="00804648">
              <w:t>(NCT01722526)</w:t>
            </w:r>
          </w:p>
        </w:tc>
        <w:tc>
          <w:tcPr>
            <w:tcW w:w="2908" w:type="pct"/>
            <w:tcBorders>
              <w:top w:val="single" w:sz="4" w:space="0" w:color="auto"/>
              <w:bottom w:val="nil"/>
            </w:tcBorders>
            <w:vAlign w:val="center"/>
          </w:tcPr>
          <w:p w14:paraId="20152451" w14:textId="77777777" w:rsidR="008205F1" w:rsidRPr="00804648" w:rsidRDefault="008205F1" w:rsidP="006F6FE5">
            <w:pPr>
              <w:pStyle w:val="TableText0"/>
            </w:pPr>
            <w:r w:rsidRPr="00804648">
              <w:t>An open label, multicentre, ascending dose study of the tolerability and safety of recombinant human acid sphingomyelinase (rhASM) in patients with acid sphingomyelinase deficiency (ASMD).</w:t>
            </w:r>
          </w:p>
        </w:tc>
        <w:tc>
          <w:tcPr>
            <w:tcW w:w="1387" w:type="pct"/>
            <w:tcBorders>
              <w:bottom w:val="nil"/>
            </w:tcBorders>
            <w:vAlign w:val="center"/>
          </w:tcPr>
          <w:p w14:paraId="661EFCE2" w14:textId="77777777" w:rsidR="008205F1" w:rsidRPr="00804648" w:rsidRDefault="008205F1" w:rsidP="006F6FE5">
            <w:pPr>
              <w:pStyle w:val="TableText0"/>
            </w:pPr>
            <w:r w:rsidRPr="00804648">
              <w:t>November 2014</w:t>
            </w:r>
          </w:p>
        </w:tc>
      </w:tr>
      <w:tr w:rsidR="008205F1" w:rsidRPr="00804648" w14:paraId="4C5DCA68" w14:textId="77777777" w:rsidTr="008C351B">
        <w:tc>
          <w:tcPr>
            <w:tcW w:w="705" w:type="pct"/>
            <w:vMerge/>
            <w:vAlign w:val="center"/>
          </w:tcPr>
          <w:p w14:paraId="7EE3CD00" w14:textId="77777777" w:rsidR="008205F1" w:rsidRPr="00804648" w:rsidRDefault="008205F1" w:rsidP="006F6FE5">
            <w:pPr>
              <w:pStyle w:val="TableText0"/>
            </w:pPr>
          </w:p>
        </w:tc>
        <w:tc>
          <w:tcPr>
            <w:tcW w:w="2908" w:type="pct"/>
            <w:tcBorders>
              <w:top w:val="nil"/>
              <w:bottom w:val="nil"/>
            </w:tcBorders>
            <w:vAlign w:val="center"/>
          </w:tcPr>
          <w:p w14:paraId="043C7AC8" w14:textId="77777777" w:rsidR="008205F1" w:rsidRPr="00804648" w:rsidRDefault="008205F1" w:rsidP="006F6FE5">
            <w:pPr>
              <w:pStyle w:val="TableText0"/>
              <w:rPr>
                <w:szCs w:val="18"/>
              </w:rPr>
            </w:pPr>
            <w:r w:rsidRPr="00804648">
              <w:rPr>
                <w:szCs w:val="18"/>
              </w:rPr>
              <w:t xml:space="preserve">Wasserstein et al. Successful within patient dose escalation of olipudase alfa in acid sphingomyelinase deficiency. </w:t>
            </w:r>
          </w:p>
        </w:tc>
        <w:tc>
          <w:tcPr>
            <w:tcW w:w="1387" w:type="pct"/>
            <w:tcBorders>
              <w:top w:val="nil"/>
              <w:bottom w:val="nil"/>
            </w:tcBorders>
            <w:vAlign w:val="center"/>
          </w:tcPr>
          <w:p w14:paraId="1F3EEED9" w14:textId="77777777" w:rsidR="008205F1" w:rsidRPr="00804648" w:rsidRDefault="008205F1" w:rsidP="006F6FE5">
            <w:pPr>
              <w:pStyle w:val="TableText0"/>
            </w:pPr>
            <w:r w:rsidRPr="00804648">
              <w:rPr>
                <w:i/>
                <w:iCs/>
                <w:szCs w:val="18"/>
              </w:rPr>
              <w:t>Molecular Genetics and Metabolism</w:t>
            </w:r>
            <w:r w:rsidRPr="00804648">
              <w:rPr>
                <w:szCs w:val="18"/>
              </w:rPr>
              <w:t xml:space="preserve"> 2015;116(1-2):88-97.</w:t>
            </w:r>
          </w:p>
        </w:tc>
      </w:tr>
      <w:tr w:rsidR="008205F1" w:rsidRPr="00804648" w14:paraId="38ECE191" w14:textId="77777777" w:rsidTr="008C351B">
        <w:tc>
          <w:tcPr>
            <w:tcW w:w="705" w:type="pct"/>
            <w:vMerge/>
            <w:tcBorders>
              <w:bottom w:val="single" w:sz="4" w:space="0" w:color="auto"/>
            </w:tcBorders>
            <w:vAlign w:val="center"/>
          </w:tcPr>
          <w:p w14:paraId="452ACDE0" w14:textId="77777777" w:rsidR="008205F1" w:rsidRPr="00804648" w:rsidRDefault="008205F1" w:rsidP="006F6FE5">
            <w:pPr>
              <w:pStyle w:val="TableText0"/>
            </w:pPr>
          </w:p>
        </w:tc>
        <w:tc>
          <w:tcPr>
            <w:tcW w:w="2908" w:type="pct"/>
            <w:tcBorders>
              <w:top w:val="nil"/>
              <w:bottom w:val="single" w:sz="4" w:space="0" w:color="auto"/>
            </w:tcBorders>
            <w:vAlign w:val="center"/>
          </w:tcPr>
          <w:p w14:paraId="1628D8E7" w14:textId="77777777" w:rsidR="008205F1" w:rsidRPr="00804648" w:rsidRDefault="008205F1" w:rsidP="006F6FE5">
            <w:pPr>
              <w:pStyle w:val="TableText0"/>
              <w:rPr>
                <w:szCs w:val="18"/>
              </w:rPr>
            </w:pPr>
            <w:r w:rsidRPr="00804648">
              <w:rPr>
                <w:szCs w:val="18"/>
              </w:rPr>
              <w:t>Garside et al. Changes in PCSK 9 and apolipoprotein B100 in Niemann–Pick disease after enzyme replacement therapy with olipudase alfa.</w:t>
            </w:r>
          </w:p>
        </w:tc>
        <w:tc>
          <w:tcPr>
            <w:tcW w:w="1387" w:type="pct"/>
            <w:tcBorders>
              <w:top w:val="nil"/>
              <w:bottom w:val="single" w:sz="4" w:space="0" w:color="auto"/>
            </w:tcBorders>
            <w:vAlign w:val="center"/>
          </w:tcPr>
          <w:p w14:paraId="3815D72E" w14:textId="77777777" w:rsidR="008205F1" w:rsidRPr="00804648" w:rsidRDefault="008205F1" w:rsidP="006F6FE5">
            <w:pPr>
              <w:pStyle w:val="TableText0"/>
            </w:pPr>
            <w:r w:rsidRPr="00804648">
              <w:rPr>
                <w:i/>
                <w:iCs/>
              </w:rPr>
              <w:t>Orphanet Journal of Rare Diseases</w:t>
            </w:r>
            <w:r w:rsidRPr="00804648">
              <w:t xml:space="preserve"> 2021; 16(107).</w:t>
            </w:r>
          </w:p>
        </w:tc>
      </w:tr>
      <w:tr w:rsidR="008205F1" w:rsidRPr="00804648" w14:paraId="6DF8DF87" w14:textId="77777777" w:rsidTr="008C351B">
        <w:tc>
          <w:tcPr>
            <w:tcW w:w="705" w:type="pct"/>
            <w:vMerge w:val="restart"/>
            <w:tcBorders>
              <w:bottom w:val="nil"/>
              <w:right w:val="single" w:sz="4" w:space="0" w:color="auto"/>
            </w:tcBorders>
            <w:vAlign w:val="center"/>
          </w:tcPr>
          <w:p w14:paraId="72965A0E" w14:textId="77777777" w:rsidR="008205F1" w:rsidRPr="00804648" w:rsidRDefault="008205F1" w:rsidP="006F6FE5">
            <w:pPr>
              <w:pStyle w:val="TableText0"/>
            </w:pPr>
            <w:r w:rsidRPr="00804648">
              <w:t>LTS13632</w:t>
            </w:r>
          </w:p>
          <w:p w14:paraId="0D09B7E3" w14:textId="77777777" w:rsidR="008205F1" w:rsidRPr="00804648" w:rsidRDefault="008205F1" w:rsidP="006F6FE5">
            <w:pPr>
              <w:pStyle w:val="TableText0"/>
            </w:pPr>
            <w:r w:rsidRPr="00804648">
              <w:t>(NCT02004704)</w:t>
            </w:r>
          </w:p>
        </w:tc>
        <w:tc>
          <w:tcPr>
            <w:tcW w:w="2908" w:type="pct"/>
            <w:tcBorders>
              <w:top w:val="single" w:sz="4" w:space="0" w:color="auto"/>
              <w:left w:val="single" w:sz="4" w:space="0" w:color="auto"/>
              <w:bottom w:val="nil"/>
              <w:right w:val="single" w:sz="4" w:space="0" w:color="auto"/>
            </w:tcBorders>
            <w:vAlign w:val="center"/>
          </w:tcPr>
          <w:p w14:paraId="48E0290D" w14:textId="77777777" w:rsidR="008205F1" w:rsidRPr="00804648" w:rsidRDefault="008205F1" w:rsidP="006F6FE5">
            <w:pPr>
              <w:pStyle w:val="TableText0"/>
              <w:rPr>
                <w:szCs w:val="18"/>
              </w:rPr>
            </w:pPr>
            <w:r w:rsidRPr="00804648">
              <w:rPr>
                <w:szCs w:val="18"/>
              </w:rPr>
              <w:t>A Long Term Study to Assess the Ongoing Safety and Efficacy of Olipudase Alfa in Patients With Acid Sphingomyelinase Deficiency.</w:t>
            </w:r>
          </w:p>
        </w:tc>
        <w:tc>
          <w:tcPr>
            <w:tcW w:w="1387" w:type="pct"/>
            <w:tcBorders>
              <w:top w:val="single" w:sz="4" w:space="0" w:color="auto"/>
              <w:left w:val="single" w:sz="4" w:space="0" w:color="auto"/>
              <w:bottom w:val="nil"/>
            </w:tcBorders>
            <w:vAlign w:val="center"/>
          </w:tcPr>
          <w:p w14:paraId="5A93AA4B" w14:textId="77777777" w:rsidR="008205F1" w:rsidRPr="00804648" w:rsidRDefault="008205F1" w:rsidP="006F6FE5">
            <w:pPr>
              <w:pStyle w:val="TableText0"/>
            </w:pPr>
            <w:r w:rsidRPr="00804648">
              <w:t>September 2021</w:t>
            </w:r>
          </w:p>
        </w:tc>
      </w:tr>
      <w:tr w:rsidR="008205F1" w:rsidRPr="00804648" w14:paraId="7FA09D42" w14:textId="77777777" w:rsidTr="008C351B">
        <w:tc>
          <w:tcPr>
            <w:tcW w:w="705" w:type="pct"/>
            <w:vMerge/>
            <w:tcBorders>
              <w:top w:val="nil"/>
              <w:bottom w:val="nil"/>
              <w:right w:val="single" w:sz="4" w:space="0" w:color="auto"/>
            </w:tcBorders>
            <w:vAlign w:val="center"/>
          </w:tcPr>
          <w:p w14:paraId="7FA4278A" w14:textId="77777777" w:rsidR="008205F1" w:rsidRPr="00804648" w:rsidRDefault="008205F1" w:rsidP="006F6FE5">
            <w:pPr>
              <w:pStyle w:val="TableText0"/>
            </w:pPr>
          </w:p>
        </w:tc>
        <w:tc>
          <w:tcPr>
            <w:tcW w:w="2908" w:type="pct"/>
            <w:tcBorders>
              <w:top w:val="nil"/>
              <w:left w:val="single" w:sz="4" w:space="0" w:color="auto"/>
              <w:bottom w:val="nil"/>
              <w:right w:val="single" w:sz="4" w:space="0" w:color="auto"/>
            </w:tcBorders>
            <w:vAlign w:val="center"/>
          </w:tcPr>
          <w:p w14:paraId="578DCFBE" w14:textId="77777777" w:rsidR="008205F1" w:rsidRPr="00804648" w:rsidRDefault="008205F1" w:rsidP="006F6FE5">
            <w:pPr>
              <w:pStyle w:val="TableText0"/>
              <w:rPr>
                <w:szCs w:val="18"/>
              </w:rPr>
            </w:pPr>
            <w:r w:rsidRPr="00804648">
              <w:rPr>
                <w:szCs w:val="18"/>
              </w:rPr>
              <w:t xml:space="preserve">Wasserstein et al. Olipudase alfa for treatment of acid sphingomyelinase deficiency (ASMD): safety and efficacy in adults treated for 30 months. </w:t>
            </w:r>
          </w:p>
        </w:tc>
        <w:tc>
          <w:tcPr>
            <w:tcW w:w="1387" w:type="pct"/>
            <w:tcBorders>
              <w:top w:val="nil"/>
              <w:left w:val="single" w:sz="4" w:space="0" w:color="auto"/>
              <w:bottom w:val="nil"/>
            </w:tcBorders>
            <w:vAlign w:val="center"/>
          </w:tcPr>
          <w:p w14:paraId="76679A8A" w14:textId="77777777" w:rsidR="008205F1" w:rsidRPr="00804648" w:rsidRDefault="008205F1" w:rsidP="006F6FE5">
            <w:pPr>
              <w:pStyle w:val="TableText0"/>
              <w:rPr>
                <w:i/>
                <w:iCs/>
              </w:rPr>
            </w:pPr>
            <w:r w:rsidRPr="00804648">
              <w:rPr>
                <w:i/>
                <w:iCs/>
              </w:rPr>
              <w:t>Journal of Inherited Metabolic Disease</w:t>
            </w:r>
            <w:r w:rsidRPr="00804648">
              <w:t xml:space="preserve"> 2018; 41(5):829 -838.</w:t>
            </w:r>
          </w:p>
        </w:tc>
      </w:tr>
      <w:tr w:rsidR="008205F1" w:rsidRPr="00804648" w14:paraId="4370D466" w14:textId="77777777" w:rsidTr="008C351B">
        <w:tc>
          <w:tcPr>
            <w:tcW w:w="705" w:type="pct"/>
            <w:vMerge/>
            <w:tcBorders>
              <w:top w:val="nil"/>
              <w:bottom w:val="nil"/>
              <w:right w:val="single" w:sz="4" w:space="0" w:color="auto"/>
            </w:tcBorders>
            <w:vAlign w:val="center"/>
          </w:tcPr>
          <w:p w14:paraId="4FBDFA5E" w14:textId="77777777" w:rsidR="008205F1" w:rsidRPr="00804648" w:rsidRDefault="008205F1" w:rsidP="006F6FE5">
            <w:pPr>
              <w:pStyle w:val="TableText0"/>
            </w:pPr>
          </w:p>
        </w:tc>
        <w:tc>
          <w:tcPr>
            <w:tcW w:w="2908" w:type="pct"/>
            <w:tcBorders>
              <w:top w:val="nil"/>
              <w:left w:val="single" w:sz="4" w:space="0" w:color="auto"/>
              <w:bottom w:val="nil"/>
              <w:right w:val="single" w:sz="4" w:space="0" w:color="auto"/>
            </w:tcBorders>
            <w:vAlign w:val="center"/>
          </w:tcPr>
          <w:p w14:paraId="463AB8B2" w14:textId="08DA03C7" w:rsidR="008205F1" w:rsidRPr="00804648" w:rsidRDefault="008205F1" w:rsidP="006F6FE5">
            <w:pPr>
              <w:pStyle w:val="TableText0"/>
              <w:rPr>
                <w:szCs w:val="18"/>
              </w:rPr>
            </w:pPr>
            <w:r w:rsidRPr="00804648">
              <w:rPr>
                <w:szCs w:val="18"/>
              </w:rPr>
              <w:t xml:space="preserve">Thurberg et al. Long term efficacy of olipudase alfa in adults with acid sphingomyelinase deficiency (ASMD): Further clearance of hepatic sphingomyelin is associated with additional improvements in pro and anti-atherogenic lipid profiles after 42 months of treatment. </w:t>
            </w:r>
          </w:p>
        </w:tc>
        <w:tc>
          <w:tcPr>
            <w:tcW w:w="1387" w:type="pct"/>
            <w:tcBorders>
              <w:top w:val="nil"/>
              <w:left w:val="single" w:sz="4" w:space="0" w:color="auto"/>
              <w:bottom w:val="nil"/>
            </w:tcBorders>
            <w:vAlign w:val="center"/>
          </w:tcPr>
          <w:p w14:paraId="55CC689E" w14:textId="77777777" w:rsidR="008205F1" w:rsidRPr="00804648" w:rsidRDefault="008205F1" w:rsidP="006F6FE5">
            <w:pPr>
              <w:pStyle w:val="TableText0"/>
              <w:rPr>
                <w:szCs w:val="18"/>
              </w:rPr>
            </w:pPr>
            <w:r w:rsidRPr="00804648">
              <w:rPr>
                <w:i/>
                <w:iCs/>
                <w:szCs w:val="18"/>
              </w:rPr>
              <w:t>Molecular Genetics and Metabolism</w:t>
            </w:r>
            <w:r w:rsidRPr="00804648">
              <w:rPr>
                <w:szCs w:val="18"/>
              </w:rPr>
              <w:t xml:space="preserve"> 2020; </w:t>
            </w:r>
          </w:p>
          <w:p w14:paraId="1DD65B14" w14:textId="77777777" w:rsidR="008205F1" w:rsidRPr="00804648" w:rsidRDefault="008205F1" w:rsidP="006F6FE5">
            <w:pPr>
              <w:pStyle w:val="TableText0"/>
              <w:rPr>
                <w:i/>
                <w:iCs/>
              </w:rPr>
            </w:pPr>
            <w:r w:rsidRPr="00804648">
              <w:rPr>
                <w:szCs w:val="18"/>
              </w:rPr>
              <w:t>131(1-2):245-252.</w:t>
            </w:r>
          </w:p>
        </w:tc>
      </w:tr>
      <w:tr w:rsidR="008205F1" w:rsidRPr="00804648" w14:paraId="668767B1" w14:textId="77777777" w:rsidTr="008C351B">
        <w:tc>
          <w:tcPr>
            <w:tcW w:w="705" w:type="pct"/>
            <w:vMerge/>
            <w:tcBorders>
              <w:top w:val="nil"/>
              <w:bottom w:val="single" w:sz="4" w:space="0" w:color="auto"/>
              <w:right w:val="single" w:sz="4" w:space="0" w:color="auto"/>
            </w:tcBorders>
            <w:vAlign w:val="center"/>
          </w:tcPr>
          <w:p w14:paraId="5A91277E" w14:textId="77777777" w:rsidR="008205F1" w:rsidRPr="00804648" w:rsidRDefault="008205F1" w:rsidP="006F6FE5">
            <w:pPr>
              <w:pStyle w:val="TableText0"/>
            </w:pPr>
          </w:p>
        </w:tc>
        <w:tc>
          <w:tcPr>
            <w:tcW w:w="2908" w:type="pct"/>
            <w:tcBorders>
              <w:top w:val="nil"/>
              <w:left w:val="single" w:sz="4" w:space="0" w:color="auto"/>
              <w:bottom w:val="single" w:sz="4" w:space="0" w:color="auto"/>
              <w:right w:val="single" w:sz="4" w:space="0" w:color="auto"/>
            </w:tcBorders>
            <w:vAlign w:val="center"/>
          </w:tcPr>
          <w:p w14:paraId="0DA4EFD5" w14:textId="77777777" w:rsidR="008205F1" w:rsidRPr="00804648" w:rsidRDefault="008205F1" w:rsidP="006F6FE5">
            <w:pPr>
              <w:pStyle w:val="TableText0"/>
              <w:rPr>
                <w:szCs w:val="18"/>
              </w:rPr>
            </w:pPr>
            <w:r w:rsidRPr="00804648">
              <w:rPr>
                <w:szCs w:val="18"/>
              </w:rPr>
              <w:t>Thurberg et al. Clearance of Hepatic Sphingomyelin by Olipudase Alfa Is Associated With Improvement in Lipid Profiles in Acid Sphingomyelinase Deficiency.</w:t>
            </w:r>
          </w:p>
        </w:tc>
        <w:tc>
          <w:tcPr>
            <w:tcW w:w="1387" w:type="pct"/>
            <w:tcBorders>
              <w:top w:val="nil"/>
              <w:left w:val="single" w:sz="4" w:space="0" w:color="auto"/>
              <w:bottom w:val="single" w:sz="4" w:space="0" w:color="auto"/>
            </w:tcBorders>
            <w:vAlign w:val="center"/>
          </w:tcPr>
          <w:p w14:paraId="0B9176CE" w14:textId="77777777" w:rsidR="008205F1" w:rsidRPr="00804648" w:rsidRDefault="008205F1" w:rsidP="006F6FE5">
            <w:pPr>
              <w:pStyle w:val="TableText0"/>
              <w:rPr>
                <w:i/>
                <w:iCs/>
              </w:rPr>
            </w:pPr>
            <w:r w:rsidRPr="00804648">
              <w:rPr>
                <w:i/>
                <w:iCs/>
              </w:rPr>
              <w:t xml:space="preserve">The American journal of surgical pathology </w:t>
            </w:r>
            <w:r w:rsidRPr="00804648">
              <w:t>2016; 40(9):1232-1242</w:t>
            </w:r>
          </w:p>
        </w:tc>
      </w:tr>
      <w:tr w:rsidR="008205F1" w:rsidRPr="00804648" w14:paraId="0ADC3052" w14:textId="77777777" w:rsidTr="008C351B">
        <w:tc>
          <w:tcPr>
            <w:tcW w:w="705" w:type="pct"/>
            <w:vMerge w:val="restart"/>
            <w:tcBorders>
              <w:top w:val="nil"/>
              <w:right w:val="single" w:sz="4" w:space="0" w:color="auto"/>
            </w:tcBorders>
            <w:vAlign w:val="center"/>
          </w:tcPr>
          <w:p w14:paraId="73A1ED9B" w14:textId="77777777" w:rsidR="008205F1" w:rsidRPr="00804648" w:rsidRDefault="008205F1" w:rsidP="006F6FE5">
            <w:pPr>
              <w:pStyle w:val="TableText0"/>
            </w:pPr>
            <w:r w:rsidRPr="00804648">
              <w:t>SPHINGO</w:t>
            </w:r>
            <w:r w:rsidRPr="00804648">
              <w:noBreakHyphen/>
              <w:t>100</w:t>
            </w:r>
          </w:p>
        </w:tc>
        <w:tc>
          <w:tcPr>
            <w:tcW w:w="2908" w:type="pct"/>
            <w:tcBorders>
              <w:top w:val="single" w:sz="4" w:space="0" w:color="auto"/>
              <w:left w:val="single" w:sz="4" w:space="0" w:color="auto"/>
              <w:bottom w:val="nil"/>
              <w:right w:val="single" w:sz="4" w:space="0" w:color="auto"/>
            </w:tcBorders>
            <w:vAlign w:val="center"/>
          </w:tcPr>
          <w:p w14:paraId="26253A43" w14:textId="77777777" w:rsidR="008205F1" w:rsidRPr="00804648" w:rsidRDefault="008205F1" w:rsidP="006F6FE5">
            <w:pPr>
              <w:pStyle w:val="TableText0"/>
              <w:rPr>
                <w:szCs w:val="18"/>
              </w:rPr>
            </w:pPr>
            <w:r w:rsidRPr="00804648">
              <w:rPr>
                <w:szCs w:val="18"/>
              </w:rPr>
              <w:t xml:space="preserve">A prospective, cross sectional survey study to collect natural history data in patients with Niemann Pick B disease. </w:t>
            </w:r>
          </w:p>
        </w:tc>
        <w:tc>
          <w:tcPr>
            <w:tcW w:w="1387" w:type="pct"/>
            <w:tcBorders>
              <w:top w:val="single" w:sz="4" w:space="0" w:color="auto"/>
              <w:left w:val="single" w:sz="4" w:space="0" w:color="auto"/>
              <w:bottom w:val="nil"/>
            </w:tcBorders>
            <w:vAlign w:val="center"/>
          </w:tcPr>
          <w:p w14:paraId="7D38E5FE" w14:textId="77777777" w:rsidR="008205F1" w:rsidRPr="00804648" w:rsidRDefault="008205F1" w:rsidP="006F6FE5">
            <w:pPr>
              <w:pStyle w:val="TableText0"/>
            </w:pPr>
            <w:r w:rsidRPr="00804648">
              <w:t>December 2015</w:t>
            </w:r>
          </w:p>
        </w:tc>
      </w:tr>
      <w:tr w:rsidR="008205F1" w:rsidRPr="00804648" w14:paraId="1175D235" w14:textId="77777777" w:rsidTr="008C351B">
        <w:tc>
          <w:tcPr>
            <w:tcW w:w="705" w:type="pct"/>
            <w:vMerge/>
            <w:tcBorders>
              <w:right w:val="single" w:sz="4" w:space="0" w:color="auto"/>
            </w:tcBorders>
            <w:vAlign w:val="center"/>
          </w:tcPr>
          <w:p w14:paraId="3C3674C2" w14:textId="77777777" w:rsidR="008205F1" w:rsidRPr="00804648" w:rsidRDefault="008205F1" w:rsidP="006F6FE5">
            <w:pPr>
              <w:pStyle w:val="TableText0"/>
            </w:pPr>
          </w:p>
        </w:tc>
        <w:tc>
          <w:tcPr>
            <w:tcW w:w="2908" w:type="pct"/>
            <w:tcBorders>
              <w:top w:val="nil"/>
              <w:left w:val="single" w:sz="4" w:space="0" w:color="auto"/>
              <w:bottom w:val="nil"/>
              <w:right w:val="single" w:sz="4" w:space="0" w:color="auto"/>
            </w:tcBorders>
            <w:vAlign w:val="center"/>
          </w:tcPr>
          <w:p w14:paraId="102A0E72" w14:textId="77777777" w:rsidR="008205F1" w:rsidRPr="00804648" w:rsidRDefault="008205F1" w:rsidP="006F6FE5">
            <w:pPr>
              <w:pStyle w:val="TableText0"/>
              <w:rPr>
                <w:szCs w:val="18"/>
              </w:rPr>
            </w:pPr>
            <w:r w:rsidRPr="00804648">
              <w:rPr>
                <w:szCs w:val="18"/>
              </w:rPr>
              <w:t xml:space="preserve">McGovern et al. A prospective, cross sectional survey study of the natural history of Niemann Pick disease type B. </w:t>
            </w:r>
          </w:p>
        </w:tc>
        <w:tc>
          <w:tcPr>
            <w:tcW w:w="1387" w:type="pct"/>
            <w:tcBorders>
              <w:top w:val="nil"/>
              <w:left w:val="single" w:sz="4" w:space="0" w:color="auto"/>
              <w:bottom w:val="nil"/>
            </w:tcBorders>
            <w:vAlign w:val="center"/>
          </w:tcPr>
          <w:p w14:paraId="3878E855" w14:textId="77777777" w:rsidR="008205F1" w:rsidRPr="00804648" w:rsidRDefault="008205F1" w:rsidP="006F6FE5">
            <w:pPr>
              <w:pStyle w:val="TableText0"/>
            </w:pPr>
            <w:r w:rsidRPr="00804648">
              <w:rPr>
                <w:i/>
                <w:iCs/>
                <w:szCs w:val="18"/>
              </w:rPr>
              <w:t>Paediatrics</w:t>
            </w:r>
            <w:r w:rsidRPr="00804648">
              <w:rPr>
                <w:szCs w:val="18"/>
              </w:rPr>
              <w:t xml:space="preserve"> 2008; 122(2):e341-9.</w:t>
            </w:r>
          </w:p>
        </w:tc>
      </w:tr>
      <w:tr w:rsidR="008205F1" w:rsidRPr="00804648" w14:paraId="6E446C08" w14:textId="77777777" w:rsidTr="008C351B">
        <w:tc>
          <w:tcPr>
            <w:tcW w:w="705" w:type="pct"/>
            <w:vMerge/>
            <w:tcBorders>
              <w:right w:val="single" w:sz="4" w:space="0" w:color="auto"/>
            </w:tcBorders>
            <w:vAlign w:val="center"/>
          </w:tcPr>
          <w:p w14:paraId="700E001C" w14:textId="77777777" w:rsidR="008205F1" w:rsidRPr="00804648" w:rsidRDefault="008205F1" w:rsidP="006F6FE5">
            <w:pPr>
              <w:pStyle w:val="TableText0"/>
            </w:pPr>
          </w:p>
        </w:tc>
        <w:tc>
          <w:tcPr>
            <w:tcW w:w="2908" w:type="pct"/>
            <w:tcBorders>
              <w:top w:val="nil"/>
              <w:left w:val="single" w:sz="4" w:space="0" w:color="auto"/>
              <w:bottom w:val="nil"/>
              <w:right w:val="single" w:sz="4" w:space="0" w:color="auto"/>
            </w:tcBorders>
            <w:vAlign w:val="center"/>
          </w:tcPr>
          <w:p w14:paraId="64272F9A" w14:textId="77777777" w:rsidR="008205F1" w:rsidRPr="00804648" w:rsidRDefault="008205F1" w:rsidP="006F6FE5">
            <w:pPr>
              <w:pStyle w:val="TableText0"/>
              <w:rPr>
                <w:szCs w:val="18"/>
              </w:rPr>
            </w:pPr>
            <w:r w:rsidRPr="00804648">
              <w:rPr>
                <w:szCs w:val="18"/>
              </w:rPr>
              <w:t xml:space="preserve">McGovern et al. Prospective study of the natural history of chronic acid sphingomyelinase deficiency in children and adults: eleven years of observation. </w:t>
            </w:r>
          </w:p>
        </w:tc>
        <w:tc>
          <w:tcPr>
            <w:tcW w:w="1387" w:type="pct"/>
            <w:tcBorders>
              <w:top w:val="nil"/>
              <w:left w:val="single" w:sz="4" w:space="0" w:color="auto"/>
              <w:bottom w:val="nil"/>
            </w:tcBorders>
            <w:vAlign w:val="center"/>
          </w:tcPr>
          <w:p w14:paraId="4E5A037B" w14:textId="77777777" w:rsidR="008205F1" w:rsidRPr="00804648" w:rsidRDefault="008205F1" w:rsidP="006F6FE5">
            <w:pPr>
              <w:pStyle w:val="TableText0"/>
            </w:pPr>
            <w:r w:rsidRPr="00804648">
              <w:rPr>
                <w:i/>
                <w:iCs/>
              </w:rPr>
              <w:t>Orphanet Journal of Rare Diseases</w:t>
            </w:r>
            <w:r w:rsidRPr="00804648">
              <w:t xml:space="preserve"> 2021</w:t>
            </w:r>
            <w:r w:rsidRPr="00804648">
              <w:rPr>
                <w:szCs w:val="18"/>
              </w:rPr>
              <w:t>; 16(212).</w:t>
            </w:r>
          </w:p>
        </w:tc>
      </w:tr>
      <w:tr w:rsidR="008205F1" w:rsidRPr="00804648" w14:paraId="2D881D9C" w14:textId="77777777" w:rsidTr="008C351B">
        <w:tc>
          <w:tcPr>
            <w:tcW w:w="705" w:type="pct"/>
            <w:vMerge/>
            <w:tcBorders>
              <w:right w:val="single" w:sz="4" w:space="0" w:color="auto"/>
            </w:tcBorders>
            <w:vAlign w:val="center"/>
          </w:tcPr>
          <w:p w14:paraId="51F173C1" w14:textId="77777777" w:rsidR="008205F1" w:rsidRPr="00804648" w:rsidRDefault="008205F1" w:rsidP="006F6FE5">
            <w:pPr>
              <w:pStyle w:val="TableText0"/>
            </w:pPr>
          </w:p>
        </w:tc>
        <w:tc>
          <w:tcPr>
            <w:tcW w:w="2908" w:type="pct"/>
            <w:tcBorders>
              <w:top w:val="nil"/>
              <w:left w:val="single" w:sz="4" w:space="0" w:color="auto"/>
              <w:bottom w:val="nil"/>
              <w:right w:val="single" w:sz="4" w:space="0" w:color="auto"/>
            </w:tcBorders>
            <w:vAlign w:val="center"/>
          </w:tcPr>
          <w:p w14:paraId="36F28EE7" w14:textId="77777777" w:rsidR="008205F1" w:rsidRPr="00804648" w:rsidRDefault="008205F1" w:rsidP="006F6FE5">
            <w:pPr>
              <w:pStyle w:val="TableText0"/>
              <w:rPr>
                <w:szCs w:val="18"/>
              </w:rPr>
            </w:pPr>
            <w:r w:rsidRPr="00804648">
              <w:rPr>
                <w:szCs w:val="18"/>
              </w:rPr>
              <w:t>Kapetanakis et al. Analysis of overall survival in patients with acid sphingomyelinase deficiency type B using the standardized mortality ratio method.</w:t>
            </w:r>
          </w:p>
        </w:tc>
        <w:tc>
          <w:tcPr>
            <w:tcW w:w="1387" w:type="pct"/>
            <w:tcBorders>
              <w:top w:val="nil"/>
              <w:left w:val="single" w:sz="4" w:space="0" w:color="auto"/>
              <w:bottom w:val="nil"/>
            </w:tcBorders>
            <w:vAlign w:val="center"/>
          </w:tcPr>
          <w:p w14:paraId="1260FAF4" w14:textId="0C658E79" w:rsidR="008205F1" w:rsidRPr="00804648" w:rsidRDefault="008205F1" w:rsidP="006F6FE5">
            <w:pPr>
              <w:pStyle w:val="TableText0"/>
            </w:pPr>
            <w:r w:rsidRPr="00804648">
              <w:rPr>
                <w:i/>
                <w:iCs/>
                <w:szCs w:val="18"/>
              </w:rPr>
              <w:t>Molecular Genetics and Metabolism</w:t>
            </w:r>
            <w:r w:rsidRPr="00804648">
              <w:rPr>
                <w:szCs w:val="18"/>
              </w:rPr>
              <w:t xml:space="preserve"> 2022; 135:</w:t>
            </w:r>
            <w:r w:rsidR="008E5693" w:rsidRPr="00804648">
              <w:rPr>
                <w:szCs w:val="18"/>
              </w:rPr>
              <w:t xml:space="preserve"> </w:t>
            </w:r>
            <w:r w:rsidRPr="00804648">
              <w:rPr>
                <w:szCs w:val="18"/>
              </w:rPr>
              <w:t>S64</w:t>
            </w:r>
          </w:p>
        </w:tc>
      </w:tr>
      <w:tr w:rsidR="008205F1" w:rsidRPr="00804648" w14:paraId="46E89017" w14:textId="77777777" w:rsidTr="008C351B">
        <w:tc>
          <w:tcPr>
            <w:tcW w:w="705" w:type="pct"/>
            <w:vMerge/>
            <w:tcBorders>
              <w:bottom w:val="single" w:sz="4" w:space="0" w:color="auto"/>
              <w:right w:val="single" w:sz="4" w:space="0" w:color="auto"/>
            </w:tcBorders>
            <w:vAlign w:val="center"/>
          </w:tcPr>
          <w:p w14:paraId="59E4C1A3" w14:textId="77777777" w:rsidR="008205F1" w:rsidRPr="00804648" w:rsidRDefault="008205F1" w:rsidP="006F6FE5">
            <w:pPr>
              <w:pStyle w:val="TableText0"/>
            </w:pPr>
          </w:p>
        </w:tc>
        <w:tc>
          <w:tcPr>
            <w:tcW w:w="2908" w:type="pct"/>
            <w:tcBorders>
              <w:top w:val="nil"/>
              <w:left w:val="single" w:sz="4" w:space="0" w:color="auto"/>
              <w:bottom w:val="single" w:sz="4" w:space="0" w:color="auto"/>
              <w:right w:val="single" w:sz="4" w:space="0" w:color="auto"/>
            </w:tcBorders>
            <w:vAlign w:val="center"/>
          </w:tcPr>
          <w:p w14:paraId="37E56D7F" w14:textId="77777777" w:rsidR="008205F1" w:rsidRPr="00804648" w:rsidRDefault="008205F1" w:rsidP="006F6FE5">
            <w:pPr>
              <w:pStyle w:val="TableText0"/>
              <w:rPr>
                <w:szCs w:val="18"/>
              </w:rPr>
            </w:pPr>
            <w:r w:rsidRPr="00804648">
              <w:rPr>
                <w:szCs w:val="18"/>
              </w:rPr>
              <w:t xml:space="preserve">Fournier et al. Clinical relevance of spleen volume and platelet count with bleeding events in patients with acid sphingomyelinase deficiency (ASMD) </w:t>
            </w:r>
          </w:p>
        </w:tc>
        <w:tc>
          <w:tcPr>
            <w:tcW w:w="1387" w:type="pct"/>
            <w:tcBorders>
              <w:top w:val="nil"/>
              <w:left w:val="single" w:sz="4" w:space="0" w:color="auto"/>
              <w:bottom w:val="single" w:sz="4" w:space="0" w:color="auto"/>
            </w:tcBorders>
            <w:vAlign w:val="center"/>
          </w:tcPr>
          <w:p w14:paraId="77A66E76" w14:textId="77777777" w:rsidR="008205F1" w:rsidRPr="00804648" w:rsidRDefault="008205F1" w:rsidP="006F6FE5">
            <w:pPr>
              <w:pStyle w:val="TableText0"/>
            </w:pPr>
            <w:r w:rsidRPr="00804648">
              <w:rPr>
                <w:i/>
                <w:iCs/>
                <w:szCs w:val="18"/>
              </w:rPr>
              <w:t xml:space="preserve">HemaSphere </w:t>
            </w:r>
            <w:r w:rsidRPr="00804648">
              <w:rPr>
                <w:szCs w:val="18"/>
              </w:rPr>
              <w:t>2022; 6:398-399.</w:t>
            </w:r>
          </w:p>
        </w:tc>
      </w:tr>
    </w:tbl>
    <w:p w14:paraId="62EC997F" w14:textId="77777777" w:rsidR="008205F1" w:rsidRPr="00804648" w:rsidRDefault="008205F1" w:rsidP="008205F1">
      <w:pPr>
        <w:pStyle w:val="FooterTableFigure"/>
      </w:pPr>
      <w:r w:rsidRPr="00804648">
        <w:t>Source: Table 2.2.1, pp28-29 and Table 2.2.2, p30 of the submission.</w:t>
      </w:r>
    </w:p>
    <w:p w14:paraId="69DB73AD" w14:textId="18A1128F" w:rsidR="00AD7466" w:rsidRPr="00804648" w:rsidRDefault="008205F1" w:rsidP="008205F1">
      <w:pPr>
        <w:pStyle w:val="FooterTableFigure"/>
      </w:pPr>
      <w:r w:rsidRPr="00804648">
        <w:t>PCSK 9 = Proprotein convertase subtilisin/kexin type 9</w:t>
      </w:r>
      <w:r w:rsidR="00AD7466" w:rsidRPr="00804648">
        <w:t>.</w:t>
      </w:r>
    </w:p>
    <w:p w14:paraId="1DD06D7D" w14:textId="44DFC0A2" w:rsidR="007F1017" w:rsidRPr="00804648" w:rsidRDefault="008F120A" w:rsidP="00EC5836">
      <w:pPr>
        <w:pStyle w:val="3-BodyText"/>
        <w:rPr>
          <w:color w:val="0066FF"/>
        </w:rPr>
      </w:pPr>
      <w:r w:rsidRPr="00804648">
        <w:t xml:space="preserve">The key features of the </w:t>
      </w:r>
      <w:r w:rsidR="00621ADA" w:rsidRPr="00804648">
        <w:t>included evidence</w:t>
      </w:r>
      <w:r w:rsidRPr="00804648">
        <w:t xml:space="preserve"> are summarised in</w:t>
      </w:r>
      <w:r w:rsidR="00D6076E" w:rsidRPr="00804648">
        <w:t xml:space="preserve"> </w:t>
      </w:r>
      <w:r w:rsidR="00D6076E" w:rsidRPr="00804648">
        <w:fldChar w:fldCharType="begin" w:fldLock="1"/>
      </w:r>
      <w:r w:rsidR="00D6076E" w:rsidRPr="00804648">
        <w:instrText xml:space="preserve"> REF _Ref104804098 \h  \* MERGEFORMAT </w:instrText>
      </w:r>
      <w:r w:rsidR="00D6076E" w:rsidRPr="00804648">
        <w:fldChar w:fldCharType="separate"/>
      </w:r>
      <w:r w:rsidR="005D02DA" w:rsidRPr="00804648">
        <w:t>Table 3</w:t>
      </w:r>
      <w:r w:rsidR="00D6076E" w:rsidRPr="00804648">
        <w:fldChar w:fldCharType="end"/>
      </w:r>
      <w:r w:rsidRPr="00804648">
        <w:t>.</w:t>
      </w:r>
      <w:r w:rsidR="00BC591F" w:rsidRPr="00804648">
        <w:t xml:space="preserve"> </w:t>
      </w:r>
    </w:p>
    <w:p w14:paraId="355E2F15" w14:textId="69E573C8" w:rsidR="007F1017" w:rsidRPr="00804648" w:rsidRDefault="00696EF9" w:rsidP="008205F1">
      <w:pPr>
        <w:pStyle w:val="TableFigureHeading"/>
      </w:pPr>
      <w:bookmarkStart w:id="26" w:name="_Ref104804098"/>
      <w:r w:rsidRPr="00804648">
        <w:lastRenderedPageBreak/>
        <w:t xml:space="preserve">Table </w:t>
      </w:r>
      <w:r w:rsidRPr="00804648">
        <w:rPr>
          <w:rStyle w:val="CommentReference"/>
          <w:b/>
          <w:szCs w:val="24"/>
        </w:rPr>
        <w:fldChar w:fldCharType="begin" w:fldLock="1"/>
      </w:r>
      <w:r w:rsidRPr="00804648">
        <w:rPr>
          <w:rStyle w:val="CommentReference"/>
          <w:b/>
          <w:szCs w:val="24"/>
        </w:rPr>
        <w:instrText xml:space="preserve"> SEQ Table \* ARABIC </w:instrText>
      </w:r>
      <w:r w:rsidRPr="00804648">
        <w:rPr>
          <w:rStyle w:val="CommentReference"/>
          <w:b/>
          <w:szCs w:val="24"/>
        </w:rPr>
        <w:fldChar w:fldCharType="separate"/>
      </w:r>
      <w:r w:rsidR="005D02DA" w:rsidRPr="00804648">
        <w:rPr>
          <w:rStyle w:val="CommentReference"/>
          <w:b/>
          <w:szCs w:val="24"/>
        </w:rPr>
        <w:t>3</w:t>
      </w:r>
      <w:r w:rsidRPr="00804648">
        <w:rPr>
          <w:rStyle w:val="CommentReference"/>
          <w:b/>
          <w:szCs w:val="24"/>
        </w:rPr>
        <w:fldChar w:fldCharType="end"/>
      </w:r>
      <w:bookmarkEnd w:id="26"/>
      <w:r w:rsidR="00D6076E" w:rsidRPr="00804648">
        <w:t xml:space="preserve">: </w:t>
      </w:r>
      <w:r w:rsidR="007F1017" w:rsidRPr="00804648">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5"/>
        <w:gridCol w:w="1143"/>
        <w:gridCol w:w="1156"/>
        <w:gridCol w:w="1133"/>
        <w:gridCol w:w="1562"/>
        <w:gridCol w:w="1991"/>
        <w:gridCol w:w="1077"/>
      </w:tblGrid>
      <w:tr w:rsidR="006F5488" w:rsidRPr="00804648" w14:paraId="53DD7CC6" w14:textId="77777777" w:rsidTr="00A9033C">
        <w:trPr>
          <w:cantSplit/>
          <w:tblHeader/>
        </w:trPr>
        <w:tc>
          <w:tcPr>
            <w:tcW w:w="530" w:type="pct"/>
            <w:shd w:val="clear" w:color="auto" w:fill="auto"/>
            <w:vAlign w:val="center"/>
          </w:tcPr>
          <w:p w14:paraId="794116BC" w14:textId="77777777" w:rsidR="007F1017" w:rsidRPr="00804648" w:rsidRDefault="007F1017" w:rsidP="00827B95">
            <w:pPr>
              <w:pStyle w:val="In-tableHeading"/>
              <w:rPr>
                <w:lang w:val="en-AU"/>
              </w:rPr>
            </w:pPr>
            <w:r w:rsidRPr="00804648">
              <w:rPr>
                <w:lang w:val="en-AU"/>
              </w:rPr>
              <w:t>Trial</w:t>
            </w:r>
          </w:p>
        </w:tc>
        <w:tc>
          <w:tcPr>
            <w:tcW w:w="634" w:type="pct"/>
            <w:shd w:val="clear" w:color="auto" w:fill="auto"/>
            <w:vAlign w:val="center"/>
          </w:tcPr>
          <w:p w14:paraId="51122FE5" w14:textId="77777777" w:rsidR="007F1017" w:rsidRPr="00804648" w:rsidRDefault="007F1017" w:rsidP="000802AA">
            <w:pPr>
              <w:pStyle w:val="In-tableHeading"/>
              <w:jc w:val="center"/>
              <w:rPr>
                <w:lang w:val="en-AU"/>
              </w:rPr>
            </w:pPr>
            <w:r w:rsidRPr="00804648">
              <w:rPr>
                <w:lang w:val="en-AU"/>
              </w:rPr>
              <w:t>N</w:t>
            </w:r>
          </w:p>
        </w:tc>
        <w:tc>
          <w:tcPr>
            <w:tcW w:w="641" w:type="pct"/>
            <w:shd w:val="clear" w:color="auto" w:fill="auto"/>
            <w:vAlign w:val="center"/>
          </w:tcPr>
          <w:p w14:paraId="41C438EF" w14:textId="77777777" w:rsidR="007F1017" w:rsidRPr="00804648" w:rsidRDefault="007F1017" w:rsidP="000802AA">
            <w:pPr>
              <w:pStyle w:val="In-tableHeading"/>
              <w:jc w:val="center"/>
              <w:rPr>
                <w:lang w:val="en-AU"/>
              </w:rPr>
            </w:pPr>
            <w:r w:rsidRPr="00804648">
              <w:rPr>
                <w:lang w:val="en-AU"/>
              </w:rPr>
              <w:t>Design/ duration</w:t>
            </w:r>
          </w:p>
        </w:tc>
        <w:tc>
          <w:tcPr>
            <w:tcW w:w="628" w:type="pct"/>
            <w:shd w:val="clear" w:color="auto" w:fill="auto"/>
            <w:vAlign w:val="center"/>
          </w:tcPr>
          <w:p w14:paraId="1FC91360" w14:textId="77777777" w:rsidR="007F1017" w:rsidRPr="00804648" w:rsidRDefault="007F1017" w:rsidP="000802AA">
            <w:pPr>
              <w:pStyle w:val="In-tableHeading"/>
              <w:jc w:val="center"/>
              <w:rPr>
                <w:lang w:val="en-AU"/>
              </w:rPr>
            </w:pPr>
            <w:r w:rsidRPr="00804648">
              <w:rPr>
                <w:lang w:val="en-AU"/>
              </w:rPr>
              <w:t>Risk of bias</w:t>
            </w:r>
          </w:p>
        </w:tc>
        <w:tc>
          <w:tcPr>
            <w:tcW w:w="866" w:type="pct"/>
            <w:shd w:val="clear" w:color="auto" w:fill="auto"/>
            <w:vAlign w:val="center"/>
          </w:tcPr>
          <w:p w14:paraId="7FF90896" w14:textId="77777777" w:rsidR="007F1017" w:rsidRPr="00804648" w:rsidRDefault="007F1017" w:rsidP="000802AA">
            <w:pPr>
              <w:pStyle w:val="In-tableHeading"/>
              <w:jc w:val="center"/>
              <w:rPr>
                <w:lang w:val="en-AU"/>
              </w:rPr>
            </w:pPr>
            <w:r w:rsidRPr="00804648">
              <w:rPr>
                <w:lang w:val="en-AU"/>
              </w:rPr>
              <w:t>Patient population</w:t>
            </w:r>
          </w:p>
        </w:tc>
        <w:tc>
          <w:tcPr>
            <w:tcW w:w="1104" w:type="pct"/>
            <w:shd w:val="clear" w:color="auto" w:fill="auto"/>
            <w:vAlign w:val="center"/>
          </w:tcPr>
          <w:p w14:paraId="0FCB63F9" w14:textId="325744B8" w:rsidR="007F1017" w:rsidRPr="00804648" w:rsidRDefault="007F1017" w:rsidP="000802AA">
            <w:pPr>
              <w:pStyle w:val="In-tableHeading"/>
              <w:jc w:val="center"/>
              <w:rPr>
                <w:lang w:val="en-AU"/>
              </w:rPr>
            </w:pPr>
            <w:r w:rsidRPr="00804648">
              <w:rPr>
                <w:lang w:val="en-AU"/>
              </w:rPr>
              <w:t>Outcomes</w:t>
            </w:r>
          </w:p>
        </w:tc>
        <w:tc>
          <w:tcPr>
            <w:tcW w:w="597" w:type="pct"/>
            <w:shd w:val="clear" w:color="auto" w:fill="auto"/>
            <w:vAlign w:val="center"/>
          </w:tcPr>
          <w:p w14:paraId="08C6F624" w14:textId="77777777" w:rsidR="007F1017" w:rsidRPr="00804648" w:rsidRDefault="007F1017" w:rsidP="000802AA">
            <w:pPr>
              <w:pStyle w:val="In-tableHeading"/>
              <w:jc w:val="center"/>
              <w:rPr>
                <w:lang w:val="en-AU"/>
              </w:rPr>
            </w:pPr>
            <w:r w:rsidRPr="00804648">
              <w:rPr>
                <w:lang w:val="en-AU"/>
              </w:rPr>
              <w:t>Use in modelled evaluation</w:t>
            </w:r>
          </w:p>
        </w:tc>
      </w:tr>
      <w:tr w:rsidR="005A16B4" w:rsidRPr="00804648" w14:paraId="68FD6259" w14:textId="77777777" w:rsidTr="006F5488">
        <w:trPr>
          <w:cantSplit/>
        </w:trPr>
        <w:tc>
          <w:tcPr>
            <w:tcW w:w="5000" w:type="pct"/>
            <w:gridSpan w:val="7"/>
            <w:shd w:val="clear" w:color="auto" w:fill="auto"/>
            <w:vAlign w:val="center"/>
          </w:tcPr>
          <w:p w14:paraId="654025F7" w14:textId="3CE092C3" w:rsidR="005A16B4" w:rsidRPr="00804648" w:rsidRDefault="005A16B4" w:rsidP="005A16B4">
            <w:pPr>
              <w:pStyle w:val="TableText0"/>
              <w:rPr>
                <w:b/>
                <w:bCs w:val="0"/>
              </w:rPr>
            </w:pPr>
            <w:r w:rsidRPr="00804648">
              <w:rPr>
                <w:b/>
                <w:bCs w:val="0"/>
              </w:rPr>
              <w:t>Olipudase alfa studies</w:t>
            </w:r>
          </w:p>
        </w:tc>
      </w:tr>
      <w:tr w:rsidR="006F5488" w:rsidRPr="00804648" w14:paraId="4EE88DCB" w14:textId="77777777" w:rsidTr="00A9033C">
        <w:trPr>
          <w:cantSplit/>
        </w:trPr>
        <w:tc>
          <w:tcPr>
            <w:tcW w:w="530" w:type="pct"/>
            <w:shd w:val="clear" w:color="auto" w:fill="auto"/>
            <w:vAlign w:val="center"/>
          </w:tcPr>
          <w:p w14:paraId="6EE77D33" w14:textId="0970331D" w:rsidR="007F1017" w:rsidRPr="00804648" w:rsidRDefault="00F63CA3" w:rsidP="00EC5836">
            <w:pPr>
              <w:pStyle w:val="TableText0"/>
            </w:pPr>
            <w:r w:rsidRPr="00804648">
              <w:t>ASCEND</w:t>
            </w:r>
          </w:p>
        </w:tc>
        <w:tc>
          <w:tcPr>
            <w:tcW w:w="634" w:type="pct"/>
            <w:shd w:val="clear" w:color="auto" w:fill="auto"/>
            <w:vAlign w:val="center"/>
          </w:tcPr>
          <w:p w14:paraId="41BB0E41" w14:textId="7BB51059" w:rsidR="007F1017" w:rsidRPr="00804648" w:rsidRDefault="00F63CA3" w:rsidP="00830CB2">
            <w:pPr>
              <w:pStyle w:val="TableText0"/>
              <w:jc w:val="center"/>
            </w:pPr>
            <w:r w:rsidRPr="00804648">
              <w:t>36</w:t>
            </w:r>
          </w:p>
        </w:tc>
        <w:tc>
          <w:tcPr>
            <w:tcW w:w="641" w:type="pct"/>
            <w:shd w:val="clear" w:color="auto" w:fill="auto"/>
            <w:vAlign w:val="center"/>
          </w:tcPr>
          <w:p w14:paraId="744D08AC" w14:textId="37EEF4CD" w:rsidR="007F1017" w:rsidRPr="00804648" w:rsidRDefault="007F1017" w:rsidP="00830CB2">
            <w:pPr>
              <w:pStyle w:val="TableText0"/>
              <w:jc w:val="center"/>
            </w:pPr>
            <w:r w:rsidRPr="00804648">
              <w:t>R, DB</w:t>
            </w:r>
            <w:r w:rsidR="00012189" w:rsidRPr="00804648">
              <w:t>, MC</w:t>
            </w:r>
          </w:p>
        </w:tc>
        <w:tc>
          <w:tcPr>
            <w:tcW w:w="628" w:type="pct"/>
            <w:shd w:val="clear" w:color="auto" w:fill="auto"/>
            <w:vAlign w:val="center"/>
          </w:tcPr>
          <w:p w14:paraId="4A529D74" w14:textId="77777777" w:rsidR="007F1017" w:rsidRPr="00804648" w:rsidRDefault="007F1017" w:rsidP="00830CB2">
            <w:pPr>
              <w:pStyle w:val="TableText0"/>
              <w:jc w:val="center"/>
              <w:rPr>
                <w:iCs/>
              </w:rPr>
            </w:pPr>
            <w:r w:rsidRPr="00804648">
              <w:rPr>
                <w:iCs/>
              </w:rPr>
              <w:t>Low</w:t>
            </w:r>
          </w:p>
        </w:tc>
        <w:tc>
          <w:tcPr>
            <w:tcW w:w="866" w:type="pct"/>
            <w:shd w:val="clear" w:color="auto" w:fill="auto"/>
            <w:vAlign w:val="center"/>
          </w:tcPr>
          <w:p w14:paraId="5E6F456D" w14:textId="35F7D53A" w:rsidR="007F1017" w:rsidRPr="00804648" w:rsidRDefault="00830CB2" w:rsidP="00830CB2">
            <w:pPr>
              <w:pStyle w:val="TableText0"/>
              <w:jc w:val="center"/>
            </w:pPr>
            <w:r w:rsidRPr="00804648">
              <w:t xml:space="preserve">Adult patients with ASMD </w:t>
            </w:r>
            <w:r w:rsidR="00141947" w:rsidRPr="00804648">
              <w:t>type</w:t>
            </w:r>
            <w:r w:rsidRPr="00804648">
              <w:t xml:space="preserve"> B</w:t>
            </w:r>
          </w:p>
        </w:tc>
        <w:tc>
          <w:tcPr>
            <w:tcW w:w="1104" w:type="pct"/>
            <w:shd w:val="clear" w:color="auto" w:fill="auto"/>
            <w:vAlign w:val="center"/>
          </w:tcPr>
          <w:p w14:paraId="6DC76214" w14:textId="430B5DEC" w:rsidR="007F1017" w:rsidRPr="00804648" w:rsidRDefault="001C3470" w:rsidP="00830CB2">
            <w:pPr>
              <w:pStyle w:val="TableText0"/>
              <w:jc w:val="center"/>
            </w:pPr>
            <w:r w:rsidRPr="00804648">
              <w:t xml:space="preserve">Spleen volume, DLco, liver volume, platelet count, safety, </w:t>
            </w:r>
            <w:r w:rsidR="00C966DE" w:rsidRPr="00804648">
              <w:t>SRS,</w:t>
            </w:r>
            <w:r w:rsidR="00DD12A2" w:rsidRPr="00804648">
              <w:t xml:space="preserve"> fatigue, </w:t>
            </w:r>
            <w:r w:rsidR="00F41544" w:rsidRPr="00804648">
              <w:t xml:space="preserve">pain </w:t>
            </w:r>
            <w:r w:rsidR="00243714" w:rsidRPr="00804648">
              <w:t>and</w:t>
            </w:r>
            <w:r w:rsidR="001B472B" w:rsidRPr="00804648">
              <w:t xml:space="preserve"> dyspnea severity</w:t>
            </w:r>
            <w:r w:rsidR="00F16655" w:rsidRPr="00804648">
              <w:t xml:space="preserve"> and</w:t>
            </w:r>
            <w:r w:rsidR="00DD12A2" w:rsidRPr="00804648">
              <w:t xml:space="preserve"> </w:t>
            </w:r>
            <w:r w:rsidRPr="00804648">
              <w:t>HRQoL</w:t>
            </w:r>
          </w:p>
        </w:tc>
        <w:tc>
          <w:tcPr>
            <w:tcW w:w="597" w:type="pct"/>
            <w:shd w:val="clear" w:color="auto" w:fill="auto"/>
            <w:vAlign w:val="center"/>
          </w:tcPr>
          <w:p w14:paraId="150A804C" w14:textId="3ABC109D" w:rsidR="007F1017" w:rsidRPr="00804648" w:rsidRDefault="001C3470" w:rsidP="00830CB2">
            <w:pPr>
              <w:pStyle w:val="TableText0"/>
              <w:jc w:val="center"/>
            </w:pPr>
            <w:r w:rsidRPr="00804648">
              <w:t>Spleen volume and DLco</w:t>
            </w:r>
          </w:p>
        </w:tc>
      </w:tr>
      <w:tr w:rsidR="006F5488" w:rsidRPr="00804648" w14:paraId="13A6895C" w14:textId="77777777" w:rsidTr="00A9033C">
        <w:trPr>
          <w:cantSplit/>
        </w:trPr>
        <w:tc>
          <w:tcPr>
            <w:tcW w:w="530" w:type="pct"/>
            <w:shd w:val="clear" w:color="auto" w:fill="auto"/>
            <w:vAlign w:val="center"/>
          </w:tcPr>
          <w:p w14:paraId="4A9488B3" w14:textId="13600005" w:rsidR="00830CB2" w:rsidRPr="00804648" w:rsidRDefault="00830CB2" w:rsidP="00830CB2">
            <w:pPr>
              <w:pStyle w:val="TableText0"/>
            </w:pPr>
            <w:r w:rsidRPr="00804648">
              <w:t>ASCEND-peds</w:t>
            </w:r>
          </w:p>
        </w:tc>
        <w:tc>
          <w:tcPr>
            <w:tcW w:w="634" w:type="pct"/>
            <w:shd w:val="clear" w:color="auto" w:fill="auto"/>
            <w:vAlign w:val="center"/>
          </w:tcPr>
          <w:p w14:paraId="3F4D20B5" w14:textId="2BA5EB80" w:rsidR="00830CB2" w:rsidRPr="00804648" w:rsidRDefault="00830CB2" w:rsidP="00830CB2">
            <w:pPr>
              <w:pStyle w:val="TableText0"/>
              <w:jc w:val="center"/>
            </w:pPr>
            <w:r w:rsidRPr="00804648">
              <w:t>20</w:t>
            </w:r>
          </w:p>
        </w:tc>
        <w:tc>
          <w:tcPr>
            <w:tcW w:w="641" w:type="pct"/>
            <w:shd w:val="clear" w:color="auto" w:fill="auto"/>
            <w:vAlign w:val="center"/>
          </w:tcPr>
          <w:p w14:paraId="68D92FE7" w14:textId="0168490E" w:rsidR="00830CB2" w:rsidRPr="00804648" w:rsidRDefault="00830CB2" w:rsidP="00830CB2">
            <w:pPr>
              <w:pStyle w:val="TableText0"/>
              <w:jc w:val="center"/>
            </w:pPr>
            <w:r w:rsidRPr="00804648">
              <w:t>SA, OL, MC</w:t>
            </w:r>
          </w:p>
        </w:tc>
        <w:tc>
          <w:tcPr>
            <w:tcW w:w="628" w:type="pct"/>
            <w:shd w:val="clear" w:color="auto" w:fill="auto"/>
            <w:vAlign w:val="center"/>
          </w:tcPr>
          <w:p w14:paraId="6F0F93F8" w14:textId="114EB111" w:rsidR="00830CB2" w:rsidRPr="00804648" w:rsidRDefault="006F5488" w:rsidP="006F5488">
            <w:pPr>
              <w:pStyle w:val="TableText0"/>
              <w:jc w:val="center"/>
              <w:rPr>
                <w:iCs/>
              </w:rPr>
            </w:pPr>
            <w:r w:rsidRPr="00804648">
              <w:rPr>
                <w:iCs/>
              </w:rPr>
              <w:t xml:space="preserve">Unclear </w:t>
            </w:r>
          </w:p>
        </w:tc>
        <w:tc>
          <w:tcPr>
            <w:tcW w:w="866" w:type="pct"/>
            <w:shd w:val="clear" w:color="auto" w:fill="auto"/>
            <w:vAlign w:val="center"/>
          </w:tcPr>
          <w:p w14:paraId="43AC963E" w14:textId="3A6BEC96" w:rsidR="00830CB2" w:rsidRPr="00804648" w:rsidRDefault="00830CB2" w:rsidP="00830CB2">
            <w:pPr>
              <w:pStyle w:val="TableText0"/>
              <w:jc w:val="center"/>
            </w:pPr>
            <w:r w:rsidRPr="00804648">
              <w:t xml:space="preserve">Paediatric patients with ASMD type A/B or </w:t>
            </w:r>
            <w:r w:rsidR="00141947" w:rsidRPr="00804648">
              <w:t xml:space="preserve">type </w:t>
            </w:r>
            <w:r w:rsidRPr="00804648">
              <w:t>B</w:t>
            </w:r>
          </w:p>
        </w:tc>
        <w:tc>
          <w:tcPr>
            <w:tcW w:w="1104" w:type="pct"/>
            <w:shd w:val="clear" w:color="auto" w:fill="auto"/>
            <w:vAlign w:val="center"/>
          </w:tcPr>
          <w:p w14:paraId="4F0C99D2" w14:textId="5C4618EC" w:rsidR="00830CB2" w:rsidRPr="00804648" w:rsidRDefault="001C3470" w:rsidP="00830CB2">
            <w:pPr>
              <w:pStyle w:val="TableText0"/>
              <w:jc w:val="center"/>
            </w:pPr>
            <w:r w:rsidRPr="00804648">
              <w:t xml:space="preserve">Spleen volume, DLco, liver volume, platelet count, growth, safety </w:t>
            </w:r>
          </w:p>
        </w:tc>
        <w:tc>
          <w:tcPr>
            <w:tcW w:w="597" w:type="pct"/>
            <w:shd w:val="clear" w:color="auto" w:fill="auto"/>
            <w:vAlign w:val="center"/>
          </w:tcPr>
          <w:p w14:paraId="3175EA34" w14:textId="41AE4A81" w:rsidR="00830CB2" w:rsidRPr="00804648" w:rsidRDefault="001C3470" w:rsidP="00830CB2">
            <w:pPr>
              <w:pStyle w:val="TableText0"/>
              <w:jc w:val="center"/>
            </w:pPr>
            <w:r w:rsidRPr="00804648">
              <w:t>Spleen volume and DLco</w:t>
            </w:r>
          </w:p>
        </w:tc>
      </w:tr>
      <w:tr w:rsidR="006F5488" w:rsidRPr="00804648" w14:paraId="766FC39F" w14:textId="77777777" w:rsidTr="00A9033C">
        <w:trPr>
          <w:cantSplit/>
        </w:trPr>
        <w:tc>
          <w:tcPr>
            <w:tcW w:w="530" w:type="pct"/>
            <w:shd w:val="clear" w:color="auto" w:fill="auto"/>
            <w:vAlign w:val="center"/>
          </w:tcPr>
          <w:p w14:paraId="258BAAD3" w14:textId="7D3BC03C" w:rsidR="00830CB2" w:rsidRPr="00804648" w:rsidRDefault="00830CB2" w:rsidP="00830CB2">
            <w:pPr>
              <w:pStyle w:val="TableText0"/>
            </w:pPr>
            <w:r w:rsidRPr="00804648">
              <w:t>DFI13412</w:t>
            </w:r>
          </w:p>
        </w:tc>
        <w:tc>
          <w:tcPr>
            <w:tcW w:w="634" w:type="pct"/>
            <w:shd w:val="clear" w:color="auto" w:fill="auto"/>
            <w:vAlign w:val="center"/>
          </w:tcPr>
          <w:p w14:paraId="7A251A32" w14:textId="491E8BCA" w:rsidR="00830CB2" w:rsidRPr="00804648" w:rsidRDefault="00830CB2" w:rsidP="00830CB2">
            <w:pPr>
              <w:pStyle w:val="TableText0"/>
              <w:jc w:val="center"/>
            </w:pPr>
            <w:r w:rsidRPr="00804648">
              <w:t>5</w:t>
            </w:r>
          </w:p>
        </w:tc>
        <w:tc>
          <w:tcPr>
            <w:tcW w:w="641" w:type="pct"/>
            <w:shd w:val="clear" w:color="auto" w:fill="auto"/>
            <w:vAlign w:val="center"/>
          </w:tcPr>
          <w:p w14:paraId="7C6ADD2E" w14:textId="75BB9AB1" w:rsidR="00830CB2" w:rsidRPr="00804648" w:rsidRDefault="00830CB2" w:rsidP="00830CB2">
            <w:pPr>
              <w:pStyle w:val="TableText0"/>
              <w:jc w:val="center"/>
            </w:pPr>
            <w:r w:rsidRPr="00804648">
              <w:t>SA, OL</w:t>
            </w:r>
          </w:p>
        </w:tc>
        <w:tc>
          <w:tcPr>
            <w:tcW w:w="628" w:type="pct"/>
            <w:shd w:val="clear" w:color="auto" w:fill="auto"/>
            <w:vAlign w:val="center"/>
          </w:tcPr>
          <w:p w14:paraId="2AB43901" w14:textId="12EBA47B" w:rsidR="00830CB2" w:rsidRPr="00804648" w:rsidRDefault="006F5488" w:rsidP="006F5488">
            <w:pPr>
              <w:pStyle w:val="TableText0"/>
              <w:jc w:val="center"/>
              <w:rPr>
                <w:iCs/>
              </w:rPr>
            </w:pPr>
            <w:r w:rsidRPr="00804648">
              <w:rPr>
                <w:iCs/>
              </w:rPr>
              <w:t xml:space="preserve">Unclear </w:t>
            </w:r>
          </w:p>
        </w:tc>
        <w:tc>
          <w:tcPr>
            <w:tcW w:w="866" w:type="pct"/>
            <w:shd w:val="clear" w:color="auto" w:fill="auto"/>
            <w:vAlign w:val="center"/>
          </w:tcPr>
          <w:p w14:paraId="5EFBA89D" w14:textId="3C9D281C" w:rsidR="00830CB2" w:rsidRPr="00804648" w:rsidRDefault="00830CB2" w:rsidP="00830CB2">
            <w:pPr>
              <w:pStyle w:val="TableText0"/>
              <w:jc w:val="center"/>
            </w:pPr>
            <w:r w:rsidRPr="00804648">
              <w:t xml:space="preserve">Adult patients with ASMD type A/B or </w:t>
            </w:r>
            <w:r w:rsidR="00141947" w:rsidRPr="00804648">
              <w:t xml:space="preserve">type </w:t>
            </w:r>
            <w:r w:rsidRPr="00804648">
              <w:t>B</w:t>
            </w:r>
          </w:p>
        </w:tc>
        <w:tc>
          <w:tcPr>
            <w:tcW w:w="1104" w:type="pct"/>
            <w:shd w:val="clear" w:color="auto" w:fill="auto"/>
            <w:vAlign w:val="center"/>
          </w:tcPr>
          <w:p w14:paraId="77807349" w14:textId="2E90AD41" w:rsidR="00830CB2" w:rsidRPr="00804648" w:rsidRDefault="001C3470" w:rsidP="00830CB2">
            <w:pPr>
              <w:pStyle w:val="TableText0"/>
              <w:jc w:val="center"/>
            </w:pPr>
            <w:r w:rsidRPr="00804648">
              <w:t>Spleen volume, DLco, liver volume, platelet count, safety</w:t>
            </w:r>
          </w:p>
        </w:tc>
        <w:tc>
          <w:tcPr>
            <w:tcW w:w="597" w:type="pct"/>
            <w:shd w:val="clear" w:color="auto" w:fill="auto"/>
            <w:vAlign w:val="center"/>
          </w:tcPr>
          <w:p w14:paraId="15D3B913" w14:textId="4D79C539" w:rsidR="00830CB2" w:rsidRPr="00804648" w:rsidRDefault="001C3470" w:rsidP="00830CB2">
            <w:pPr>
              <w:pStyle w:val="TableText0"/>
              <w:jc w:val="center"/>
            </w:pPr>
            <w:r w:rsidRPr="00804648">
              <w:t>Spleen volume and DLco</w:t>
            </w:r>
          </w:p>
        </w:tc>
      </w:tr>
      <w:tr w:rsidR="006F5488" w:rsidRPr="00804648" w14:paraId="5E9588AD" w14:textId="77777777" w:rsidTr="00A9033C">
        <w:trPr>
          <w:cantSplit/>
        </w:trPr>
        <w:tc>
          <w:tcPr>
            <w:tcW w:w="530" w:type="pct"/>
            <w:shd w:val="clear" w:color="auto" w:fill="auto"/>
            <w:vAlign w:val="center"/>
          </w:tcPr>
          <w:p w14:paraId="32750674" w14:textId="36935415" w:rsidR="00830CB2" w:rsidRPr="00804648" w:rsidRDefault="00830CB2" w:rsidP="00830CB2">
            <w:pPr>
              <w:pStyle w:val="TableText0"/>
            </w:pPr>
            <w:r w:rsidRPr="00804648">
              <w:t>LTS13632</w:t>
            </w:r>
          </w:p>
        </w:tc>
        <w:tc>
          <w:tcPr>
            <w:tcW w:w="634" w:type="pct"/>
            <w:shd w:val="clear" w:color="auto" w:fill="auto"/>
            <w:vAlign w:val="center"/>
          </w:tcPr>
          <w:p w14:paraId="4E856003" w14:textId="70B62A8C" w:rsidR="00830CB2" w:rsidRPr="00804648" w:rsidRDefault="00830CB2" w:rsidP="00830CB2">
            <w:pPr>
              <w:pStyle w:val="TableText0"/>
              <w:jc w:val="center"/>
            </w:pPr>
            <w:r w:rsidRPr="00804648">
              <w:t>25</w:t>
            </w:r>
            <w:r w:rsidR="006F5488" w:rsidRPr="00804648">
              <w:rPr>
                <w:vertAlign w:val="superscript"/>
              </w:rPr>
              <w:t>a</w:t>
            </w:r>
          </w:p>
        </w:tc>
        <w:tc>
          <w:tcPr>
            <w:tcW w:w="641" w:type="pct"/>
            <w:shd w:val="clear" w:color="auto" w:fill="auto"/>
            <w:vAlign w:val="center"/>
          </w:tcPr>
          <w:p w14:paraId="6DC1450E" w14:textId="7F81E02A" w:rsidR="00830CB2" w:rsidRPr="00804648" w:rsidRDefault="00830CB2" w:rsidP="00830CB2">
            <w:pPr>
              <w:pStyle w:val="TableText0"/>
              <w:jc w:val="center"/>
            </w:pPr>
            <w:r w:rsidRPr="00804648">
              <w:t>SA, OL</w:t>
            </w:r>
          </w:p>
        </w:tc>
        <w:tc>
          <w:tcPr>
            <w:tcW w:w="628" w:type="pct"/>
            <w:shd w:val="clear" w:color="auto" w:fill="auto"/>
            <w:vAlign w:val="center"/>
          </w:tcPr>
          <w:p w14:paraId="2A830E7E" w14:textId="7511CB36" w:rsidR="00830CB2" w:rsidRPr="00804648" w:rsidRDefault="006F5488" w:rsidP="006F5488">
            <w:pPr>
              <w:pStyle w:val="TableText0"/>
              <w:jc w:val="center"/>
              <w:rPr>
                <w:iCs/>
              </w:rPr>
            </w:pPr>
            <w:r w:rsidRPr="00804648">
              <w:rPr>
                <w:iCs/>
              </w:rPr>
              <w:t>Unclear</w:t>
            </w:r>
          </w:p>
        </w:tc>
        <w:tc>
          <w:tcPr>
            <w:tcW w:w="866" w:type="pct"/>
            <w:shd w:val="clear" w:color="auto" w:fill="auto"/>
            <w:vAlign w:val="center"/>
          </w:tcPr>
          <w:p w14:paraId="00CFBA8A" w14:textId="2153BB27" w:rsidR="00830CB2" w:rsidRPr="00804648" w:rsidRDefault="00830CB2" w:rsidP="00830CB2">
            <w:pPr>
              <w:pStyle w:val="TableText0"/>
              <w:jc w:val="center"/>
            </w:pPr>
            <w:r w:rsidRPr="00804648">
              <w:t xml:space="preserve">Adult and paediatric patients with ASMD type A/B or </w:t>
            </w:r>
            <w:r w:rsidR="00141947" w:rsidRPr="00804648">
              <w:t xml:space="preserve">type </w:t>
            </w:r>
            <w:r w:rsidRPr="00804648">
              <w:t>B</w:t>
            </w:r>
          </w:p>
        </w:tc>
        <w:tc>
          <w:tcPr>
            <w:tcW w:w="1104" w:type="pct"/>
            <w:shd w:val="clear" w:color="auto" w:fill="auto"/>
            <w:vAlign w:val="center"/>
          </w:tcPr>
          <w:p w14:paraId="3C33ED8A" w14:textId="017C3B95" w:rsidR="00830CB2" w:rsidRPr="00804648" w:rsidRDefault="001C3470" w:rsidP="00830CB2">
            <w:pPr>
              <w:pStyle w:val="TableText0"/>
              <w:jc w:val="center"/>
            </w:pPr>
            <w:r w:rsidRPr="00804648">
              <w:t xml:space="preserve">Spleen volume, DLco, liver volume, platelet count, </w:t>
            </w:r>
            <w:r w:rsidR="001E5783" w:rsidRPr="00804648">
              <w:t xml:space="preserve">growth, </w:t>
            </w:r>
            <w:r w:rsidRPr="00804648">
              <w:t>safety</w:t>
            </w:r>
          </w:p>
        </w:tc>
        <w:tc>
          <w:tcPr>
            <w:tcW w:w="597" w:type="pct"/>
            <w:shd w:val="clear" w:color="auto" w:fill="auto"/>
            <w:vAlign w:val="center"/>
          </w:tcPr>
          <w:p w14:paraId="2F2CA3D2" w14:textId="6B3BBE8E" w:rsidR="00830CB2" w:rsidRPr="00804648" w:rsidRDefault="001C3470" w:rsidP="00830CB2">
            <w:pPr>
              <w:pStyle w:val="TableText0"/>
              <w:jc w:val="center"/>
              <w:rPr>
                <w:b/>
                <w:bCs w:val="0"/>
              </w:rPr>
            </w:pPr>
            <w:r w:rsidRPr="00804648">
              <w:t>Spleen volume and DLco</w:t>
            </w:r>
          </w:p>
        </w:tc>
      </w:tr>
      <w:tr w:rsidR="005A16B4" w:rsidRPr="00804648" w14:paraId="74840069" w14:textId="77777777" w:rsidTr="006F5488">
        <w:trPr>
          <w:cantSplit/>
        </w:trPr>
        <w:tc>
          <w:tcPr>
            <w:tcW w:w="5000" w:type="pct"/>
            <w:gridSpan w:val="7"/>
            <w:shd w:val="clear" w:color="auto" w:fill="auto"/>
            <w:vAlign w:val="center"/>
          </w:tcPr>
          <w:p w14:paraId="684685B3" w14:textId="318CC742" w:rsidR="005A16B4" w:rsidRPr="00804648" w:rsidRDefault="005A16B4" w:rsidP="005A16B4">
            <w:pPr>
              <w:pStyle w:val="TableText0"/>
              <w:rPr>
                <w:b/>
                <w:bCs w:val="0"/>
              </w:rPr>
            </w:pPr>
            <w:r w:rsidRPr="00804648">
              <w:rPr>
                <w:b/>
                <w:bCs w:val="0"/>
              </w:rPr>
              <w:t>BSC studies</w:t>
            </w:r>
          </w:p>
        </w:tc>
      </w:tr>
      <w:tr w:rsidR="006F5488" w:rsidRPr="00804648" w14:paraId="031A7288" w14:textId="77777777" w:rsidTr="00A9033C">
        <w:trPr>
          <w:cantSplit/>
        </w:trPr>
        <w:tc>
          <w:tcPr>
            <w:tcW w:w="530" w:type="pct"/>
            <w:shd w:val="clear" w:color="auto" w:fill="auto"/>
            <w:vAlign w:val="center"/>
          </w:tcPr>
          <w:p w14:paraId="273F2050" w14:textId="4BFCBD5B" w:rsidR="005A16B4" w:rsidRPr="00804648" w:rsidRDefault="00B45639" w:rsidP="00EC5836">
            <w:pPr>
              <w:pStyle w:val="TableText0"/>
            </w:pPr>
            <w:r w:rsidRPr="00804648">
              <w:t>SPHINGO-100</w:t>
            </w:r>
          </w:p>
        </w:tc>
        <w:tc>
          <w:tcPr>
            <w:tcW w:w="634" w:type="pct"/>
            <w:shd w:val="clear" w:color="auto" w:fill="auto"/>
            <w:vAlign w:val="center"/>
          </w:tcPr>
          <w:p w14:paraId="0BCC3957" w14:textId="77777777" w:rsidR="000802AA" w:rsidRPr="00804648" w:rsidRDefault="00B45639" w:rsidP="00EC5836">
            <w:pPr>
              <w:pStyle w:val="TableText0"/>
              <w:jc w:val="center"/>
            </w:pPr>
            <w:r w:rsidRPr="00804648">
              <w:t xml:space="preserve">59 </w:t>
            </w:r>
          </w:p>
          <w:p w14:paraId="3BC75CAD" w14:textId="5991C43B" w:rsidR="005A16B4" w:rsidRPr="00804648" w:rsidRDefault="00B45639" w:rsidP="00830CB2">
            <w:pPr>
              <w:pStyle w:val="TableText0"/>
              <w:jc w:val="center"/>
            </w:pPr>
            <w:r w:rsidRPr="00804648">
              <w:t>adult =</w:t>
            </w:r>
            <w:r w:rsidR="000802AA" w:rsidRPr="00804648">
              <w:t>30</w:t>
            </w:r>
            <w:r w:rsidR="00830CB2" w:rsidRPr="00804648">
              <w:t xml:space="preserve">; </w:t>
            </w:r>
            <w:r w:rsidR="000802AA" w:rsidRPr="00804648">
              <w:t>paediatric =2</w:t>
            </w:r>
            <w:r w:rsidR="00830CB2" w:rsidRPr="00804648">
              <w:t>9</w:t>
            </w:r>
          </w:p>
        </w:tc>
        <w:tc>
          <w:tcPr>
            <w:tcW w:w="641" w:type="pct"/>
            <w:shd w:val="clear" w:color="auto" w:fill="auto"/>
            <w:vAlign w:val="center"/>
          </w:tcPr>
          <w:p w14:paraId="6A3B3ADA" w14:textId="0A9C2A1A" w:rsidR="005A16B4" w:rsidRPr="00804648" w:rsidRDefault="003532C3" w:rsidP="00EC5836">
            <w:pPr>
              <w:pStyle w:val="TableText0"/>
              <w:jc w:val="center"/>
            </w:pPr>
            <w:r w:rsidRPr="00804648">
              <w:t xml:space="preserve">Prospective, 11-year </w:t>
            </w:r>
            <w:r w:rsidR="00940FAC" w:rsidRPr="00804648">
              <w:t>longitudinal NH study</w:t>
            </w:r>
          </w:p>
        </w:tc>
        <w:tc>
          <w:tcPr>
            <w:tcW w:w="628" w:type="pct"/>
            <w:shd w:val="clear" w:color="auto" w:fill="auto"/>
            <w:vAlign w:val="center"/>
          </w:tcPr>
          <w:p w14:paraId="7D4DAD82" w14:textId="46ADD03A" w:rsidR="005A16B4" w:rsidRPr="00804648" w:rsidRDefault="006F5488" w:rsidP="006F5488">
            <w:pPr>
              <w:pStyle w:val="TableText0"/>
              <w:jc w:val="center"/>
              <w:rPr>
                <w:iCs/>
              </w:rPr>
            </w:pPr>
            <w:r w:rsidRPr="00804648">
              <w:rPr>
                <w:i/>
              </w:rPr>
              <w:t xml:space="preserve"> </w:t>
            </w:r>
            <w:r w:rsidRPr="00804648">
              <w:rPr>
                <w:iCs/>
              </w:rPr>
              <w:t xml:space="preserve">Unclear </w:t>
            </w:r>
          </w:p>
        </w:tc>
        <w:tc>
          <w:tcPr>
            <w:tcW w:w="866" w:type="pct"/>
            <w:shd w:val="clear" w:color="auto" w:fill="auto"/>
            <w:vAlign w:val="center"/>
          </w:tcPr>
          <w:p w14:paraId="28065F25" w14:textId="503E1BB0" w:rsidR="005A16B4" w:rsidRPr="00804648" w:rsidRDefault="00830CB2" w:rsidP="00EC5836">
            <w:pPr>
              <w:pStyle w:val="TableText0"/>
              <w:jc w:val="center"/>
            </w:pPr>
            <w:r w:rsidRPr="00804648">
              <w:t xml:space="preserve">Adult and paediatric patients with ASMD type A/B or </w:t>
            </w:r>
            <w:r w:rsidR="00141947" w:rsidRPr="00804648">
              <w:t xml:space="preserve">type </w:t>
            </w:r>
            <w:r w:rsidRPr="00804648">
              <w:t>B</w:t>
            </w:r>
          </w:p>
        </w:tc>
        <w:tc>
          <w:tcPr>
            <w:tcW w:w="1104" w:type="pct"/>
            <w:shd w:val="clear" w:color="auto" w:fill="auto"/>
            <w:vAlign w:val="center"/>
          </w:tcPr>
          <w:p w14:paraId="177CDF4B" w14:textId="3FD95485" w:rsidR="005A16B4" w:rsidRPr="00804648" w:rsidRDefault="009E6D86" w:rsidP="00EC5836">
            <w:pPr>
              <w:pStyle w:val="TableText0"/>
              <w:jc w:val="center"/>
            </w:pPr>
            <w:r w:rsidRPr="00804648">
              <w:t>Spleen volume, DLco, liver volume, platelet count, growth</w:t>
            </w:r>
          </w:p>
        </w:tc>
        <w:tc>
          <w:tcPr>
            <w:tcW w:w="597" w:type="pct"/>
            <w:shd w:val="clear" w:color="auto" w:fill="auto"/>
            <w:vAlign w:val="center"/>
          </w:tcPr>
          <w:p w14:paraId="2C8EF359" w14:textId="43AE9D07" w:rsidR="005A16B4" w:rsidRPr="00804648" w:rsidRDefault="001C3470" w:rsidP="00EC5836">
            <w:pPr>
              <w:pStyle w:val="TableText0"/>
              <w:jc w:val="center"/>
            </w:pPr>
            <w:r w:rsidRPr="00804648">
              <w:t>Spleen volume</w:t>
            </w:r>
            <w:r w:rsidR="002C6AB7" w:rsidRPr="00804648">
              <w:t xml:space="preserve">, </w:t>
            </w:r>
            <w:r w:rsidRPr="00804648">
              <w:t>DLco</w:t>
            </w:r>
            <w:r w:rsidR="002C6AB7" w:rsidRPr="00804648">
              <w:t xml:space="preserve"> </w:t>
            </w:r>
          </w:p>
        </w:tc>
      </w:tr>
    </w:tbl>
    <w:p w14:paraId="0F4473C2" w14:textId="3A052760" w:rsidR="006F5488" w:rsidRPr="00804648" w:rsidRDefault="00045017" w:rsidP="00EC5836">
      <w:pPr>
        <w:pStyle w:val="FooterTableFigure"/>
      </w:pPr>
      <w:r w:rsidRPr="00804648">
        <w:t xml:space="preserve">Source: </w:t>
      </w:r>
      <w:r w:rsidR="00BC4EF2" w:rsidRPr="00804648">
        <w:t>Section 2 of the submission.</w:t>
      </w:r>
    </w:p>
    <w:p w14:paraId="1095487C" w14:textId="42E7BA26" w:rsidR="00620C25" w:rsidRPr="00804648" w:rsidRDefault="00D63C52" w:rsidP="00EC5836">
      <w:pPr>
        <w:pStyle w:val="FooterTableFigure"/>
      </w:pPr>
      <w:r w:rsidRPr="00804648">
        <w:t xml:space="preserve">ASMD = acid sphingomyelinase deficiency, </w:t>
      </w:r>
      <w:r w:rsidR="00620C25" w:rsidRPr="00804648">
        <w:t>DB = double blind</w:t>
      </w:r>
      <w:r w:rsidR="001E5783" w:rsidRPr="00804648">
        <w:t>,</w:t>
      </w:r>
      <w:r w:rsidR="00A66A21" w:rsidRPr="00804648">
        <w:t xml:space="preserve"> </w:t>
      </w:r>
      <w:r w:rsidR="00906E16" w:rsidRPr="00804648">
        <w:t>DLco = diffusing capacity of the lung for carbon monoxide</w:t>
      </w:r>
      <w:r w:rsidR="00913378" w:rsidRPr="00804648">
        <w:t>,</w:t>
      </w:r>
      <w:r w:rsidR="00906E16" w:rsidRPr="00804648">
        <w:t xml:space="preserve"> </w:t>
      </w:r>
      <w:r w:rsidR="00913378" w:rsidRPr="00804648">
        <w:t xml:space="preserve">HRQoL = health-related quality of life, </w:t>
      </w:r>
      <w:r w:rsidR="00A66A21" w:rsidRPr="00804648">
        <w:t xml:space="preserve">NH = natural history, </w:t>
      </w:r>
      <w:r w:rsidR="00620C25" w:rsidRPr="00804648">
        <w:t>MC = multi-centre</w:t>
      </w:r>
      <w:r w:rsidR="001E5783" w:rsidRPr="00804648">
        <w:t>,</w:t>
      </w:r>
      <w:r w:rsidR="00620C25" w:rsidRPr="00804648">
        <w:t xml:space="preserve"> OL = open label</w:t>
      </w:r>
      <w:r w:rsidR="001E5783" w:rsidRPr="00804648">
        <w:t>,</w:t>
      </w:r>
      <w:r w:rsidR="00620C25" w:rsidRPr="00804648">
        <w:t xml:space="preserve"> R = randomised</w:t>
      </w:r>
      <w:r w:rsidR="001E5783" w:rsidRPr="00804648">
        <w:t xml:space="preserve">, </w:t>
      </w:r>
      <w:r w:rsidR="00A66A21" w:rsidRPr="00804648">
        <w:t>SA = single arm</w:t>
      </w:r>
      <w:r w:rsidR="00804FA1" w:rsidRPr="00804648">
        <w:t>; SRS = Splenomegaly Related Symptom</w:t>
      </w:r>
      <w:r w:rsidR="00A66A21" w:rsidRPr="00804648">
        <w:t>.</w:t>
      </w:r>
    </w:p>
    <w:p w14:paraId="74EB1C38" w14:textId="6DC22072" w:rsidR="006F5488" w:rsidRPr="00804648" w:rsidRDefault="006F5488" w:rsidP="00EC5836">
      <w:pPr>
        <w:pStyle w:val="FooterTableFigure"/>
        <w:rPr>
          <w:sz w:val="20"/>
        </w:rPr>
      </w:pPr>
      <w:r w:rsidRPr="00804648">
        <w:rPr>
          <w:vertAlign w:val="superscript"/>
        </w:rPr>
        <w:t>a</w:t>
      </w:r>
      <w:r w:rsidRPr="00804648">
        <w:t xml:space="preserve"> LTS13632 (N=25) comprises of 5 adult patients from DFI12412 and 20 paediatric patients from ASCEND-peds.</w:t>
      </w:r>
    </w:p>
    <w:p w14:paraId="4B83BBF3" w14:textId="050C06F9" w:rsidR="00045017" w:rsidRPr="00804648" w:rsidRDefault="00706E9C" w:rsidP="00EC5836">
      <w:pPr>
        <w:pStyle w:val="3-BodyText"/>
      </w:pPr>
      <w:r w:rsidRPr="00804648">
        <w:t xml:space="preserve">In the ASCEND trial, patients were </w:t>
      </w:r>
      <w:r w:rsidR="001C1386" w:rsidRPr="00804648">
        <w:t>randomised 1:1 to olipudase alfa or BSC (placebo) for the first 52 weeks</w:t>
      </w:r>
      <w:r w:rsidR="006327C1" w:rsidRPr="00804648">
        <w:t>,</w:t>
      </w:r>
      <w:r w:rsidR="00306549" w:rsidRPr="00804648">
        <w:t xml:space="preserve"> </w:t>
      </w:r>
      <w:r w:rsidR="006327C1" w:rsidRPr="00804648">
        <w:t xml:space="preserve">referred to as </w:t>
      </w:r>
      <w:r w:rsidR="008E5693" w:rsidRPr="00804648">
        <w:t xml:space="preserve">the </w:t>
      </w:r>
      <w:r w:rsidR="001C1386" w:rsidRPr="00804648">
        <w:t>primary analysis period</w:t>
      </w:r>
      <w:r w:rsidR="006327C1" w:rsidRPr="00804648">
        <w:t xml:space="preserve">. </w:t>
      </w:r>
      <w:r w:rsidR="002C759C" w:rsidRPr="00804648">
        <w:t>After completing the primary analysis period,</w:t>
      </w:r>
      <w:r w:rsidR="00735D9B" w:rsidRPr="00804648">
        <w:t xml:space="preserve"> </w:t>
      </w:r>
      <w:r w:rsidR="00410843" w:rsidRPr="00804648">
        <w:t xml:space="preserve">patients entered </w:t>
      </w:r>
      <w:r w:rsidR="008E5693" w:rsidRPr="00804648">
        <w:t xml:space="preserve">the </w:t>
      </w:r>
      <w:r w:rsidR="00735D9B" w:rsidRPr="00804648">
        <w:t>extended treatment period,</w:t>
      </w:r>
      <w:r w:rsidR="00E61608" w:rsidRPr="00804648">
        <w:t xml:space="preserve"> </w:t>
      </w:r>
      <w:r w:rsidR="00410843" w:rsidRPr="00804648">
        <w:t xml:space="preserve">where those </w:t>
      </w:r>
      <w:r w:rsidR="002C759C" w:rsidRPr="00804648">
        <w:t>who were randomised to olipudase alfa continued treatment</w:t>
      </w:r>
      <w:r w:rsidR="00BA4C06" w:rsidRPr="00804648">
        <w:t xml:space="preserve"> </w:t>
      </w:r>
      <w:r w:rsidR="00410843" w:rsidRPr="00804648">
        <w:t xml:space="preserve">and </w:t>
      </w:r>
      <w:r w:rsidR="00BA4C06" w:rsidRPr="00804648">
        <w:t>p</w:t>
      </w:r>
      <w:r w:rsidR="00E61608" w:rsidRPr="00804648">
        <w:t>atients who were randomised to the BSC group crossed over to receive olipudase alfa</w:t>
      </w:r>
      <w:r w:rsidR="00BA4C06" w:rsidRPr="00804648">
        <w:t xml:space="preserve">. </w:t>
      </w:r>
      <w:r w:rsidR="00377163" w:rsidRPr="00804648">
        <w:t xml:space="preserve">All patients regardless of treatment assignment underwent dose escalation (true or mock) in the same manner in both the primary analysis period and </w:t>
      </w:r>
      <w:r w:rsidR="008E5693" w:rsidRPr="00804648">
        <w:t xml:space="preserve">the </w:t>
      </w:r>
      <w:r w:rsidR="00377163" w:rsidRPr="00804648">
        <w:t>extended treatment period</w:t>
      </w:r>
      <w:r w:rsidR="00B60A41" w:rsidRPr="00804648">
        <w:t xml:space="preserve">. </w:t>
      </w:r>
    </w:p>
    <w:p w14:paraId="46C034CF" w14:textId="00C586DF" w:rsidR="009F7D60" w:rsidRPr="00804648" w:rsidRDefault="00254727" w:rsidP="009F7D60">
      <w:pPr>
        <w:pStyle w:val="3-BodyText"/>
      </w:pPr>
      <w:r w:rsidRPr="00804648">
        <w:t xml:space="preserve">In the ASCEND trial, </w:t>
      </w:r>
      <w:r w:rsidR="0044103B" w:rsidRPr="00804648">
        <w:t xml:space="preserve">patients in the </w:t>
      </w:r>
      <w:r w:rsidR="003A5483" w:rsidRPr="00804648">
        <w:t>olipudase alfa</w:t>
      </w:r>
      <w:r w:rsidR="0044103B" w:rsidRPr="00804648">
        <w:t xml:space="preserve"> arm had a </w:t>
      </w:r>
      <w:r w:rsidR="003A5483" w:rsidRPr="00804648">
        <w:t>lower</w:t>
      </w:r>
      <w:r w:rsidR="0044103B" w:rsidRPr="00804648">
        <w:t xml:space="preserve"> proportion of female</w:t>
      </w:r>
      <w:r w:rsidR="003F5210" w:rsidRPr="00804648">
        <w:t>s</w:t>
      </w:r>
      <w:r w:rsidR="0044103B" w:rsidRPr="00804648">
        <w:t xml:space="preserve"> (</w:t>
      </w:r>
      <w:r w:rsidR="003A5483" w:rsidRPr="00804648">
        <w:t>50%</w:t>
      </w:r>
      <w:r w:rsidR="0044103B" w:rsidRPr="00804648">
        <w:t xml:space="preserve"> compared to </w:t>
      </w:r>
      <w:r w:rsidR="003A5483" w:rsidRPr="00804648">
        <w:t>72%</w:t>
      </w:r>
      <w:r w:rsidR="0044103B" w:rsidRPr="00804648">
        <w:t xml:space="preserve">) and </w:t>
      </w:r>
      <w:r w:rsidR="003A5483" w:rsidRPr="00804648">
        <w:t>higher</w:t>
      </w:r>
      <w:r w:rsidR="0044103B" w:rsidRPr="00804648">
        <w:t xml:space="preserve"> age of diagnosis</w:t>
      </w:r>
      <w:r w:rsidR="00267991" w:rsidRPr="00804648">
        <w:t xml:space="preserve"> (</w:t>
      </w:r>
      <w:r w:rsidR="003A5483" w:rsidRPr="00804648">
        <w:t>21.4</w:t>
      </w:r>
      <w:r w:rsidR="00267991" w:rsidRPr="00804648">
        <w:t xml:space="preserve"> years compared to </w:t>
      </w:r>
      <w:r w:rsidR="003A5483" w:rsidRPr="00804648">
        <w:t>14.6</w:t>
      </w:r>
      <w:r w:rsidR="00267991" w:rsidRPr="00804648">
        <w:t xml:space="preserve"> years)</w:t>
      </w:r>
      <w:r w:rsidR="0044103B" w:rsidRPr="00804648">
        <w:t xml:space="preserve"> than the </w:t>
      </w:r>
      <w:r w:rsidR="003A5483" w:rsidRPr="00804648">
        <w:t>BSC</w:t>
      </w:r>
      <w:r w:rsidR="0044103B" w:rsidRPr="00804648">
        <w:t xml:space="preserve"> arm</w:t>
      </w:r>
      <w:r w:rsidR="00267991" w:rsidRPr="00804648">
        <w:t>, respectively</w:t>
      </w:r>
      <w:r w:rsidR="0044103B" w:rsidRPr="00804648">
        <w:t>. The</w:t>
      </w:r>
      <w:r w:rsidR="00F43EE2" w:rsidRPr="00804648">
        <w:t xml:space="preserve"> evaluation considered that the</w:t>
      </w:r>
      <w:r w:rsidR="0044103B" w:rsidRPr="00804648">
        <w:t xml:space="preserve"> impact of these differences on trial outcomes </w:t>
      </w:r>
      <w:r w:rsidR="008E5693" w:rsidRPr="00804648">
        <w:t>is</w:t>
      </w:r>
      <w:r w:rsidR="0044103B" w:rsidRPr="00804648">
        <w:t xml:space="preserve"> not clear.</w:t>
      </w:r>
    </w:p>
    <w:p w14:paraId="43493335" w14:textId="3563EF32" w:rsidR="00A83621" w:rsidRPr="00804648" w:rsidRDefault="00A83621" w:rsidP="009F7D60">
      <w:pPr>
        <w:pStyle w:val="3-BodyText"/>
      </w:pPr>
      <w:r w:rsidRPr="00804648">
        <w:t xml:space="preserve">Based on the 2023 survey </w:t>
      </w:r>
      <w:r w:rsidRPr="00405740">
        <w:t>of</w:t>
      </w:r>
      <w:r w:rsidR="00366EAE" w:rsidRPr="00405740">
        <w:t xml:space="preserve"> </w:t>
      </w:r>
      <w:r w:rsidR="00405740" w:rsidRPr="00405740">
        <w:t>&lt;</w:t>
      </w:r>
      <w:r w:rsidR="00324536">
        <w:t> </w:t>
      </w:r>
      <w:r w:rsidR="00405740" w:rsidRPr="00405740">
        <w:t>500</w:t>
      </w:r>
      <w:r w:rsidR="00366EAE" w:rsidRPr="00405740">
        <w:t xml:space="preserve"> </w:t>
      </w:r>
      <w:r w:rsidRPr="00405740">
        <w:t xml:space="preserve">Australian clinicians, which assessed </w:t>
      </w:r>
      <w:r w:rsidR="00405740" w:rsidRPr="00405740">
        <w:t>&lt;</w:t>
      </w:r>
      <w:r w:rsidR="00324536">
        <w:t> </w:t>
      </w:r>
      <w:r w:rsidR="00405740" w:rsidRPr="00405740">
        <w:t>500</w:t>
      </w:r>
      <w:r w:rsidR="00405740">
        <w:t xml:space="preserve"> </w:t>
      </w:r>
      <w:r w:rsidRPr="00405740">
        <w:t>adult</w:t>
      </w:r>
      <w:r w:rsidRPr="00804648">
        <w:t xml:space="preserve"> patients with confirmed ASMD, the median age at diagnosis was 11 years (range: 3, 43). The median age at diagnosis in the ASCEND trial was 6.4 (range: 1, 58) and 2.15</w:t>
      </w:r>
      <w:r w:rsidR="00F26ED8">
        <w:t> </w:t>
      </w:r>
      <w:r w:rsidR="008E5693" w:rsidRPr="00804648">
        <w:t xml:space="preserve">years </w:t>
      </w:r>
      <w:r w:rsidRPr="00804648">
        <w:t xml:space="preserve">(range: 0, 11.1) in the ASCEND-peds trial. There was insufficient data to </w:t>
      </w:r>
      <w:r w:rsidR="00D92402" w:rsidRPr="00804648">
        <w:t>assess the impact of</w:t>
      </w:r>
      <w:r w:rsidRPr="00804648">
        <w:t xml:space="preserve"> differences in patient demographics, disease characteristics and management of ASMD</w:t>
      </w:r>
      <w:r w:rsidR="00D92402" w:rsidRPr="00804648">
        <w:t xml:space="preserve"> on the outcomes</w:t>
      </w:r>
      <w:r w:rsidRPr="00804648">
        <w:t>.</w:t>
      </w:r>
    </w:p>
    <w:p w14:paraId="68A06322" w14:textId="60088734" w:rsidR="005105BB" w:rsidRPr="00804648" w:rsidRDefault="005105BB" w:rsidP="005105BB">
      <w:pPr>
        <w:pStyle w:val="3-BodyText"/>
      </w:pPr>
      <w:r w:rsidRPr="00804648">
        <w:t xml:space="preserve">In the ASCEND trial, percentage change in spleen volume and predicted DLco were </w:t>
      </w:r>
      <w:r w:rsidR="00EA1168" w:rsidRPr="00804648">
        <w:t xml:space="preserve">the </w:t>
      </w:r>
      <w:r w:rsidRPr="00804648">
        <w:t xml:space="preserve">primary efficacy outcomes. The secondary efficacy outcomes included percentage </w:t>
      </w:r>
      <w:r w:rsidRPr="00804648">
        <w:lastRenderedPageBreak/>
        <w:t xml:space="preserve">change in liver volume and platelet count, and change in fatigue, pain, dyspnoea, </w:t>
      </w:r>
      <w:r w:rsidR="00E51066" w:rsidRPr="00804648">
        <w:t>and Splenomegaly</w:t>
      </w:r>
      <w:r w:rsidR="00BD6F49" w:rsidRPr="00804648">
        <w:t xml:space="preserve"> Related Symptom (SRS) s</w:t>
      </w:r>
      <w:r w:rsidRPr="00804648">
        <w:t xml:space="preserve">core. </w:t>
      </w:r>
      <w:r w:rsidR="008674F0" w:rsidRPr="00804648">
        <w:fldChar w:fldCharType="begin" w:fldLock="1"/>
      </w:r>
      <w:r w:rsidR="008674F0" w:rsidRPr="00804648">
        <w:instrText xml:space="preserve"> REF _Ref135200918 \h </w:instrText>
      </w:r>
      <w:r w:rsidR="008674F0" w:rsidRPr="00804648">
        <w:fldChar w:fldCharType="separate"/>
      </w:r>
      <w:r w:rsidR="005D02DA" w:rsidRPr="00804648">
        <w:t>Table 4</w:t>
      </w:r>
      <w:r w:rsidR="008674F0" w:rsidRPr="00804648">
        <w:fldChar w:fldCharType="end"/>
      </w:r>
      <w:r w:rsidR="00EA1168" w:rsidRPr="00804648">
        <w:t xml:space="preserve"> </w:t>
      </w:r>
      <w:r w:rsidRPr="00804648">
        <w:t>summarises the efficacy outcomes presented by the submission.</w:t>
      </w:r>
    </w:p>
    <w:p w14:paraId="5B3EE467" w14:textId="6027DBCC" w:rsidR="005105BB" w:rsidRPr="00804648" w:rsidRDefault="005105BB" w:rsidP="008674F0">
      <w:pPr>
        <w:pStyle w:val="Caption"/>
      </w:pPr>
      <w:bookmarkStart w:id="27" w:name="_Ref135200918"/>
      <w:r w:rsidRPr="00804648">
        <w:t xml:space="preserve">Table </w:t>
      </w:r>
      <w:fldSimple w:instr=" SEQ Table \* ARABIC " w:fldLock="1">
        <w:r w:rsidR="005D02DA" w:rsidRPr="00804648">
          <w:t>4</w:t>
        </w:r>
      </w:fldSimple>
      <w:bookmarkEnd w:id="27"/>
      <w:r w:rsidRPr="00804648">
        <w:t>: Summary of efficacy outcomes presented by the submission</w:t>
      </w:r>
      <w:r w:rsidR="00B65240" w:rsidRPr="00804648">
        <w:t xml:space="preserve"> as reported in the ASCEND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558"/>
        <w:gridCol w:w="2126"/>
        <w:gridCol w:w="2020"/>
        <w:gridCol w:w="2041"/>
      </w:tblGrid>
      <w:tr w:rsidR="005105BB" w:rsidRPr="00804648" w14:paraId="238AD4CE" w14:textId="77777777" w:rsidTr="00C1697C">
        <w:trPr>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3502EB53" w14:textId="77777777" w:rsidR="005105BB" w:rsidRPr="00804648" w:rsidRDefault="005105BB" w:rsidP="008674F0">
            <w:pPr>
              <w:pStyle w:val="In-tableHeading"/>
              <w:keepLines/>
              <w:rPr>
                <w:lang w:val="en-AU"/>
              </w:rPr>
            </w:pPr>
            <w:r w:rsidRPr="00804648">
              <w:rPr>
                <w:lang w:val="en-AU"/>
              </w:rPr>
              <w:t>Outcome</w:t>
            </w:r>
          </w:p>
        </w:tc>
        <w:tc>
          <w:tcPr>
            <w:tcW w:w="864" w:type="pct"/>
            <w:tcBorders>
              <w:top w:val="single" w:sz="4" w:space="0" w:color="auto"/>
              <w:left w:val="single" w:sz="4" w:space="0" w:color="auto"/>
              <w:bottom w:val="single" w:sz="4" w:space="0" w:color="auto"/>
              <w:right w:val="single" w:sz="4" w:space="0" w:color="auto"/>
            </w:tcBorders>
            <w:vAlign w:val="center"/>
            <w:hideMark/>
          </w:tcPr>
          <w:p w14:paraId="4C0A9B21" w14:textId="77777777" w:rsidR="005105BB" w:rsidRPr="00804648" w:rsidRDefault="005105BB" w:rsidP="008674F0">
            <w:pPr>
              <w:pStyle w:val="In-tableHeading"/>
              <w:keepLines/>
              <w:jc w:val="center"/>
              <w:rPr>
                <w:lang w:val="en-AU"/>
              </w:rPr>
            </w:pPr>
            <w:r w:rsidRPr="00804648">
              <w:rPr>
                <w:lang w:val="en-AU"/>
              </w:rPr>
              <w:t>Definition</w:t>
            </w:r>
          </w:p>
        </w:tc>
        <w:tc>
          <w:tcPr>
            <w:tcW w:w="1179" w:type="pct"/>
            <w:tcBorders>
              <w:top w:val="single" w:sz="4" w:space="0" w:color="auto"/>
              <w:left w:val="single" w:sz="4" w:space="0" w:color="auto"/>
              <w:bottom w:val="single" w:sz="4" w:space="0" w:color="auto"/>
              <w:right w:val="single" w:sz="4" w:space="0" w:color="auto"/>
            </w:tcBorders>
            <w:vAlign w:val="center"/>
          </w:tcPr>
          <w:p w14:paraId="4DEE21DF" w14:textId="77777777" w:rsidR="005105BB" w:rsidRPr="00804648" w:rsidRDefault="005105BB" w:rsidP="00C1697C">
            <w:pPr>
              <w:pStyle w:val="In-tableHeading"/>
              <w:keepLines/>
              <w:jc w:val="center"/>
              <w:rPr>
                <w:lang w:val="en-AU"/>
              </w:rPr>
            </w:pPr>
            <w:r w:rsidRPr="00804648">
              <w:rPr>
                <w:lang w:val="en-AU"/>
              </w:rPr>
              <w:t>Method of measurement</w:t>
            </w:r>
          </w:p>
        </w:tc>
        <w:tc>
          <w:tcPr>
            <w:tcW w:w="1120" w:type="pct"/>
            <w:tcBorders>
              <w:top w:val="single" w:sz="4" w:space="0" w:color="auto"/>
              <w:left w:val="single" w:sz="4" w:space="0" w:color="auto"/>
              <w:bottom w:val="single" w:sz="4" w:space="0" w:color="auto"/>
              <w:right w:val="single" w:sz="4" w:space="0" w:color="auto"/>
            </w:tcBorders>
          </w:tcPr>
          <w:p w14:paraId="43963C88" w14:textId="77777777" w:rsidR="005105BB" w:rsidRPr="00804648" w:rsidRDefault="005105BB" w:rsidP="008674F0">
            <w:pPr>
              <w:pStyle w:val="In-tableHeading"/>
              <w:keepLines/>
              <w:jc w:val="center"/>
              <w:rPr>
                <w:lang w:val="en-AU"/>
              </w:rPr>
            </w:pPr>
            <w:r w:rsidRPr="00804648">
              <w:rPr>
                <w:lang w:val="en-AU"/>
              </w:rPr>
              <w:t>Pre-specified analysis</w:t>
            </w:r>
          </w:p>
        </w:tc>
        <w:tc>
          <w:tcPr>
            <w:tcW w:w="1132" w:type="pct"/>
            <w:tcBorders>
              <w:top w:val="single" w:sz="4" w:space="0" w:color="auto"/>
              <w:left w:val="single" w:sz="4" w:space="0" w:color="auto"/>
              <w:bottom w:val="single" w:sz="4" w:space="0" w:color="auto"/>
              <w:right w:val="single" w:sz="4" w:space="0" w:color="auto"/>
            </w:tcBorders>
          </w:tcPr>
          <w:p w14:paraId="759D030C" w14:textId="638A3911" w:rsidR="005105BB" w:rsidRPr="00804648" w:rsidRDefault="005105BB" w:rsidP="008674F0">
            <w:pPr>
              <w:pStyle w:val="In-tableHeading"/>
              <w:keepLines/>
              <w:jc w:val="center"/>
              <w:rPr>
                <w:lang w:val="en-AU"/>
              </w:rPr>
            </w:pPr>
            <w:r w:rsidRPr="00804648">
              <w:rPr>
                <w:lang w:val="en-AU"/>
              </w:rPr>
              <w:t>Comment</w:t>
            </w:r>
            <w:r w:rsidR="00B65240" w:rsidRPr="00804648">
              <w:rPr>
                <w:lang w:val="en-AU"/>
              </w:rPr>
              <w:t>s</w:t>
            </w:r>
          </w:p>
        </w:tc>
      </w:tr>
      <w:tr w:rsidR="00857900" w:rsidRPr="00804648" w14:paraId="1E817575" w14:textId="77777777" w:rsidTr="002E4B42">
        <w:tc>
          <w:tcPr>
            <w:tcW w:w="5000" w:type="pct"/>
            <w:gridSpan w:val="5"/>
            <w:tcBorders>
              <w:top w:val="single" w:sz="4" w:space="0" w:color="auto"/>
              <w:left w:val="single" w:sz="4" w:space="0" w:color="auto"/>
              <w:bottom w:val="single" w:sz="4" w:space="0" w:color="auto"/>
              <w:right w:val="single" w:sz="4" w:space="0" w:color="auto"/>
            </w:tcBorders>
          </w:tcPr>
          <w:p w14:paraId="2C786ECC" w14:textId="735C1E96" w:rsidR="002E4B42" w:rsidRPr="00804648" w:rsidRDefault="002E4B42" w:rsidP="00A9033C">
            <w:pPr>
              <w:pStyle w:val="TableText0"/>
              <w:keepLines/>
              <w:rPr>
                <w:b/>
                <w:bCs w:val="0"/>
              </w:rPr>
            </w:pPr>
            <w:r w:rsidRPr="00804648">
              <w:rPr>
                <w:b/>
                <w:bCs w:val="0"/>
              </w:rPr>
              <w:t>Primary efficacy outcomes</w:t>
            </w:r>
          </w:p>
        </w:tc>
      </w:tr>
      <w:tr w:rsidR="005105BB" w:rsidRPr="00804648" w14:paraId="50ECE8B1" w14:textId="77777777" w:rsidTr="00C1697C">
        <w:tc>
          <w:tcPr>
            <w:tcW w:w="705" w:type="pct"/>
            <w:tcBorders>
              <w:top w:val="single" w:sz="4" w:space="0" w:color="auto"/>
              <w:left w:val="single" w:sz="4" w:space="0" w:color="auto"/>
              <w:bottom w:val="single" w:sz="4" w:space="0" w:color="auto"/>
              <w:right w:val="single" w:sz="4" w:space="0" w:color="auto"/>
            </w:tcBorders>
            <w:hideMark/>
          </w:tcPr>
          <w:p w14:paraId="2012969D" w14:textId="77777777" w:rsidR="005105BB" w:rsidRPr="00804648" w:rsidRDefault="005105BB" w:rsidP="008674F0">
            <w:pPr>
              <w:pStyle w:val="TableText0"/>
              <w:keepLines/>
            </w:pPr>
            <w:r w:rsidRPr="00804648">
              <w:t>Change in spleen volume</w:t>
            </w:r>
          </w:p>
        </w:tc>
        <w:tc>
          <w:tcPr>
            <w:tcW w:w="864" w:type="pct"/>
            <w:tcBorders>
              <w:top w:val="single" w:sz="4" w:space="0" w:color="auto"/>
              <w:left w:val="single" w:sz="4" w:space="0" w:color="auto"/>
              <w:bottom w:val="single" w:sz="4" w:space="0" w:color="auto"/>
              <w:right w:val="single" w:sz="4" w:space="0" w:color="auto"/>
            </w:tcBorders>
          </w:tcPr>
          <w:p w14:paraId="0428CC39" w14:textId="34ED06FB" w:rsidR="005105BB" w:rsidRPr="00804648" w:rsidRDefault="005105BB" w:rsidP="008674F0">
            <w:pPr>
              <w:pStyle w:val="TableText0"/>
              <w:keepLines/>
            </w:pPr>
            <w:r w:rsidRPr="00804648">
              <w:t>The % change in spleen volume (in MN) from baseline to 52 weeks</w:t>
            </w:r>
            <w:r w:rsidR="00B65240" w:rsidRPr="00804648">
              <w:t>.</w:t>
            </w:r>
          </w:p>
        </w:tc>
        <w:tc>
          <w:tcPr>
            <w:tcW w:w="1179" w:type="pct"/>
            <w:tcBorders>
              <w:top w:val="single" w:sz="4" w:space="0" w:color="auto"/>
              <w:left w:val="single" w:sz="4" w:space="0" w:color="auto"/>
              <w:bottom w:val="single" w:sz="4" w:space="0" w:color="auto"/>
              <w:right w:val="single" w:sz="4" w:space="0" w:color="auto"/>
            </w:tcBorders>
          </w:tcPr>
          <w:p w14:paraId="2C2F4940" w14:textId="3624DD7C" w:rsidR="005105BB" w:rsidRPr="00804648" w:rsidRDefault="005105BB" w:rsidP="008674F0">
            <w:pPr>
              <w:pStyle w:val="TableText0"/>
              <w:keepLines/>
            </w:pPr>
            <w:r w:rsidRPr="00804648">
              <w:t>Measured by abdominal</w:t>
            </w:r>
            <w:r w:rsidR="008674F0" w:rsidRPr="00804648">
              <w:t xml:space="preserve"> </w:t>
            </w:r>
            <w:r w:rsidRPr="00804648">
              <w:t>MRI.</w:t>
            </w:r>
          </w:p>
        </w:tc>
        <w:tc>
          <w:tcPr>
            <w:tcW w:w="1120" w:type="pct"/>
            <w:tcBorders>
              <w:top w:val="single" w:sz="4" w:space="0" w:color="auto"/>
              <w:left w:val="single" w:sz="4" w:space="0" w:color="auto"/>
              <w:bottom w:val="single" w:sz="4" w:space="0" w:color="auto"/>
              <w:right w:val="single" w:sz="4" w:space="0" w:color="auto"/>
            </w:tcBorders>
          </w:tcPr>
          <w:p w14:paraId="2D19EBFA" w14:textId="77777777" w:rsidR="005105BB" w:rsidRPr="00804648" w:rsidRDefault="005105BB" w:rsidP="008674F0">
            <w:pPr>
              <w:pStyle w:val="TableText0"/>
              <w:keepLines/>
            </w:pPr>
            <w:r w:rsidRPr="00804648">
              <w:t>Pre-specified responder for spleen volume was defined as a patient who achieved a reduction ≥30% in spleen volume at Week 52.</w:t>
            </w:r>
          </w:p>
        </w:tc>
        <w:tc>
          <w:tcPr>
            <w:tcW w:w="1132" w:type="pct"/>
            <w:tcBorders>
              <w:top w:val="single" w:sz="4" w:space="0" w:color="auto"/>
              <w:left w:val="single" w:sz="4" w:space="0" w:color="auto"/>
              <w:bottom w:val="single" w:sz="4" w:space="0" w:color="auto"/>
              <w:right w:val="single" w:sz="4" w:space="0" w:color="auto"/>
            </w:tcBorders>
          </w:tcPr>
          <w:p w14:paraId="567E937C" w14:textId="77777777" w:rsidR="005105BB" w:rsidRPr="00804648" w:rsidRDefault="005105BB" w:rsidP="008674F0">
            <w:pPr>
              <w:pStyle w:val="TableText0"/>
              <w:keepLines/>
            </w:pPr>
            <w:r w:rsidRPr="00804648">
              <w:t>This was based on therapeutic goals for spleen reduction in Gaucher disease and may not reflect actual clinical benefits for patients with ASMD.</w:t>
            </w:r>
          </w:p>
        </w:tc>
      </w:tr>
      <w:tr w:rsidR="005105BB" w:rsidRPr="00804648" w14:paraId="3103C242" w14:textId="77777777" w:rsidTr="00C1697C">
        <w:tc>
          <w:tcPr>
            <w:tcW w:w="705" w:type="pct"/>
            <w:tcBorders>
              <w:top w:val="single" w:sz="4" w:space="0" w:color="auto"/>
              <w:left w:val="single" w:sz="4" w:space="0" w:color="auto"/>
              <w:bottom w:val="single" w:sz="4" w:space="0" w:color="auto"/>
              <w:right w:val="single" w:sz="4" w:space="0" w:color="auto"/>
            </w:tcBorders>
            <w:hideMark/>
          </w:tcPr>
          <w:p w14:paraId="2BA7B6AD" w14:textId="77777777" w:rsidR="005105BB" w:rsidRPr="00804648" w:rsidRDefault="005105BB" w:rsidP="008674F0">
            <w:pPr>
              <w:pStyle w:val="TableText0"/>
              <w:keepLines/>
            </w:pPr>
            <w:r w:rsidRPr="00804648">
              <w:t xml:space="preserve">Change in percent predicted DLco </w:t>
            </w:r>
          </w:p>
        </w:tc>
        <w:tc>
          <w:tcPr>
            <w:tcW w:w="864" w:type="pct"/>
            <w:tcBorders>
              <w:top w:val="single" w:sz="4" w:space="0" w:color="auto"/>
              <w:left w:val="single" w:sz="4" w:space="0" w:color="auto"/>
              <w:bottom w:val="single" w:sz="4" w:space="0" w:color="auto"/>
              <w:right w:val="single" w:sz="4" w:space="0" w:color="auto"/>
            </w:tcBorders>
          </w:tcPr>
          <w:p w14:paraId="5C17E5A9" w14:textId="40842057" w:rsidR="005105BB" w:rsidRPr="00804648" w:rsidRDefault="005105BB" w:rsidP="008674F0">
            <w:pPr>
              <w:pStyle w:val="TableText0"/>
              <w:keepLines/>
            </w:pPr>
            <w:r w:rsidRPr="00804648">
              <w:t xml:space="preserve">The change in </w:t>
            </w:r>
            <w:r w:rsidR="003E0E15" w:rsidRPr="00804648">
              <w:t xml:space="preserve">percent </w:t>
            </w:r>
            <w:r w:rsidRPr="00804648">
              <w:t>predicted DLco from baseline to 52 weeks</w:t>
            </w:r>
            <w:r w:rsidR="00B65240" w:rsidRPr="00804648">
              <w:t>.</w:t>
            </w:r>
          </w:p>
        </w:tc>
        <w:tc>
          <w:tcPr>
            <w:tcW w:w="1179" w:type="pct"/>
            <w:tcBorders>
              <w:top w:val="single" w:sz="4" w:space="0" w:color="auto"/>
              <w:left w:val="single" w:sz="4" w:space="0" w:color="auto"/>
              <w:bottom w:val="single" w:sz="4" w:space="0" w:color="auto"/>
              <w:right w:val="single" w:sz="4" w:space="0" w:color="auto"/>
            </w:tcBorders>
          </w:tcPr>
          <w:p w14:paraId="1BD263EE" w14:textId="7D8EC7E2" w:rsidR="005105BB" w:rsidRPr="00804648" w:rsidRDefault="003E0E15" w:rsidP="008674F0">
            <w:pPr>
              <w:pStyle w:val="TableText0"/>
              <w:keepLines/>
            </w:pPr>
            <w:r w:rsidRPr="00804648">
              <w:t xml:space="preserve">Lung volume, air flow, and gas exchange assessed using </w:t>
            </w:r>
            <w:r w:rsidR="00C86F27" w:rsidRPr="00804648">
              <w:t>PFTs</w:t>
            </w:r>
            <w:r w:rsidR="008674F0" w:rsidRPr="00804648">
              <w:t>.</w:t>
            </w:r>
            <w:r w:rsidR="00C86F27" w:rsidRPr="00804648">
              <w:t xml:space="preserve"> </w:t>
            </w:r>
          </w:p>
        </w:tc>
        <w:tc>
          <w:tcPr>
            <w:tcW w:w="1120" w:type="pct"/>
            <w:tcBorders>
              <w:top w:val="single" w:sz="4" w:space="0" w:color="auto"/>
              <w:left w:val="single" w:sz="4" w:space="0" w:color="auto"/>
              <w:bottom w:val="single" w:sz="4" w:space="0" w:color="auto"/>
              <w:right w:val="single" w:sz="4" w:space="0" w:color="auto"/>
            </w:tcBorders>
          </w:tcPr>
          <w:p w14:paraId="71506BA3" w14:textId="4BFE36B1" w:rsidR="005105BB" w:rsidRPr="00804648" w:rsidRDefault="005105BB" w:rsidP="008674F0">
            <w:pPr>
              <w:pStyle w:val="TableText0"/>
              <w:keepLines/>
            </w:pPr>
            <w:r w:rsidRPr="00804648">
              <w:t xml:space="preserve">Pre-specified responder for DLco was defined as a patient who achieved an absolute change from baseline value on percent predicted </w:t>
            </w:r>
            <w:r w:rsidR="00BD6F49" w:rsidRPr="00804648">
              <w:t>DLco</w:t>
            </w:r>
            <w:r w:rsidRPr="00804648">
              <w:t xml:space="preserve"> of ≥15% at Week 52.</w:t>
            </w:r>
          </w:p>
        </w:tc>
        <w:tc>
          <w:tcPr>
            <w:tcW w:w="1132" w:type="pct"/>
            <w:tcBorders>
              <w:top w:val="single" w:sz="4" w:space="0" w:color="auto"/>
              <w:left w:val="single" w:sz="4" w:space="0" w:color="auto"/>
              <w:bottom w:val="single" w:sz="4" w:space="0" w:color="auto"/>
              <w:right w:val="single" w:sz="4" w:space="0" w:color="auto"/>
            </w:tcBorders>
          </w:tcPr>
          <w:p w14:paraId="353E45AD" w14:textId="77777777" w:rsidR="005105BB" w:rsidRPr="00804648" w:rsidRDefault="005105BB" w:rsidP="008674F0">
            <w:pPr>
              <w:pStyle w:val="TableText0"/>
              <w:keepLines/>
            </w:pPr>
            <w:r w:rsidRPr="00804648">
              <w:t>This was based on therapeutic goals for spleen reduction in ILD and may not reflect actual clinical benefits for patients with ASMD</w:t>
            </w:r>
          </w:p>
        </w:tc>
      </w:tr>
      <w:tr w:rsidR="006A1B23" w:rsidRPr="00804648" w14:paraId="39BC10B0" w14:textId="77777777" w:rsidTr="002E4B42">
        <w:tc>
          <w:tcPr>
            <w:tcW w:w="5000" w:type="pct"/>
            <w:gridSpan w:val="5"/>
            <w:tcBorders>
              <w:top w:val="single" w:sz="4" w:space="0" w:color="auto"/>
              <w:left w:val="single" w:sz="4" w:space="0" w:color="auto"/>
              <w:bottom w:val="single" w:sz="4" w:space="0" w:color="auto"/>
              <w:right w:val="single" w:sz="4" w:space="0" w:color="auto"/>
            </w:tcBorders>
          </w:tcPr>
          <w:p w14:paraId="00CE0B0D" w14:textId="6DA06F95" w:rsidR="002E4B42" w:rsidRPr="00804648" w:rsidRDefault="002E4B42" w:rsidP="00A9033C">
            <w:pPr>
              <w:pStyle w:val="TableText0"/>
              <w:keepLines/>
              <w:rPr>
                <w:b/>
                <w:bCs w:val="0"/>
              </w:rPr>
            </w:pPr>
            <w:r w:rsidRPr="00804648">
              <w:rPr>
                <w:b/>
                <w:bCs w:val="0"/>
              </w:rPr>
              <w:t>Secondary efficacy outcomes</w:t>
            </w:r>
          </w:p>
        </w:tc>
      </w:tr>
      <w:tr w:rsidR="005105BB" w:rsidRPr="00804648" w14:paraId="41EDD634" w14:textId="77777777" w:rsidTr="00C1697C">
        <w:tc>
          <w:tcPr>
            <w:tcW w:w="705" w:type="pct"/>
            <w:tcBorders>
              <w:top w:val="single" w:sz="4" w:space="0" w:color="auto"/>
              <w:left w:val="single" w:sz="4" w:space="0" w:color="auto"/>
              <w:bottom w:val="single" w:sz="4" w:space="0" w:color="auto"/>
              <w:right w:val="single" w:sz="4" w:space="0" w:color="auto"/>
            </w:tcBorders>
          </w:tcPr>
          <w:p w14:paraId="78403198" w14:textId="77777777" w:rsidR="005105BB" w:rsidRPr="00804648" w:rsidRDefault="005105BB" w:rsidP="008674F0">
            <w:pPr>
              <w:pStyle w:val="TableText0"/>
              <w:keepLines/>
            </w:pPr>
            <w:r w:rsidRPr="00804648">
              <w:t>Change in liver volume</w:t>
            </w:r>
          </w:p>
        </w:tc>
        <w:tc>
          <w:tcPr>
            <w:tcW w:w="864" w:type="pct"/>
            <w:tcBorders>
              <w:top w:val="single" w:sz="4" w:space="0" w:color="auto"/>
              <w:left w:val="single" w:sz="4" w:space="0" w:color="auto"/>
              <w:bottom w:val="single" w:sz="4" w:space="0" w:color="auto"/>
              <w:right w:val="single" w:sz="4" w:space="0" w:color="auto"/>
            </w:tcBorders>
          </w:tcPr>
          <w:p w14:paraId="51BB8955" w14:textId="77777777" w:rsidR="005105BB" w:rsidRPr="00804648" w:rsidRDefault="005105BB" w:rsidP="008674F0">
            <w:pPr>
              <w:pStyle w:val="TableText0"/>
              <w:keepLines/>
            </w:pPr>
            <w:r w:rsidRPr="00804648">
              <w:t>The % change in liver volume (in MN) from baseline to Week 52</w:t>
            </w:r>
          </w:p>
        </w:tc>
        <w:tc>
          <w:tcPr>
            <w:tcW w:w="1179" w:type="pct"/>
            <w:tcBorders>
              <w:top w:val="single" w:sz="4" w:space="0" w:color="auto"/>
              <w:left w:val="single" w:sz="4" w:space="0" w:color="auto"/>
              <w:bottom w:val="single" w:sz="4" w:space="0" w:color="auto"/>
              <w:right w:val="single" w:sz="4" w:space="0" w:color="auto"/>
            </w:tcBorders>
          </w:tcPr>
          <w:p w14:paraId="22905820" w14:textId="6DA0E841" w:rsidR="005105BB" w:rsidRPr="00804648" w:rsidRDefault="00B65240" w:rsidP="008674F0">
            <w:pPr>
              <w:pStyle w:val="TableText0"/>
              <w:keepLines/>
            </w:pPr>
            <w:r w:rsidRPr="00804648">
              <w:t>Measured</w:t>
            </w:r>
            <w:r w:rsidR="005105BB" w:rsidRPr="00804648">
              <w:t xml:space="preserve"> by abdominal MRI</w:t>
            </w:r>
            <w:r w:rsidRPr="00804648">
              <w:t>.</w:t>
            </w:r>
          </w:p>
        </w:tc>
        <w:tc>
          <w:tcPr>
            <w:tcW w:w="1120" w:type="pct"/>
            <w:tcBorders>
              <w:top w:val="single" w:sz="4" w:space="0" w:color="auto"/>
              <w:left w:val="single" w:sz="4" w:space="0" w:color="auto"/>
              <w:bottom w:val="single" w:sz="4" w:space="0" w:color="auto"/>
              <w:right w:val="single" w:sz="4" w:space="0" w:color="auto"/>
            </w:tcBorders>
          </w:tcPr>
          <w:p w14:paraId="169179BA" w14:textId="77777777" w:rsidR="005105BB" w:rsidRPr="00804648" w:rsidRDefault="005105BB" w:rsidP="008674F0">
            <w:pPr>
              <w:pStyle w:val="TableText0"/>
              <w:keepLines/>
            </w:pPr>
            <w:r w:rsidRPr="00804648">
              <w:t>Not specified</w:t>
            </w:r>
          </w:p>
        </w:tc>
        <w:tc>
          <w:tcPr>
            <w:tcW w:w="1132" w:type="pct"/>
            <w:tcBorders>
              <w:top w:val="single" w:sz="4" w:space="0" w:color="auto"/>
              <w:left w:val="single" w:sz="4" w:space="0" w:color="auto"/>
              <w:bottom w:val="single" w:sz="4" w:space="0" w:color="auto"/>
              <w:right w:val="single" w:sz="4" w:space="0" w:color="auto"/>
            </w:tcBorders>
          </w:tcPr>
          <w:p w14:paraId="64FFBC76" w14:textId="1F61949B" w:rsidR="005105BB" w:rsidRPr="00804648" w:rsidRDefault="005105BB" w:rsidP="00C1697C">
            <w:pPr>
              <w:pStyle w:val="TableText0"/>
              <w:keepLines/>
            </w:pPr>
            <w:r w:rsidRPr="00804648">
              <w:t>Liver failure is the</w:t>
            </w:r>
            <w:r w:rsidR="00C1697C">
              <w:t xml:space="preserve"> </w:t>
            </w:r>
            <w:r w:rsidRPr="00804648">
              <w:t>second common cause of death in patients with ASMD of type B.</w:t>
            </w:r>
          </w:p>
        </w:tc>
      </w:tr>
      <w:tr w:rsidR="005105BB" w:rsidRPr="00804648" w14:paraId="348AC0E2" w14:textId="77777777" w:rsidTr="00C1697C">
        <w:tc>
          <w:tcPr>
            <w:tcW w:w="705" w:type="pct"/>
            <w:tcBorders>
              <w:top w:val="single" w:sz="4" w:space="0" w:color="auto"/>
              <w:left w:val="single" w:sz="4" w:space="0" w:color="auto"/>
              <w:bottom w:val="single" w:sz="4" w:space="0" w:color="auto"/>
              <w:right w:val="single" w:sz="4" w:space="0" w:color="auto"/>
            </w:tcBorders>
          </w:tcPr>
          <w:p w14:paraId="5C3F72D6" w14:textId="77777777" w:rsidR="005105BB" w:rsidRPr="00804648" w:rsidRDefault="005105BB" w:rsidP="008674F0">
            <w:pPr>
              <w:pStyle w:val="TableText0"/>
              <w:keepLines/>
            </w:pPr>
            <w:r w:rsidRPr="00804648">
              <w:t>Change in platelet counts</w:t>
            </w:r>
          </w:p>
        </w:tc>
        <w:tc>
          <w:tcPr>
            <w:tcW w:w="864" w:type="pct"/>
            <w:tcBorders>
              <w:top w:val="single" w:sz="4" w:space="0" w:color="auto"/>
              <w:left w:val="single" w:sz="4" w:space="0" w:color="auto"/>
              <w:bottom w:val="single" w:sz="4" w:space="0" w:color="auto"/>
              <w:right w:val="single" w:sz="4" w:space="0" w:color="auto"/>
            </w:tcBorders>
          </w:tcPr>
          <w:p w14:paraId="092575CE" w14:textId="77777777" w:rsidR="005105BB" w:rsidRPr="00804648" w:rsidRDefault="005105BB" w:rsidP="008674F0">
            <w:pPr>
              <w:pStyle w:val="TableText0"/>
              <w:keepLines/>
            </w:pPr>
            <w:r w:rsidRPr="00804648">
              <w:t>The % change in platelet counts from baseline to Week 52</w:t>
            </w:r>
          </w:p>
        </w:tc>
        <w:tc>
          <w:tcPr>
            <w:tcW w:w="1179" w:type="pct"/>
            <w:tcBorders>
              <w:top w:val="single" w:sz="4" w:space="0" w:color="auto"/>
              <w:left w:val="single" w:sz="4" w:space="0" w:color="auto"/>
              <w:bottom w:val="single" w:sz="4" w:space="0" w:color="auto"/>
              <w:right w:val="single" w:sz="4" w:space="0" w:color="auto"/>
            </w:tcBorders>
          </w:tcPr>
          <w:p w14:paraId="7D250F30" w14:textId="77777777" w:rsidR="005105BB" w:rsidRPr="00804648" w:rsidRDefault="005105BB" w:rsidP="008674F0">
            <w:pPr>
              <w:pStyle w:val="TableText0"/>
              <w:keepLines/>
            </w:pPr>
            <w:r w:rsidRPr="00804648">
              <w:t>Samples of hematology were collected, processed, coded, and evaluated by a central laboratory.</w:t>
            </w:r>
          </w:p>
        </w:tc>
        <w:tc>
          <w:tcPr>
            <w:tcW w:w="1120" w:type="pct"/>
            <w:tcBorders>
              <w:top w:val="single" w:sz="4" w:space="0" w:color="auto"/>
              <w:left w:val="single" w:sz="4" w:space="0" w:color="auto"/>
              <w:bottom w:val="single" w:sz="4" w:space="0" w:color="auto"/>
              <w:right w:val="single" w:sz="4" w:space="0" w:color="auto"/>
            </w:tcBorders>
          </w:tcPr>
          <w:p w14:paraId="11C49CDA" w14:textId="77777777" w:rsidR="005105BB" w:rsidRPr="00804648" w:rsidRDefault="005105BB" w:rsidP="008674F0">
            <w:pPr>
              <w:pStyle w:val="TableText0"/>
              <w:keepLines/>
            </w:pPr>
            <w:r w:rsidRPr="00804648">
              <w:t>Not specified</w:t>
            </w:r>
          </w:p>
        </w:tc>
        <w:tc>
          <w:tcPr>
            <w:tcW w:w="1132" w:type="pct"/>
            <w:tcBorders>
              <w:top w:val="single" w:sz="4" w:space="0" w:color="auto"/>
              <w:left w:val="single" w:sz="4" w:space="0" w:color="auto"/>
              <w:bottom w:val="single" w:sz="4" w:space="0" w:color="auto"/>
              <w:right w:val="single" w:sz="4" w:space="0" w:color="auto"/>
            </w:tcBorders>
          </w:tcPr>
          <w:p w14:paraId="3EC206C6" w14:textId="77777777" w:rsidR="005105BB" w:rsidRPr="00804648" w:rsidRDefault="005105BB" w:rsidP="008674F0">
            <w:pPr>
              <w:pStyle w:val="TableText0"/>
              <w:keepLines/>
            </w:pPr>
            <w:r w:rsidRPr="00804648">
              <w:t>-</w:t>
            </w:r>
          </w:p>
        </w:tc>
      </w:tr>
      <w:tr w:rsidR="005105BB" w:rsidRPr="00804648" w14:paraId="3601ED1C" w14:textId="77777777" w:rsidTr="00C1697C">
        <w:tc>
          <w:tcPr>
            <w:tcW w:w="705" w:type="pct"/>
            <w:tcBorders>
              <w:top w:val="single" w:sz="4" w:space="0" w:color="auto"/>
              <w:left w:val="single" w:sz="4" w:space="0" w:color="auto"/>
              <w:bottom w:val="single" w:sz="4" w:space="0" w:color="auto"/>
              <w:right w:val="single" w:sz="4" w:space="0" w:color="auto"/>
            </w:tcBorders>
          </w:tcPr>
          <w:p w14:paraId="4A16679B" w14:textId="77777777" w:rsidR="005105BB" w:rsidRPr="00804648" w:rsidRDefault="005105BB" w:rsidP="008674F0">
            <w:pPr>
              <w:pStyle w:val="TableText0"/>
              <w:keepLines/>
            </w:pPr>
            <w:r w:rsidRPr="00804648">
              <w:t>Change from baseline in fatigue, pain, and dyspnoea severity</w:t>
            </w:r>
          </w:p>
        </w:tc>
        <w:tc>
          <w:tcPr>
            <w:tcW w:w="864" w:type="pct"/>
            <w:tcBorders>
              <w:top w:val="single" w:sz="4" w:space="0" w:color="auto"/>
              <w:left w:val="single" w:sz="4" w:space="0" w:color="auto"/>
              <w:bottom w:val="single" w:sz="4" w:space="0" w:color="auto"/>
              <w:right w:val="single" w:sz="4" w:space="0" w:color="auto"/>
            </w:tcBorders>
          </w:tcPr>
          <w:p w14:paraId="61DE79EE" w14:textId="7947AC47" w:rsidR="005105BB" w:rsidRPr="00804648" w:rsidRDefault="005105BB" w:rsidP="008674F0">
            <w:pPr>
              <w:pStyle w:val="TableText0"/>
              <w:keepLines/>
            </w:pPr>
            <w:r w:rsidRPr="00804648">
              <w:t>Week 52 change from baseline in fatigue severity, pain severity and dyspnoea severity</w:t>
            </w:r>
          </w:p>
        </w:tc>
        <w:tc>
          <w:tcPr>
            <w:tcW w:w="1179" w:type="pct"/>
            <w:tcBorders>
              <w:top w:val="single" w:sz="4" w:space="0" w:color="auto"/>
              <w:left w:val="single" w:sz="4" w:space="0" w:color="auto"/>
              <w:bottom w:val="single" w:sz="4" w:space="0" w:color="auto"/>
              <w:right w:val="single" w:sz="4" w:space="0" w:color="auto"/>
            </w:tcBorders>
          </w:tcPr>
          <w:p w14:paraId="2EF88F1B" w14:textId="77777777" w:rsidR="005105BB" w:rsidRPr="00804648" w:rsidRDefault="005105BB" w:rsidP="008674F0">
            <w:pPr>
              <w:pStyle w:val="TableText0"/>
              <w:keepLines/>
            </w:pPr>
            <w:r w:rsidRPr="00804648">
              <w:t>Measured by item 3 of the BFI scale, BFI-SF scale and FACIT dyspnoea tool, respectively.</w:t>
            </w:r>
          </w:p>
        </w:tc>
        <w:tc>
          <w:tcPr>
            <w:tcW w:w="1120" w:type="pct"/>
            <w:tcBorders>
              <w:top w:val="single" w:sz="4" w:space="0" w:color="auto"/>
              <w:left w:val="single" w:sz="4" w:space="0" w:color="auto"/>
              <w:bottom w:val="single" w:sz="4" w:space="0" w:color="auto"/>
              <w:right w:val="single" w:sz="4" w:space="0" w:color="auto"/>
            </w:tcBorders>
          </w:tcPr>
          <w:p w14:paraId="1096CB04" w14:textId="77777777" w:rsidR="005105BB" w:rsidRPr="00804648" w:rsidRDefault="005105BB" w:rsidP="008674F0">
            <w:pPr>
              <w:pStyle w:val="TableText0"/>
              <w:keepLines/>
            </w:pPr>
            <w:r w:rsidRPr="00804648">
              <w:t>Not specified</w:t>
            </w:r>
          </w:p>
        </w:tc>
        <w:tc>
          <w:tcPr>
            <w:tcW w:w="1132" w:type="pct"/>
            <w:tcBorders>
              <w:top w:val="single" w:sz="4" w:space="0" w:color="auto"/>
              <w:left w:val="single" w:sz="4" w:space="0" w:color="auto"/>
              <w:bottom w:val="single" w:sz="4" w:space="0" w:color="auto"/>
              <w:right w:val="single" w:sz="4" w:space="0" w:color="auto"/>
            </w:tcBorders>
          </w:tcPr>
          <w:p w14:paraId="03F70185" w14:textId="04AAC8C1" w:rsidR="005105BB" w:rsidRPr="00804648" w:rsidRDefault="00186CD5" w:rsidP="00C1697C">
            <w:pPr>
              <w:pStyle w:val="TableText0"/>
              <w:keepLines/>
            </w:pPr>
            <w:r w:rsidRPr="00804648">
              <w:t>The clinical</w:t>
            </w:r>
            <w:r w:rsidR="00C1697C">
              <w:t xml:space="preserve"> </w:t>
            </w:r>
            <w:r w:rsidRPr="00804648">
              <w:t>relevance of these scores is unknown.</w:t>
            </w:r>
          </w:p>
        </w:tc>
      </w:tr>
      <w:tr w:rsidR="005105BB" w:rsidRPr="00804648" w14:paraId="6CD8513C" w14:textId="77777777" w:rsidTr="00C1697C">
        <w:tc>
          <w:tcPr>
            <w:tcW w:w="705" w:type="pct"/>
            <w:tcBorders>
              <w:top w:val="single" w:sz="4" w:space="0" w:color="auto"/>
              <w:left w:val="single" w:sz="4" w:space="0" w:color="auto"/>
              <w:bottom w:val="single" w:sz="4" w:space="0" w:color="auto"/>
              <w:right w:val="single" w:sz="4" w:space="0" w:color="auto"/>
            </w:tcBorders>
          </w:tcPr>
          <w:p w14:paraId="02F221F1" w14:textId="77777777" w:rsidR="005105BB" w:rsidRPr="00804648" w:rsidRDefault="005105BB" w:rsidP="008674F0">
            <w:pPr>
              <w:pStyle w:val="TableText0"/>
              <w:keepLines/>
            </w:pPr>
            <w:r w:rsidRPr="00804648">
              <w:t>Change in SRS</w:t>
            </w:r>
          </w:p>
        </w:tc>
        <w:tc>
          <w:tcPr>
            <w:tcW w:w="864" w:type="pct"/>
            <w:tcBorders>
              <w:top w:val="single" w:sz="4" w:space="0" w:color="auto"/>
              <w:left w:val="single" w:sz="4" w:space="0" w:color="auto"/>
              <w:bottom w:val="single" w:sz="4" w:space="0" w:color="auto"/>
              <w:right w:val="single" w:sz="4" w:space="0" w:color="auto"/>
            </w:tcBorders>
          </w:tcPr>
          <w:p w14:paraId="1E0CDB11" w14:textId="77777777" w:rsidR="005105BB" w:rsidRPr="00804648" w:rsidRDefault="005105BB" w:rsidP="008674F0">
            <w:pPr>
              <w:pStyle w:val="TableText0"/>
              <w:keepLines/>
            </w:pPr>
            <w:r w:rsidRPr="00804648">
              <w:t>Change in SRS from baseline to Week 52</w:t>
            </w:r>
          </w:p>
        </w:tc>
        <w:tc>
          <w:tcPr>
            <w:tcW w:w="1179" w:type="pct"/>
            <w:tcBorders>
              <w:top w:val="single" w:sz="4" w:space="0" w:color="auto"/>
              <w:left w:val="single" w:sz="4" w:space="0" w:color="auto"/>
              <w:bottom w:val="single" w:sz="4" w:space="0" w:color="auto"/>
              <w:right w:val="single" w:sz="4" w:space="0" w:color="auto"/>
            </w:tcBorders>
          </w:tcPr>
          <w:p w14:paraId="30128B59" w14:textId="6D7F3CE6" w:rsidR="005105BB" w:rsidRPr="00804648" w:rsidRDefault="005105BB" w:rsidP="00C1697C">
            <w:pPr>
              <w:pStyle w:val="TableText0"/>
              <w:keepLines/>
            </w:pPr>
            <w:r w:rsidRPr="00804648">
              <w:t>The SRS rates 5 items aiming to measure the impact of splenomegaly on patient quality of life (abdominal</w:t>
            </w:r>
            <w:r w:rsidR="00C1697C">
              <w:t xml:space="preserve"> </w:t>
            </w:r>
            <w:r w:rsidRPr="00804648">
              <w:t>pain, abdominal discomfort, early satiety, abdominal body image, and ability to bend down) on a scale of 0 (absent) to10 (worst imaginable).</w:t>
            </w:r>
          </w:p>
        </w:tc>
        <w:tc>
          <w:tcPr>
            <w:tcW w:w="1120" w:type="pct"/>
            <w:tcBorders>
              <w:top w:val="single" w:sz="4" w:space="0" w:color="auto"/>
              <w:left w:val="single" w:sz="4" w:space="0" w:color="auto"/>
              <w:bottom w:val="single" w:sz="4" w:space="0" w:color="auto"/>
              <w:right w:val="single" w:sz="4" w:space="0" w:color="auto"/>
            </w:tcBorders>
          </w:tcPr>
          <w:p w14:paraId="5278B577" w14:textId="2E509455" w:rsidR="005105BB" w:rsidRPr="00804648" w:rsidRDefault="00186CD5" w:rsidP="00C1697C">
            <w:pPr>
              <w:pStyle w:val="TableText0"/>
              <w:keepLines/>
            </w:pPr>
            <w:r w:rsidRPr="00804648">
              <w:t>The primary</w:t>
            </w:r>
            <w:r w:rsidR="00C1697C">
              <w:t xml:space="preserve"> </w:t>
            </w:r>
            <w:r w:rsidRPr="00804648">
              <w:t>and secondary SRS responder thresholds were -12.5 and -18 derived using anchor and distribution-based methods.</w:t>
            </w:r>
          </w:p>
        </w:tc>
        <w:tc>
          <w:tcPr>
            <w:tcW w:w="1132" w:type="pct"/>
            <w:tcBorders>
              <w:top w:val="single" w:sz="4" w:space="0" w:color="auto"/>
              <w:left w:val="single" w:sz="4" w:space="0" w:color="auto"/>
              <w:bottom w:val="single" w:sz="4" w:space="0" w:color="auto"/>
              <w:right w:val="single" w:sz="4" w:space="0" w:color="auto"/>
            </w:tcBorders>
          </w:tcPr>
          <w:p w14:paraId="7BD671CA" w14:textId="6016F587" w:rsidR="005105BB" w:rsidRPr="00804648" w:rsidRDefault="005105BB" w:rsidP="008674F0">
            <w:pPr>
              <w:pStyle w:val="TableText0"/>
              <w:keepLines/>
            </w:pPr>
            <w:r w:rsidRPr="00804648">
              <w:t xml:space="preserve">The validity of SRS has not been previously </w:t>
            </w:r>
            <w:r w:rsidR="00B65240" w:rsidRPr="00804648">
              <w:t>established in</w:t>
            </w:r>
            <w:r w:rsidRPr="00804648">
              <w:t xml:space="preserve"> ASMD </w:t>
            </w:r>
          </w:p>
        </w:tc>
      </w:tr>
    </w:tbl>
    <w:p w14:paraId="41B15891" w14:textId="77777777" w:rsidR="005105BB" w:rsidRPr="00804648" w:rsidRDefault="005105BB" w:rsidP="008674F0">
      <w:pPr>
        <w:pStyle w:val="FooterTableFigure"/>
        <w:keepNext/>
        <w:keepLines/>
      </w:pPr>
      <w:r w:rsidRPr="00804648">
        <w:t>Source: Section 2.(a).4.3. and Section 2(a).5.1 of the submission.</w:t>
      </w:r>
    </w:p>
    <w:p w14:paraId="42DA7FFD" w14:textId="496965AD" w:rsidR="005105BB" w:rsidRPr="00804648" w:rsidRDefault="009B5FA0" w:rsidP="008674F0">
      <w:pPr>
        <w:pStyle w:val="FooterTableFigure"/>
        <w:keepNext/>
        <w:keepLines/>
      </w:pPr>
      <w:r w:rsidRPr="00804648">
        <w:t>ASMD = acid sphingomyelinase deficiency, BFI = Brief Fatigue Inventory, BPI = Brief Pain Inventory – Short Form, D</w:t>
      </w:r>
      <w:r w:rsidR="008674F0" w:rsidRPr="00804648">
        <w:t>L</w:t>
      </w:r>
      <w:r w:rsidRPr="00804648">
        <w:t>co = diffusing capacity of the lung for carbon monoxide, FACIT = Functional Assessment of Chronic Illness Therapy, ILD = interstitial lung disease, mITT = modified intend to treat, MN = multiples of normal, MRI = magnetic resonance imaging</w:t>
      </w:r>
      <w:r w:rsidR="008674F0" w:rsidRPr="00804648">
        <w:t>,</w:t>
      </w:r>
      <w:r w:rsidRPr="00804648">
        <w:t xml:space="preserve"> </w:t>
      </w:r>
      <w:r w:rsidR="008674F0" w:rsidRPr="00804648">
        <w:t xml:space="preserve">PFT = pulmonary function tests, </w:t>
      </w:r>
      <w:r w:rsidRPr="00804648">
        <w:t>SRS = splenomegaly related score.</w:t>
      </w:r>
    </w:p>
    <w:p w14:paraId="5868A3C8" w14:textId="3972100C" w:rsidR="006214F9" w:rsidRPr="00804648" w:rsidRDefault="006214F9" w:rsidP="006214F9">
      <w:pPr>
        <w:pStyle w:val="3-BodyText"/>
      </w:pPr>
      <w:r w:rsidRPr="00804648">
        <w:t xml:space="preserve">Other studies included in the submission (olipudase alfa single arm trials ASCEND-peds, DFI13412, LTS13632; natural history study SPHINGO-100) reported outcomes </w:t>
      </w:r>
      <w:r w:rsidRPr="00804648">
        <w:lastRenderedPageBreak/>
        <w:t>such as percentage change in spleen volume, liver volume, platelet counts, predicted DLco, growth (height Z-score), and safety.</w:t>
      </w:r>
    </w:p>
    <w:p w14:paraId="27EF7DED" w14:textId="4DDAA7EA" w:rsidR="009B5FA0" w:rsidRPr="00804648" w:rsidRDefault="00BB0E82" w:rsidP="00035A3E">
      <w:pPr>
        <w:pStyle w:val="3-BodyText"/>
        <w:spacing w:after="80"/>
      </w:pPr>
      <w:r w:rsidRPr="00804648">
        <w:t xml:space="preserve">According to a recently published </w:t>
      </w:r>
      <w:r w:rsidR="00B65240" w:rsidRPr="00804648">
        <w:t xml:space="preserve">consensus clinical </w:t>
      </w:r>
      <w:r w:rsidRPr="00804648">
        <w:t>guidelines for ASMD (type A, type B and type A/B), the effectiveness of treatment with olipudase alfa should be monitored with the measurement of growth (in children), the volume of liver and spleen, lung function, haematological markers, plasma lipid profile and disease biomarkers</w:t>
      </w:r>
      <w:r w:rsidRPr="00804648">
        <w:rPr>
          <w:rStyle w:val="FootnoteReference"/>
        </w:rPr>
        <w:footnoteReference w:id="7"/>
      </w:r>
      <w:r w:rsidRPr="00804648">
        <w:t>. Furthermore, the European Medical Agency considered the improvement in D</w:t>
      </w:r>
      <w:r w:rsidR="00BD6F49" w:rsidRPr="00804648">
        <w:t>L</w:t>
      </w:r>
      <w:r w:rsidRPr="00804648">
        <w:t>co and reduction in spleen volume as clinically relevant</w:t>
      </w:r>
      <w:r w:rsidRPr="00804648">
        <w:rPr>
          <w:rStyle w:val="FootnoteReference"/>
        </w:rPr>
        <w:t>7</w:t>
      </w:r>
      <w:r w:rsidRPr="00804648">
        <w:t>.</w:t>
      </w:r>
    </w:p>
    <w:p w14:paraId="4A4FE085" w14:textId="1C5613CC" w:rsidR="00B60939" w:rsidRPr="00804648" w:rsidRDefault="00B60939" w:rsidP="00035A3E">
      <w:pPr>
        <w:pStyle w:val="4-SubsectionHeading"/>
        <w:spacing w:before="0" w:after="80"/>
      </w:pPr>
      <w:bookmarkStart w:id="28" w:name="_Toc22897641"/>
      <w:bookmarkStart w:id="29" w:name="_Toc135224896"/>
      <w:r w:rsidRPr="00804648">
        <w:t>Comparative effectiveness</w:t>
      </w:r>
      <w:bookmarkEnd w:id="28"/>
      <w:bookmarkEnd w:id="29"/>
    </w:p>
    <w:p w14:paraId="70A74EDB" w14:textId="77777777" w:rsidR="00035A3E" w:rsidRPr="00804648" w:rsidRDefault="006C20AF" w:rsidP="00035A3E">
      <w:pPr>
        <w:spacing w:after="80"/>
        <w:rPr>
          <w:b/>
          <w:bCs/>
          <w:u w:val="single"/>
        </w:rPr>
      </w:pPr>
      <w:r w:rsidRPr="00804648">
        <w:rPr>
          <w:b/>
          <w:bCs/>
          <w:u w:val="single"/>
        </w:rPr>
        <w:t>ADULT POPULATION</w:t>
      </w:r>
      <w:r w:rsidR="00B77B1B" w:rsidRPr="00804648">
        <w:rPr>
          <w:b/>
          <w:bCs/>
          <w:u w:val="single"/>
        </w:rPr>
        <w:t xml:space="preserve"> </w:t>
      </w:r>
    </w:p>
    <w:p w14:paraId="4F7D25F7" w14:textId="28CD8D02" w:rsidR="00B77B1B" w:rsidRPr="00804648" w:rsidRDefault="00B77B1B" w:rsidP="0022697B">
      <w:pPr>
        <w:pStyle w:val="5-SubsectionSubheading"/>
      </w:pPr>
      <w:r w:rsidRPr="00804648">
        <w:t>AS</w:t>
      </w:r>
      <w:r w:rsidR="005A26D8" w:rsidRPr="00804648">
        <w:t>C</w:t>
      </w:r>
      <w:r w:rsidRPr="00804648">
        <w:t>END</w:t>
      </w:r>
      <w:r w:rsidR="006C20AF" w:rsidRPr="00804648">
        <w:t xml:space="preserve"> randomised trial</w:t>
      </w:r>
      <w:r w:rsidR="0050065D" w:rsidRPr="00804648">
        <w:t xml:space="preserve"> </w:t>
      </w:r>
      <w:r w:rsidR="006C20AF" w:rsidRPr="00804648">
        <w:t>(</w:t>
      </w:r>
      <w:r w:rsidR="0050065D" w:rsidRPr="00804648">
        <w:t>olipudase alfa versus BSC</w:t>
      </w:r>
      <w:r w:rsidR="006C20AF" w:rsidRPr="00804648">
        <w:t>)</w:t>
      </w:r>
    </w:p>
    <w:p w14:paraId="7A26D1CF" w14:textId="7CF25CF5" w:rsidR="009B7390" w:rsidRPr="00804648" w:rsidRDefault="00A67CB6" w:rsidP="00EC5836">
      <w:pPr>
        <w:pStyle w:val="3-BodyText"/>
      </w:pPr>
      <w:r w:rsidRPr="00804648">
        <w:rPr>
          <w:snapToGrid/>
        </w:rPr>
        <w:fldChar w:fldCharType="begin" w:fldLock="1"/>
      </w:r>
      <w:r w:rsidRPr="00804648">
        <w:rPr>
          <w:snapToGrid/>
        </w:rPr>
        <w:instrText xml:space="preserve"> REF _Ref133689494 \h </w:instrText>
      </w:r>
      <w:r w:rsidRPr="00804648">
        <w:rPr>
          <w:snapToGrid/>
        </w:rPr>
      </w:r>
      <w:r w:rsidRPr="00804648">
        <w:rPr>
          <w:snapToGrid/>
        </w:rPr>
        <w:fldChar w:fldCharType="separate"/>
      </w:r>
      <w:r w:rsidR="005D02DA" w:rsidRPr="00804648">
        <w:t>Table 5</w:t>
      </w:r>
      <w:r w:rsidRPr="00804648">
        <w:rPr>
          <w:snapToGrid/>
        </w:rPr>
        <w:fldChar w:fldCharType="end"/>
      </w:r>
      <w:r w:rsidRPr="00804648">
        <w:rPr>
          <w:snapToGrid/>
        </w:rPr>
        <w:t xml:space="preserve"> </w:t>
      </w:r>
      <w:r w:rsidR="009B7390" w:rsidRPr="00804648">
        <w:rPr>
          <w:snapToGrid/>
        </w:rPr>
        <w:t>summarises the percentage change in spleen volume</w:t>
      </w:r>
      <w:r w:rsidR="00AD7466" w:rsidRPr="00804648">
        <w:rPr>
          <w:snapToGrid/>
        </w:rPr>
        <w:t xml:space="preserve">, </w:t>
      </w:r>
      <w:r w:rsidR="009B7390" w:rsidRPr="00804648">
        <w:rPr>
          <w:snapToGrid/>
        </w:rPr>
        <w:t>D</w:t>
      </w:r>
      <w:r w:rsidR="00BD6F49" w:rsidRPr="00804648">
        <w:rPr>
          <w:snapToGrid/>
        </w:rPr>
        <w:t>L</w:t>
      </w:r>
      <w:r w:rsidR="009B7390" w:rsidRPr="00804648">
        <w:rPr>
          <w:snapToGrid/>
        </w:rPr>
        <w:t>co (percent predicted)</w:t>
      </w:r>
      <w:r w:rsidR="00AD7466" w:rsidRPr="00804648">
        <w:rPr>
          <w:snapToGrid/>
        </w:rPr>
        <w:t>, liver volume and platelet count</w:t>
      </w:r>
      <w:r w:rsidR="009B7390" w:rsidRPr="00804648">
        <w:rPr>
          <w:snapToGrid/>
        </w:rPr>
        <w:t xml:space="preserve"> from baseline to Week 52 in the ASCEND trial for </w:t>
      </w:r>
      <w:r w:rsidR="008E5693" w:rsidRPr="00804648">
        <w:rPr>
          <w:snapToGrid/>
        </w:rPr>
        <w:t xml:space="preserve">the </w:t>
      </w:r>
      <w:r w:rsidR="009B7390" w:rsidRPr="00804648">
        <w:rPr>
          <w:snapToGrid/>
        </w:rPr>
        <w:t>adult population.</w:t>
      </w:r>
    </w:p>
    <w:p w14:paraId="16E055F6" w14:textId="0089FF3C" w:rsidR="00A67CB6" w:rsidRPr="00804648" w:rsidRDefault="00A67CB6" w:rsidP="00A67CB6">
      <w:pPr>
        <w:pStyle w:val="TableFigureHeading"/>
        <w:rPr>
          <w:rStyle w:val="CommentReference"/>
          <w:b/>
          <w:szCs w:val="24"/>
        </w:rPr>
      </w:pPr>
      <w:bookmarkStart w:id="30" w:name="_Ref133689494"/>
      <w:r w:rsidRPr="00804648">
        <w:t xml:space="preserve">Table </w:t>
      </w:r>
      <w:fldSimple w:instr=" SEQ Table \* ARABIC " w:fldLock="1">
        <w:r w:rsidR="005D02DA" w:rsidRPr="00804648">
          <w:t>5</w:t>
        </w:r>
      </w:fldSimple>
      <w:bookmarkEnd w:id="30"/>
      <w:r w:rsidRPr="00804648">
        <w:t xml:space="preserve">: </w:t>
      </w:r>
      <w:r w:rsidRPr="00804648">
        <w:rPr>
          <w:rStyle w:val="CommentReference"/>
          <w:b/>
          <w:szCs w:val="24"/>
        </w:rPr>
        <w:t>Results of efficacy outcomes in ASCEND trial for adult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82"/>
        <w:gridCol w:w="1679"/>
        <w:gridCol w:w="1679"/>
        <w:gridCol w:w="1677"/>
      </w:tblGrid>
      <w:tr w:rsidR="00A67CB6" w:rsidRPr="00804648" w14:paraId="6B71CAE5" w14:textId="77777777" w:rsidTr="008C351B">
        <w:trPr>
          <w:tblHeader/>
        </w:trPr>
        <w:tc>
          <w:tcPr>
            <w:tcW w:w="2208" w:type="pct"/>
            <w:vAlign w:val="center"/>
          </w:tcPr>
          <w:p w14:paraId="374E7CC9" w14:textId="77777777" w:rsidR="00A67CB6" w:rsidRPr="00804648" w:rsidRDefault="00A67CB6" w:rsidP="006F6FE5">
            <w:pPr>
              <w:pStyle w:val="In-tableHeading"/>
              <w:rPr>
                <w:lang w:val="en-AU"/>
              </w:rPr>
            </w:pPr>
            <w:r w:rsidRPr="00804648">
              <w:rPr>
                <w:lang w:val="en-AU"/>
              </w:rPr>
              <w:t>Outcomes</w:t>
            </w:r>
          </w:p>
        </w:tc>
        <w:tc>
          <w:tcPr>
            <w:tcW w:w="931" w:type="pct"/>
            <w:vAlign w:val="center"/>
          </w:tcPr>
          <w:p w14:paraId="5915EA42" w14:textId="77777777" w:rsidR="00A67CB6" w:rsidRPr="00804648" w:rsidRDefault="00A67CB6" w:rsidP="006F6FE5">
            <w:pPr>
              <w:pStyle w:val="In-tableHeading"/>
              <w:jc w:val="center"/>
              <w:rPr>
                <w:iCs/>
                <w:lang w:val="en-AU"/>
              </w:rPr>
            </w:pPr>
            <w:r w:rsidRPr="00804648">
              <w:rPr>
                <w:iCs/>
                <w:lang w:val="en-AU"/>
              </w:rPr>
              <w:t>Olipudase alfa</w:t>
            </w:r>
          </w:p>
          <w:p w14:paraId="38C8CB81" w14:textId="77777777" w:rsidR="00A67CB6" w:rsidRPr="00804648" w:rsidRDefault="00A67CB6" w:rsidP="006F6FE5">
            <w:pPr>
              <w:pStyle w:val="In-tableHeading"/>
              <w:jc w:val="center"/>
              <w:rPr>
                <w:lang w:val="en-AU"/>
              </w:rPr>
            </w:pPr>
            <w:r w:rsidRPr="00804648">
              <w:rPr>
                <w:iCs/>
                <w:lang w:val="en-AU"/>
              </w:rPr>
              <w:t xml:space="preserve">(N =18) </w:t>
            </w:r>
          </w:p>
        </w:tc>
        <w:tc>
          <w:tcPr>
            <w:tcW w:w="931" w:type="pct"/>
            <w:vAlign w:val="center"/>
          </w:tcPr>
          <w:p w14:paraId="0A33F26D" w14:textId="77777777" w:rsidR="00A67CB6" w:rsidRPr="00804648" w:rsidRDefault="00A67CB6" w:rsidP="006F6FE5">
            <w:pPr>
              <w:pStyle w:val="In-tableHeading"/>
              <w:jc w:val="center"/>
              <w:rPr>
                <w:iCs/>
                <w:lang w:val="en-AU"/>
              </w:rPr>
            </w:pPr>
            <w:r w:rsidRPr="00804648">
              <w:rPr>
                <w:iCs/>
                <w:lang w:val="en-AU"/>
              </w:rPr>
              <w:t>BSC</w:t>
            </w:r>
          </w:p>
          <w:p w14:paraId="05E7FBEB" w14:textId="77777777" w:rsidR="00A67CB6" w:rsidRPr="00804648" w:rsidRDefault="00A67CB6" w:rsidP="006F6FE5">
            <w:pPr>
              <w:pStyle w:val="In-tableHeading"/>
              <w:jc w:val="center"/>
              <w:rPr>
                <w:lang w:val="en-AU"/>
              </w:rPr>
            </w:pPr>
            <w:r w:rsidRPr="00804648">
              <w:rPr>
                <w:iCs/>
                <w:lang w:val="en-AU"/>
              </w:rPr>
              <w:t>(N =18)</w:t>
            </w:r>
          </w:p>
        </w:tc>
        <w:tc>
          <w:tcPr>
            <w:tcW w:w="930" w:type="pct"/>
            <w:vAlign w:val="center"/>
          </w:tcPr>
          <w:p w14:paraId="2FB82251" w14:textId="77777777" w:rsidR="00A67CB6" w:rsidRPr="00804648" w:rsidRDefault="00A67CB6" w:rsidP="006F6FE5">
            <w:pPr>
              <w:pStyle w:val="In-tableHeading"/>
              <w:jc w:val="center"/>
              <w:rPr>
                <w:iCs/>
                <w:lang w:val="en-AU"/>
              </w:rPr>
            </w:pPr>
            <w:r w:rsidRPr="00804648">
              <w:rPr>
                <w:iCs/>
                <w:lang w:val="en-AU"/>
              </w:rPr>
              <w:t xml:space="preserve">Difference, LS mean </w:t>
            </w:r>
          </w:p>
          <w:p w14:paraId="46093CE4" w14:textId="77777777" w:rsidR="00A67CB6" w:rsidRPr="00804648" w:rsidRDefault="00A67CB6" w:rsidP="006F6FE5">
            <w:pPr>
              <w:pStyle w:val="In-tableHeading"/>
              <w:jc w:val="center"/>
              <w:rPr>
                <w:iCs/>
                <w:lang w:val="en-AU"/>
              </w:rPr>
            </w:pPr>
            <w:r w:rsidRPr="00804648">
              <w:rPr>
                <w:iCs/>
                <w:lang w:val="en-AU"/>
              </w:rPr>
              <w:t>(95% CI)</w:t>
            </w:r>
          </w:p>
        </w:tc>
      </w:tr>
      <w:tr w:rsidR="00313044" w:rsidRPr="00804648" w14:paraId="72C651A1" w14:textId="77777777" w:rsidTr="008C351B">
        <w:tc>
          <w:tcPr>
            <w:tcW w:w="5000" w:type="pct"/>
            <w:gridSpan w:val="4"/>
            <w:vAlign w:val="center"/>
          </w:tcPr>
          <w:p w14:paraId="0F20A77E" w14:textId="0118ADA5" w:rsidR="00313044" w:rsidRPr="00804648" w:rsidRDefault="00313044" w:rsidP="00E23208">
            <w:pPr>
              <w:pStyle w:val="TableText0"/>
              <w:jc w:val="center"/>
              <w:rPr>
                <w:b/>
                <w:bCs w:val="0"/>
              </w:rPr>
            </w:pPr>
            <w:r w:rsidRPr="00804648">
              <w:rPr>
                <w:b/>
                <w:bCs w:val="0"/>
              </w:rPr>
              <w:t>Primary efficacy outcomes</w:t>
            </w:r>
          </w:p>
        </w:tc>
      </w:tr>
      <w:tr w:rsidR="00A67CB6" w:rsidRPr="00804648" w14:paraId="14A6C8A2" w14:textId="77777777" w:rsidTr="008C351B">
        <w:tc>
          <w:tcPr>
            <w:tcW w:w="5000" w:type="pct"/>
            <w:gridSpan w:val="4"/>
            <w:vAlign w:val="center"/>
          </w:tcPr>
          <w:p w14:paraId="0781ABC1" w14:textId="77777777" w:rsidR="00A67CB6" w:rsidRPr="00804648" w:rsidRDefault="00A67CB6" w:rsidP="006F6FE5">
            <w:pPr>
              <w:pStyle w:val="TableText0"/>
              <w:rPr>
                <w:b/>
                <w:bCs w:val="0"/>
              </w:rPr>
            </w:pPr>
            <w:r w:rsidRPr="00804648">
              <w:rPr>
                <w:b/>
                <w:bCs w:val="0"/>
              </w:rPr>
              <w:t>Mean spleen volume, MN</w:t>
            </w:r>
          </w:p>
        </w:tc>
      </w:tr>
      <w:tr w:rsidR="00A67CB6" w:rsidRPr="00804648" w14:paraId="36DA5043" w14:textId="77777777" w:rsidTr="008C351B">
        <w:tc>
          <w:tcPr>
            <w:tcW w:w="2208" w:type="pct"/>
            <w:vAlign w:val="center"/>
          </w:tcPr>
          <w:p w14:paraId="5D6BA732" w14:textId="77777777" w:rsidR="00A67CB6" w:rsidRPr="00804648" w:rsidRDefault="00A67CB6" w:rsidP="006F6FE5">
            <w:pPr>
              <w:pStyle w:val="TableText0"/>
            </w:pPr>
            <w:r w:rsidRPr="00804648">
              <w:t>Baseline, mean (SD)</w:t>
            </w:r>
          </w:p>
        </w:tc>
        <w:tc>
          <w:tcPr>
            <w:tcW w:w="931" w:type="pct"/>
          </w:tcPr>
          <w:p w14:paraId="05FA19C9" w14:textId="77777777" w:rsidR="00A67CB6" w:rsidRPr="00804648" w:rsidRDefault="00A67CB6" w:rsidP="006F6FE5">
            <w:pPr>
              <w:pStyle w:val="TableText0"/>
              <w:jc w:val="center"/>
            </w:pPr>
            <w:r w:rsidRPr="00804648">
              <w:t xml:space="preserve"> 11.7 (4.9)</w:t>
            </w:r>
          </w:p>
        </w:tc>
        <w:tc>
          <w:tcPr>
            <w:tcW w:w="931" w:type="pct"/>
          </w:tcPr>
          <w:p w14:paraId="66BBE7B8" w14:textId="77777777" w:rsidR="00A67CB6" w:rsidRPr="00804648" w:rsidRDefault="00A67CB6" w:rsidP="006F6FE5">
            <w:pPr>
              <w:pStyle w:val="TableText0"/>
              <w:jc w:val="center"/>
            </w:pPr>
            <w:r w:rsidRPr="00804648">
              <w:t>11.2 (3.8)</w:t>
            </w:r>
          </w:p>
        </w:tc>
        <w:tc>
          <w:tcPr>
            <w:tcW w:w="930" w:type="pct"/>
          </w:tcPr>
          <w:p w14:paraId="51B5646B" w14:textId="77777777" w:rsidR="00A67CB6" w:rsidRPr="00804648" w:rsidRDefault="00A67CB6" w:rsidP="006F6FE5">
            <w:pPr>
              <w:pStyle w:val="TableText0"/>
              <w:jc w:val="center"/>
            </w:pPr>
            <w:r w:rsidRPr="00804648">
              <w:t>-</w:t>
            </w:r>
          </w:p>
        </w:tc>
      </w:tr>
      <w:tr w:rsidR="00A67CB6" w:rsidRPr="00804648" w14:paraId="18063661" w14:textId="77777777" w:rsidTr="008C351B">
        <w:tc>
          <w:tcPr>
            <w:tcW w:w="2208" w:type="pct"/>
            <w:vAlign w:val="center"/>
          </w:tcPr>
          <w:p w14:paraId="7045E9B0" w14:textId="77777777" w:rsidR="00A67CB6" w:rsidRPr="00804648" w:rsidRDefault="00A67CB6" w:rsidP="006F6FE5">
            <w:pPr>
              <w:pStyle w:val="TableText0"/>
            </w:pPr>
            <w:r w:rsidRPr="00804648">
              <w:t>% change from baseline to Week 26, LS mean (SE)</w:t>
            </w:r>
          </w:p>
        </w:tc>
        <w:tc>
          <w:tcPr>
            <w:tcW w:w="931" w:type="pct"/>
          </w:tcPr>
          <w:p w14:paraId="4522EC7D" w14:textId="77777777" w:rsidR="00A67CB6" w:rsidRPr="00804648" w:rsidRDefault="00A67CB6" w:rsidP="006F6FE5">
            <w:pPr>
              <w:pStyle w:val="TableText0"/>
              <w:jc w:val="center"/>
            </w:pPr>
            <w:r w:rsidRPr="00804648">
              <w:t>-30.8 (2.2)</w:t>
            </w:r>
          </w:p>
        </w:tc>
        <w:tc>
          <w:tcPr>
            <w:tcW w:w="931" w:type="pct"/>
          </w:tcPr>
          <w:p w14:paraId="67D75272" w14:textId="77777777" w:rsidR="00A67CB6" w:rsidRPr="00804648" w:rsidRDefault="00A67CB6" w:rsidP="006F6FE5">
            <w:pPr>
              <w:pStyle w:val="TableText0"/>
              <w:jc w:val="center"/>
            </w:pPr>
            <w:r w:rsidRPr="00804648">
              <w:t>-2.4 (2.2)</w:t>
            </w:r>
          </w:p>
        </w:tc>
        <w:tc>
          <w:tcPr>
            <w:tcW w:w="930" w:type="pct"/>
          </w:tcPr>
          <w:p w14:paraId="4A82D3DA" w14:textId="77777777" w:rsidR="00A67CB6" w:rsidRPr="00804648" w:rsidRDefault="00A67CB6" w:rsidP="006F6FE5">
            <w:pPr>
              <w:pStyle w:val="TableText0"/>
              <w:jc w:val="center"/>
              <w:rPr>
                <w:b/>
                <w:bCs w:val="0"/>
              </w:rPr>
            </w:pPr>
            <w:r w:rsidRPr="00804648">
              <w:rPr>
                <w:b/>
                <w:bCs w:val="0"/>
              </w:rPr>
              <w:t>-28.5 (-34.9, -22.1)</w:t>
            </w:r>
          </w:p>
        </w:tc>
      </w:tr>
      <w:tr w:rsidR="00A67CB6" w:rsidRPr="00804648" w14:paraId="61A7666C" w14:textId="77777777" w:rsidTr="008C351B">
        <w:tc>
          <w:tcPr>
            <w:tcW w:w="2208" w:type="pct"/>
            <w:vAlign w:val="center"/>
          </w:tcPr>
          <w:p w14:paraId="4160D518" w14:textId="77777777" w:rsidR="00A67CB6" w:rsidRPr="00804648" w:rsidRDefault="00A67CB6" w:rsidP="006F6FE5">
            <w:pPr>
              <w:pStyle w:val="TableText0"/>
            </w:pPr>
            <w:r w:rsidRPr="00804648">
              <w:t>% change from baseline to Week 52, LS mean (SE)</w:t>
            </w:r>
          </w:p>
        </w:tc>
        <w:tc>
          <w:tcPr>
            <w:tcW w:w="931" w:type="pct"/>
          </w:tcPr>
          <w:p w14:paraId="3ADBD9DA" w14:textId="33C525CD" w:rsidR="00A67CB6" w:rsidRPr="00804648" w:rsidRDefault="00A67CB6" w:rsidP="006F6FE5">
            <w:pPr>
              <w:pStyle w:val="TableText0"/>
              <w:jc w:val="center"/>
            </w:pPr>
            <w:r w:rsidRPr="00804648">
              <w:t>-39.5 (2</w:t>
            </w:r>
            <w:r w:rsidR="00D25AF5" w:rsidRPr="00804648">
              <w:t>.</w:t>
            </w:r>
            <w:r w:rsidRPr="00804648">
              <w:t>4)</w:t>
            </w:r>
          </w:p>
        </w:tc>
        <w:tc>
          <w:tcPr>
            <w:tcW w:w="931" w:type="pct"/>
          </w:tcPr>
          <w:p w14:paraId="1F415BC3" w14:textId="77777777" w:rsidR="00A67CB6" w:rsidRPr="00804648" w:rsidRDefault="00A67CB6" w:rsidP="006F6FE5">
            <w:pPr>
              <w:pStyle w:val="TableText0"/>
              <w:jc w:val="center"/>
            </w:pPr>
            <w:r w:rsidRPr="00804648">
              <w:t>0.5 (2.5)</w:t>
            </w:r>
          </w:p>
        </w:tc>
        <w:tc>
          <w:tcPr>
            <w:tcW w:w="930" w:type="pct"/>
          </w:tcPr>
          <w:p w14:paraId="2969F9F8" w14:textId="77777777" w:rsidR="00A67CB6" w:rsidRPr="00804648" w:rsidRDefault="00A67CB6" w:rsidP="006F6FE5">
            <w:pPr>
              <w:pStyle w:val="TableText0"/>
              <w:jc w:val="center"/>
              <w:rPr>
                <w:b/>
                <w:bCs w:val="0"/>
              </w:rPr>
            </w:pPr>
            <w:r w:rsidRPr="00804648">
              <w:rPr>
                <w:b/>
                <w:bCs w:val="0"/>
              </w:rPr>
              <w:t>-39.9 (-47.1, -32.8)</w:t>
            </w:r>
          </w:p>
        </w:tc>
      </w:tr>
      <w:tr w:rsidR="00A67CB6" w:rsidRPr="00804648" w14:paraId="258AB429" w14:textId="77777777" w:rsidTr="008C351B">
        <w:tc>
          <w:tcPr>
            <w:tcW w:w="2208" w:type="pct"/>
            <w:vAlign w:val="center"/>
          </w:tcPr>
          <w:p w14:paraId="6E113A70" w14:textId="2562BC03" w:rsidR="00A67CB6" w:rsidRPr="00804648" w:rsidRDefault="00A67CB6" w:rsidP="006F6FE5">
            <w:pPr>
              <w:pStyle w:val="TableText0"/>
              <w:rPr>
                <w:b/>
                <w:bCs w:val="0"/>
              </w:rPr>
            </w:pPr>
            <w:r w:rsidRPr="00804648">
              <w:rPr>
                <w:b/>
                <w:bCs w:val="0"/>
              </w:rPr>
              <w:t xml:space="preserve">Mean </w:t>
            </w:r>
            <w:r w:rsidR="00B943A0" w:rsidRPr="00804648">
              <w:rPr>
                <w:b/>
                <w:bCs w:val="0"/>
              </w:rPr>
              <w:t>percent</w:t>
            </w:r>
            <w:r w:rsidRPr="00804648">
              <w:rPr>
                <w:b/>
                <w:bCs w:val="0"/>
              </w:rPr>
              <w:t xml:space="preserve"> predicted </w:t>
            </w:r>
            <w:r w:rsidR="00BD6F49" w:rsidRPr="00804648">
              <w:rPr>
                <w:b/>
                <w:bCs w:val="0"/>
              </w:rPr>
              <w:t>DLco</w:t>
            </w:r>
          </w:p>
        </w:tc>
        <w:tc>
          <w:tcPr>
            <w:tcW w:w="931" w:type="pct"/>
            <w:vAlign w:val="center"/>
          </w:tcPr>
          <w:p w14:paraId="25FBC889" w14:textId="77777777" w:rsidR="00A67CB6" w:rsidRPr="00804648" w:rsidRDefault="00A67CB6" w:rsidP="006F6FE5">
            <w:pPr>
              <w:pStyle w:val="TableText0"/>
              <w:jc w:val="center"/>
            </w:pPr>
          </w:p>
        </w:tc>
        <w:tc>
          <w:tcPr>
            <w:tcW w:w="931" w:type="pct"/>
            <w:vAlign w:val="center"/>
          </w:tcPr>
          <w:p w14:paraId="4748EE56" w14:textId="77777777" w:rsidR="00A67CB6" w:rsidRPr="00804648" w:rsidRDefault="00A67CB6" w:rsidP="006F6FE5">
            <w:pPr>
              <w:pStyle w:val="TableText0"/>
              <w:jc w:val="center"/>
            </w:pPr>
          </w:p>
        </w:tc>
        <w:tc>
          <w:tcPr>
            <w:tcW w:w="930" w:type="pct"/>
            <w:vAlign w:val="center"/>
          </w:tcPr>
          <w:p w14:paraId="53EC266B" w14:textId="77777777" w:rsidR="00A67CB6" w:rsidRPr="00804648" w:rsidRDefault="00A67CB6" w:rsidP="006F6FE5">
            <w:pPr>
              <w:pStyle w:val="TableText0"/>
              <w:jc w:val="center"/>
            </w:pPr>
          </w:p>
        </w:tc>
      </w:tr>
      <w:tr w:rsidR="00A67CB6" w:rsidRPr="00804648" w14:paraId="4C9B3B31" w14:textId="77777777" w:rsidTr="008C351B">
        <w:tc>
          <w:tcPr>
            <w:tcW w:w="2208" w:type="pct"/>
            <w:vAlign w:val="center"/>
          </w:tcPr>
          <w:p w14:paraId="552E41D7" w14:textId="77777777" w:rsidR="00A67CB6" w:rsidRPr="00804648" w:rsidRDefault="00A67CB6" w:rsidP="006F6FE5">
            <w:pPr>
              <w:pStyle w:val="TableText0"/>
            </w:pPr>
            <w:r w:rsidRPr="00804648">
              <w:t>Baseline, mean (SD)</w:t>
            </w:r>
          </w:p>
        </w:tc>
        <w:tc>
          <w:tcPr>
            <w:tcW w:w="931" w:type="pct"/>
          </w:tcPr>
          <w:p w14:paraId="6AA0B0BE" w14:textId="77777777" w:rsidR="00A67CB6" w:rsidRPr="00804648" w:rsidRDefault="00A67CB6" w:rsidP="006F6FE5">
            <w:pPr>
              <w:pStyle w:val="TableText0"/>
              <w:jc w:val="center"/>
            </w:pPr>
            <w:r w:rsidRPr="00804648">
              <w:t>49.4 (11.0)</w:t>
            </w:r>
          </w:p>
        </w:tc>
        <w:tc>
          <w:tcPr>
            <w:tcW w:w="931" w:type="pct"/>
          </w:tcPr>
          <w:p w14:paraId="31A9487C" w14:textId="77777777" w:rsidR="00A67CB6" w:rsidRPr="00804648" w:rsidRDefault="00A67CB6" w:rsidP="006F6FE5">
            <w:pPr>
              <w:pStyle w:val="TableText0"/>
              <w:jc w:val="center"/>
            </w:pPr>
            <w:r w:rsidRPr="00804648">
              <w:t>48.5 (10.8)</w:t>
            </w:r>
          </w:p>
        </w:tc>
        <w:tc>
          <w:tcPr>
            <w:tcW w:w="930" w:type="pct"/>
          </w:tcPr>
          <w:p w14:paraId="464E8042" w14:textId="77777777" w:rsidR="00A67CB6" w:rsidRPr="00804648" w:rsidRDefault="00A67CB6" w:rsidP="006F6FE5">
            <w:pPr>
              <w:pStyle w:val="TableText0"/>
              <w:jc w:val="center"/>
            </w:pPr>
            <w:r w:rsidRPr="00804648">
              <w:t xml:space="preserve">- </w:t>
            </w:r>
          </w:p>
        </w:tc>
      </w:tr>
      <w:tr w:rsidR="00A67CB6" w:rsidRPr="00804648" w14:paraId="5619598C" w14:textId="77777777" w:rsidTr="008C351B">
        <w:tc>
          <w:tcPr>
            <w:tcW w:w="2208" w:type="pct"/>
            <w:vAlign w:val="center"/>
          </w:tcPr>
          <w:p w14:paraId="7A3AB11F" w14:textId="77777777" w:rsidR="00A67CB6" w:rsidRPr="00804648" w:rsidRDefault="00A67CB6" w:rsidP="006F6FE5">
            <w:pPr>
              <w:pStyle w:val="TableText0"/>
            </w:pPr>
            <w:r w:rsidRPr="00804648">
              <w:t>% change from baseline to Week 26, LS mean (SE)</w:t>
            </w:r>
          </w:p>
        </w:tc>
        <w:tc>
          <w:tcPr>
            <w:tcW w:w="931" w:type="pct"/>
          </w:tcPr>
          <w:p w14:paraId="38A9E8CD" w14:textId="77777777" w:rsidR="00A67CB6" w:rsidRPr="00804648" w:rsidRDefault="00A67CB6" w:rsidP="006F6FE5">
            <w:pPr>
              <w:pStyle w:val="TableText0"/>
              <w:jc w:val="center"/>
            </w:pPr>
            <w:r w:rsidRPr="00804648">
              <w:t>15.5 (2.9)</w:t>
            </w:r>
          </w:p>
        </w:tc>
        <w:tc>
          <w:tcPr>
            <w:tcW w:w="931" w:type="pct"/>
          </w:tcPr>
          <w:p w14:paraId="6954C1BC" w14:textId="77777777" w:rsidR="00A67CB6" w:rsidRPr="00804648" w:rsidRDefault="00A67CB6" w:rsidP="006F6FE5">
            <w:pPr>
              <w:pStyle w:val="TableText0"/>
              <w:jc w:val="center"/>
            </w:pPr>
            <w:r w:rsidRPr="00804648">
              <w:t>1.4 (2.9)</w:t>
            </w:r>
          </w:p>
        </w:tc>
        <w:tc>
          <w:tcPr>
            <w:tcW w:w="930" w:type="pct"/>
          </w:tcPr>
          <w:p w14:paraId="73992B27" w14:textId="77777777" w:rsidR="00A67CB6" w:rsidRPr="00804648" w:rsidRDefault="00A67CB6" w:rsidP="006F6FE5">
            <w:pPr>
              <w:pStyle w:val="TableText0"/>
              <w:jc w:val="center"/>
              <w:rPr>
                <w:b/>
                <w:bCs w:val="0"/>
              </w:rPr>
            </w:pPr>
            <w:r w:rsidRPr="00804648">
              <w:rPr>
                <w:b/>
                <w:bCs w:val="0"/>
              </w:rPr>
              <w:t>14.1 (5.9, 22.4)</w:t>
            </w:r>
          </w:p>
        </w:tc>
      </w:tr>
      <w:tr w:rsidR="00A67CB6" w:rsidRPr="00804648" w14:paraId="7FD00E8E" w14:textId="77777777" w:rsidTr="008C351B">
        <w:tc>
          <w:tcPr>
            <w:tcW w:w="2208" w:type="pct"/>
            <w:vAlign w:val="center"/>
          </w:tcPr>
          <w:p w14:paraId="258D3CBB" w14:textId="77777777" w:rsidR="00A67CB6" w:rsidRPr="00804648" w:rsidRDefault="00A67CB6" w:rsidP="006F6FE5">
            <w:pPr>
              <w:pStyle w:val="TableText0"/>
            </w:pPr>
            <w:r w:rsidRPr="00804648">
              <w:t>% change from baseline to Week 52, LS mean (SE)</w:t>
            </w:r>
          </w:p>
        </w:tc>
        <w:tc>
          <w:tcPr>
            <w:tcW w:w="931" w:type="pct"/>
          </w:tcPr>
          <w:p w14:paraId="365FA8DA" w14:textId="77777777" w:rsidR="00A67CB6" w:rsidRPr="00804648" w:rsidRDefault="00A67CB6" w:rsidP="006F6FE5">
            <w:pPr>
              <w:pStyle w:val="TableText0"/>
              <w:jc w:val="center"/>
            </w:pPr>
            <w:r w:rsidRPr="00804648">
              <w:t>22.0 (3.3)</w:t>
            </w:r>
          </w:p>
        </w:tc>
        <w:tc>
          <w:tcPr>
            <w:tcW w:w="931" w:type="pct"/>
          </w:tcPr>
          <w:p w14:paraId="0EDD81A6" w14:textId="77777777" w:rsidR="00A67CB6" w:rsidRPr="00804648" w:rsidRDefault="00A67CB6" w:rsidP="006F6FE5">
            <w:pPr>
              <w:pStyle w:val="TableText0"/>
              <w:jc w:val="center"/>
            </w:pPr>
            <w:r w:rsidRPr="00804648">
              <w:t>3.0 (3.4)</w:t>
            </w:r>
          </w:p>
        </w:tc>
        <w:tc>
          <w:tcPr>
            <w:tcW w:w="930" w:type="pct"/>
          </w:tcPr>
          <w:p w14:paraId="62C37799" w14:textId="77777777" w:rsidR="00A67CB6" w:rsidRPr="00804648" w:rsidRDefault="00A67CB6" w:rsidP="006F6FE5">
            <w:pPr>
              <w:pStyle w:val="TableText0"/>
              <w:jc w:val="center"/>
              <w:rPr>
                <w:b/>
                <w:bCs w:val="0"/>
              </w:rPr>
            </w:pPr>
            <w:r w:rsidRPr="00804648">
              <w:rPr>
                <w:b/>
                <w:bCs w:val="0"/>
              </w:rPr>
              <w:t>19.0 (9.3, 28.7)</w:t>
            </w:r>
          </w:p>
        </w:tc>
      </w:tr>
      <w:tr w:rsidR="00E23208" w:rsidRPr="00804648" w14:paraId="01A5112C" w14:textId="77777777" w:rsidTr="00E23208">
        <w:tc>
          <w:tcPr>
            <w:tcW w:w="5000" w:type="pct"/>
            <w:gridSpan w:val="4"/>
            <w:vAlign w:val="center"/>
          </w:tcPr>
          <w:p w14:paraId="2B3A964F" w14:textId="7D0F3543" w:rsidR="00E23208" w:rsidRPr="00804648" w:rsidRDefault="00E23208" w:rsidP="009B4DA7">
            <w:pPr>
              <w:pStyle w:val="TableText0"/>
              <w:jc w:val="center"/>
              <w:rPr>
                <w:b/>
                <w:bCs w:val="0"/>
              </w:rPr>
            </w:pPr>
            <w:r w:rsidRPr="00804648">
              <w:rPr>
                <w:b/>
                <w:bCs w:val="0"/>
              </w:rPr>
              <w:t>Secondary efficacy outcomes</w:t>
            </w:r>
          </w:p>
        </w:tc>
      </w:tr>
      <w:tr w:rsidR="009B4DA7" w:rsidRPr="00804648" w14:paraId="1924A4F8" w14:textId="77777777" w:rsidTr="008C351B">
        <w:tc>
          <w:tcPr>
            <w:tcW w:w="2208" w:type="pct"/>
            <w:vAlign w:val="center"/>
          </w:tcPr>
          <w:p w14:paraId="18B062BD" w14:textId="72432B32" w:rsidR="009B4DA7" w:rsidRPr="00804648" w:rsidRDefault="009B4DA7" w:rsidP="009B4DA7">
            <w:pPr>
              <w:pStyle w:val="TableText0"/>
            </w:pPr>
            <w:r w:rsidRPr="00804648">
              <w:rPr>
                <w:b/>
                <w:bCs w:val="0"/>
              </w:rPr>
              <w:t>Mean liver volume, MN</w:t>
            </w:r>
          </w:p>
        </w:tc>
        <w:tc>
          <w:tcPr>
            <w:tcW w:w="931" w:type="pct"/>
          </w:tcPr>
          <w:p w14:paraId="41C8B80A" w14:textId="77777777" w:rsidR="009B4DA7" w:rsidRPr="00804648" w:rsidRDefault="009B4DA7" w:rsidP="009B4DA7">
            <w:pPr>
              <w:pStyle w:val="TableText0"/>
              <w:jc w:val="center"/>
            </w:pPr>
          </w:p>
        </w:tc>
        <w:tc>
          <w:tcPr>
            <w:tcW w:w="931" w:type="pct"/>
          </w:tcPr>
          <w:p w14:paraId="4C492722" w14:textId="77777777" w:rsidR="009B4DA7" w:rsidRPr="00804648" w:rsidRDefault="009B4DA7" w:rsidP="009B4DA7">
            <w:pPr>
              <w:pStyle w:val="TableText0"/>
              <w:jc w:val="center"/>
            </w:pPr>
          </w:p>
        </w:tc>
        <w:tc>
          <w:tcPr>
            <w:tcW w:w="930" w:type="pct"/>
          </w:tcPr>
          <w:p w14:paraId="2D6F127A" w14:textId="77777777" w:rsidR="009B4DA7" w:rsidRPr="00804648" w:rsidRDefault="009B4DA7" w:rsidP="009B4DA7">
            <w:pPr>
              <w:pStyle w:val="TableText0"/>
              <w:jc w:val="center"/>
              <w:rPr>
                <w:b/>
                <w:bCs w:val="0"/>
              </w:rPr>
            </w:pPr>
          </w:p>
        </w:tc>
      </w:tr>
      <w:tr w:rsidR="009B4DA7" w:rsidRPr="00804648" w14:paraId="6E550F0E" w14:textId="77777777" w:rsidTr="008C351B">
        <w:tc>
          <w:tcPr>
            <w:tcW w:w="2208" w:type="pct"/>
            <w:vAlign w:val="center"/>
          </w:tcPr>
          <w:p w14:paraId="59425BF1" w14:textId="1BFE0E4F" w:rsidR="009B4DA7" w:rsidRPr="00804648" w:rsidRDefault="009B4DA7" w:rsidP="009B4DA7">
            <w:pPr>
              <w:pStyle w:val="TableText0"/>
            </w:pPr>
            <w:r w:rsidRPr="00804648">
              <w:t>Baseline, mean (SD)</w:t>
            </w:r>
          </w:p>
        </w:tc>
        <w:tc>
          <w:tcPr>
            <w:tcW w:w="931" w:type="pct"/>
          </w:tcPr>
          <w:p w14:paraId="61CE196B" w14:textId="7F5D8591" w:rsidR="009B4DA7" w:rsidRPr="00804648" w:rsidRDefault="003A6BA9" w:rsidP="009B4DA7">
            <w:pPr>
              <w:pStyle w:val="TableText0"/>
              <w:jc w:val="center"/>
            </w:pPr>
            <w:r w:rsidRPr="00804648">
              <w:t>1.4 (0.6)</w:t>
            </w:r>
          </w:p>
        </w:tc>
        <w:tc>
          <w:tcPr>
            <w:tcW w:w="931" w:type="pct"/>
          </w:tcPr>
          <w:p w14:paraId="3AB21B27" w14:textId="10F5969B" w:rsidR="009B4DA7" w:rsidRPr="00804648" w:rsidRDefault="003A6BA9" w:rsidP="009B4DA7">
            <w:pPr>
              <w:pStyle w:val="TableText0"/>
              <w:jc w:val="center"/>
            </w:pPr>
            <w:r w:rsidRPr="00804648">
              <w:t>1.6 (0.5)</w:t>
            </w:r>
          </w:p>
        </w:tc>
        <w:tc>
          <w:tcPr>
            <w:tcW w:w="930" w:type="pct"/>
          </w:tcPr>
          <w:p w14:paraId="5DC8759E" w14:textId="0838B758" w:rsidR="009B4DA7" w:rsidRPr="00804648" w:rsidRDefault="00657C0E" w:rsidP="009B4DA7">
            <w:pPr>
              <w:pStyle w:val="TableText0"/>
              <w:jc w:val="center"/>
              <w:rPr>
                <w:b/>
                <w:bCs w:val="0"/>
              </w:rPr>
            </w:pPr>
            <w:r w:rsidRPr="00804648">
              <w:rPr>
                <w:b/>
                <w:bCs w:val="0"/>
              </w:rPr>
              <w:t>-</w:t>
            </w:r>
          </w:p>
        </w:tc>
      </w:tr>
      <w:tr w:rsidR="00657C0E" w:rsidRPr="00804648" w14:paraId="67DE2D09" w14:textId="77777777" w:rsidTr="008C351B">
        <w:tc>
          <w:tcPr>
            <w:tcW w:w="2208" w:type="pct"/>
            <w:vAlign w:val="center"/>
          </w:tcPr>
          <w:p w14:paraId="193C8369" w14:textId="7C779E26" w:rsidR="00657C0E" w:rsidRPr="00804648" w:rsidRDefault="00657C0E" w:rsidP="00657C0E">
            <w:pPr>
              <w:pStyle w:val="TableText0"/>
            </w:pPr>
            <w:r w:rsidRPr="00804648">
              <w:t>% change from baseline to Week 26, LS mean (SE)</w:t>
            </w:r>
          </w:p>
        </w:tc>
        <w:tc>
          <w:tcPr>
            <w:tcW w:w="931" w:type="pct"/>
          </w:tcPr>
          <w:p w14:paraId="418A0F9D" w14:textId="7414DFD0" w:rsidR="00657C0E" w:rsidRPr="00804648" w:rsidRDefault="00657C0E" w:rsidP="00657C0E">
            <w:pPr>
              <w:pStyle w:val="TableText0"/>
              <w:jc w:val="center"/>
            </w:pPr>
            <w:r w:rsidRPr="00804648">
              <w:t>-21.3 (2.0)</w:t>
            </w:r>
          </w:p>
        </w:tc>
        <w:tc>
          <w:tcPr>
            <w:tcW w:w="931" w:type="pct"/>
          </w:tcPr>
          <w:p w14:paraId="6885C3EA" w14:textId="4CDDFD18" w:rsidR="00657C0E" w:rsidRPr="00804648" w:rsidRDefault="00657C0E" w:rsidP="00657C0E">
            <w:pPr>
              <w:pStyle w:val="TableText0"/>
              <w:jc w:val="center"/>
            </w:pPr>
            <w:r w:rsidRPr="00804648">
              <w:t>-1.3 (2.1)</w:t>
            </w:r>
          </w:p>
        </w:tc>
        <w:tc>
          <w:tcPr>
            <w:tcW w:w="930" w:type="pct"/>
          </w:tcPr>
          <w:p w14:paraId="6EB9C597" w14:textId="4E5D9895" w:rsidR="00657C0E" w:rsidRPr="00804648" w:rsidRDefault="00657C0E" w:rsidP="00657C0E">
            <w:pPr>
              <w:pStyle w:val="TableText0"/>
              <w:jc w:val="center"/>
              <w:rPr>
                <w:b/>
                <w:bCs w:val="0"/>
              </w:rPr>
            </w:pPr>
            <w:r w:rsidRPr="00804648">
              <w:rPr>
                <w:b/>
                <w:bCs w:val="0"/>
              </w:rPr>
              <w:t>-20.0 (-26.0, -14.0)</w:t>
            </w:r>
          </w:p>
        </w:tc>
      </w:tr>
      <w:tr w:rsidR="00657C0E" w:rsidRPr="00804648" w14:paraId="79B42A25" w14:textId="77777777" w:rsidTr="008C351B">
        <w:tc>
          <w:tcPr>
            <w:tcW w:w="2208" w:type="pct"/>
            <w:vAlign w:val="center"/>
          </w:tcPr>
          <w:p w14:paraId="1541CE2A" w14:textId="13FB1384" w:rsidR="00657C0E" w:rsidRPr="00804648" w:rsidRDefault="00657C0E" w:rsidP="00657C0E">
            <w:pPr>
              <w:pStyle w:val="TableText0"/>
            </w:pPr>
            <w:r w:rsidRPr="00804648">
              <w:t>% change from baseline to Week 52, LS mean (SE)</w:t>
            </w:r>
          </w:p>
        </w:tc>
        <w:tc>
          <w:tcPr>
            <w:tcW w:w="931" w:type="pct"/>
          </w:tcPr>
          <w:p w14:paraId="188ED15D" w14:textId="4CCC68F1" w:rsidR="00657C0E" w:rsidRPr="00804648" w:rsidRDefault="00657C0E" w:rsidP="00657C0E">
            <w:pPr>
              <w:pStyle w:val="TableText0"/>
              <w:jc w:val="center"/>
            </w:pPr>
            <w:r w:rsidRPr="00804648">
              <w:t>-28.1 (2.5)</w:t>
            </w:r>
          </w:p>
        </w:tc>
        <w:tc>
          <w:tcPr>
            <w:tcW w:w="931" w:type="pct"/>
          </w:tcPr>
          <w:p w14:paraId="3A02A7CA" w14:textId="7B4371A9" w:rsidR="00657C0E" w:rsidRPr="00804648" w:rsidRDefault="00657C0E" w:rsidP="00657C0E">
            <w:pPr>
              <w:pStyle w:val="TableText0"/>
              <w:jc w:val="center"/>
            </w:pPr>
            <w:r w:rsidRPr="00804648">
              <w:t>-1.5 (2.5)</w:t>
            </w:r>
          </w:p>
        </w:tc>
        <w:tc>
          <w:tcPr>
            <w:tcW w:w="930" w:type="pct"/>
          </w:tcPr>
          <w:p w14:paraId="12EBC368" w14:textId="0DBF8AB3" w:rsidR="00657C0E" w:rsidRPr="00804648" w:rsidRDefault="00657C0E" w:rsidP="00657C0E">
            <w:pPr>
              <w:pStyle w:val="TableText0"/>
              <w:jc w:val="center"/>
              <w:rPr>
                <w:b/>
                <w:bCs w:val="0"/>
              </w:rPr>
            </w:pPr>
            <w:r w:rsidRPr="00804648">
              <w:rPr>
                <w:b/>
                <w:bCs w:val="0"/>
              </w:rPr>
              <w:t>-26.6 (-33.9, -19.3)</w:t>
            </w:r>
          </w:p>
        </w:tc>
      </w:tr>
      <w:tr w:rsidR="009B4DA7" w:rsidRPr="00804648" w14:paraId="28CFE56A" w14:textId="77777777" w:rsidTr="008C351B">
        <w:tc>
          <w:tcPr>
            <w:tcW w:w="2208" w:type="pct"/>
            <w:vAlign w:val="center"/>
          </w:tcPr>
          <w:p w14:paraId="58E26B6F" w14:textId="38791B4C" w:rsidR="009B4DA7" w:rsidRPr="00804648" w:rsidRDefault="003D0B92" w:rsidP="009B4DA7">
            <w:pPr>
              <w:pStyle w:val="TableText0"/>
            </w:pPr>
            <w:r w:rsidRPr="00804648">
              <w:rPr>
                <w:b/>
                <w:bCs w:val="0"/>
              </w:rPr>
              <w:t>Mean platelet counts, 10</w:t>
            </w:r>
            <w:r w:rsidRPr="00804648">
              <w:rPr>
                <w:b/>
                <w:bCs w:val="0"/>
                <w:vertAlign w:val="superscript"/>
              </w:rPr>
              <w:t>9</w:t>
            </w:r>
            <w:r w:rsidRPr="00804648">
              <w:rPr>
                <w:b/>
                <w:bCs w:val="0"/>
              </w:rPr>
              <w:t>/L</w:t>
            </w:r>
          </w:p>
        </w:tc>
        <w:tc>
          <w:tcPr>
            <w:tcW w:w="931" w:type="pct"/>
          </w:tcPr>
          <w:p w14:paraId="01405D91" w14:textId="77777777" w:rsidR="009B4DA7" w:rsidRPr="00804648" w:rsidRDefault="009B4DA7" w:rsidP="009B4DA7">
            <w:pPr>
              <w:pStyle w:val="TableText0"/>
              <w:jc w:val="center"/>
            </w:pPr>
          </w:p>
        </w:tc>
        <w:tc>
          <w:tcPr>
            <w:tcW w:w="931" w:type="pct"/>
          </w:tcPr>
          <w:p w14:paraId="1D5227CB" w14:textId="77777777" w:rsidR="009B4DA7" w:rsidRPr="00804648" w:rsidRDefault="009B4DA7" w:rsidP="009B4DA7">
            <w:pPr>
              <w:pStyle w:val="TableText0"/>
              <w:jc w:val="center"/>
            </w:pPr>
          </w:p>
        </w:tc>
        <w:tc>
          <w:tcPr>
            <w:tcW w:w="930" w:type="pct"/>
          </w:tcPr>
          <w:p w14:paraId="73CD5F5A" w14:textId="77777777" w:rsidR="009B4DA7" w:rsidRPr="00804648" w:rsidRDefault="009B4DA7" w:rsidP="009B4DA7">
            <w:pPr>
              <w:pStyle w:val="TableText0"/>
              <w:jc w:val="center"/>
              <w:rPr>
                <w:b/>
                <w:bCs w:val="0"/>
              </w:rPr>
            </w:pPr>
          </w:p>
        </w:tc>
      </w:tr>
      <w:tr w:rsidR="009B4DA7" w:rsidRPr="00804648" w14:paraId="4447CD31" w14:textId="77777777" w:rsidTr="008C351B">
        <w:tc>
          <w:tcPr>
            <w:tcW w:w="2208" w:type="pct"/>
            <w:vAlign w:val="center"/>
          </w:tcPr>
          <w:p w14:paraId="4AA0C9FB" w14:textId="70644CCC" w:rsidR="009B4DA7" w:rsidRPr="00804648" w:rsidRDefault="009B4DA7" w:rsidP="009B4DA7">
            <w:pPr>
              <w:pStyle w:val="TableText0"/>
            </w:pPr>
            <w:r w:rsidRPr="00804648">
              <w:t>Baseline, mean (SD)</w:t>
            </w:r>
          </w:p>
        </w:tc>
        <w:tc>
          <w:tcPr>
            <w:tcW w:w="931" w:type="pct"/>
          </w:tcPr>
          <w:p w14:paraId="15717E0C" w14:textId="25C5ECA1" w:rsidR="009B4DA7" w:rsidRPr="00804648" w:rsidRDefault="007B2973" w:rsidP="009B4DA7">
            <w:pPr>
              <w:pStyle w:val="TableText0"/>
              <w:jc w:val="center"/>
            </w:pPr>
            <w:r w:rsidRPr="00804648">
              <w:t>107.2 (26.9)</w:t>
            </w:r>
          </w:p>
        </w:tc>
        <w:tc>
          <w:tcPr>
            <w:tcW w:w="931" w:type="pct"/>
          </w:tcPr>
          <w:p w14:paraId="3DFD605C" w14:textId="2E2F03C7" w:rsidR="009B4DA7" w:rsidRPr="00804648" w:rsidRDefault="007B2973" w:rsidP="009B4DA7">
            <w:pPr>
              <w:pStyle w:val="TableText0"/>
              <w:jc w:val="center"/>
            </w:pPr>
            <w:r w:rsidRPr="00804648">
              <w:t>115.6 (36.3)</w:t>
            </w:r>
          </w:p>
        </w:tc>
        <w:tc>
          <w:tcPr>
            <w:tcW w:w="930" w:type="pct"/>
          </w:tcPr>
          <w:p w14:paraId="3C6686A2" w14:textId="5CB0BD96" w:rsidR="009B4DA7" w:rsidRPr="00804648" w:rsidRDefault="007B2973" w:rsidP="009B4DA7">
            <w:pPr>
              <w:pStyle w:val="TableText0"/>
              <w:jc w:val="center"/>
              <w:rPr>
                <w:b/>
                <w:bCs w:val="0"/>
              </w:rPr>
            </w:pPr>
            <w:r w:rsidRPr="00804648">
              <w:rPr>
                <w:b/>
                <w:bCs w:val="0"/>
              </w:rPr>
              <w:t>-</w:t>
            </w:r>
          </w:p>
        </w:tc>
      </w:tr>
      <w:tr w:rsidR="009B4DA7" w:rsidRPr="00804648" w14:paraId="14F110BE" w14:textId="77777777" w:rsidTr="008C351B">
        <w:tc>
          <w:tcPr>
            <w:tcW w:w="2208" w:type="pct"/>
            <w:vAlign w:val="center"/>
          </w:tcPr>
          <w:p w14:paraId="1197B090" w14:textId="52E3337B" w:rsidR="009B4DA7" w:rsidRPr="00804648" w:rsidRDefault="009B4DA7" w:rsidP="009B4DA7">
            <w:pPr>
              <w:pStyle w:val="TableText0"/>
            </w:pPr>
            <w:r w:rsidRPr="00804648">
              <w:t>% change from baseline to Week 26, LS mean (SE)</w:t>
            </w:r>
          </w:p>
        </w:tc>
        <w:tc>
          <w:tcPr>
            <w:tcW w:w="931" w:type="pct"/>
          </w:tcPr>
          <w:p w14:paraId="035D3D0A" w14:textId="1C02875A" w:rsidR="009B4DA7" w:rsidRPr="00804648" w:rsidRDefault="007B2973" w:rsidP="009B4DA7">
            <w:pPr>
              <w:pStyle w:val="TableText0"/>
              <w:jc w:val="center"/>
            </w:pPr>
            <w:r w:rsidRPr="00804648">
              <w:t>10.8 (3.2)</w:t>
            </w:r>
          </w:p>
        </w:tc>
        <w:tc>
          <w:tcPr>
            <w:tcW w:w="931" w:type="pct"/>
          </w:tcPr>
          <w:p w14:paraId="2AFB4901" w14:textId="1275A0B5" w:rsidR="009B4DA7" w:rsidRPr="00804648" w:rsidRDefault="007B2973" w:rsidP="009B4DA7">
            <w:pPr>
              <w:pStyle w:val="TableText0"/>
              <w:jc w:val="center"/>
            </w:pPr>
            <w:r w:rsidRPr="00804648">
              <w:t>-5.7 (3.4)</w:t>
            </w:r>
          </w:p>
        </w:tc>
        <w:tc>
          <w:tcPr>
            <w:tcW w:w="930" w:type="pct"/>
          </w:tcPr>
          <w:p w14:paraId="052C70D3" w14:textId="4E6D5EFA" w:rsidR="009B4DA7" w:rsidRPr="00804648" w:rsidRDefault="005B4077" w:rsidP="009B4DA7">
            <w:pPr>
              <w:pStyle w:val="TableText0"/>
              <w:jc w:val="center"/>
              <w:rPr>
                <w:b/>
                <w:bCs w:val="0"/>
              </w:rPr>
            </w:pPr>
            <w:r w:rsidRPr="00804648">
              <w:rPr>
                <w:b/>
                <w:bCs w:val="0"/>
              </w:rPr>
              <w:t>16.5 (7.0, 26.0)</w:t>
            </w:r>
          </w:p>
        </w:tc>
      </w:tr>
      <w:tr w:rsidR="009B4DA7" w:rsidRPr="00804648" w14:paraId="3761002F" w14:textId="77777777" w:rsidTr="008C351B">
        <w:tc>
          <w:tcPr>
            <w:tcW w:w="2208" w:type="pct"/>
            <w:vAlign w:val="center"/>
          </w:tcPr>
          <w:p w14:paraId="7F1C0470" w14:textId="713ADBCF" w:rsidR="009B4DA7" w:rsidRPr="00804648" w:rsidRDefault="009B4DA7" w:rsidP="009B4DA7">
            <w:pPr>
              <w:pStyle w:val="TableText0"/>
            </w:pPr>
            <w:r w:rsidRPr="00804648">
              <w:t>% change from baseline to Week 52, LS mean (SE)</w:t>
            </w:r>
          </w:p>
        </w:tc>
        <w:tc>
          <w:tcPr>
            <w:tcW w:w="931" w:type="pct"/>
          </w:tcPr>
          <w:p w14:paraId="70E33E76" w14:textId="65EEF7E8" w:rsidR="009B4DA7" w:rsidRPr="00804648" w:rsidRDefault="007B2973" w:rsidP="009B4DA7">
            <w:pPr>
              <w:pStyle w:val="TableText0"/>
              <w:jc w:val="center"/>
            </w:pPr>
            <w:r w:rsidRPr="00804648">
              <w:t>16.8 (4.0)</w:t>
            </w:r>
          </w:p>
        </w:tc>
        <w:tc>
          <w:tcPr>
            <w:tcW w:w="931" w:type="pct"/>
          </w:tcPr>
          <w:p w14:paraId="58E025C8" w14:textId="445F6B78" w:rsidR="009B4DA7" w:rsidRPr="00804648" w:rsidRDefault="007B2973" w:rsidP="009B4DA7">
            <w:pPr>
              <w:pStyle w:val="TableText0"/>
              <w:jc w:val="center"/>
            </w:pPr>
            <w:r w:rsidRPr="00804648">
              <w:t>2.5 (4.2)</w:t>
            </w:r>
          </w:p>
        </w:tc>
        <w:tc>
          <w:tcPr>
            <w:tcW w:w="930" w:type="pct"/>
          </w:tcPr>
          <w:p w14:paraId="2A165FAC" w14:textId="54667389" w:rsidR="009B4DA7" w:rsidRPr="00804648" w:rsidRDefault="00773EB0" w:rsidP="009B4DA7">
            <w:pPr>
              <w:pStyle w:val="TableText0"/>
              <w:jc w:val="center"/>
              <w:rPr>
                <w:b/>
                <w:bCs w:val="0"/>
              </w:rPr>
            </w:pPr>
            <w:r w:rsidRPr="00804648">
              <w:rPr>
                <w:b/>
                <w:bCs w:val="0"/>
              </w:rPr>
              <w:t>14.3 (2.6, 26.1)</w:t>
            </w:r>
          </w:p>
        </w:tc>
      </w:tr>
    </w:tbl>
    <w:p w14:paraId="6BCB65F4" w14:textId="1993AB85" w:rsidR="00A67CB6" w:rsidRPr="00804648" w:rsidRDefault="00A67CB6" w:rsidP="00A67CB6">
      <w:pPr>
        <w:pStyle w:val="FooterTableFigure"/>
      </w:pPr>
      <w:r w:rsidRPr="00804648">
        <w:t>Source: Table 2.2.15, p49</w:t>
      </w:r>
      <w:r w:rsidR="00657C0E" w:rsidRPr="00804648">
        <w:t>,</w:t>
      </w:r>
      <w:r w:rsidRPr="00804648">
        <w:t xml:space="preserve"> Table 2.2.17, p51</w:t>
      </w:r>
      <w:r w:rsidR="00657C0E" w:rsidRPr="00804648">
        <w:t>, Table 2.2.19, p53</w:t>
      </w:r>
      <w:r w:rsidR="00D8709A" w:rsidRPr="00804648">
        <w:t xml:space="preserve">, </w:t>
      </w:r>
      <w:r w:rsidR="00B943A0" w:rsidRPr="00804648">
        <w:t>and T</w:t>
      </w:r>
      <w:r w:rsidR="00D8709A" w:rsidRPr="00804648">
        <w:t xml:space="preserve">able 2.2.20, p54 </w:t>
      </w:r>
      <w:r w:rsidRPr="00804648">
        <w:t>of the submission.</w:t>
      </w:r>
    </w:p>
    <w:p w14:paraId="751331F5" w14:textId="69C46978" w:rsidR="00A67CB6" w:rsidRPr="00804648" w:rsidRDefault="00A67CB6" w:rsidP="00A67CB6">
      <w:pPr>
        <w:pStyle w:val="FooterTableFigure"/>
      </w:pPr>
      <w:r w:rsidRPr="00804648">
        <w:t xml:space="preserve">BSC = best supportive care, CI = confidence interval, </w:t>
      </w:r>
      <w:r w:rsidR="00BD6F49" w:rsidRPr="00804648">
        <w:t>DLco</w:t>
      </w:r>
      <w:r w:rsidRPr="00804648">
        <w:t xml:space="preserve"> = diffusing capacity of the lung for carbon monoxide, LS = least squares, MN = multiples of normal, </w:t>
      </w:r>
      <w:r w:rsidRPr="00804648">
        <w:rPr>
          <w:rFonts w:eastAsia="Calibri"/>
        </w:rPr>
        <w:t>N = total participants in group,</w:t>
      </w:r>
      <w:r w:rsidRPr="00804648">
        <w:t xml:space="preserve"> SD = standard deviation, SE = standard error</w:t>
      </w:r>
    </w:p>
    <w:p w14:paraId="31DD8814" w14:textId="09E035AF" w:rsidR="001C1444" w:rsidRPr="00804648" w:rsidRDefault="00A67CB6" w:rsidP="00484FBE">
      <w:pPr>
        <w:pStyle w:val="FooterTableFigure"/>
      </w:pPr>
      <w:r w:rsidRPr="00804648">
        <w:rPr>
          <w:b/>
          <w:bCs/>
        </w:rPr>
        <w:t xml:space="preserve">Bold </w:t>
      </w:r>
      <w:r w:rsidRPr="00804648">
        <w:t>indicates statistical significance.</w:t>
      </w:r>
    </w:p>
    <w:p w14:paraId="5F837A83" w14:textId="468FC52A" w:rsidR="003A7AA6" w:rsidRPr="00804648" w:rsidRDefault="00B943A0" w:rsidP="004302C8">
      <w:pPr>
        <w:pStyle w:val="3-BodyText"/>
        <w:spacing w:after="0"/>
        <w:rPr>
          <w:snapToGrid/>
        </w:rPr>
      </w:pPr>
      <w:r w:rsidRPr="00804648">
        <w:rPr>
          <w:snapToGrid/>
        </w:rPr>
        <w:t xml:space="preserve">Patients treated with olipudase demonstrated </w:t>
      </w:r>
      <w:r w:rsidR="00E13830" w:rsidRPr="00804648">
        <w:rPr>
          <w:snapToGrid/>
        </w:rPr>
        <w:t>clinical improvement</w:t>
      </w:r>
      <w:r w:rsidR="00043342" w:rsidRPr="00804648">
        <w:rPr>
          <w:snapToGrid/>
        </w:rPr>
        <w:t>s</w:t>
      </w:r>
      <w:r w:rsidR="003A7AA6" w:rsidRPr="00804648">
        <w:rPr>
          <w:snapToGrid/>
        </w:rPr>
        <w:t xml:space="preserve"> from baseline to Week 52</w:t>
      </w:r>
      <w:r w:rsidR="004302C8" w:rsidRPr="00804648">
        <w:rPr>
          <w:snapToGrid/>
        </w:rPr>
        <w:t>, showing</w:t>
      </w:r>
      <w:r w:rsidR="003A7AA6" w:rsidRPr="00804648">
        <w:rPr>
          <w:snapToGrid/>
        </w:rPr>
        <w:t>:</w:t>
      </w:r>
      <w:r w:rsidR="00043342" w:rsidRPr="00804648">
        <w:rPr>
          <w:snapToGrid/>
        </w:rPr>
        <w:t xml:space="preserve"> </w:t>
      </w:r>
    </w:p>
    <w:p w14:paraId="01F4E960" w14:textId="4D1822CD" w:rsidR="003A7AA6" w:rsidRPr="00804648" w:rsidRDefault="00043342" w:rsidP="00C1697C">
      <w:pPr>
        <w:pStyle w:val="3-BodyText"/>
        <w:numPr>
          <w:ilvl w:val="0"/>
          <w:numId w:val="10"/>
        </w:numPr>
        <w:ind w:left="1434" w:hanging="357"/>
        <w:rPr>
          <w:snapToGrid/>
        </w:rPr>
      </w:pPr>
      <w:r w:rsidRPr="00804648">
        <w:rPr>
          <w:snapToGrid/>
        </w:rPr>
        <w:lastRenderedPageBreak/>
        <w:t>a</w:t>
      </w:r>
      <w:r w:rsidR="00B943A0" w:rsidRPr="00804648">
        <w:rPr>
          <w:snapToGrid/>
        </w:rPr>
        <w:t xml:space="preserve"> decrease in spleen and liver volume </w:t>
      </w:r>
      <w:r w:rsidRPr="00804648">
        <w:rPr>
          <w:snapToGrid/>
        </w:rPr>
        <w:t>(multiples of normal; MN)</w:t>
      </w:r>
      <w:r w:rsidR="004302C8" w:rsidRPr="00804648">
        <w:rPr>
          <w:snapToGrid/>
        </w:rPr>
        <w:t>;</w:t>
      </w:r>
      <w:r w:rsidR="00B943A0" w:rsidRPr="00804648">
        <w:rPr>
          <w:snapToGrid/>
        </w:rPr>
        <w:t xml:space="preserve"> </w:t>
      </w:r>
    </w:p>
    <w:p w14:paraId="13CF4EB6" w14:textId="31FBDE73" w:rsidR="00B71B9F" w:rsidRPr="00804648" w:rsidRDefault="00B943A0" w:rsidP="00973855">
      <w:pPr>
        <w:pStyle w:val="3-BodyText"/>
        <w:numPr>
          <w:ilvl w:val="0"/>
          <w:numId w:val="10"/>
        </w:numPr>
        <w:rPr>
          <w:snapToGrid/>
        </w:rPr>
      </w:pPr>
      <w:r w:rsidRPr="00804648">
        <w:rPr>
          <w:snapToGrid/>
        </w:rPr>
        <w:t>an increase in the percent predicted D</w:t>
      </w:r>
      <w:r w:rsidR="00BD6F49" w:rsidRPr="00804648">
        <w:rPr>
          <w:snapToGrid/>
        </w:rPr>
        <w:t>L</w:t>
      </w:r>
      <w:r w:rsidRPr="00804648">
        <w:rPr>
          <w:snapToGrid/>
        </w:rPr>
        <w:t xml:space="preserve">co and platelet count. </w:t>
      </w:r>
    </w:p>
    <w:p w14:paraId="4561E1BF" w14:textId="22F05716" w:rsidR="00B943A0" w:rsidRPr="00804648" w:rsidRDefault="00B71B9F" w:rsidP="003C6D3A">
      <w:pPr>
        <w:pStyle w:val="3-BodyText"/>
        <w:rPr>
          <w:snapToGrid/>
        </w:rPr>
      </w:pPr>
      <w:r w:rsidRPr="00804648">
        <w:rPr>
          <w:snapToGrid/>
        </w:rPr>
        <w:fldChar w:fldCharType="begin" w:fldLock="1"/>
      </w:r>
      <w:r w:rsidRPr="00804648">
        <w:rPr>
          <w:snapToGrid/>
        </w:rPr>
        <w:instrText xml:space="preserve"> REF _Ref134977107 \h </w:instrText>
      </w:r>
      <w:r w:rsidRPr="00804648">
        <w:rPr>
          <w:snapToGrid/>
        </w:rPr>
      </w:r>
      <w:r w:rsidRPr="00804648">
        <w:rPr>
          <w:snapToGrid/>
        </w:rPr>
        <w:fldChar w:fldCharType="separate"/>
      </w:r>
      <w:r w:rsidR="005D02DA" w:rsidRPr="00804648">
        <w:t>Table 6</w:t>
      </w:r>
      <w:r w:rsidRPr="00804648">
        <w:rPr>
          <w:snapToGrid/>
        </w:rPr>
        <w:fldChar w:fldCharType="end"/>
      </w:r>
      <w:r w:rsidRPr="00804648">
        <w:rPr>
          <w:snapToGrid/>
        </w:rPr>
        <w:t xml:space="preserve"> p</w:t>
      </w:r>
      <w:r w:rsidR="00B943A0" w:rsidRPr="00804648">
        <w:rPr>
          <w:snapToGrid/>
        </w:rPr>
        <w:t>resents a summary of responder analysis for change in spleen volume and percent predicted D</w:t>
      </w:r>
      <w:r w:rsidR="00BD6F49" w:rsidRPr="00804648">
        <w:rPr>
          <w:snapToGrid/>
        </w:rPr>
        <w:t>L</w:t>
      </w:r>
      <w:r w:rsidR="00B943A0" w:rsidRPr="00804648">
        <w:rPr>
          <w:snapToGrid/>
        </w:rPr>
        <w:t>co at Week 52.</w:t>
      </w:r>
    </w:p>
    <w:p w14:paraId="615FA4D7" w14:textId="7428DBC6" w:rsidR="00B943A0" w:rsidRPr="00804648" w:rsidRDefault="00B943A0" w:rsidP="00B943A0">
      <w:pPr>
        <w:pStyle w:val="TableFigureHeading"/>
        <w:rPr>
          <w:rStyle w:val="CommentReference"/>
          <w:b/>
          <w:szCs w:val="24"/>
        </w:rPr>
      </w:pPr>
      <w:bookmarkStart w:id="31" w:name="_Ref134977107"/>
      <w:r w:rsidRPr="00804648">
        <w:t xml:space="preserve">Table </w:t>
      </w:r>
      <w:fldSimple w:instr=" SEQ Table \* ARABIC " w:fldLock="1">
        <w:r w:rsidR="005D02DA" w:rsidRPr="00804648">
          <w:t>6</w:t>
        </w:r>
      </w:fldSimple>
      <w:bookmarkEnd w:id="31"/>
      <w:r w:rsidRPr="00804648">
        <w:t xml:space="preserve">: </w:t>
      </w:r>
      <w:r w:rsidR="00B71B9F" w:rsidRPr="00804648">
        <w:rPr>
          <w:rStyle w:val="CommentReference"/>
          <w:b/>
          <w:szCs w:val="24"/>
        </w:rPr>
        <w:t xml:space="preserve">Responder analysis for change in spleen volume and percent predicted </w:t>
      </w:r>
      <w:r w:rsidR="00BD6F49" w:rsidRPr="00804648">
        <w:rPr>
          <w:rStyle w:val="CommentReference"/>
          <w:b/>
          <w:szCs w:val="24"/>
        </w:rPr>
        <w:t>DLco</w:t>
      </w:r>
      <w:r w:rsidR="00B71B9F" w:rsidRPr="00804648">
        <w:rPr>
          <w:rStyle w:val="CommentReference"/>
          <w:b/>
          <w:szCs w:val="24"/>
        </w:rPr>
        <w:t xml:space="preserve"> at Week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82"/>
        <w:gridCol w:w="1542"/>
        <w:gridCol w:w="1417"/>
        <w:gridCol w:w="2076"/>
      </w:tblGrid>
      <w:tr w:rsidR="00B943A0" w:rsidRPr="00804648" w14:paraId="3AF47AC6" w14:textId="77777777" w:rsidTr="001679B0">
        <w:trPr>
          <w:tblHeader/>
        </w:trPr>
        <w:tc>
          <w:tcPr>
            <w:tcW w:w="2208" w:type="pct"/>
          </w:tcPr>
          <w:p w14:paraId="2D43C484" w14:textId="2691C2A9" w:rsidR="00B943A0" w:rsidRPr="00804648" w:rsidRDefault="00032762" w:rsidP="00B943A0">
            <w:pPr>
              <w:pStyle w:val="In-tableHeading"/>
              <w:rPr>
                <w:lang w:val="en-AU"/>
              </w:rPr>
            </w:pPr>
            <w:r w:rsidRPr="00804648">
              <w:rPr>
                <w:lang w:val="en-AU"/>
              </w:rPr>
              <w:t>Outcomes</w:t>
            </w:r>
          </w:p>
        </w:tc>
        <w:tc>
          <w:tcPr>
            <w:tcW w:w="855" w:type="pct"/>
          </w:tcPr>
          <w:p w14:paraId="50537E8E" w14:textId="2942AB15" w:rsidR="00B943A0" w:rsidRPr="00804648" w:rsidRDefault="00B943A0" w:rsidP="00B943A0">
            <w:pPr>
              <w:pStyle w:val="In-tableHeading"/>
              <w:jc w:val="center"/>
              <w:rPr>
                <w:lang w:val="en-AU"/>
              </w:rPr>
            </w:pPr>
            <w:r w:rsidRPr="00804648">
              <w:rPr>
                <w:lang w:val="en-AU"/>
              </w:rPr>
              <w:t>Olipudase alfa</w:t>
            </w:r>
          </w:p>
          <w:p w14:paraId="7DA9FCBF" w14:textId="2CE957C1" w:rsidR="007353C4" w:rsidRPr="00804648" w:rsidRDefault="007353C4" w:rsidP="00B943A0">
            <w:pPr>
              <w:pStyle w:val="In-tableHeading"/>
              <w:jc w:val="center"/>
              <w:rPr>
                <w:lang w:val="en-AU"/>
              </w:rPr>
            </w:pPr>
            <w:r w:rsidRPr="00804648">
              <w:rPr>
                <w:lang w:val="en-AU"/>
              </w:rPr>
              <w:t>n (%)</w:t>
            </w:r>
          </w:p>
          <w:p w14:paraId="1B3C4546" w14:textId="43C3DDF5" w:rsidR="00B943A0" w:rsidRPr="00804648" w:rsidRDefault="00B943A0" w:rsidP="00B943A0">
            <w:pPr>
              <w:pStyle w:val="In-tableHeading"/>
              <w:jc w:val="center"/>
              <w:rPr>
                <w:lang w:val="en-AU"/>
              </w:rPr>
            </w:pPr>
            <w:r w:rsidRPr="00804648">
              <w:rPr>
                <w:lang w:val="en-AU"/>
              </w:rPr>
              <w:t>(N=18)</w:t>
            </w:r>
          </w:p>
        </w:tc>
        <w:tc>
          <w:tcPr>
            <w:tcW w:w="786" w:type="pct"/>
          </w:tcPr>
          <w:p w14:paraId="709A527D" w14:textId="0ED855F1" w:rsidR="00B943A0" w:rsidRPr="00804648" w:rsidRDefault="00B943A0" w:rsidP="00B943A0">
            <w:pPr>
              <w:pStyle w:val="In-tableHeading"/>
              <w:jc w:val="center"/>
              <w:rPr>
                <w:lang w:val="en-AU"/>
              </w:rPr>
            </w:pPr>
            <w:r w:rsidRPr="00804648">
              <w:rPr>
                <w:lang w:val="en-AU"/>
              </w:rPr>
              <w:t>BSC</w:t>
            </w:r>
          </w:p>
          <w:p w14:paraId="1C65B553" w14:textId="7821F6A8" w:rsidR="007353C4" w:rsidRPr="00804648" w:rsidRDefault="007353C4" w:rsidP="00B943A0">
            <w:pPr>
              <w:pStyle w:val="In-tableHeading"/>
              <w:jc w:val="center"/>
              <w:rPr>
                <w:lang w:val="en-AU"/>
              </w:rPr>
            </w:pPr>
            <w:r w:rsidRPr="00804648">
              <w:rPr>
                <w:lang w:val="en-AU"/>
              </w:rPr>
              <w:t>n (%)</w:t>
            </w:r>
          </w:p>
          <w:p w14:paraId="43EA65D2" w14:textId="6B5B8875" w:rsidR="00B943A0" w:rsidRPr="00804648" w:rsidRDefault="00B943A0" w:rsidP="00B943A0">
            <w:pPr>
              <w:pStyle w:val="In-tableHeading"/>
              <w:jc w:val="center"/>
              <w:rPr>
                <w:lang w:val="en-AU"/>
              </w:rPr>
            </w:pPr>
            <w:r w:rsidRPr="00804648">
              <w:rPr>
                <w:lang w:val="en-AU"/>
              </w:rPr>
              <w:t>(N =18)</w:t>
            </w:r>
          </w:p>
        </w:tc>
        <w:tc>
          <w:tcPr>
            <w:tcW w:w="1151" w:type="pct"/>
          </w:tcPr>
          <w:p w14:paraId="0F946972" w14:textId="77777777" w:rsidR="00B943A0" w:rsidRPr="00804648" w:rsidRDefault="00B943A0" w:rsidP="00B943A0">
            <w:pPr>
              <w:pStyle w:val="In-tableHeading"/>
              <w:jc w:val="center"/>
              <w:rPr>
                <w:lang w:val="en-AU"/>
              </w:rPr>
            </w:pPr>
            <w:r w:rsidRPr="00804648">
              <w:rPr>
                <w:lang w:val="en-AU"/>
              </w:rPr>
              <w:t>Comparison</w:t>
            </w:r>
          </w:p>
          <w:p w14:paraId="4611FBC4" w14:textId="4A59B9F8" w:rsidR="007353C4" w:rsidRPr="00804648" w:rsidRDefault="007353C4" w:rsidP="00B943A0">
            <w:pPr>
              <w:pStyle w:val="In-tableHeading"/>
              <w:jc w:val="center"/>
              <w:rPr>
                <w:iCs/>
                <w:lang w:val="en-AU"/>
              </w:rPr>
            </w:pPr>
            <w:r w:rsidRPr="00804648">
              <w:rPr>
                <w:iCs/>
                <w:lang w:val="en-AU"/>
              </w:rPr>
              <w:t>OR (95% CI)</w:t>
            </w:r>
          </w:p>
        </w:tc>
      </w:tr>
      <w:tr w:rsidR="00B943A0" w:rsidRPr="00804648" w14:paraId="202D63FA" w14:textId="77777777" w:rsidTr="001679B0">
        <w:trPr>
          <w:trHeight w:val="121"/>
        </w:trPr>
        <w:tc>
          <w:tcPr>
            <w:tcW w:w="2208" w:type="pct"/>
          </w:tcPr>
          <w:p w14:paraId="6BD32E81" w14:textId="419A2160" w:rsidR="00B943A0" w:rsidRPr="00804648" w:rsidRDefault="00032762" w:rsidP="00B943A0">
            <w:pPr>
              <w:pStyle w:val="TableText0"/>
            </w:pPr>
            <w:r w:rsidRPr="00804648">
              <w:rPr>
                <w:b/>
                <w:bCs w:val="0"/>
              </w:rPr>
              <w:t>Spleen volume</w:t>
            </w:r>
            <w:r w:rsidR="007C49F6" w:rsidRPr="00804648">
              <w:rPr>
                <w:b/>
                <w:bCs w:val="0"/>
                <w:vertAlign w:val="superscript"/>
              </w:rPr>
              <w:t>a</w:t>
            </w:r>
          </w:p>
        </w:tc>
        <w:tc>
          <w:tcPr>
            <w:tcW w:w="855" w:type="pct"/>
          </w:tcPr>
          <w:p w14:paraId="1FABFEEE" w14:textId="6120EE1C" w:rsidR="00B943A0" w:rsidRPr="00804648" w:rsidRDefault="00B943A0" w:rsidP="00B943A0">
            <w:pPr>
              <w:pStyle w:val="TableText0"/>
              <w:jc w:val="center"/>
            </w:pPr>
            <w:r w:rsidRPr="00804648">
              <w:t>17 (94.4)</w:t>
            </w:r>
          </w:p>
        </w:tc>
        <w:tc>
          <w:tcPr>
            <w:tcW w:w="786" w:type="pct"/>
          </w:tcPr>
          <w:p w14:paraId="245FB1E0" w14:textId="4F7BF5AB" w:rsidR="00B943A0" w:rsidRPr="00804648" w:rsidRDefault="00B943A0" w:rsidP="00B943A0">
            <w:pPr>
              <w:pStyle w:val="TableText0"/>
              <w:jc w:val="center"/>
            </w:pPr>
            <w:r w:rsidRPr="00804648">
              <w:t>0 (0)</w:t>
            </w:r>
          </w:p>
        </w:tc>
        <w:tc>
          <w:tcPr>
            <w:tcW w:w="1151" w:type="pct"/>
          </w:tcPr>
          <w:p w14:paraId="0637A7CF" w14:textId="36EB79AE" w:rsidR="00B943A0" w:rsidRPr="00804648" w:rsidRDefault="00B943A0" w:rsidP="001679B0">
            <w:pPr>
              <w:pStyle w:val="TableText0"/>
              <w:jc w:val="center"/>
            </w:pPr>
            <w:r w:rsidRPr="00804648">
              <w:t>1,232.8 (13.3, 114,771.6)</w:t>
            </w:r>
          </w:p>
        </w:tc>
      </w:tr>
      <w:tr w:rsidR="00B943A0" w:rsidRPr="00804648" w14:paraId="1B63C7F8" w14:textId="77777777" w:rsidTr="001679B0">
        <w:tc>
          <w:tcPr>
            <w:tcW w:w="2208" w:type="pct"/>
            <w:vAlign w:val="center"/>
          </w:tcPr>
          <w:p w14:paraId="427254C2" w14:textId="740973EF" w:rsidR="00B943A0" w:rsidRPr="00804648" w:rsidRDefault="00032762" w:rsidP="00B943A0">
            <w:pPr>
              <w:pStyle w:val="TableText0"/>
            </w:pPr>
            <w:r w:rsidRPr="00804648">
              <w:rPr>
                <w:b/>
                <w:bCs w:val="0"/>
              </w:rPr>
              <w:t>Percent predicted DLco</w:t>
            </w:r>
            <w:r w:rsidR="007C49F6" w:rsidRPr="00804648">
              <w:rPr>
                <w:b/>
                <w:bCs w:val="0"/>
                <w:vertAlign w:val="superscript"/>
              </w:rPr>
              <w:t>b</w:t>
            </w:r>
          </w:p>
        </w:tc>
        <w:tc>
          <w:tcPr>
            <w:tcW w:w="855" w:type="pct"/>
          </w:tcPr>
          <w:p w14:paraId="372A714A" w14:textId="38E9DEB0" w:rsidR="00B943A0" w:rsidRPr="00804648" w:rsidRDefault="00B71B9F" w:rsidP="006F6FE5">
            <w:pPr>
              <w:pStyle w:val="TableText0"/>
              <w:jc w:val="center"/>
            </w:pPr>
            <w:r w:rsidRPr="00804648">
              <w:t>5 (27.8)</w:t>
            </w:r>
          </w:p>
        </w:tc>
        <w:tc>
          <w:tcPr>
            <w:tcW w:w="786" w:type="pct"/>
          </w:tcPr>
          <w:p w14:paraId="7249036A" w14:textId="624CB924" w:rsidR="00B943A0" w:rsidRPr="00804648" w:rsidRDefault="00B71B9F" w:rsidP="006F6FE5">
            <w:pPr>
              <w:pStyle w:val="TableText0"/>
              <w:jc w:val="center"/>
            </w:pPr>
            <w:r w:rsidRPr="00804648">
              <w:t>0 (0)</w:t>
            </w:r>
          </w:p>
        </w:tc>
        <w:tc>
          <w:tcPr>
            <w:tcW w:w="1151" w:type="pct"/>
          </w:tcPr>
          <w:p w14:paraId="7614EA0C" w14:textId="119BFC90" w:rsidR="00B943A0" w:rsidRPr="00804648" w:rsidRDefault="00B71B9F" w:rsidP="001679B0">
            <w:pPr>
              <w:pStyle w:val="TableText0"/>
              <w:jc w:val="center"/>
              <w:rPr>
                <w:b/>
                <w:bCs w:val="0"/>
              </w:rPr>
            </w:pPr>
            <w:r w:rsidRPr="00804648">
              <w:t>14.4</w:t>
            </w:r>
            <w:r w:rsidR="001679B0" w:rsidRPr="00804648">
              <w:t xml:space="preserve"> </w:t>
            </w:r>
            <w:r w:rsidRPr="00804648">
              <w:t>(0.8, 271.1)</w:t>
            </w:r>
          </w:p>
        </w:tc>
      </w:tr>
    </w:tbl>
    <w:p w14:paraId="7414C53A" w14:textId="73FFB6F4" w:rsidR="00B943A0" w:rsidRPr="00804648" w:rsidRDefault="00B943A0" w:rsidP="00B943A0">
      <w:pPr>
        <w:pStyle w:val="FooterTableFigure"/>
      </w:pPr>
      <w:r w:rsidRPr="00804648">
        <w:t>Source: Table 2.2.1</w:t>
      </w:r>
      <w:r w:rsidR="00B71B9F" w:rsidRPr="00804648">
        <w:t>6</w:t>
      </w:r>
      <w:r w:rsidRPr="00804648">
        <w:t>, p</w:t>
      </w:r>
      <w:r w:rsidR="00B71B9F" w:rsidRPr="00804648">
        <w:t>50</w:t>
      </w:r>
      <w:r w:rsidRPr="00804648">
        <w:t>, Table 2.2.17, p51, Table 2.2.1</w:t>
      </w:r>
      <w:r w:rsidR="00B71B9F" w:rsidRPr="00804648">
        <w:t>8</w:t>
      </w:r>
      <w:r w:rsidRPr="00804648">
        <w:t>, p5</w:t>
      </w:r>
      <w:r w:rsidR="00B71B9F" w:rsidRPr="00804648">
        <w:t>2</w:t>
      </w:r>
      <w:r w:rsidRPr="00804648">
        <w:t xml:space="preserve"> of the submission.</w:t>
      </w:r>
    </w:p>
    <w:p w14:paraId="71B3974F" w14:textId="31BE9E9B" w:rsidR="00B943A0" w:rsidRPr="00804648" w:rsidRDefault="00B943A0" w:rsidP="00B943A0">
      <w:pPr>
        <w:pStyle w:val="FooterTableFigure"/>
      </w:pPr>
      <w:r w:rsidRPr="00804648">
        <w:t xml:space="preserve">BSC = best supportive care, CI = confidence interval, </w:t>
      </w:r>
      <w:r w:rsidR="00BD6F49" w:rsidRPr="00804648">
        <w:t>DLco</w:t>
      </w:r>
      <w:r w:rsidRPr="00804648">
        <w:t xml:space="preserve"> = diffusing capacity of the lung for carbon monoxide, MN = multiples of normal, </w:t>
      </w:r>
      <w:r w:rsidR="00B71B9F" w:rsidRPr="00804648">
        <w:t xml:space="preserve">n = participants in a group, </w:t>
      </w:r>
      <w:r w:rsidRPr="00804648">
        <w:rPr>
          <w:rFonts w:eastAsia="Calibri"/>
        </w:rPr>
        <w:t>N = total participants in group,</w:t>
      </w:r>
      <w:r w:rsidRPr="00804648">
        <w:t xml:space="preserve"> </w:t>
      </w:r>
      <w:r w:rsidR="00B71B9F" w:rsidRPr="00804648">
        <w:t>OR</w:t>
      </w:r>
      <w:r w:rsidRPr="00804648">
        <w:t xml:space="preserve"> = </w:t>
      </w:r>
      <w:r w:rsidR="00B71B9F" w:rsidRPr="00804648">
        <w:t>odds ratio.</w:t>
      </w:r>
    </w:p>
    <w:p w14:paraId="08B50FA9" w14:textId="69C505FF" w:rsidR="007C49F6" w:rsidRPr="00804648" w:rsidRDefault="007C49F6" w:rsidP="007C49F6">
      <w:pPr>
        <w:pStyle w:val="FooterTableFigure"/>
      </w:pPr>
      <w:r w:rsidRPr="00804648">
        <w:rPr>
          <w:vertAlign w:val="superscript"/>
        </w:rPr>
        <w:t>a</w:t>
      </w:r>
      <w:r w:rsidR="003B645C" w:rsidRPr="00804648">
        <w:t xml:space="preserve"> </w:t>
      </w:r>
      <w:r w:rsidRPr="00804648">
        <w:t xml:space="preserve">responder was </w:t>
      </w:r>
      <w:r w:rsidR="004D6B81" w:rsidRPr="00804648">
        <w:t>defined</w:t>
      </w:r>
      <w:r w:rsidRPr="00804648">
        <w:t xml:space="preserve"> as having a </w:t>
      </w:r>
      <w:r w:rsidRPr="00804648">
        <w:rPr>
          <w:snapToGrid/>
        </w:rPr>
        <w:t>reduction ≥30% in spleen volume.</w:t>
      </w:r>
    </w:p>
    <w:p w14:paraId="78D763E4" w14:textId="35C791B1" w:rsidR="007C49F6" w:rsidRPr="00804648" w:rsidRDefault="007C49F6" w:rsidP="00B943A0">
      <w:pPr>
        <w:pStyle w:val="FooterTableFigure"/>
      </w:pPr>
      <w:r w:rsidRPr="00804648">
        <w:rPr>
          <w:vertAlign w:val="superscript"/>
        </w:rPr>
        <w:t>b</w:t>
      </w:r>
      <w:r w:rsidRPr="00804648">
        <w:t xml:space="preserve"> A responder was </w:t>
      </w:r>
      <w:r w:rsidR="004D6B81" w:rsidRPr="00804648">
        <w:t>defined</w:t>
      </w:r>
      <w:r w:rsidRPr="00804648">
        <w:t xml:space="preserve"> as having an </w:t>
      </w:r>
      <w:r w:rsidRPr="00804648">
        <w:rPr>
          <w:snapToGrid/>
        </w:rPr>
        <w:t xml:space="preserve">absolute change from baseline value on percent predicted </w:t>
      </w:r>
      <w:proofErr w:type="spellStart"/>
      <w:r w:rsidRPr="00804648">
        <w:rPr>
          <w:snapToGrid/>
        </w:rPr>
        <w:t>DLco</w:t>
      </w:r>
      <w:proofErr w:type="spellEnd"/>
      <w:r w:rsidRPr="00804648">
        <w:rPr>
          <w:snapToGrid/>
        </w:rPr>
        <w:t xml:space="preserve"> of ≥15%.</w:t>
      </w:r>
    </w:p>
    <w:p w14:paraId="32F43143" w14:textId="5C35BD2A" w:rsidR="00484FBE" w:rsidRPr="00804648" w:rsidRDefault="0019442B" w:rsidP="003C6D3A">
      <w:pPr>
        <w:pStyle w:val="3-BodyText"/>
        <w:rPr>
          <w:snapToGrid/>
        </w:rPr>
      </w:pPr>
      <w:r w:rsidRPr="00804648">
        <w:rPr>
          <w:snapToGrid/>
        </w:rPr>
        <w:t xml:space="preserve">For spleen volume, </w:t>
      </w:r>
      <w:r w:rsidR="00484FBE" w:rsidRPr="00804648">
        <w:rPr>
          <w:snapToGrid/>
        </w:rPr>
        <w:t>94%</w:t>
      </w:r>
      <w:r w:rsidRPr="00804648">
        <w:rPr>
          <w:snapToGrid/>
        </w:rPr>
        <w:t xml:space="preserve"> </w:t>
      </w:r>
      <w:r w:rsidR="00484FBE" w:rsidRPr="00804648">
        <w:rPr>
          <w:snapToGrid/>
        </w:rPr>
        <w:t>patients in the olipudase alfa arm were responders compared to none in the BSC arm.</w:t>
      </w:r>
      <w:r w:rsidR="003C6D3A" w:rsidRPr="00804648">
        <w:rPr>
          <w:snapToGrid/>
        </w:rPr>
        <w:t xml:space="preserve"> For percent predicted </w:t>
      </w:r>
      <w:r w:rsidR="00BD6F49" w:rsidRPr="00804648">
        <w:rPr>
          <w:snapToGrid/>
        </w:rPr>
        <w:t>DLco</w:t>
      </w:r>
      <w:r w:rsidR="003C6D3A" w:rsidRPr="00804648">
        <w:rPr>
          <w:snapToGrid/>
        </w:rPr>
        <w:t>, 2</w:t>
      </w:r>
      <w:r w:rsidR="000F5B64" w:rsidRPr="00804648">
        <w:rPr>
          <w:snapToGrid/>
        </w:rPr>
        <w:t>8</w:t>
      </w:r>
      <w:r w:rsidR="003C6D3A" w:rsidRPr="00804648">
        <w:rPr>
          <w:snapToGrid/>
        </w:rPr>
        <w:t>%</w:t>
      </w:r>
      <w:r w:rsidR="00484FBE" w:rsidRPr="00804648">
        <w:rPr>
          <w:snapToGrid/>
        </w:rPr>
        <w:t xml:space="preserve"> patients in the olipudase alfa arm were responders compared to none in the BSC arm.</w:t>
      </w:r>
    </w:p>
    <w:p w14:paraId="06DB1440" w14:textId="041BF634" w:rsidR="00DD79F9" w:rsidRPr="00804648" w:rsidRDefault="00DD79F9" w:rsidP="00DD79F9">
      <w:pPr>
        <w:pStyle w:val="3-BodyText"/>
      </w:pPr>
      <w:r w:rsidRPr="00804648">
        <w:rPr>
          <w:snapToGrid/>
        </w:rPr>
        <w:t>At Week 52, the LS mean change in SRS score was -7.7 with olipudase alfa compared to -9.3 with BSC</w:t>
      </w:r>
      <w:r w:rsidR="00281EA7" w:rsidRPr="00804648">
        <w:rPr>
          <w:snapToGrid/>
        </w:rPr>
        <w:t xml:space="preserve"> (</w:t>
      </w:r>
      <w:r w:rsidR="000B2E0A" w:rsidRPr="00804648">
        <w:rPr>
          <w:snapToGrid/>
        </w:rPr>
        <w:t>i.e.,</w:t>
      </w:r>
      <w:r w:rsidR="00281EA7" w:rsidRPr="00804648">
        <w:rPr>
          <w:snapToGrid/>
        </w:rPr>
        <w:t xml:space="preserve"> no meaningful difference</w:t>
      </w:r>
      <w:r w:rsidR="009869F8" w:rsidRPr="00804648">
        <w:rPr>
          <w:snapToGrid/>
        </w:rPr>
        <w:t xml:space="preserve"> between trial arms</w:t>
      </w:r>
      <w:r w:rsidR="00281EA7" w:rsidRPr="00804648">
        <w:rPr>
          <w:snapToGrid/>
        </w:rPr>
        <w:t>)</w:t>
      </w:r>
      <w:r w:rsidRPr="00804648">
        <w:rPr>
          <w:snapToGrid/>
        </w:rPr>
        <w:t xml:space="preserve">. Furthermore, no difference was observed in fatigue and pain severity between the two treatment arms. </w:t>
      </w:r>
      <w:r w:rsidR="000B2E0A" w:rsidRPr="00804648">
        <w:rPr>
          <w:snapToGrid/>
        </w:rPr>
        <w:t xml:space="preserve">The </w:t>
      </w:r>
      <w:r w:rsidRPr="00804648">
        <w:t xml:space="preserve">ASCEND trial collected HRQoL data at baseline, Week 26 and Week 52 using the EQ-5D-5L and the SF-6D; however, the submission did not present the HRQoL results </w:t>
      </w:r>
      <w:r w:rsidR="000B2E0A" w:rsidRPr="00804648">
        <w:t xml:space="preserve">and </w:t>
      </w:r>
      <w:r w:rsidRPr="00804648">
        <w:t>did not utilise HRQoL data for adult patients from the ASCEND trial (for more details refer to paragraph</w:t>
      </w:r>
      <w:r w:rsidR="00DA15EB" w:rsidRPr="00804648">
        <w:t xml:space="preserve"> </w:t>
      </w:r>
      <w:r w:rsidR="00DA15EB" w:rsidRPr="00804648">
        <w:fldChar w:fldCharType="begin" w:fldLock="1"/>
      </w:r>
      <w:r w:rsidR="00DA15EB" w:rsidRPr="00804648">
        <w:instrText xml:space="preserve"> REF _Ref134002193 \r \h  \* MERGEFORMAT </w:instrText>
      </w:r>
      <w:r w:rsidR="00DA15EB" w:rsidRPr="00804648">
        <w:fldChar w:fldCharType="separate"/>
      </w:r>
      <w:r w:rsidR="005D02DA" w:rsidRPr="00804648">
        <w:t>6.77</w:t>
      </w:r>
      <w:r w:rsidR="00DA15EB" w:rsidRPr="00804648">
        <w:fldChar w:fldCharType="end"/>
      </w:r>
      <w:r w:rsidRPr="00804648">
        <w:t>).</w:t>
      </w:r>
    </w:p>
    <w:p w14:paraId="2869C646" w14:textId="43226C27" w:rsidR="008952AE" w:rsidRPr="00804648" w:rsidRDefault="003B3E03" w:rsidP="00DD79F9">
      <w:pPr>
        <w:pStyle w:val="3-BodyText"/>
      </w:pPr>
      <w:r w:rsidRPr="00804648">
        <w:rPr>
          <w:snapToGrid/>
        </w:rPr>
        <w:t>In the extended treatment period, s</w:t>
      </w:r>
      <w:r w:rsidR="00DD79F9" w:rsidRPr="00804648">
        <w:rPr>
          <w:snapToGrid/>
        </w:rPr>
        <w:t>imilar trends were observed for patients who continued treatment with olipudase alfa (</w:t>
      </w:r>
      <w:r w:rsidR="00D45E06" w:rsidRPr="00804648">
        <w:rPr>
          <w:snapToGrid/>
        </w:rPr>
        <w:t>primary</w:t>
      </w:r>
      <w:r w:rsidRPr="00804648">
        <w:rPr>
          <w:snapToGrid/>
        </w:rPr>
        <w:t xml:space="preserve"> </w:t>
      </w:r>
      <w:r w:rsidR="00DD79F9" w:rsidRPr="00804648">
        <w:rPr>
          <w:snapToGrid/>
        </w:rPr>
        <w:t>olipudase alfa/</w:t>
      </w:r>
      <w:r w:rsidRPr="00804648">
        <w:rPr>
          <w:snapToGrid/>
        </w:rPr>
        <w:t xml:space="preserve">extended </w:t>
      </w:r>
      <w:r w:rsidR="00DD79F9" w:rsidRPr="00804648">
        <w:rPr>
          <w:snapToGrid/>
        </w:rPr>
        <w:t>olipudase alfa) and patients in the BSC arm who crossed over to olipudase alfa (</w:t>
      </w:r>
      <w:r w:rsidR="00D45E06" w:rsidRPr="00804648">
        <w:rPr>
          <w:snapToGrid/>
        </w:rPr>
        <w:t>primary</w:t>
      </w:r>
      <w:r w:rsidRPr="00804648">
        <w:rPr>
          <w:snapToGrid/>
        </w:rPr>
        <w:t xml:space="preserve"> </w:t>
      </w:r>
      <w:r w:rsidR="00DD79F9" w:rsidRPr="00804648">
        <w:rPr>
          <w:snapToGrid/>
        </w:rPr>
        <w:t>BSC/</w:t>
      </w:r>
      <w:r w:rsidRPr="00804648">
        <w:rPr>
          <w:snapToGrid/>
        </w:rPr>
        <w:t xml:space="preserve">extended </w:t>
      </w:r>
      <w:r w:rsidR="00DD79F9" w:rsidRPr="00804648">
        <w:rPr>
          <w:snapToGrid/>
        </w:rPr>
        <w:t>olipudase alfa).</w:t>
      </w:r>
      <w:bookmarkStart w:id="32" w:name="_Hlk134974103"/>
    </w:p>
    <w:p w14:paraId="2B1F3F78" w14:textId="1F00A1D8" w:rsidR="00C74D7E" w:rsidRPr="00804648" w:rsidRDefault="008952AE" w:rsidP="00DD79F9">
      <w:pPr>
        <w:pStyle w:val="3-BodyText"/>
      </w:pPr>
      <w:r w:rsidRPr="00804648">
        <w:rPr>
          <w:snapToGrid/>
        </w:rPr>
        <w:t xml:space="preserve">For the primary efficacy outcomes, </w:t>
      </w:r>
      <w:r w:rsidR="00D10A13" w:rsidRPr="00804648">
        <w:rPr>
          <w:snapToGrid/>
        </w:rPr>
        <w:fldChar w:fldCharType="begin" w:fldLock="1"/>
      </w:r>
      <w:r w:rsidR="00D10A13" w:rsidRPr="00804648">
        <w:rPr>
          <w:snapToGrid/>
        </w:rPr>
        <w:instrText xml:space="preserve"> REF _Ref133689650 \h </w:instrText>
      </w:r>
      <w:r w:rsidR="00D10A13" w:rsidRPr="00804648">
        <w:rPr>
          <w:snapToGrid/>
        </w:rPr>
      </w:r>
      <w:r w:rsidR="00D10A13" w:rsidRPr="00804648">
        <w:rPr>
          <w:snapToGrid/>
        </w:rPr>
        <w:fldChar w:fldCharType="separate"/>
      </w:r>
      <w:r w:rsidR="005D02DA" w:rsidRPr="00804648">
        <w:t>Figure 1</w:t>
      </w:r>
      <w:r w:rsidR="00D10A13" w:rsidRPr="00804648">
        <w:rPr>
          <w:snapToGrid/>
        </w:rPr>
        <w:fldChar w:fldCharType="end"/>
      </w:r>
      <w:r w:rsidR="00D10A13" w:rsidRPr="00804648">
        <w:rPr>
          <w:snapToGrid/>
        </w:rPr>
        <w:t xml:space="preserve"> </w:t>
      </w:r>
      <w:r w:rsidR="00484FBE" w:rsidRPr="00804648">
        <w:rPr>
          <w:snapToGrid/>
        </w:rPr>
        <w:t xml:space="preserve">and </w:t>
      </w:r>
      <w:r w:rsidR="00D10A13" w:rsidRPr="00804648">
        <w:rPr>
          <w:snapToGrid/>
        </w:rPr>
        <w:fldChar w:fldCharType="begin" w:fldLock="1"/>
      </w:r>
      <w:r w:rsidR="00D10A13" w:rsidRPr="00804648">
        <w:rPr>
          <w:snapToGrid/>
        </w:rPr>
        <w:instrText xml:space="preserve"> REF _Ref133689676 \h </w:instrText>
      </w:r>
      <w:r w:rsidR="00D10A13" w:rsidRPr="00804648">
        <w:rPr>
          <w:snapToGrid/>
        </w:rPr>
      </w:r>
      <w:r w:rsidR="00D10A13" w:rsidRPr="00804648">
        <w:rPr>
          <w:snapToGrid/>
        </w:rPr>
        <w:fldChar w:fldCharType="separate"/>
      </w:r>
      <w:r w:rsidR="005D02DA" w:rsidRPr="00804648">
        <w:t>Figure 2</w:t>
      </w:r>
      <w:r w:rsidR="00D10A13" w:rsidRPr="00804648">
        <w:rPr>
          <w:snapToGrid/>
        </w:rPr>
        <w:fldChar w:fldCharType="end"/>
      </w:r>
      <w:r w:rsidR="00D10A13" w:rsidRPr="00804648">
        <w:rPr>
          <w:snapToGrid/>
        </w:rPr>
        <w:t xml:space="preserve"> </w:t>
      </w:r>
      <w:r w:rsidR="00484FBE" w:rsidRPr="00804648">
        <w:rPr>
          <w:snapToGrid/>
        </w:rPr>
        <w:t>presents the mean spleen volume and p</w:t>
      </w:r>
      <w:r w:rsidR="00005989" w:rsidRPr="00804648">
        <w:rPr>
          <w:snapToGrid/>
        </w:rPr>
        <w:t>e</w:t>
      </w:r>
      <w:r w:rsidR="00484FBE" w:rsidRPr="00804648">
        <w:rPr>
          <w:snapToGrid/>
        </w:rPr>
        <w:t xml:space="preserve">rcent predicted </w:t>
      </w:r>
      <w:r w:rsidR="00BD6F49" w:rsidRPr="00804648">
        <w:rPr>
          <w:snapToGrid/>
        </w:rPr>
        <w:t>DLco</w:t>
      </w:r>
      <w:r w:rsidR="00D45E06" w:rsidRPr="00804648">
        <w:rPr>
          <w:snapToGrid/>
        </w:rPr>
        <w:t>, respectively,</w:t>
      </w:r>
      <w:r w:rsidR="00484FBE" w:rsidRPr="00804648">
        <w:rPr>
          <w:snapToGrid/>
        </w:rPr>
        <w:t xml:space="preserve"> in the primary analysis period</w:t>
      </w:r>
      <w:r w:rsidR="00C50A71" w:rsidRPr="00804648">
        <w:rPr>
          <w:snapToGrid/>
        </w:rPr>
        <w:t xml:space="preserve"> to Week 52 (olipudase alfa versus placebo)</w:t>
      </w:r>
      <w:r w:rsidR="00484FBE" w:rsidRPr="00804648">
        <w:rPr>
          <w:snapToGrid/>
        </w:rPr>
        <w:t xml:space="preserve"> and extended treatment period</w:t>
      </w:r>
      <w:r w:rsidR="00C50A71" w:rsidRPr="00804648">
        <w:rPr>
          <w:snapToGrid/>
        </w:rPr>
        <w:t xml:space="preserve"> from Week 53 (all patients receiving olipudase alfa)</w:t>
      </w:r>
      <w:r w:rsidR="00D10A13" w:rsidRPr="00804648">
        <w:rPr>
          <w:snapToGrid/>
        </w:rPr>
        <w:t xml:space="preserve"> in the ASCEND trial for adult population</w:t>
      </w:r>
      <w:r w:rsidR="00484FBE" w:rsidRPr="00804648">
        <w:rPr>
          <w:snapToGrid/>
        </w:rPr>
        <w:t xml:space="preserve">. </w:t>
      </w:r>
    </w:p>
    <w:p w14:paraId="2881EBA5" w14:textId="258216A3" w:rsidR="00D10A13" w:rsidRPr="00804648" w:rsidRDefault="00D10A13" w:rsidP="00D10A13">
      <w:pPr>
        <w:pStyle w:val="Caption"/>
      </w:pPr>
      <w:bookmarkStart w:id="33" w:name="_Ref133689650"/>
      <w:r w:rsidRPr="00804648">
        <w:lastRenderedPageBreak/>
        <w:t xml:space="preserve">Figure </w:t>
      </w:r>
      <w:fldSimple w:instr=" SEQ Figure \* ARABIC " w:fldLock="1">
        <w:r w:rsidR="005D02DA" w:rsidRPr="00804648">
          <w:t>1</w:t>
        </w:r>
      </w:fldSimple>
      <w:bookmarkEnd w:id="33"/>
      <w:r w:rsidRPr="00804648">
        <w:t xml:space="preserve">: </w:t>
      </w:r>
      <w:r w:rsidRPr="00804648">
        <w:rPr>
          <w:rStyle w:val="TableFigureHeadingChar"/>
          <w:b/>
          <w:bCs/>
        </w:rPr>
        <w:t>Mean spleen volume in the primary analysis period and extended treatment period</w:t>
      </w:r>
      <w:r w:rsidR="00520F58" w:rsidRPr="00804648">
        <w:rPr>
          <w:rStyle w:val="TableFigureHeadingChar"/>
          <w:b/>
          <w:bCs/>
        </w:rPr>
        <w:t xml:space="preserve"> in the</w:t>
      </w:r>
      <w:r w:rsidRPr="00804648">
        <w:rPr>
          <w:rStyle w:val="TableFigureHeadingChar"/>
          <w:b/>
          <w:bCs/>
        </w:rPr>
        <w:t xml:space="preserve"> </w:t>
      </w:r>
      <w:r w:rsidRPr="00804648">
        <w:rPr>
          <w:rStyle w:val="CommentReference"/>
          <w:b/>
          <w:szCs w:val="24"/>
        </w:rPr>
        <w:t>ASCEND trial for adult population</w:t>
      </w:r>
    </w:p>
    <w:p w14:paraId="52E4A75F" w14:textId="77777777" w:rsidR="00D10A13" w:rsidRPr="00804648" w:rsidRDefault="00D10A13" w:rsidP="00D10A13">
      <w:r w:rsidRPr="00804648">
        <w:rPr>
          <w:noProof/>
        </w:rPr>
        <w:drawing>
          <wp:inline distT="0" distB="0" distL="0" distR="0" wp14:anchorId="2F8FCA41" wp14:editId="3E727D14">
            <wp:extent cx="4823460" cy="2940710"/>
            <wp:effectExtent l="0" t="0" r="0" b="0"/>
            <wp:docPr id="1" name="Picture 1" descr="Figure 1: Mean spleen volume in the primary analysis period and extended treatment period in the ASCEND trial for adul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Mean spleen volume in the primary analysis period and extended treatment period in the ASCEND trial for adult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2485" cy="2946212"/>
                    </a:xfrm>
                    <a:prstGeom prst="rect">
                      <a:avLst/>
                    </a:prstGeom>
                    <a:noFill/>
                  </pic:spPr>
                </pic:pic>
              </a:graphicData>
            </a:graphic>
          </wp:inline>
        </w:drawing>
      </w:r>
    </w:p>
    <w:p w14:paraId="28F5C9AB" w14:textId="77777777" w:rsidR="00D10A13" w:rsidRPr="00804648" w:rsidRDefault="00D10A13" w:rsidP="00D10A13">
      <w:pPr>
        <w:pStyle w:val="FooterTableFigure"/>
      </w:pPr>
      <w:r w:rsidRPr="00804648">
        <w:t xml:space="preserve">Source: Figure 2.2.6, p49 of the submission. </w:t>
      </w:r>
    </w:p>
    <w:p w14:paraId="219CC055" w14:textId="7ECCBA58" w:rsidR="007F6B26" w:rsidRPr="00804648" w:rsidRDefault="00D10A13" w:rsidP="007F6B26">
      <w:pPr>
        <w:pStyle w:val="FooterTableFigure"/>
      </w:pPr>
      <w:r w:rsidRPr="00804648">
        <w:t xml:space="preserve">MN = multiple of normal </w:t>
      </w:r>
    </w:p>
    <w:p w14:paraId="225D1CAB" w14:textId="29928AAA" w:rsidR="00D10A13" w:rsidRPr="00804648" w:rsidRDefault="00D10A13" w:rsidP="0085788E">
      <w:pPr>
        <w:pStyle w:val="TableFigureHeading"/>
        <w:keepLines/>
        <w:rPr>
          <w:rStyle w:val="TableFigureHeadingChar"/>
          <w:b/>
          <w:bCs/>
        </w:rPr>
      </w:pPr>
      <w:bookmarkStart w:id="34" w:name="_Ref133689676"/>
      <w:r w:rsidRPr="00804648">
        <w:t xml:space="preserve">Figure </w:t>
      </w:r>
      <w:fldSimple w:instr=" SEQ Figure \* ARABIC " w:fldLock="1">
        <w:r w:rsidR="005D02DA" w:rsidRPr="00804648">
          <w:t>2</w:t>
        </w:r>
      </w:fldSimple>
      <w:bookmarkEnd w:id="34"/>
      <w:r w:rsidRPr="00804648">
        <w:rPr>
          <w:rStyle w:val="TableFigureHeadingChar"/>
          <w:b/>
          <w:bCs/>
        </w:rPr>
        <w:t xml:space="preserve">: Percent predicted </w:t>
      </w:r>
      <w:r w:rsidR="00BD6F49" w:rsidRPr="00804648">
        <w:rPr>
          <w:rStyle w:val="TableFigureHeadingChar"/>
          <w:b/>
          <w:bCs/>
        </w:rPr>
        <w:t>DLco</w:t>
      </w:r>
      <w:r w:rsidRPr="00804648">
        <w:rPr>
          <w:rStyle w:val="TableFigureHeadingChar"/>
          <w:b/>
          <w:bCs/>
        </w:rPr>
        <w:t xml:space="preserve"> in the primary analysis period and extended treatment period </w:t>
      </w:r>
      <w:r w:rsidR="00520F58" w:rsidRPr="00804648">
        <w:rPr>
          <w:rStyle w:val="TableFigureHeadingChar"/>
          <w:b/>
          <w:bCs/>
        </w:rPr>
        <w:t xml:space="preserve">in the </w:t>
      </w:r>
      <w:r w:rsidRPr="00804648">
        <w:rPr>
          <w:rStyle w:val="CommentReference"/>
          <w:b/>
          <w:szCs w:val="24"/>
        </w:rPr>
        <w:t>ASCEND trial for adult population</w:t>
      </w:r>
    </w:p>
    <w:p w14:paraId="19BFC123" w14:textId="77777777" w:rsidR="00D10A13" w:rsidRPr="00804648" w:rsidRDefault="00D10A13" w:rsidP="0085788E">
      <w:pPr>
        <w:keepNext/>
        <w:keepLines/>
      </w:pPr>
      <w:r w:rsidRPr="00804648">
        <w:rPr>
          <w:noProof/>
        </w:rPr>
        <w:drawing>
          <wp:inline distT="0" distB="0" distL="0" distR="0" wp14:anchorId="0196D665" wp14:editId="502C4F47">
            <wp:extent cx="4904110" cy="2918765"/>
            <wp:effectExtent l="0" t="0" r="0" b="2540"/>
            <wp:docPr id="2" name="Picture 2" descr="Figure 2: Percent predicted DLco in the primary analysis period and extended treatment period in the ASCEND trial for adul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ercent predicted DLco in the primary analysis period and extended treatment period in the ASCEND trial for adult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4110" cy="2918765"/>
                    </a:xfrm>
                    <a:prstGeom prst="rect">
                      <a:avLst/>
                    </a:prstGeom>
                    <a:noFill/>
                  </pic:spPr>
                </pic:pic>
              </a:graphicData>
            </a:graphic>
          </wp:inline>
        </w:drawing>
      </w:r>
    </w:p>
    <w:p w14:paraId="6C610FF0" w14:textId="77777777" w:rsidR="00D10A13" w:rsidRPr="00804648" w:rsidRDefault="00D10A13" w:rsidP="0085788E">
      <w:pPr>
        <w:pStyle w:val="FooterTableFigure"/>
        <w:keepNext/>
        <w:keepLines/>
      </w:pPr>
      <w:r w:rsidRPr="00804648">
        <w:t xml:space="preserve">Source: Figure 2.2.8, p51 of the submission. </w:t>
      </w:r>
    </w:p>
    <w:p w14:paraId="62AD5B2D" w14:textId="2CD41EF6" w:rsidR="00D10A13" w:rsidRPr="00804648" w:rsidRDefault="007F6B26" w:rsidP="0085788E">
      <w:pPr>
        <w:pStyle w:val="FooterTableFigure"/>
        <w:keepNext/>
        <w:keepLines/>
      </w:pPr>
      <w:r w:rsidRPr="00804648">
        <w:t xml:space="preserve">Adj = adjusted, </w:t>
      </w:r>
      <w:r w:rsidR="00BD6F49" w:rsidRPr="00804648">
        <w:t>DLco</w:t>
      </w:r>
      <w:r w:rsidR="00D10A13" w:rsidRPr="00804648">
        <w:t xml:space="preserve"> = diffusing capacity of the lung for carbon monoxide, Hb = haemoglobin</w:t>
      </w:r>
    </w:p>
    <w:p w14:paraId="5A04F57D" w14:textId="0F15C8FE" w:rsidR="008C0861" w:rsidRPr="00804648" w:rsidRDefault="0085788E" w:rsidP="00C1697C">
      <w:pPr>
        <w:pStyle w:val="FooterTableFigure"/>
        <w:keepNext/>
        <w:keepLines/>
      </w:pPr>
      <w:r w:rsidRPr="00804648">
        <w:t xml:space="preserve">Note: </w:t>
      </w:r>
      <w:r w:rsidRPr="00804648">
        <w:rPr>
          <w:snapToGrid/>
        </w:rPr>
        <w:t xml:space="preserve">The submission stated that the decline at Week 184 in the olipudase alfa arm was due to the </w:t>
      </w:r>
      <w:r w:rsidR="00C50A71" w:rsidRPr="00804648">
        <w:rPr>
          <w:snapToGrid/>
        </w:rPr>
        <w:t>un</w:t>
      </w:r>
      <w:r w:rsidRPr="00804648">
        <w:rPr>
          <w:snapToGrid/>
        </w:rPr>
        <w:t>availability of data for one patient who missed six consecutive infusions between Week 174 to 184.</w:t>
      </w:r>
      <w:bookmarkEnd w:id="32"/>
    </w:p>
    <w:p w14:paraId="3C2A999F" w14:textId="3E9C7EF7" w:rsidR="002E4B42" w:rsidRPr="00804648" w:rsidRDefault="00DC7F88" w:rsidP="00DB3BC8">
      <w:pPr>
        <w:pStyle w:val="3-BodyText"/>
        <w:rPr>
          <w:snapToGrid/>
        </w:rPr>
      </w:pPr>
      <w:r w:rsidRPr="00804648">
        <w:rPr>
          <w:snapToGrid/>
        </w:rPr>
        <w:t>In the extended treatment period, t</w:t>
      </w:r>
      <w:r w:rsidR="00AF292B" w:rsidRPr="00804648">
        <w:rPr>
          <w:snapToGrid/>
        </w:rPr>
        <w:t xml:space="preserve">he BSC/olipudase alfa arm achieved 35.9% reduction in spleen size </w:t>
      </w:r>
      <w:r w:rsidR="00BF6A2D" w:rsidRPr="00804648">
        <w:rPr>
          <w:snapToGrid/>
        </w:rPr>
        <w:t>from</w:t>
      </w:r>
      <w:r w:rsidR="00504381" w:rsidRPr="00804648">
        <w:rPr>
          <w:snapToGrid/>
        </w:rPr>
        <w:t xml:space="preserve"> Week</w:t>
      </w:r>
      <w:r w:rsidR="00BF6A2D" w:rsidRPr="00804648">
        <w:rPr>
          <w:snapToGrid/>
        </w:rPr>
        <w:t xml:space="preserve"> </w:t>
      </w:r>
      <w:r w:rsidR="00AF292B" w:rsidRPr="00804648">
        <w:rPr>
          <w:snapToGrid/>
        </w:rPr>
        <w:t>5</w:t>
      </w:r>
      <w:r w:rsidR="00504381" w:rsidRPr="00804648">
        <w:rPr>
          <w:snapToGrid/>
        </w:rPr>
        <w:t>3</w:t>
      </w:r>
      <w:r w:rsidR="00A22A77" w:rsidRPr="00804648">
        <w:rPr>
          <w:snapToGrid/>
        </w:rPr>
        <w:t xml:space="preserve">. </w:t>
      </w:r>
      <w:r w:rsidR="00AF292B" w:rsidRPr="00804648">
        <w:rPr>
          <w:snapToGrid/>
        </w:rPr>
        <w:t>For</w:t>
      </w:r>
      <w:r w:rsidR="00C917D0" w:rsidRPr="00804648">
        <w:rPr>
          <w:snapToGrid/>
        </w:rPr>
        <w:t xml:space="preserve"> the</w:t>
      </w:r>
      <w:r w:rsidR="00AF292B" w:rsidRPr="00804648">
        <w:rPr>
          <w:snapToGrid/>
        </w:rPr>
        <w:t xml:space="preserve"> olipudase alfa/olipudase alfa arm, a further reduction was seen at </w:t>
      </w:r>
      <w:r w:rsidR="00504381" w:rsidRPr="00804648">
        <w:rPr>
          <w:snapToGrid/>
        </w:rPr>
        <w:t>W</w:t>
      </w:r>
      <w:r w:rsidR="00AF292B" w:rsidRPr="00804648">
        <w:rPr>
          <w:snapToGrid/>
        </w:rPr>
        <w:t xml:space="preserve">eek 104 (47%; n=14) week 132 (52%; n=13) and was </w:t>
      </w:r>
      <w:r w:rsidR="00AF292B" w:rsidRPr="00804648">
        <w:rPr>
          <w:snapToGrid/>
        </w:rPr>
        <w:lastRenderedPageBreak/>
        <w:t xml:space="preserve">stable at </w:t>
      </w:r>
      <w:r w:rsidR="00504381" w:rsidRPr="00804648">
        <w:rPr>
          <w:snapToGrid/>
        </w:rPr>
        <w:t>W</w:t>
      </w:r>
      <w:r w:rsidR="00AF292B" w:rsidRPr="00804648">
        <w:rPr>
          <w:snapToGrid/>
        </w:rPr>
        <w:t>eek 156 (</w:t>
      </w:r>
      <w:r w:rsidR="000F5B64" w:rsidRPr="00804648">
        <w:rPr>
          <w:snapToGrid/>
        </w:rPr>
        <w:t>50</w:t>
      </w:r>
      <w:r w:rsidR="00AF292B" w:rsidRPr="00804648">
        <w:rPr>
          <w:snapToGrid/>
        </w:rPr>
        <w:t>%; n=6).</w:t>
      </w:r>
      <w:r w:rsidR="003B47ED" w:rsidRPr="00804648">
        <w:rPr>
          <w:snapToGrid/>
        </w:rPr>
        <w:t xml:space="preserve"> In the extended treatment period, t</w:t>
      </w:r>
      <w:r w:rsidR="00AF292B" w:rsidRPr="00804648">
        <w:rPr>
          <w:snapToGrid/>
        </w:rPr>
        <w:t xml:space="preserve">he BSC/olipudase alfa arm achieved 28.04% improvement in percent predicted </w:t>
      </w:r>
      <w:r w:rsidR="00BD6F49" w:rsidRPr="00804648">
        <w:rPr>
          <w:snapToGrid/>
        </w:rPr>
        <w:t>DLco</w:t>
      </w:r>
      <w:r w:rsidR="00AF292B" w:rsidRPr="00804648">
        <w:rPr>
          <w:snapToGrid/>
        </w:rPr>
        <w:t xml:space="preserve"> </w:t>
      </w:r>
      <w:r w:rsidR="00DD79F9" w:rsidRPr="00804648">
        <w:rPr>
          <w:snapToGrid/>
        </w:rPr>
        <w:t>from</w:t>
      </w:r>
      <w:r w:rsidR="00AF292B" w:rsidRPr="00804648">
        <w:rPr>
          <w:snapToGrid/>
        </w:rPr>
        <w:t xml:space="preserve"> </w:t>
      </w:r>
      <w:r w:rsidR="00504381" w:rsidRPr="00804648">
        <w:rPr>
          <w:snapToGrid/>
        </w:rPr>
        <w:t xml:space="preserve">Week </w:t>
      </w:r>
      <w:r w:rsidR="00AF292B" w:rsidRPr="00804648">
        <w:rPr>
          <w:snapToGrid/>
        </w:rPr>
        <w:t>5</w:t>
      </w:r>
      <w:r w:rsidR="00504381" w:rsidRPr="00804648">
        <w:rPr>
          <w:snapToGrid/>
        </w:rPr>
        <w:t>3</w:t>
      </w:r>
      <w:r w:rsidR="00AF292B" w:rsidRPr="00804648">
        <w:rPr>
          <w:snapToGrid/>
        </w:rPr>
        <w:t xml:space="preserve">. For olipudase alfa/olipudase alfa arm, a further improvement was seen at </w:t>
      </w:r>
      <w:r w:rsidR="00504381" w:rsidRPr="00804648">
        <w:rPr>
          <w:snapToGrid/>
        </w:rPr>
        <w:t>W</w:t>
      </w:r>
      <w:r w:rsidR="00AF292B" w:rsidRPr="00804648">
        <w:rPr>
          <w:snapToGrid/>
        </w:rPr>
        <w:t xml:space="preserve">eek 104 (28%; n=10) and at </w:t>
      </w:r>
      <w:r w:rsidR="00504381" w:rsidRPr="00804648">
        <w:rPr>
          <w:snapToGrid/>
        </w:rPr>
        <w:t>W</w:t>
      </w:r>
      <w:r w:rsidR="00AF292B" w:rsidRPr="00804648">
        <w:rPr>
          <w:snapToGrid/>
        </w:rPr>
        <w:t xml:space="preserve">eek 156 (33%; n=6). </w:t>
      </w:r>
      <w:r w:rsidR="00805517" w:rsidRPr="00804648">
        <w:rPr>
          <w:snapToGrid/>
        </w:rPr>
        <w:t>Furthermore, there was an improvement in mean liver volume and thrombocytopenia in both groups from baseline during the extended treatment period.</w:t>
      </w:r>
      <w:r w:rsidR="003B47ED" w:rsidRPr="00804648">
        <w:rPr>
          <w:snapToGrid/>
        </w:rPr>
        <w:t xml:space="preserve"> </w:t>
      </w:r>
      <w:r w:rsidR="005613D4" w:rsidRPr="00804648">
        <w:rPr>
          <w:snapToGrid/>
        </w:rPr>
        <w:t xml:space="preserve">Limited data is available for the extended treatment period </w:t>
      </w:r>
      <w:r w:rsidR="00CF6277" w:rsidRPr="00804648">
        <w:rPr>
          <w:snapToGrid/>
        </w:rPr>
        <w:t xml:space="preserve">of the ASCEND trial given that </w:t>
      </w:r>
      <w:r w:rsidR="005613D4" w:rsidRPr="00804648">
        <w:rPr>
          <w:snapToGrid/>
        </w:rPr>
        <w:t xml:space="preserve">only </w:t>
      </w:r>
      <w:r w:rsidR="00504381" w:rsidRPr="00804648">
        <w:rPr>
          <w:snapToGrid/>
        </w:rPr>
        <w:t xml:space="preserve">four </w:t>
      </w:r>
      <w:r w:rsidR="005613D4" w:rsidRPr="00804648">
        <w:rPr>
          <w:snapToGrid/>
        </w:rPr>
        <w:t xml:space="preserve">patients received olipudase alfa for </w:t>
      </w:r>
      <w:r w:rsidR="00C35502" w:rsidRPr="00804648">
        <w:rPr>
          <w:snapToGrid/>
        </w:rPr>
        <w:t>more than</w:t>
      </w:r>
      <w:r w:rsidR="005613D4" w:rsidRPr="00804648">
        <w:rPr>
          <w:snapToGrid/>
        </w:rPr>
        <w:t xml:space="preserve"> 208</w:t>
      </w:r>
      <w:r w:rsidR="00C1697C">
        <w:rPr>
          <w:snapToGrid/>
        </w:rPr>
        <w:t> </w:t>
      </w:r>
      <w:r w:rsidR="005613D4" w:rsidRPr="00804648">
        <w:rPr>
          <w:snapToGrid/>
        </w:rPr>
        <w:t>weeks.</w:t>
      </w:r>
    </w:p>
    <w:p w14:paraId="0205E371" w14:textId="589A1833" w:rsidR="00053277" w:rsidRPr="00804648" w:rsidRDefault="006C20AF" w:rsidP="00E72E4F">
      <w:pPr>
        <w:pStyle w:val="ListBullet"/>
        <w:spacing w:after="120"/>
        <w:ind w:left="357" w:hanging="357"/>
        <w:contextualSpacing w:val="0"/>
        <w:rPr>
          <w:b/>
          <w:bCs/>
          <w:u w:val="single"/>
        </w:rPr>
      </w:pPr>
      <w:r w:rsidRPr="00804648">
        <w:rPr>
          <w:b/>
          <w:bCs/>
          <w:u w:val="single"/>
        </w:rPr>
        <w:t>PAEDIATRIC POPULATION</w:t>
      </w:r>
    </w:p>
    <w:p w14:paraId="05988082" w14:textId="400323AB" w:rsidR="00053277" w:rsidRPr="00804648" w:rsidRDefault="00053277" w:rsidP="0093408A">
      <w:pPr>
        <w:pStyle w:val="5-SubsectionSubheading"/>
      </w:pPr>
      <w:r w:rsidRPr="00804648">
        <w:t>ASCEND-peds</w:t>
      </w:r>
      <w:r w:rsidR="00850981" w:rsidRPr="00804648">
        <w:t xml:space="preserve"> single arm</w:t>
      </w:r>
      <w:r w:rsidR="00E72E4F" w:rsidRPr="00804648">
        <w:t xml:space="preserve"> study</w:t>
      </w:r>
      <w:r w:rsidR="00850981" w:rsidRPr="00804648">
        <w:t xml:space="preserve"> </w:t>
      </w:r>
      <w:r w:rsidR="00E72E4F" w:rsidRPr="00804648">
        <w:t>(</w:t>
      </w:r>
      <w:r w:rsidR="00850981" w:rsidRPr="00804648">
        <w:t>olipudase alfa</w:t>
      </w:r>
      <w:r w:rsidR="00E72E4F" w:rsidRPr="00804648">
        <w:t>)</w:t>
      </w:r>
    </w:p>
    <w:p w14:paraId="1E3D7BC9" w14:textId="03088595" w:rsidR="002817D4" w:rsidRPr="00804648" w:rsidRDefault="00BF6081" w:rsidP="00484FBE">
      <w:pPr>
        <w:pStyle w:val="3-BodyText"/>
      </w:pPr>
      <w:r w:rsidRPr="00804648">
        <w:rPr>
          <w:snapToGrid/>
        </w:rPr>
        <w:fldChar w:fldCharType="begin" w:fldLock="1"/>
      </w:r>
      <w:r w:rsidRPr="00804648">
        <w:rPr>
          <w:snapToGrid/>
        </w:rPr>
        <w:instrText xml:space="preserve"> REF _Ref133690552 \h </w:instrText>
      </w:r>
      <w:r w:rsidRPr="00804648">
        <w:rPr>
          <w:snapToGrid/>
        </w:rPr>
      </w:r>
      <w:r w:rsidRPr="00804648">
        <w:rPr>
          <w:snapToGrid/>
        </w:rPr>
        <w:fldChar w:fldCharType="separate"/>
      </w:r>
      <w:r w:rsidR="005D02DA" w:rsidRPr="00804648">
        <w:t>Table 7</w:t>
      </w:r>
      <w:r w:rsidRPr="00804648">
        <w:rPr>
          <w:snapToGrid/>
        </w:rPr>
        <w:fldChar w:fldCharType="end"/>
      </w:r>
      <w:r w:rsidRPr="00804648">
        <w:rPr>
          <w:snapToGrid/>
        </w:rPr>
        <w:t xml:space="preserve"> </w:t>
      </w:r>
      <w:r w:rsidR="002817D4" w:rsidRPr="00804648">
        <w:rPr>
          <w:snapToGrid/>
        </w:rPr>
        <w:t xml:space="preserve">summarises the results of efficacy outcomes in ASCEND-peds. </w:t>
      </w:r>
    </w:p>
    <w:p w14:paraId="003ACD54" w14:textId="30F03FB5" w:rsidR="00BF6081" w:rsidRPr="00804648" w:rsidRDefault="00BF6081" w:rsidP="00BF6081">
      <w:pPr>
        <w:pStyle w:val="TableFigureHeading"/>
        <w:rPr>
          <w:rStyle w:val="CommentReference"/>
          <w:b/>
          <w:szCs w:val="24"/>
        </w:rPr>
      </w:pPr>
      <w:bookmarkStart w:id="35" w:name="_Ref133690552"/>
      <w:r w:rsidRPr="00804648">
        <w:t xml:space="preserve">Table </w:t>
      </w:r>
      <w:fldSimple w:instr=" SEQ Table \* ARABIC " w:fldLock="1">
        <w:r w:rsidR="005D02DA" w:rsidRPr="00804648">
          <w:t>7</w:t>
        </w:r>
      </w:fldSimple>
      <w:bookmarkEnd w:id="35"/>
      <w:r w:rsidRPr="00804648">
        <w:rPr>
          <w:rStyle w:val="CommentReference"/>
          <w:b/>
          <w:szCs w:val="24"/>
        </w:rPr>
        <w:t>: Results of efficacy outcomes in ASCEND-peds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44"/>
        <w:gridCol w:w="1156"/>
        <w:gridCol w:w="1316"/>
        <w:gridCol w:w="1398"/>
        <w:gridCol w:w="1203"/>
      </w:tblGrid>
      <w:tr w:rsidR="00BF6081" w:rsidRPr="00804648" w14:paraId="2484EF8B" w14:textId="77777777" w:rsidTr="008C351B">
        <w:trPr>
          <w:tblHeader/>
        </w:trPr>
        <w:tc>
          <w:tcPr>
            <w:tcW w:w="2187" w:type="pct"/>
            <w:vAlign w:val="center"/>
          </w:tcPr>
          <w:p w14:paraId="6AE3B1E8" w14:textId="77777777" w:rsidR="00BF6081" w:rsidRPr="00804648" w:rsidRDefault="00BF6081" w:rsidP="006F6FE5">
            <w:pPr>
              <w:pStyle w:val="In-tableHeading"/>
              <w:rPr>
                <w:lang w:val="en-AU"/>
              </w:rPr>
            </w:pPr>
            <w:r w:rsidRPr="00804648">
              <w:rPr>
                <w:lang w:val="en-AU"/>
              </w:rPr>
              <w:t>Outcomes</w:t>
            </w:r>
          </w:p>
        </w:tc>
        <w:tc>
          <w:tcPr>
            <w:tcW w:w="641" w:type="pct"/>
            <w:vAlign w:val="center"/>
          </w:tcPr>
          <w:p w14:paraId="3C2CF96F" w14:textId="77777777" w:rsidR="00BF6081" w:rsidRPr="00804648" w:rsidRDefault="00BF6081" w:rsidP="006F6FE5">
            <w:pPr>
              <w:pStyle w:val="In-tableHeading"/>
              <w:jc w:val="center"/>
              <w:rPr>
                <w:iCs/>
                <w:lang w:val="en-AU"/>
              </w:rPr>
            </w:pPr>
            <w:r w:rsidRPr="00804648">
              <w:rPr>
                <w:iCs/>
                <w:lang w:val="en-AU"/>
              </w:rPr>
              <w:t>Adolescent</w:t>
            </w:r>
          </w:p>
          <w:p w14:paraId="2469EB9F" w14:textId="77777777" w:rsidR="00BF6081" w:rsidRPr="00804648" w:rsidRDefault="00BF6081" w:rsidP="006F6FE5">
            <w:pPr>
              <w:pStyle w:val="In-tableHeading"/>
              <w:jc w:val="center"/>
              <w:rPr>
                <w:lang w:val="en-AU"/>
              </w:rPr>
            </w:pPr>
            <w:r w:rsidRPr="00804648">
              <w:rPr>
                <w:iCs/>
                <w:lang w:val="en-AU"/>
              </w:rPr>
              <w:t xml:space="preserve">(N =4) </w:t>
            </w:r>
          </w:p>
        </w:tc>
        <w:tc>
          <w:tcPr>
            <w:tcW w:w="730" w:type="pct"/>
            <w:vAlign w:val="center"/>
          </w:tcPr>
          <w:p w14:paraId="0E80F381" w14:textId="77777777" w:rsidR="00BF6081" w:rsidRPr="00804648" w:rsidRDefault="00BF6081" w:rsidP="006F6FE5">
            <w:pPr>
              <w:pStyle w:val="In-tableHeading"/>
              <w:jc w:val="center"/>
              <w:rPr>
                <w:iCs/>
                <w:lang w:val="en-AU"/>
              </w:rPr>
            </w:pPr>
            <w:r w:rsidRPr="00804648">
              <w:rPr>
                <w:iCs/>
                <w:lang w:val="en-AU"/>
              </w:rPr>
              <w:t>Child</w:t>
            </w:r>
          </w:p>
          <w:p w14:paraId="040A4CF2" w14:textId="77777777" w:rsidR="00BF6081" w:rsidRPr="00804648" w:rsidRDefault="00BF6081" w:rsidP="006F6FE5">
            <w:pPr>
              <w:pStyle w:val="In-tableHeading"/>
              <w:jc w:val="center"/>
              <w:rPr>
                <w:lang w:val="en-AU"/>
              </w:rPr>
            </w:pPr>
            <w:r w:rsidRPr="00804648">
              <w:rPr>
                <w:iCs/>
                <w:lang w:val="en-AU"/>
              </w:rPr>
              <w:t>(N =9)</w:t>
            </w:r>
          </w:p>
        </w:tc>
        <w:tc>
          <w:tcPr>
            <w:tcW w:w="775" w:type="pct"/>
            <w:vAlign w:val="center"/>
          </w:tcPr>
          <w:p w14:paraId="1A36926B" w14:textId="77777777" w:rsidR="00BF6081" w:rsidRPr="00804648" w:rsidRDefault="00BF6081" w:rsidP="006F6FE5">
            <w:pPr>
              <w:pStyle w:val="In-tableHeading"/>
              <w:jc w:val="center"/>
              <w:rPr>
                <w:iCs/>
                <w:lang w:val="en-AU"/>
              </w:rPr>
            </w:pPr>
            <w:r w:rsidRPr="00804648">
              <w:rPr>
                <w:iCs/>
                <w:lang w:val="en-AU"/>
              </w:rPr>
              <w:t>Infant/early child</w:t>
            </w:r>
          </w:p>
          <w:p w14:paraId="3A9BD6AF" w14:textId="77777777" w:rsidR="00BF6081" w:rsidRPr="00804648" w:rsidRDefault="00BF6081" w:rsidP="006F6FE5">
            <w:pPr>
              <w:pStyle w:val="In-tableHeading"/>
              <w:jc w:val="center"/>
              <w:rPr>
                <w:iCs/>
                <w:lang w:val="en-AU"/>
              </w:rPr>
            </w:pPr>
            <w:r w:rsidRPr="00804648">
              <w:rPr>
                <w:iCs/>
                <w:lang w:val="en-AU"/>
              </w:rPr>
              <w:t>(N =7)</w:t>
            </w:r>
          </w:p>
        </w:tc>
        <w:tc>
          <w:tcPr>
            <w:tcW w:w="667" w:type="pct"/>
          </w:tcPr>
          <w:p w14:paraId="0787B9D1" w14:textId="77777777" w:rsidR="00BF6081" w:rsidRPr="00804648" w:rsidRDefault="00BF6081" w:rsidP="006F6FE5">
            <w:pPr>
              <w:pStyle w:val="In-tableHeading"/>
              <w:jc w:val="center"/>
              <w:rPr>
                <w:iCs/>
                <w:lang w:val="en-AU"/>
              </w:rPr>
            </w:pPr>
            <w:r w:rsidRPr="00804648">
              <w:rPr>
                <w:iCs/>
                <w:lang w:val="en-AU"/>
              </w:rPr>
              <w:t>Overall</w:t>
            </w:r>
          </w:p>
          <w:p w14:paraId="7CF029EA" w14:textId="77777777" w:rsidR="00BF6081" w:rsidRPr="00804648" w:rsidRDefault="00BF6081" w:rsidP="006F6FE5">
            <w:pPr>
              <w:pStyle w:val="In-tableHeading"/>
              <w:jc w:val="center"/>
              <w:rPr>
                <w:iCs/>
                <w:lang w:val="en-AU"/>
              </w:rPr>
            </w:pPr>
            <w:r w:rsidRPr="00804648">
              <w:rPr>
                <w:iCs/>
                <w:lang w:val="en-AU"/>
              </w:rPr>
              <w:t>(N=20)</w:t>
            </w:r>
          </w:p>
        </w:tc>
      </w:tr>
      <w:tr w:rsidR="00BF6081" w:rsidRPr="00804648" w14:paraId="15D4AABF" w14:textId="77777777" w:rsidTr="008C351B">
        <w:tc>
          <w:tcPr>
            <w:tcW w:w="5000" w:type="pct"/>
            <w:gridSpan w:val="5"/>
            <w:vAlign w:val="center"/>
          </w:tcPr>
          <w:p w14:paraId="1AE672F4" w14:textId="77777777" w:rsidR="00BF6081" w:rsidRPr="00804648" w:rsidRDefault="00BF6081" w:rsidP="006F6FE5">
            <w:pPr>
              <w:pStyle w:val="TableText0"/>
            </w:pPr>
            <w:r w:rsidRPr="00804648">
              <w:rPr>
                <w:b/>
                <w:bCs w:val="0"/>
              </w:rPr>
              <w:t>Mean spleen volume, MN</w:t>
            </w:r>
          </w:p>
        </w:tc>
      </w:tr>
      <w:tr w:rsidR="00BF6081" w:rsidRPr="00804648" w14:paraId="5600A24C" w14:textId="77777777" w:rsidTr="008C351B">
        <w:tc>
          <w:tcPr>
            <w:tcW w:w="2187" w:type="pct"/>
            <w:vAlign w:val="center"/>
          </w:tcPr>
          <w:p w14:paraId="1AA72C64" w14:textId="77777777" w:rsidR="00BF6081" w:rsidRPr="00804648" w:rsidRDefault="00BF6081" w:rsidP="006F6FE5">
            <w:pPr>
              <w:pStyle w:val="TableText0"/>
            </w:pPr>
            <w:r w:rsidRPr="00804648">
              <w:t>Baseline, mean (SD)</w:t>
            </w:r>
          </w:p>
        </w:tc>
        <w:tc>
          <w:tcPr>
            <w:tcW w:w="641" w:type="pct"/>
          </w:tcPr>
          <w:p w14:paraId="1A5ECB5A" w14:textId="77777777" w:rsidR="00BF6081" w:rsidRPr="00804648" w:rsidRDefault="00BF6081" w:rsidP="006F6FE5">
            <w:pPr>
              <w:pStyle w:val="TableText0"/>
              <w:jc w:val="center"/>
            </w:pPr>
            <w:r w:rsidRPr="00804648">
              <w:t>16.6 (9.1)</w:t>
            </w:r>
          </w:p>
        </w:tc>
        <w:tc>
          <w:tcPr>
            <w:tcW w:w="730" w:type="pct"/>
          </w:tcPr>
          <w:p w14:paraId="41ABF910" w14:textId="77777777" w:rsidR="00BF6081" w:rsidRPr="00804648" w:rsidRDefault="00BF6081" w:rsidP="006F6FE5">
            <w:pPr>
              <w:pStyle w:val="TableText0"/>
              <w:jc w:val="center"/>
            </w:pPr>
            <w:r w:rsidRPr="00804648">
              <w:t>19.3 (11.4)</w:t>
            </w:r>
          </w:p>
        </w:tc>
        <w:tc>
          <w:tcPr>
            <w:tcW w:w="775" w:type="pct"/>
          </w:tcPr>
          <w:p w14:paraId="7D7EAB95" w14:textId="77777777" w:rsidR="00BF6081" w:rsidRPr="00804648" w:rsidRDefault="00BF6081" w:rsidP="006F6FE5">
            <w:pPr>
              <w:pStyle w:val="TableText0"/>
              <w:jc w:val="center"/>
            </w:pPr>
            <w:r w:rsidRPr="00804648">
              <w:t>19.9 (4.9)</w:t>
            </w:r>
          </w:p>
        </w:tc>
        <w:tc>
          <w:tcPr>
            <w:tcW w:w="667" w:type="pct"/>
          </w:tcPr>
          <w:p w14:paraId="7F896BFC" w14:textId="77777777" w:rsidR="00BF6081" w:rsidRPr="00804648" w:rsidRDefault="00BF6081" w:rsidP="006F6FE5">
            <w:pPr>
              <w:pStyle w:val="TableText0"/>
              <w:jc w:val="center"/>
            </w:pPr>
            <w:r w:rsidRPr="00804648">
              <w:t>19.0 (8.8)</w:t>
            </w:r>
          </w:p>
        </w:tc>
      </w:tr>
      <w:tr w:rsidR="00BF6081" w:rsidRPr="00804648" w14:paraId="780F2FDE" w14:textId="77777777" w:rsidTr="008C351B">
        <w:tc>
          <w:tcPr>
            <w:tcW w:w="2187" w:type="pct"/>
            <w:vAlign w:val="center"/>
          </w:tcPr>
          <w:p w14:paraId="715F3245" w14:textId="77777777" w:rsidR="00BF6081" w:rsidRPr="00804648" w:rsidRDefault="00BF6081" w:rsidP="006F6FE5">
            <w:pPr>
              <w:pStyle w:val="TableText0"/>
            </w:pPr>
            <w:r w:rsidRPr="00804648">
              <w:t>% change from baseline to Week 26, LS mean (SE)</w:t>
            </w:r>
          </w:p>
        </w:tc>
        <w:tc>
          <w:tcPr>
            <w:tcW w:w="641" w:type="pct"/>
            <w:vAlign w:val="center"/>
          </w:tcPr>
          <w:p w14:paraId="6C187A26" w14:textId="77777777" w:rsidR="00BF6081" w:rsidRPr="00804648" w:rsidRDefault="00BF6081" w:rsidP="006F6FE5">
            <w:pPr>
              <w:pStyle w:val="TableText0"/>
              <w:jc w:val="center"/>
            </w:pPr>
            <w:r w:rsidRPr="00804648">
              <w:t>-37.0 (3.9)</w:t>
            </w:r>
          </w:p>
        </w:tc>
        <w:tc>
          <w:tcPr>
            <w:tcW w:w="730" w:type="pct"/>
            <w:vAlign w:val="center"/>
          </w:tcPr>
          <w:p w14:paraId="0212F207" w14:textId="77777777" w:rsidR="00BF6081" w:rsidRPr="00804648" w:rsidRDefault="00BF6081" w:rsidP="006F6FE5">
            <w:pPr>
              <w:pStyle w:val="TableText0"/>
              <w:jc w:val="center"/>
            </w:pPr>
            <w:r w:rsidRPr="00804648">
              <w:noBreakHyphen/>
              <w:t>39.9 (1.5)</w:t>
            </w:r>
          </w:p>
        </w:tc>
        <w:tc>
          <w:tcPr>
            <w:tcW w:w="775" w:type="pct"/>
            <w:vAlign w:val="center"/>
          </w:tcPr>
          <w:p w14:paraId="2BDBB183" w14:textId="77777777" w:rsidR="00BF6081" w:rsidRPr="00804648" w:rsidRDefault="00BF6081" w:rsidP="006F6FE5">
            <w:pPr>
              <w:pStyle w:val="TableText0"/>
              <w:jc w:val="center"/>
              <w:rPr>
                <w:b/>
                <w:bCs w:val="0"/>
              </w:rPr>
            </w:pPr>
            <w:r w:rsidRPr="00804648">
              <w:noBreakHyphen/>
              <w:t>42.1 (3.7)</w:t>
            </w:r>
          </w:p>
        </w:tc>
        <w:tc>
          <w:tcPr>
            <w:tcW w:w="667" w:type="pct"/>
            <w:vAlign w:val="center"/>
          </w:tcPr>
          <w:p w14:paraId="2635C68F" w14:textId="77777777" w:rsidR="00BF6081" w:rsidRPr="00804648" w:rsidRDefault="00BF6081" w:rsidP="006F6FE5">
            <w:pPr>
              <w:pStyle w:val="TableText0"/>
              <w:jc w:val="center"/>
              <w:rPr>
                <w:b/>
                <w:bCs w:val="0"/>
              </w:rPr>
            </w:pPr>
            <w:r w:rsidRPr="00804648">
              <w:noBreakHyphen/>
              <w:t>40.0 (1.5)</w:t>
            </w:r>
          </w:p>
        </w:tc>
      </w:tr>
      <w:tr w:rsidR="00BF6081" w:rsidRPr="00804648" w14:paraId="397B4458" w14:textId="77777777" w:rsidTr="008C351B">
        <w:tc>
          <w:tcPr>
            <w:tcW w:w="2187" w:type="pct"/>
            <w:vAlign w:val="center"/>
          </w:tcPr>
          <w:p w14:paraId="79AC4245" w14:textId="77777777" w:rsidR="00BF6081" w:rsidRPr="00804648" w:rsidRDefault="00BF6081" w:rsidP="006F6FE5">
            <w:pPr>
              <w:pStyle w:val="TableText0"/>
            </w:pPr>
            <w:r w:rsidRPr="00804648">
              <w:t>% change from baseline to Week 52, LS mean (SE)</w:t>
            </w:r>
          </w:p>
        </w:tc>
        <w:tc>
          <w:tcPr>
            <w:tcW w:w="641" w:type="pct"/>
            <w:vAlign w:val="center"/>
          </w:tcPr>
          <w:p w14:paraId="60773D30" w14:textId="77777777" w:rsidR="00BF6081" w:rsidRPr="00804648" w:rsidRDefault="00BF6081" w:rsidP="006F6FE5">
            <w:pPr>
              <w:pStyle w:val="TableText0"/>
              <w:jc w:val="center"/>
            </w:pPr>
            <w:r w:rsidRPr="00804648">
              <w:t>-46.9 (1.6)</w:t>
            </w:r>
          </w:p>
        </w:tc>
        <w:tc>
          <w:tcPr>
            <w:tcW w:w="730" w:type="pct"/>
            <w:vAlign w:val="center"/>
          </w:tcPr>
          <w:p w14:paraId="59733879" w14:textId="77777777" w:rsidR="00BF6081" w:rsidRPr="00804648" w:rsidRDefault="00BF6081" w:rsidP="006F6FE5">
            <w:pPr>
              <w:pStyle w:val="TableText0"/>
              <w:jc w:val="center"/>
            </w:pPr>
            <w:r w:rsidRPr="00804648">
              <w:noBreakHyphen/>
              <w:t>46.0 (3.6)</w:t>
            </w:r>
          </w:p>
        </w:tc>
        <w:tc>
          <w:tcPr>
            <w:tcW w:w="775" w:type="pct"/>
            <w:vAlign w:val="center"/>
          </w:tcPr>
          <w:p w14:paraId="344A5239" w14:textId="77777777" w:rsidR="00BF6081" w:rsidRPr="00804648" w:rsidRDefault="00BF6081" w:rsidP="006F6FE5">
            <w:pPr>
              <w:pStyle w:val="TableText0"/>
              <w:jc w:val="center"/>
              <w:rPr>
                <w:b/>
                <w:bCs w:val="0"/>
              </w:rPr>
            </w:pPr>
            <w:r w:rsidRPr="00804648">
              <w:noBreakHyphen/>
              <w:t>54.6 (2.8)</w:t>
            </w:r>
          </w:p>
        </w:tc>
        <w:tc>
          <w:tcPr>
            <w:tcW w:w="667" w:type="pct"/>
            <w:vAlign w:val="center"/>
          </w:tcPr>
          <w:p w14:paraId="22412D80" w14:textId="77777777" w:rsidR="00BF6081" w:rsidRPr="00804648" w:rsidRDefault="00BF6081" w:rsidP="006F6FE5">
            <w:pPr>
              <w:pStyle w:val="TableText0"/>
              <w:jc w:val="center"/>
              <w:rPr>
                <w:b/>
                <w:bCs w:val="0"/>
              </w:rPr>
            </w:pPr>
            <w:r w:rsidRPr="00804648">
              <w:noBreakHyphen/>
              <w:t>49.2 (2.0)</w:t>
            </w:r>
          </w:p>
        </w:tc>
      </w:tr>
      <w:tr w:rsidR="00BF6081" w:rsidRPr="00804648" w14:paraId="2D08217F" w14:textId="77777777" w:rsidTr="008C351B">
        <w:tc>
          <w:tcPr>
            <w:tcW w:w="5000" w:type="pct"/>
            <w:gridSpan w:val="5"/>
            <w:vAlign w:val="center"/>
          </w:tcPr>
          <w:p w14:paraId="48F9AA54" w14:textId="77777777" w:rsidR="00BF6081" w:rsidRPr="00804648" w:rsidRDefault="00BF6081" w:rsidP="006F6FE5">
            <w:pPr>
              <w:pStyle w:val="TableText0"/>
              <w:rPr>
                <w:b/>
                <w:bCs w:val="0"/>
              </w:rPr>
            </w:pPr>
            <w:r w:rsidRPr="00804648">
              <w:rPr>
                <w:b/>
                <w:bCs w:val="0"/>
              </w:rPr>
              <w:t>Mean liver volume, MN</w:t>
            </w:r>
          </w:p>
        </w:tc>
      </w:tr>
      <w:tr w:rsidR="00BF6081" w:rsidRPr="00804648" w14:paraId="3A99C01F" w14:textId="77777777" w:rsidTr="008C351B">
        <w:tc>
          <w:tcPr>
            <w:tcW w:w="2187" w:type="pct"/>
            <w:vAlign w:val="center"/>
          </w:tcPr>
          <w:p w14:paraId="2BF9DBD5" w14:textId="77777777" w:rsidR="00BF6081" w:rsidRPr="00804648" w:rsidRDefault="00BF6081" w:rsidP="006F6FE5">
            <w:pPr>
              <w:pStyle w:val="TableText0"/>
            </w:pPr>
            <w:r w:rsidRPr="00804648">
              <w:t>Baseline, mean (SD)</w:t>
            </w:r>
          </w:p>
        </w:tc>
        <w:tc>
          <w:tcPr>
            <w:tcW w:w="641" w:type="pct"/>
          </w:tcPr>
          <w:p w14:paraId="2B7333ED" w14:textId="77777777" w:rsidR="00BF6081" w:rsidRPr="00804648" w:rsidRDefault="00BF6081" w:rsidP="006F6FE5">
            <w:pPr>
              <w:pStyle w:val="TableText0"/>
              <w:jc w:val="center"/>
            </w:pPr>
            <w:r w:rsidRPr="00804648">
              <w:t>2.3 (0.6)</w:t>
            </w:r>
          </w:p>
        </w:tc>
        <w:tc>
          <w:tcPr>
            <w:tcW w:w="730" w:type="pct"/>
          </w:tcPr>
          <w:p w14:paraId="7D9BD1C0" w14:textId="77777777" w:rsidR="00BF6081" w:rsidRPr="00804648" w:rsidRDefault="00BF6081" w:rsidP="006F6FE5">
            <w:pPr>
              <w:pStyle w:val="TableText0"/>
              <w:jc w:val="center"/>
            </w:pPr>
            <w:r w:rsidRPr="00804648">
              <w:t>2.7 (0.8)</w:t>
            </w:r>
          </w:p>
        </w:tc>
        <w:tc>
          <w:tcPr>
            <w:tcW w:w="775" w:type="pct"/>
          </w:tcPr>
          <w:p w14:paraId="5DCABDF7" w14:textId="77777777" w:rsidR="00BF6081" w:rsidRPr="00804648" w:rsidRDefault="00BF6081" w:rsidP="006F6FE5">
            <w:pPr>
              <w:pStyle w:val="TableText0"/>
              <w:jc w:val="center"/>
            </w:pPr>
            <w:r w:rsidRPr="00804648">
              <w:t>2.8 (0.8)</w:t>
            </w:r>
          </w:p>
        </w:tc>
        <w:tc>
          <w:tcPr>
            <w:tcW w:w="667" w:type="pct"/>
          </w:tcPr>
          <w:p w14:paraId="45E69974" w14:textId="77777777" w:rsidR="00BF6081" w:rsidRPr="00804648" w:rsidRDefault="00BF6081" w:rsidP="006F6FE5">
            <w:pPr>
              <w:pStyle w:val="TableText0"/>
              <w:jc w:val="center"/>
            </w:pPr>
            <w:r w:rsidRPr="00804648">
              <w:t>2.7 (0.7)</w:t>
            </w:r>
          </w:p>
        </w:tc>
      </w:tr>
      <w:tr w:rsidR="00BF6081" w:rsidRPr="00804648" w14:paraId="47CE7E01" w14:textId="77777777" w:rsidTr="008C351B">
        <w:tc>
          <w:tcPr>
            <w:tcW w:w="2187" w:type="pct"/>
            <w:vAlign w:val="center"/>
          </w:tcPr>
          <w:p w14:paraId="376C3BF4" w14:textId="77777777" w:rsidR="00BF6081" w:rsidRPr="00804648" w:rsidRDefault="00BF6081" w:rsidP="006F6FE5">
            <w:pPr>
              <w:pStyle w:val="TableText0"/>
            </w:pPr>
            <w:r w:rsidRPr="00804648">
              <w:t>% change from baseline to Week 26, LS mean (SE)</w:t>
            </w:r>
          </w:p>
        </w:tc>
        <w:tc>
          <w:tcPr>
            <w:tcW w:w="641" w:type="pct"/>
          </w:tcPr>
          <w:p w14:paraId="4E44DF8C" w14:textId="77777777" w:rsidR="00BF6081" w:rsidRPr="00804648" w:rsidRDefault="00BF6081" w:rsidP="006F6FE5">
            <w:pPr>
              <w:pStyle w:val="TableText0"/>
              <w:jc w:val="center"/>
            </w:pPr>
            <w:r w:rsidRPr="00804648">
              <w:t>-29.8 (4.3)</w:t>
            </w:r>
          </w:p>
        </w:tc>
        <w:tc>
          <w:tcPr>
            <w:tcW w:w="730" w:type="pct"/>
          </w:tcPr>
          <w:p w14:paraId="4340EAE1" w14:textId="77777777" w:rsidR="00BF6081" w:rsidRPr="00804648" w:rsidRDefault="00BF6081" w:rsidP="006F6FE5">
            <w:pPr>
              <w:pStyle w:val="TableText0"/>
              <w:jc w:val="center"/>
            </w:pPr>
            <w:r w:rsidRPr="00804648">
              <w:t>-32.5 (1.9)</w:t>
            </w:r>
          </w:p>
        </w:tc>
        <w:tc>
          <w:tcPr>
            <w:tcW w:w="775" w:type="pct"/>
          </w:tcPr>
          <w:p w14:paraId="2C7F9E98" w14:textId="77777777" w:rsidR="00BF6081" w:rsidRPr="00804648" w:rsidRDefault="00BF6081" w:rsidP="006F6FE5">
            <w:pPr>
              <w:pStyle w:val="TableText0"/>
              <w:jc w:val="center"/>
              <w:rPr>
                <w:b/>
                <w:bCs w:val="0"/>
              </w:rPr>
            </w:pPr>
            <w:r w:rsidRPr="00804648">
              <w:t>-34.9 (2.8)</w:t>
            </w:r>
          </w:p>
        </w:tc>
        <w:tc>
          <w:tcPr>
            <w:tcW w:w="667" w:type="pct"/>
          </w:tcPr>
          <w:p w14:paraId="36F3F36D" w14:textId="77777777" w:rsidR="00BF6081" w:rsidRPr="00804648" w:rsidRDefault="00BF6081" w:rsidP="006F6FE5">
            <w:pPr>
              <w:pStyle w:val="TableText0"/>
              <w:jc w:val="center"/>
              <w:rPr>
                <w:b/>
                <w:bCs w:val="0"/>
              </w:rPr>
            </w:pPr>
            <w:r w:rsidRPr="00804648">
              <w:t>-32.7 (1.4)</w:t>
            </w:r>
          </w:p>
        </w:tc>
      </w:tr>
      <w:tr w:rsidR="00BF6081" w:rsidRPr="00804648" w14:paraId="469768DC" w14:textId="77777777" w:rsidTr="008C351B">
        <w:tc>
          <w:tcPr>
            <w:tcW w:w="2187" w:type="pct"/>
            <w:vAlign w:val="center"/>
          </w:tcPr>
          <w:p w14:paraId="57C4CB4C" w14:textId="77777777" w:rsidR="00BF6081" w:rsidRPr="00804648" w:rsidRDefault="00BF6081" w:rsidP="006F6FE5">
            <w:pPr>
              <w:pStyle w:val="TableText0"/>
            </w:pPr>
            <w:r w:rsidRPr="00804648">
              <w:t>% change from baseline to Week 52 (SE)</w:t>
            </w:r>
          </w:p>
        </w:tc>
        <w:tc>
          <w:tcPr>
            <w:tcW w:w="641" w:type="pct"/>
          </w:tcPr>
          <w:p w14:paraId="33B801C5" w14:textId="77777777" w:rsidR="00BF6081" w:rsidRPr="00804648" w:rsidRDefault="00BF6081" w:rsidP="006F6FE5">
            <w:pPr>
              <w:pStyle w:val="TableText0"/>
              <w:jc w:val="center"/>
            </w:pPr>
            <w:r w:rsidRPr="00804648">
              <w:t>-41.3 (2.9)</w:t>
            </w:r>
          </w:p>
        </w:tc>
        <w:tc>
          <w:tcPr>
            <w:tcW w:w="730" w:type="pct"/>
          </w:tcPr>
          <w:p w14:paraId="3528B045" w14:textId="77777777" w:rsidR="00BF6081" w:rsidRPr="00804648" w:rsidRDefault="00BF6081" w:rsidP="006F6FE5">
            <w:pPr>
              <w:pStyle w:val="TableText0"/>
              <w:jc w:val="center"/>
            </w:pPr>
            <w:r w:rsidRPr="00804648">
              <w:t>-36.7 (2.7)</w:t>
            </w:r>
          </w:p>
        </w:tc>
        <w:tc>
          <w:tcPr>
            <w:tcW w:w="775" w:type="pct"/>
          </w:tcPr>
          <w:p w14:paraId="74FF0867" w14:textId="77777777" w:rsidR="00BF6081" w:rsidRPr="00804648" w:rsidRDefault="00BF6081" w:rsidP="006F6FE5">
            <w:pPr>
              <w:pStyle w:val="TableText0"/>
              <w:jc w:val="center"/>
              <w:rPr>
                <w:b/>
                <w:bCs w:val="0"/>
              </w:rPr>
            </w:pPr>
            <w:r w:rsidRPr="00804648">
              <w:t>-45.1 (2.0)</w:t>
            </w:r>
          </w:p>
        </w:tc>
        <w:tc>
          <w:tcPr>
            <w:tcW w:w="667" w:type="pct"/>
          </w:tcPr>
          <w:p w14:paraId="76F2403D" w14:textId="77777777" w:rsidR="00BF6081" w:rsidRPr="00804648" w:rsidRDefault="00BF6081" w:rsidP="006F6FE5">
            <w:pPr>
              <w:pStyle w:val="TableText0"/>
              <w:jc w:val="center"/>
              <w:rPr>
                <w:b/>
                <w:bCs w:val="0"/>
              </w:rPr>
            </w:pPr>
            <w:r w:rsidRPr="00804648">
              <w:t>-40.6 (2.7)</w:t>
            </w:r>
          </w:p>
        </w:tc>
      </w:tr>
      <w:tr w:rsidR="00BF6081" w:rsidRPr="00804648" w14:paraId="12B1B435" w14:textId="77777777" w:rsidTr="008C351B">
        <w:tc>
          <w:tcPr>
            <w:tcW w:w="5000" w:type="pct"/>
            <w:gridSpan w:val="5"/>
            <w:vAlign w:val="center"/>
          </w:tcPr>
          <w:p w14:paraId="399E8DC6" w14:textId="77777777" w:rsidR="00BF6081" w:rsidRPr="00804648" w:rsidRDefault="00BF6081" w:rsidP="006F6FE5">
            <w:pPr>
              <w:pStyle w:val="TableText0"/>
            </w:pPr>
            <w:r w:rsidRPr="00804648">
              <w:rPr>
                <w:b/>
                <w:bCs w:val="0"/>
              </w:rPr>
              <w:t>Mean platelet counts, 10</w:t>
            </w:r>
            <w:r w:rsidRPr="00804648">
              <w:rPr>
                <w:b/>
                <w:bCs w:val="0"/>
                <w:vertAlign w:val="superscript"/>
              </w:rPr>
              <w:t>9</w:t>
            </w:r>
            <w:r w:rsidRPr="00804648">
              <w:rPr>
                <w:b/>
                <w:bCs w:val="0"/>
              </w:rPr>
              <w:t>/L</w:t>
            </w:r>
          </w:p>
        </w:tc>
      </w:tr>
      <w:tr w:rsidR="00BF6081" w:rsidRPr="00804648" w14:paraId="3819E3C8" w14:textId="77777777" w:rsidTr="008C351B">
        <w:tc>
          <w:tcPr>
            <w:tcW w:w="2187" w:type="pct"/>
            <w:vAlign w:val="center"/>
          </w:tcPr>
          <w:p w14:paraId="465B0F79" w14:textId="77777777" w:rsidR="00BF6081" w:rsidRPr="00804648" w:rsidRDefault="00BF6081" w:rsidP="006F6FE5">
            <w:pPr>
              <w:pStyle w:val="TableText0"/>
            </w:pPr>
            <w:r w:rsidRPr="00804648">
              <w:t>Baseline, mean (SD)</w:t>
            </w:r>
          </w:p>
        </w:tc>
        <w:tc>
          <w:tcPr>
            <w:tcW w:w="641" w:type="pct"/>
          </w:tcPr>
          <w:p w14:paraId="2E6D73F8" w14:textId="77777777" w:rsidR="00BF6081" w:rsidRPr="00804648" w:rsidRDefault="00BF6081" w:rsidP="006F6FE5">
            <w:pPr>
              <w:pStyle w:val="TableText0"/>
              <w:jc w:val="center"/>
            </w:pPr>
            <w:r w:rsidRPr="00804648">
              <w:t>98.9 (9.3)</w:t>
            </w:r>
          </w:p>
        </w:tc>
        <w:tc>
          <w:tcPr>
            <w:tcW w:w="730" w:type="pct"/>
          </w:tcPr>
          <w:p w14:paraId="3806B0DC" w14:textId="77777777" w:rsidR="00BF6081" w:rsidRPr="00804648" w:rsidRDefault="00BF6081" w:rsidP="006F6FE5">
            <w:pPr>
              <w:pStyle w:val="TableText0"/>
              <w:jc w:val="center"/>
            </w:pPr>
            <w:r w:rsidRPr="00804648">
              <w:t>148.8 (87.5)</w:t>
            </w:r>
          </w:p>
        </w:tc>
        <w:tc>
          <w:tcPr>
            <w:tcW w:w="775" w:type="pct"/>
          </w:tcPr>
          <w:p w14:paraId="73BBB180" w14:textId="77777777" w:rsidR="00BF6081" w:rsidRPr="00804648" w:rsidRDefault="00BF6081" w:rsidP="006F6FE5">
            <w:pPr>
              <w:pStyle w:val="TableText0"/>
              <w:jc w:val="center"/>
            </w:pPr>
            <w:r w:rsidRPr="00804648">
              <w:t>145.7 (28.0)</w:t>
            </w:r>
          </w:p>
        </w:tc>
        <w:tc>
          <w:tcPr>
            <w:tcW w:w="667" w:type="pct"/>
          </w:tcPr>
          <w:p w14:paraId="02956394" w14:textId="77777777" w:rsidR="00BF6081" w:rsidRPr="00804648" w:rsidRDefault="00BF6081" w:rsidP="006F6FE5">
            <w:pPr>
              <w:pStyle w:val="TableText0"/>
              <w:jc w:val="center"/>
            </w:pPr>
            <w:r w:rsidRPr="00804648">
              <w:t>137.7 (62.3)</w:t>
            </w:r>
          </w:p>
        </w:tc>
      </w:tr>
      <w:tr w:rsidR="00BF6081" w:rsidRPr="00804648" w14:paraId="639F645E" w14:textId="77777777" w:rsidTr="008C351B">
        <w:tc>
          <w:tcPr>
            <w:tcW w:w="2187" w:type="pct"/>
            <w:vAlign w:val="center"/>
          </w:tcPr>
          <w:p w14:paraId="54444048" w14:textId="77777777" w:rsidR="00BF6081" w:rsidRPr="00804648" w:rsidRDefault="00BF6081" w:rsidP="006F6FE5">
            <w:pPr>
              <w:pStyle w:val="TableText0"/>
            </w:pPr>
            <w:r w:rsidRPr="00804648">
              <w:t>% change from baseline to Week 52, LS mean (SE)</w:t>
            </w:r>
          </w:p>
        </w:tc>
        <w:tc>
          <w:tcPr>
            <w:tcW w:w="641" w:type="pct"/>
          </w:tcPr>
          <w:p w14:paraId="5962E5B8" w14:textId="77777777" w:rsidR="00BF6081" w:rsidRPr="00804648" w:rsidRDefault="00BF6081" w:rsidP="006F6FE5">
            <w:pPr>
              <w:pStyle w:val="TableText0"/>
              <w:jc w:val="center"/>
            </w:pPr>
            <w:r w:rsidRPr="00804648">
              <w:t>45.0 (26.3)</w:t>
            </w:r>
          </w:p>
        </w:tc>
        <w:tc>
          <w:tcPr>
            <w:tcW w:w="730" w:type="pct"/>
          </w:tcPr>
          <w:p w14:paraId="42139C56" w14:textId="77777777" w:rsidR="00BF6081" w:rsidRPr="00804648" w:rsidRDefault="00BF6081" w:rsidP="006F6FE5">
            <w:pPr>
              <w:pStyle w:val="TableText0"/>
              <w:jc w:val="center"/>
            </w:pPr>
            <w:r w:rsidRPr="00804648">
              <w:t>30.7 (12.0)</w:t>
            </w:r>
          </w:p>
        </w:tc>
        <w:tc>
          <w:tcPr>
            <w:tcW w:w="775" w:type="pct"/>
          </w:tcPr>
          <w:p w14:paraId="05615694" w14:textId="77777777" w:rsidR="00BF6081" w:rsidRPr="00804648" w:rsidRDefault="00BF6081" w:rsidP="006F6FE5">
            <w:pPr>
              <w:pStyle w:val="TableText0"/>
              <w:jc w:val="center"/>
            </w:pPr>
            <w:r w:rsidRPr="00804648">
              <w:t>31.8 (8.1)</w:t>
            </w:r>
          </w:p>
        </w:tc>
        <w:tc>
          <w:tcPr>
            <w:tcW w:w="667" w:type="pct"/>
          </w:tcPr>
          <w:p w14:paraId="02431C40" w14:textId="77777777" w:rsidR="00BF6081" w:rsidRPr="00804648" w:rsidRDefault="00BF6081" w:rsidP="006F6FE5">
            <w:pPr>
              <w:pStyle w:val="TableText0"/>
              <w:jc w:val="center"/>
            </w:pPr>
            <w:r w:rsidRPr="00804648">
              <w:t>34.0 (7.6)</w:t>
            </w:r>
          </w:p>
        </w:tc>
      </w:tr>
      <w:tr w:rsidR="00BF6081" w:rsidRPr="00804648" w14:paraId="7612D6B3" w14:textId="77777777" w:rsidTr="008C351B">
        <w:tc>
          <w:tcPr>
            <w:tcW w:w="5000" w:type="pct"/>
            <w:gridSpan w:val="5"/>
            <w:vAlign w:val="center"/>
          </w:tcPr>
          <w:p w14:paraId="74DA4EED" w14:textId="4CE9E0B9" w:rsidR="00BF6081" w:rsidRPr="00804648" w:rsidRDefault="00BF6081" w:rsidP="006F6FE5">
            <w:pPr>
              <w:pStyle w:val="TableText0"/>
            </w:pPr>
            <w:r w:rsidRPr="00804648">
              <w:rPr>
                <w:b/>
                <w:bCs w:val="0"/>
              </w:rPr>
              <w:t xml:space="preserve">Mean % predicted </w:t>
            </w:r>
            <w:r w:rsidR="00BD6F49" w:rsidRPr="00804648">
              <w:rPr>
                <w:b/>
                <w:bCs w:val="0"/>
              </w:rPr>
              <w:t>DLco</w:t>
            </w:r>
            <w:r w:rsidRPr="00804648">
              <w:rPr>
                <w:b/>
                <w:bCs w:val="0"/>
                <w:vertAlign w:val="superscript"/>
              </w:rPr>
              <w:t>a</w:t>
            </w:r>
          </w:p>
        </w:tc>
      </w:tr>
      <w:tr w:rsidR="00BF6081" w:rsidRPr="00804648" w14:paraId="062CFCA1" w14:textId="77777777" w:rsidTr="008C351B">
        <w:tc>
          <w:tcPr>
            <w:tcW w:w="2187" w:type="pct"/>
            <w:vAlign w:val="center"/>
          </w:tcPr>
          <w:p w14:paraId="4BC393ED" w14:textId="77777777" w:rsidR="00BF6081" w:rsidRPr="00804648" w:rsidRDefault="00BF6081" w:rsidP="006F6FE5">
            <w:pPr>
              <w:pStyle w:val="TableText0"/>
            </w:pPr>
            <w:r w:rsidRPr="00804648">
              <w:t>Baseline, mean (SD)</w:t>
            </w:r>
          </w:p>
        </w:tc>
        <w:tc>
          <w:tcPr>
            <w:tcW w:w="641" w:type="pct"/>
          </w:tcPr>
          <w:p w14:paraId="290ED187" w14:textId="77777777" w:rsidR="00BF6081" w:rsidRPr="00804648" w:rsidRDefault="00BF6081" w:rsidP="006F6FE5">
            <w:pPr>
              <w:pStyle w:val="TableText0"/>
              <w:jc w:val="center"/>
            </w:pPr>
            <w:r w:rsidRPr="00804648">
              <w:t>53.4 (23.4)</w:t>
            </w:r>
          </w:p>
        </w:tc>
        <w:tc>
          <w:tcPr>
            <w:tcW w:w="730" w:type="pct"/>
          </w:tcPr>
          <w:p w14:paraId="3888E722" w14:textId="77777777" w:rsidR="00BF6081" w:rsidRPr="00804648" w:rsidRDefault="00BF6081" w:rsidP="006F6FE5">
            <w:pPr>
              <w:pStyle w:val="TableText0"/>
              <w:jc w:val="center"/>
            </w:pPr>
            <w:r w:rsidRPr="00804648">
              <w:t>55.5 (10.1)</w:t>
            </w:r>
          </w:p>
        </w:tc>
        <w:tc>
          <w:tcPr>
            <w:tcW w:w="775" w:type="pct"/>
          </w:tcPr>
          <w:p w14:paraId="7717DAF1" w14:textId="77777777" w:rsidR="00BF6081" w:rsidRPr="00804648" w:rsidRDefault="00BF6081" w:rsidP="006F6FE5">
            <w:pPr>
              <w:pStyle w:val="TableText0"/>
              <w:jc w:val="center"/>
            </w:pPr>
            <w:r w:rsidRPr="00804648">
              <w:t>-</w:t>
            </w:r>
          </w:p>
        </w:tc>
        <w:tc>
          <w:tcPr>
            <w:tcW w:w="667" w:type="pct"/>
          </w:tcPr>
          <w:p w14:paraId="6937365A" w14:textId="77777777" w:rsidR="00BF6081" w:rsidRPr="00804648" w:rsidRDefault="00BF6081" w:rsidP="006F6FE5">
            <w:pPr>
              <w:pStyle w:val="TableText0"/>
              <w:jc w:val="center"/>
            </w:pPr>
            <w:r w:rsidRPr="00804648">
              <w:t>54.8 (14.2)</w:t>
            </w:r>
          </w:p>
        </w:tc>
      </w:tr>
      <w:tr w:rsidR="00BF6081" w:rsidRPr="00804648" w14:paraId="70D72A2D" w14:textId="77777777" w:rsidTr="008C351B">
        <w:tc>
          <w:tcPr>
            <w:tcW w:w="2187" w:type="pct"/>
            <w:vAlign w:val="center"/>
          </w:tcPr>
          <w:p w14:paraId="06E46F7A" w14:textId="6535ED46" w:rsidR="00BF6081" w:rsidRPr="00804648" w:rsidRDefault="00BF6081" w:rsidP="006F6FE5">
            <w:pPr>
              <w:pStyle w:val="TableText0"/>
            </w:pPr>
            <w:r w:rsidRPr="00804648">
              <w:t>% change from baseline to Week 26, LS mean (SE)</w:t>
            </w:r>
          </w:p>
        </w:tc>
        <w:tc>
          <w:tcPr>
            <w:tcW w:w="641" w:type="pct"/>
          </w:tcPr>
          <w:p w14:paraId="04955DA3" w14:textId="77777777" w:rsidR="00BF6081" w:rsidRPr="00804648" w:rsidRDefault="00BF6081" w:rsidP="006F6FE5">
            <w:pPr>
              <w:pStyle w:val="TableText0"/>
              <w:jc w:val="center"/>
            </w:pPr>
            <w:r w:rsidRPr="00804648">
              <w:t>14.9 (6.2)</w:t>
            </w:r>
          </w:p>
        </w:tc>
        <w:tc>
          <w:tcPr>
            <w:tcW w:w="730" w:type="pct"/>
          </w:tcPr>
          <w:p w14:paraId="7135E02C" w14:textId="77777777" w:rsidR="00BF6081" w:rsidRPr="00804648" w:rsidRDefault="00BF6081" w:rsidP="006F6FE5">
            <w:pPr>
              <w:pStyle w:val="TableText0"/>
              <w:jc w:val="center"/>
            </w:pPr>
            <w:r w:rsidRPr="00804648">
              <w:t>22.1 (4.2)</w:t>
            </w:r>
          </w:p>
        </w:tc>
        <w:tc>
          <w:tcPr>
            <w:tcW w:w="775" w:type="pct"/>
          </w:tcPr>
          <w:p w14:paraId="3AE5ED66" w14:textId="77777777" w:rsidR="00BF6081" w:rsidRPr="00804648" w:rsidRDefault="00BF6081" w:rsidP="006F6FE5">
            <w:pPr>
              <w:pStyle w:val="TableText0"/>
              <w:jc w:val="center"/>
            </w:pPr>
            <w:r w:rsidRPr="00804648">
              <w:t>-</w:t>
            </w:r>
          </w:p>
        </w:tc>
        <w:tc>
          <w:tcPr>
            <w:tcW w:w="667" w:type="pct"/>
          </w:tcPr>
          <w:p w14:paraId="21D12DCF" w14:textId="77777777" w:rsidR="00BF6081" w:rsidRPr="00804648" w:rsidRDefault="00BF6081" w:rsidP="006F6FE5">
            <w:pPr>
              <w:pStyle w:val="TableText0"/>
              <w:jc w:val="center"/>
            </w:pPr>
            <w:r w:rsidRPr="00804648">
              <w:t>19.4 (3.7)</w:t>
            </w:r>
          </w:p>
        </w:tc>
      </w:tr>
      <w:tr w:rsidR="00BF6081" w:rsidRPr="00804648" w14:paraId="38367BF7" w14:textId="77777777" w:rsidTr="008C351B">
        <w:tc>
          <w:tcPr>
            <w:tcW w:w="2187" w:type="pct"/>
            <w:vAlign w:val="center"/>
          </w:tcPr>
          <w:p w14:paraId="0979E13C" w14:textId="60DC77C3" w:rsidR="00BF6081" w:rsidRPr="00804648" w:rsidRDefault="00BF6081" w:rsidP="006F6FE5">
            <w:pPr>
              <w:pStyle w:val="TableText0"/>
            </w:pPr>
            <w:r w:rsidRPr="00804648">
              <w:t>% change from baseline to Week 52, LS mean (SE)</w:t>
            </w:r>
          </w:p>
        </w:tc>
        <w:tc>
          <w:tcPr>
            <w:tcW w:w="641" w:type="pct"/>
          </w:tcPr>
          <w:p w14:paraId="23C26908" w14:textId="77777777" w:rsidR="00BF6081" w:rsidRPr="00804648" w:rsidRDefault="00BF6081" w:rsidP="006F6FE5">
            <w:pPr>
              <w:pStyle w:val="TableText0"/>
              <w:jc w:val="center"/>
            </w:pPr>
            <w:r w:rsidRPr="00804648">
              <w:t>28.0 (9.9)</w:t>
            </w:r>
          </w:p>
        </w:tc>
        <w:tc>
          <w:tcPr>
            <w:tcW w:w="730" w:type="pct"/>
          </w:tcPr>
          <w:p w14:paraId="74440E27" w14:textId="77777777" w:rsidR="00BF6081" w:rsidRPr="00804648" w:rsidRDefault="00BF6081" w:rsidP="006F6FE5">
            <w:pPr>
              <w:pStyle w:val="TableText0"/>
              <w:jc w:val="center"/>
            </w:pPr>
            <w:r w:rsidRPr="00804648">
              <w:t>35.4 (8.2)</w:t>
            </w:r>
          </w:p>
        </w:tc>
        <w:tc>
          <w:tcPr>
            <w:tcW w:w="775" w:type="pct"/>
          </w:tcPr>
          <w:p w14:paraId="71DFDB7C" w14:textId="77777777" w:rsidR="00BF6081" w:rsidRPr="00804648" w:rsidRDefault="00BF6081" w:rsidP="006F6FE5">
            <w:pPr>
              <w:pStyle w:val="TableText0"/>
              <w:jc w:val="center"/>
            </w:pPr>
            <w:r w:rsidRPr="00804648">
              <w:t>-</w:t>
            </w:r>
          </w:p>
        </w:tc>
        <w:tc>
          <w:tcPr>
            <w:tcW w:w="667" w:type="pct"/>
          </w:tcPr>
          <w:p w14:paraId="33F424DA" w14:textId="77777777" w:rsidR="00BF6081" w:rsidRPr="00804648" w:rsidRDefault="00BF6081" w:rsidP="006F6FE5">
            <w:pPr>
              <w:pStyle w:val="TableText0"/>
              <w:jc w:val="center"/>
            </w:pPr>
            <w:r w:rsidRPr="00804648">
              <w:t>32.9 (8.3)</w:t>
            </w:r>
          </w:p>
        </w:tc>
      </w:tr>
    </w:tbl>
    <w:p w14:paraId="1D3E721F" w14:textId="77777777" w:rsidR="00BF6081" w:rsidRPr="00804648" w:rsidRDefault="00BF6081" w:rsidP="00BF6081">
      <w:pPr>
        <w:pStyle w:val="FooterTableFigure"/>
      </w:pPr>
      <w:r w:rsidRPr="00804648">
        <w:t>Source: Table 2.2.36, p80, Table 2.2.37, p81, Table 2.2.38, p82, Table 2.2.39, p83 of the submission.</w:t>
      </w:r>
    </w:p>
    <w:p w14:paraId="7FACDC5C" w14:textId="2EB2AD1B" w:rsidR="00BF6081" w:rsidRPr="00804648" w:rsidRDefault="00BF6081" w:rsidP="00BF6081">
      <w:pPr>
        <w:pStyle w:val="FooterTableFigure"/>
      </w:pPr>
      <w:r w:rsidRPr="00804648">
        <w:t xml:space="preserve">BSC = best supportive care, CI = confidence interval, </w:t>
      </w:r>
      <w:r w:rsidR="00BD6F49" w:rsidRPr="00804648">
        <w:t>DLco</w:t>
      </w:r>
      <w:r w:rsidRPr="00804648">
        <w:t xml:space="preserve"> = diffusing capacity of the lung for carbon monoxide, LS = least squares, MN = multiples of normal, </w:t>
      </w:r>
      <w:r w:rsidRPr="00804648">
        <w:rPr>
          <w:rFonts w:eastAsia="Calibri"/>
        </w:rPr>
        <w:t>N = total participants in group,</w:t>
      </w:r>
      <w:r w:rsidRPr="00804648">
        <w:t xml:space="preserve"> SD = standard deviation, SE = standard error.</w:t>
      </w:r>
    </w:p>
    <w:p w14:paraId="63548EA8" w14:textId="4EEA38E0" w:rsidR="00856B51" w:rsidRPr="00804648" w:rsidRDefault="00BD6F49" w:rsidP="00BF6081">
      <w:pPr>
        <w:pStyle w:val="FooterTableFigure"/>
      </w:pPr>
      <w:r w:rsidRPr="00804648">
        <w:t>A</w:t>
      </w:r>
      <w:r w:rsidR="00BF6081" w:rsidRPr="00804648">
        <w:t xml:space="preserve"> </w:t>
      </w:r>
      <w:r w:rsidRPr="00804648">
        <w:t>DLco</w:t>
      </w:r>
      <w:r w:rsidR="00BF6081" w:rsidRPr="00804648">
        <w:t xml:space="preserve"> was evaluated in 9 paediatric patients aged ≥ 5 years who were able to perform the test.</w:t>
      </w:r>
    </w:p>
    <w:p w14:paraId="14214920" w14:textId="7D6FB426" w:rsidR="00DA3167" w:rsidRPr="00804648" w:rsidRDefault="00856B51" w:rsidP="00856B51">
      <w:pPr>
        <w:pStyle w:val="3-BodyText"/>
      </w:pPr>
      <w:r w:rsidRPr="00804648">
        <w:rPr>
          <w:snapToGrid/>
        </w:rPr>
        <w:t xml:space="preserve">Treatment with olipudase alfa resulted in improvements in mean percent change in spleen volume, liver volume, platelet counts, and </w:t>
      </w:r>
      <w:r w:rsidR="00BD6F49" w:rsidRPr="00804648">
        <w:rPr>
          <w:snapToGrid/>
        </w:rPr>
        <w:t>DLco</w:t>
      </w:r>
      <w:r w:rsidRPr="00804648">
        <w:rPr>
          <w:snapToGrid/>
        </w:rPr>
        <w:t xml:space="preserve"> (percent predicted) from baseline to week 52. Furthermore, height Z-scores improved in 15 patients (7</w:t>
      </w:r>
      <w:r w:rsidR="000F5B64" w:rsidRPr="00804648">
        <w:rPr>
          <w:snapToGrid/>
        </w:rPr>
        <w:t>9</w:t>
      </w:r>
      <w:r w:rsidRPr="00804648">
        <w:rPr>
          <w:snapToGrid/>
        </w:rPr>
        <w:t>%) and remained the same in four (21%), with an overall improvement of 0.6 in mean height Z-scores at week 52. However, the causality of this reduction to treatment cannot be established in the absence of a control</w:t>
      </w:r>
      <w:r w:rsidR="00504381" w:rsidRPr="00804648">
        <w:rPr>
          <w:snapToGrid/>
        </w:rPr>
        <w:t xml:space="preserve"> group</w:t>
      </w:r>
      <w:r w:rsidRPr="00804648">
        <w:rPr>
          <w:snapToGrid/>
        </w:rPr>
        <w:t>.</w:t>
      </w:r>
    </w:p>
    <w:p w14:paraId="2864DD92" w14:textId="4C7F99FD" w:rsidR="00A82FB7" w:rsidRPr="00804648" w:rsidRDefault="00A82FB7" w:rsidP="00A01FCA">
      <w:pPr>
        <w:pStyle w:val="3-BodyText"/>
        <w:rPr>
          <w:snapToGrid/>
        </w:rPr>
      </w:pPr>
      <w:r w:rsidRPr="00804648">
        <w:rPr>
          <w:snapToGrid/>
        </w:rPr>
        <w:fldChar w:fldCharType="begin" w:fldLock="1"/>
      </w:r>
      <w:r w:rsidRPr="00804648">
        <w:rPr>
          <w:snapToGrid/>
        </w:rPr>
        <w:instrText xml:space="preserve"> REF _Ref134974158 \h </w:instrText>
      </w:r>
      <w:r w:rsidR="00A01FCA" w:rsidRPr="00804648">
        <w:rPr>
          <w:snapToGrid/>
        </w:rPr>
        <w:instrText xml:space="preserve"> \* MERGEFORMAT </w:instrText>
      </w:r>
      <w:r w:rsidRPr="00804648">
        <w:rPr>
          <w:snapToGrid/>
        </w:rPr>
      </w:r>
      <w:r w:rsidRPr="00804648">
        <w:rPr>
          <w:snapToGrid/>
        </w:rPr>
        <w:fldChar w:fldCharType="separate"/>
      </w:r>
      <w:r w:rsidR="005D02DA" w:rsidRPr="00804648">
        <w:rPr>
          <w:snapToGrid/>
        </w:rPr>
        <w:t>Figure 3</w:t>
      </w:r>
      <w:r w:rsidRPr="00804648">
        <w:rPr>
          <w:snapToGrid/>
        </w:rPr>
        <w:fldChar w:fldCharType="end"/>
      </w:r>
      <w:r w:rsidRPr="00804648">
        <w:rPr>
          <w:snapToGrid/>
        </w:rPr>
        <w:t xml:space="preserve"> and </w:t>
      </w:r>
      <w:r w:rsidRPr="00804648">
        <w:rPr>
          <w:snapToGrid/>
        </w:rPr>
        <w:fldChar w:fldCharType="begin" w:fldLock="1"/>
      </w:r>
      <w:r w:rsidRPr="00804648">
        <w:rPr>
          <w:snapToGrid/>
        </w:rPr>
        <w:instrText xml:space="preserve"> REF _Ref134974164 \h </w:instrText>
      </w:r>
      <w:r w:rsidR="00A01FCA" w:rsidRPr="00804648">
        <w:rPr>
          <w:snapToGrid/>
        </w:rPr>
        <w:instrText xml:space="preserve"> \* MERGEFORMAT </w:instrText>
      </w:r>
      <w:r w:rsidRPr="00804648">
        <w:rPr>
          <w:snapToGrid/>
        </w:rPr>
      </w:r>
      <w:r w:rsidRPr="00804648">
        <w:rPr>
          <w:snapToGrid/>
        </w:rPr>
        <w:fldChar w:fldCharType="separate"/>
      </w:r>
      <w:r w:rsidR="005D02DA" w:rsidRPr="00804648">
        <w:rPr>
          <w:snapToGrid/>
        </w:rPr>
        <w:t>Figure 4</w:t>
      </w:r>
      <w:r w:rsidRPr="00804648">
        <w:rPr>
          <w:snapToGrid/>
        </w:rPr>
        <w:fldChar w:fldCharType="end"/>
      </w:r>
      <w:r w:rsidRPr="00804648">
        <w:rPr>
          <w:snapToGrid/>
        </w:rPr>
        <w:t xml:space="preserve"> presents the plot</w:t>
      </w:r>
      <w:r w:rsidR="001F6BC5" w:rsidRPr="00804648">
        <w:rPr>
          <w:snapToGrid/>
        </w:rPr>
        <w:t>s</w:t>
      </w:r>
      <w:r w:rsidRPr="00804648">
        <w:rPr>
          <w:snapToGrid/>
        </w:rPr>
        <w:t xml:space="preserve"> of spleen volume and liver volume</w:t>
      </w:r>
      <w:r w:rsidR="00903B84" w:rsidRPr="00804648">
        <w:rPr>
          <w:snapToGrid/>
        </w:rPr>
        <w:t>, respectively,</w:t>
      </w:r>
      <w:r w:rsidRPr="00804648">
        <w:rPr>
          <w:snapToGrid/>
        </w:rPr>
        <w:t xml:space="preserve"> </w:t>
      </w:r>
      <w:r w:rsidR="001F6BC5" w:rsidRPr="00804648">
        <w:rPr>
          <w:snapToGrid/>
        </w:rPr>
        <w:t xml:space="preserve">for individual patients over time in the ASCEND-peds trial. </w:t>
      </w:r>
    </w:p>
    <w:p w14:paraId="4094F019" w14:textId="11C973C3" w:rsidR="00A82FB7" w:rsidRPr="00804648" w:rsidRDefault="00A82FB7" w:rsidP="00A82FB7">
      <w:pPr>
        <w:pStyle w:val="Caption"/>
      </w:pPr>
      <w:bookmarkStart w:id="36" w:name="_Ref134974158"/>
      <w:r w:rsidRPr="00804648">
        <w:lastRenderedPageBreak/>
        <w:t xml:space="preserve">Figure </w:t>
      </w:r>
      <w:fldSimple w:instr=" SEQ Figure \* ARABIC " w:fldLock="1">
        <w:r w:rsidR="005D02DA" w:rsidRPr="00804648">
          <w:t>3</w:t>
        </w:r>
      </w:fldSimple>
      <w:bookmarkEnd w:id="36"/>
      <w:r w:rsidRPr="00804648">
        <w:t xml:space="preserve">: </w:t>
      </w:r>
      <w:r w:rsidR="001F6BC5" w:rsidRPr="00804648">
        <w:rPr>
          <w:rStyle w:val="TableFigureHeadingChar"/>
          <w:b/>
          <w:bCs/>
        </w:rPr>
        <w:t>Plot of spleen volume for individual patients over time in the ASCEND-peds trial</w:t>
      </w:r>
    </w:p>
    <w:p w14:paraId="2CCBC28E" w14:textId="08033C2A" w:rsidR="00A82FB7" w:rsidRPr="00804648" w:rsidRDefault="001F6BC5" w:rsidP="00A82FB7">
      <w:r w:rsidRPr="00804648">
        <w:rPr>
          <w:noProof/>
        </w:rPr>
        <w:drawing>
          <wp:inline distT="0" distB="0" distL="0" distR="0" wp14:anchorId="7F27C6FC" wp14:editId="6F0F3511">
            <wp:extent cx="4781550" cy="3103108"/>
            <wp:effectExtent l="0" t="0" r="0" b="2540"/>
            <wp:docPr id="23" name="Picture 23" descr="Figure 3: Plot of spleen volume for individual patients over time in the ASCEND-ped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3: Plot of spleen volume for individual patients over time in the ASCEND-peds tri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4736" cy="3118155"/>
                    </a:xfrm>
                    <a:prstGeom prst="rect">
                      <a:avLst/>
                    </a:prstGeom>
                    <a:noFill/>
                  </pic:spPr>
                </pic:pic>
              </a:graphicData>
            </a:graphic>
          </wp:inline>
        </w:drawing>
      </w:r>
    </w:p>
    <w:p w14:paraId="1FF38267" w14:textId="74053B54" w:rsidR="00A82FB7" w:rsidRPr="00804648" w:rsidRDefault="00A82FB7" w:rsidP="00A82FB7">
      <w:pPr>
        <w:pStyle w:val="FooterTableFigure"/>
      </w:pPr>
      <w:r w:rsidRPr="00804648">
        <w:t>Source: Figure 2.2.</w:t>
      </w:r>
      <w:r w:rsidR="001F6BC5" w:rsidRPr="00804648">
        <w:t>14</w:t>
      </w:r>
      <w:r w:rsidRPr="00804648">
        <w:t>, p</w:t>
      </w:r>
      <w:r w:rsidR="001F6BC5" w:rsidRPr="00804648">
        <w:t>81</w:t>
      </w:r>
      <w:r w:rsidRPr="00804648">
        <w:t xml:space="preserve"> of the submission. </w:t>
      </w:r>
    </w:p>
    <w:p w14:paraId="35701FC9" w14:textId="3573BB8C" w:rsidR="001F6BC5" w:rsidRPr="00804648" w:rsidRDefault="00A82FB7" w:rsidP="00A82FB7">
      <w:pPr>
        <w:pStyle w:val="FooterTableFigure"/>
      </w:pPr>
      <w:r w:rsidRPr="00804648">
        <w:t>MN = multiple of normal</w:t>
      </w:r>
      <w:r w:rsidR="001F6BC5" w:rsidRPr="00804648">
        <w:t>, n = number of participants.</w:t>
      </w:r>
    </w:p>
    <w:p w14:paraId="30A2C902" w14:textId="7C6BAE9A" w:rsidR="00A82FB7" w:rsidRPr="00804648" w:rsidRDefault="00A82FB7" w:rsidP="00A82FB7">
      <w:pPr>
        <w:pStyle w:val="TableFigureHeading"/>
        <w:rPr>
          <w:rStyle w:val="TableFigureHeadingChar"/>
          <w:b/>
          <w:bCs/>
        </w:rPr>
      </w:pPr>
      <w:bookmarkStart w:id="37" w:name="_Ref134974164"/>
      <w:r w:rsidRPr="00804648">
        <w:t xml:space="preserve">Figure </w:t>
      </w:r>
      <w:fldSimple w:instr=" SEQ Figure \* ARABIC " w:fldLock="1">
        <w:r w:rsidR="005D02DA" w:rsidRPr="00804648">
          <w:t>4</w:t>
        </w:r>
      </w:fldSimple>
      <w:bookmarkEnd w:id="37"/>
      <w:r w:rsidRPr="00804648">
        <w:rPr>
          <w:rStyle w:val="TableFigureHeadingChar"/>
          <w:b/>
          <w:bCs/>
        </w:rPr>
        <w:t xml:space="preserve">: </w:t>
      </w:r>
      <w:r w:rsidR="001F6BC5" w:rsidRPr="00804648">
        <w:rPr>
          <w:rStyle w:val="TableFigureHeadingChar"/>
          <w:b/>
          <w:bCs/>
        </w:rPr>
        <w:t>Plot of liver volume for individual patients over time in the ASCEND-peds trial</w:t>
      </w:r>
    </w:p>
    <w:p w14:paraId="70061097" w14:textId="6DAF5332" w:rsidR="00A82FB7" w:rsidRPr="00804648" w:rsidRDefault="001F6BC5" w:rsidP="00A82FB7">
      <w:r w:rsidRPr="00804648">
        <w:rPr>
          <w:noProof/>
        </w:rPr>
        <w:drawing>
          <wp:inline distT="0" distB="0" distL="0" distR="0" wp14:anchorId="7A179913" wp14:editId="64D2F1D1">
            <wp:extent cx="4781550" cy="3057013"/>
            <wp:effectExtent l="0" t="0" r="0" b="0"/>
            <wp:docPr id="44" name="Picture 44" descr="Figure 4: Plot of liver volume for individual patients over time in the ASCEND-peds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4: Plot of liver volume for individual patients over time in the ASCEND-peds tri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5076" cy="3065660"/>
                    </a:xfrm>
                    <a:prstGeom prst="rect">
                      <a:avLst/>
                    </a:prstGeom>
                    <a:noFill/>
                  </pic:spPr>
                </pic:pic>
              </a:graphicData>
            </a:graphic>
          </wp:inline>
        </w:drawing>
      </w:r>
    </w:p>
    <w:p w14:paraId="33B759E8" w14:textId="0BFAAF9B" w:rsidR="00A82FB7" w:rsidRPr="00804648" w:rsidRDefault="00A82FB7" w:rsidP="00A82FB7">
      <w:pPr>
        <w:pStyle w:val="FooterTableFigure"/>
      </w:pPr>
      <w:r w:rsidRPr="00804648">
        <w:t>Source: Figure 2.2.</w:t>
      </w:r>
      <w:r w:rsidR="001F6BC5" w:rsidRPr="00804648">
        <w:t>15</w:t>
      </w:r>
      <w:r w:rsidRPr="00804648">
        <w:t>, p</w:t>
      </w:r>
      <w:r w:rsidR="001F6BC5" w:rsidRPr="00804648">
        <w:t>82</w:t>
      </w:r>
      <w:r w:rsidRPr="00804648">
        <w:t xml:space="preserve"> of the submission. </w:t>
      </w:r>
    </w:p>
    <w:p w14:paraId="346BC2CC" w14:textId="63DD037F" w:rsidR="00A82FB7" w:rsidRPr="00804648" w:rsidRDefault="00A82FB7" w:rsidP="00AB2E75">
      <w:pPr>
        <w:pStyle w:val="FooterTableFigure"/>
      </w:pPr>
      <w:r w:rsidRPr="00804648">
        <w:t xml:space="preserve">Adj = adjusted, </w:t>
      </w:r>
      <w:r w:rsidR="00BD6F49" w:rsidRPr="00804648">
        <w:t>DLco</w:t>
      </w:r>
      <w:r w:rsidRPr="00804648">
        <w:t xml:space="preserve"> = diffusing capacity of the lung for carbon monoxide, Hb = haemoglobin</w:t>
      </w:r>
    </w:p>
    <w:p w14:paraId="74735595" w14:textId="2FD65EE3" w:rsidR="00053277" w:rsidRPr="00804648" w:rsidRDefault="00053277" w:rsidP="0093408A">
      <w:pPr>
        <w:pStyle w:val="5-SubsectionSubheading"/>
      </w:pPr>
      <w:r w:rsidRPr="00804648">
        <w:lastRenderedPageBreak/>
        <w:t>SPHINGO-100</w:t>
      </w:r>
      <w:r w:rsidR="00E72E4F" w:rsidRPr="00804648">
        <w:t xml:space="preserve"> single arm study</w:t>
      </w:r>
      <w:r w:rsidR="0050065D" w:rsidRPr="00804648">
        <w:t xml:space="preserve"> </w:t>
      </w:r>
      <w:r w:rsidR="00E72E4F" w:rsidRPr="00804648">
        <w:t>(</w:t>
      </w:r>
      <w:r w:rsidR="0050065D" w:rsidRPr="00804648">
        <w:t>ASMD</w:t>
      </w:r>
      <w:r w:rsidR="00850981" w:rsidRPr="00804648">
        <w:t xml:space="preserve"> natural history</w:t>
      </w:r>
      <w:r w:rsidR="00E72E4F" w:rsidRPr="00804648">
        <w:t>)</w:t>
      </w:r>
    </w:p>
    <w:p w14:paraId="0B4386F8" w14:textId="01754906" w:rsidR="003E1880" w:rsidRPr="00804648" w:rsidRDefault="00A82FB7" w:rsidP="00903B84">
      <w:pPr>
        <w:pStyle w:val="3-BodyText"/>
        <w:keepNext/>
        <w:keepLines/>
      </w:pPr>
      <w:r w:rsidRPr="00804648">
        <w:t xml:space="preserve">SPHINGO-100 enrolled 30 paediatric patients (≥6 and &lt;18 years) and 29 adult patients (≥18 years) with a diagnosis of ASMD type B (including type A/B). The median age of the paediatric group of SPHINGO-100 at baseline was 12 years (range: 7, 17). </w:t>
      </w:r>
      <w:r w:rsidR="003E1880" w:rsidRPr="00804648">
        <w:t xml:space="preserve">In SPHINGO-100, common clinical characteristics that tended to worsen gradually with time were splenomegaly, hepatomegaly, </w:t>
      </w:r>
      <w:r w:rsidR="00903B84" w:rsidRPr="00804648">
        <w:t>interstitial lung disease (</w:t>
      </w:r>
      <w:r w:rsidR="003E1880" w:rsidRPr="00804648">
        <w:t>ILD</w:t>
      </w:r>
      <w:r w:rsidR="00903B84" w:rsidRPr="00804648">
        <w:t>)</w:t>
      </w:r>
      <w:r w:rsidR="003E1880" w:rsidRPr="00804648">
        <w:t xml:space="preserve">, </w:t>
      </w:r>
      <w:r w:rsidR="00BD6F49" w:rsidRPr="00804648">
        <w:t>DLco</w:t>
      </w:r>
      <w:r w:rsidR="003E1880" w:rsidRPr="00804648">
        <w:t xml:space="preserve"> and dyslipidaemia. The results for paediatric patients are presented below:</w:t>
      </w:r>
    </w:p>
    <w:p w14:paraId="389DA007" w14:textId="7559518F" w:rsidR="003E1880" w:rsidRPr="00804648" w:rsidRDefault="003E1880" w:rsidP="00903B84">
      <w:pPr>
        <w:pStyle w:val="ListParagraph"/>
        <w:ind w:left="993" w:hanging="284"/>
      </w:pPr>
      <w:r w:rsidRPr="00804648">
        <w:t xml:space="preserve">Approximately 50% of the paediatric patients had an increase in spleen volume (range: 2%, 15%), while the remaining patients had no change or decrease in spleen volume (range: 0%, 19%) between the baseline and first year visit. </w:t>
      </w:r>
    </w:p>
    <w:p w14:paraId="1210EE68" w14:textId="0B711638" w:rsidR="003E1880" w:rsidRPr="00804648" w:rsidRDefault="003E1880" w:rsidP="00903B84">
      <w:pPr>
        <w:pStyle w:val="ListParagraph"/>
        <w:ind w:left="993" w:hanging="284"/>
      </w:pPr>
      <w:r w:rsidRPr="00804648">
        <w:t>Mean liver volume in the paediatric group did not change significantly over time</w:t>
      </w:r>
      <w:r w:rsidR="007904EE" w:rsidRPr="00804648">
        <w:t>.</w:t>
      </w:r>
    </w:p>
    <w:p w14:paraId="2E96D8A9" w14:textId="3F974617" w:rsidR="003E1880" w:rsidRPr="00804648" w:rsidRDefault="003E1880" w:rsidP="00903B84">
      <w:pPr>
        <w:pStyle w:val="ListParagraph"/>
        <w:ind w:left="993" w:hanging="284"/>
      </w:pPr>
      <w:r w:rsidRPr="00804648">
        <w:t>Platelet counts decreased from baseline to the final visit</w:t>
      </w:r>
      <w:r w:rsidR="005E1FA3" w:rsidRPr="00804648">
        <w:t xml:space="preserve"> (ranging from 4.5 to 11 years)</w:t>
      </w:r>
      <w:r w:rsidRPr="00804648">
        <w:t xml:space="preserve"> in paediatric patients, with a mean change from baseline of − 41%.</w:t>
      </w:r>
    </w:p>
    <w:p w14:paraId="6C028CCE" w14:textId="2668AF6F" w:rsidR="003E1880" w:rsidRPr="00804648" w:rsidRDefault="003E1880" w:rsidP="00903B84">
      <w:pPr>
        <w:pStyle w:val="ListParagraph"/>
        <w:ind w:left="993" w:hanging="284"/>
      </w:pPr>
      <w:r w:rsidRPr="00804648">
        <w:t>The median percent decrease</w:t>
      </w:r>
      <w:r w:rsidR="009809AC" w:rsidRPr="00804648">
        <w:t xml:space="preserve"> in </w:t>
      </w:r>
      <w:r w:rsidR="00BD6F49" w:rsidRPr="00804648">
        <w:t>DLco</w:t>
      </w:r>
      <w:r w:rsidRPr="00804648">
        <w:t xml:space="preserve"> from baseline to the final visit was 1</w:t>
      </w:r>
      <w:r w:rsidR="000F5B64" w:rsidRPr="00804648">
        <w:t>3</w:t>
      </w:r>
      <w:r w:rsidRPr="00804648">
        <w:t>% (</w:t>
      </w:r>
      <w:r w:rsidR="00C015CC" w:rsidRPr="00804648">
        <w:t>range: −</w:t>
      </w:r>
      <w:r w:rsidRPr="00804648">
        <w:t>55, 141), indicating an increased impairment of diffusion capacity.</w:t>
      </w:r>
    </w:p>
    <w:p w14:paraId="1E0CBE35" w14:textId="2FCCA7A3" w:rsidR="003546FA" w:rsidRPr="0093408A" w:rsidRDefault="00B26A7C" w:rsidP="0093408A">
      <w:pPr>
        <w:pStyle w:val="5-SubsectionSubheading"/>
      </w:pPr>
      <w:r w:rsidRPr="00804648">
        <w:t>C</w:t>
      </w:r>
      <w:r w:rsidR="003546FA" w:rsidRPr="00804648">
        <w:t>omparison of ASCEND-peds and SPHINGO-100</w:t>
      </w:r>
    </w:p>
    <w:p w14:paraId="2FFA9D51" w14:textId="5884A6D6" w:rsidR="00F04CD9" w:rsidRPr="00804648" w:rsidRDefault="00F04CD9" w:rsidP="00F04CD9">
      <w:pPr>
        <w:pStyle w:val="3-BodyText"/>
        <w:rPr>
          <w:snapToGrid/>
        </w:rPr>
      </w:pPr>
      <w:r w:rsidRPr="00804648">
        <w:rPr>
          <w:snapToGrid/>
        </w:rPr>
        <w:t>The submission presented a</w:t>
      </w:r>
      <w:r w:rsidR="006D301F" w:rsidRPr="00804648">
        <w:rPr>
          <w:snapToGrid/>
        </w:rPr>
        <w:t>n</w:t>
      </w:r>
      <w:r w:rsidRPr="00804648">
        <w:rPr>
          <w:snapToGrid/>
        </w:rPr>
        <w:t xml:space="preserve"> </w:t>
      </w:r>
      <w:r w:rsidR="006D301F" w:rsidRPr="00804648">
        <w:rPr>
          <w:snapToGrid/>
        </w:rPr>
        <w:t>unanchored and</w:t>
      </w:r>
      <w:r w:rsidR="008E3BB1" w:rsidRPr="00804648">
        <w:rPr>
          <w:snapToGrid/>
        </w:rPr>
        <w:t xml:space="preserve"> partially</w:t>
      </w:r>
      <w:r w:rsidR="006D301F" w:rsidRPr="00804648">
        <w:rPr>
          <w:snapToGrid/>
        </w:rPr>
        <w:t xml:space="preserve"> adjusted </w:t>
      </w:r>
      <w:r w:rsidRPr="00804648">
        <w:rPr>
          <w:snapToGrid/>
        </w:rPr>
        <w:t>comparison of patients from the ASCEND-peds and paediatric patients from the natural history, SPHINGO-100, to assess the comparative effectiveness of olipudase alfa versus BSC in paediatric patients</w:t>
      </w:r>
      <w:r w:rsidR="00353FCA" w:rsidRPr="00804648">
        <w:rPr>
          <w:snapToGrid/>
        </w:rPr>
        <w:t>.</w:t>
      </w:r>
    </w:p>
    <w:p w14:paraId="214F5AD3" w14:textId="3CE85274" w:rsidR="00353FCA" w:rsidRPr="00804648" w:rsidRDefault="00353FCA" w:rsidP="00353FCA">
      <w:pPr>
        <w:pStyle w:val="3-BodyText"/>
      </w:pPr>
      <w:r w:rsidRPr="00804648">
        <w:t xml:space="preserve">Across ASCEND-peds and SPHINGO-100, no statistically significant differences were observed in most of the demographic baseline characteristics except for mean age (9.9 years in ASCEND-peds compared to 12.9 in SPHINGO-100) and sphingomyelin in plasma (394.6 mg/L in ASCEND-peds compared to 551.3 mg/L in SPHINGO 100). </w:t>
      </w:r>
      <w:r w:rsidR="006E429B" w:rsidRPr="00804648">
        <w:t>The evaluation considered that t</w:t>
      </w:r>
      <w:r w:rsidRPr="00804648">
        <w:t>he impact of these differences on trial outcomes is not clear.</w:t>
      </w:r>
    </w:p>
    <w:p w14:paraId="097FB328" w14:textId="704C8CEA" w:rsidR="00353FCA" w:rsidRPr="00804648" w:rsidRDefault="00353FCA" w:rsidP="006F6FE5">
      <w:pPr>
        <w:pStyle w:val="3-BodyText"/>
        <w:rPr>
          <w:snapToGrid/>
        </w:rPr>
      </w:pPr>
      <w:bookmarkStart w:id="38" w:name="_Ref137117022"/>
      <w:r w:rsidRPr="00804648">
        <w:rPr>
          <w:snapToGrid/>
        </w:rPr>
        <w:t xml:space="preserve">To maximise comparability between the two studies, the submission included only paediatric patients from SPHINGO-100 and excluded patients aged &lt;5 years from ASCEND-peds. Furthermore, the inclusion and exclusion criteria from ASCEND-peds, (in terms of spleen volume, height Z-score, platelet count, </w:t>
      </w:r>
      <w:r w:rsidR="00BD6F49" w:rsidRPr="00804648">
        <w:rPr>
          <w:snapToGrid/>
        </w:rPr>
        <w:t xml:space="preserve">alanine aminotransferase [ALT] and aspartate aminotransferase [AST] </w:t>
      </w:r>
      <w:r w:rsidRPr="00804648">
        <w:rPr>
          <w:snapToGrid/>
        </w:rPr>
        <w:t>or bilirubin), were applied to SPHINGO-100. This was appropriate</w:t>
      </w:r>
      <w:r w:rsidR="005E1FA3" w:rsidRPr="00804648">
        <w:rPr>
          <w:snapToGrid/>
        </w:rPr>
        <w:t>; however, data from</w:t>
      </w:r>
      <w:r w:rsidR="00B26A7C" w:rsidRPr="00804648">
        <w:rPr>
          <w:snapToGrid/>
        </w:rPr>
        <w:t xml:space="preserve"> only</w:t>
      </w:r>
      <w:r w:rsidR="005E1FA3" w:rsidRPr="00804648">
        <w:rPr>
          <w:snapToGrid/>
        </w:rPr>
        <w:t xml:space="preserve"> 15 patients from ASCEND-peds was compared to 14 patients from SPHINGO-100 after implementing selection criteria to maximise the comparability.</w:t>
      </w:r>
      <w:bookmarkEnd w:id="38"/>
    </w:p>
    <w:p w14:paraId="5FEECCDE" w14:textId="022FDA9E" w:rsidR="009A6028" w:rsidRPr="00804648" w:rsidRDefault="00D67FE9" w:rsidP="00F04CD9">
      <w:pPr>
        <w:pStyle w:val="3-BodyText"/>
        <w:rPr>
          <w:snapToGrid/>
        </w:rPr>
      </w:pPr>
      <w:r w:rsidRPr="00804648">
        <w:rPr>
          <w:snapToGrid/>
        </w:rPr>
        <w:fldChar w:fldCharType="begin" w:fldLock="1"/>
      </w:r>
      <w:r w:rsidRPr="00804648">
        <w:rPr>
          <w:snapToGrid/>
        </w:rPr>
        <w:instrText xml:space="preserve"> REF _Ref133691230 \h  \* MERGEFORMAT </w:instrText>
      </w:r>
      <w:r w:rsidRPr="00804648">
        <w:rPr>
          <w:snapToGrid/>
        </w:rPr>
      </w:r>
      <w:r w:rsidRPr="00804648">
        <w:rPr>
          <w:snapToGrid/>
        </w:rPr>
        <w:fldChar w:fldCharType="separate"/>
      </w:r>
      <w:r w:rsidR="005D02DA" w:rsidRPr="00804648">
        <w:rPr>
          <w:rFonts w:eastAsiaTheme="majorEastAsia"/>
        </w:rPr>
        <w:t xml:space="preserve">Table </w:t>
      </w:r>
      <w:r w:rsidR="005D02DA" w:rsidRPr="00804648">
        <w:t>8</w:t>
      </w:r>
      <w:r w:rsidRPr="00804648">
        <w:rPr>
          <w:snapToGrid/>
        </w:rPr>
        <w:fldChar w:fldCharType="end"/>
      </w:r>
      <w:r w:rsidRPr="00804648">
        <w:rPr>
          <w:snapToGrid/>
        </w:rPr>
        <w:t xml:space="preserve"> presents a</w:t>
      </w:r>
      <w:r w:rsidR="002B54CB" w:rsidRPr="00804648">
        <w:rPr>
          <w:snapToGrid/>
        </w:rPr>
        <w:t xml:space="preserve"> comparison of ASCEND-peds (treated with olipudase alfa) and SHPINGO-100 (treated</w:t>
      </w:r>
      <w:r w:rsidR="00E732B7" w:rsidRPr="00804648">
        <w:rPr>
          <w:snapToGrid/>
        </w:rPr>
        <w:t xml:space="preserve"> with BSC</w:t>
      </w:r>
      <w:r w:rsidR="002B54CB" w:rsidRPr="00804648">
        <w:rPr>
          <w:snapToGrid/>
        </w:rPr>
        <w:t xml:space="preserve">) </w:t>
      </w:r>
      <w:r w:rsidRPr="00804648">
        <w:rPr>
          <w:snapToGrid/>
        </w:rPr>
        <w:t xml:space="preserve">in </w:t>
      </w:r>
      <w:r w:rsidR="00005989" w:rsidRPr="00804648">
        <w:rPr>
          <w:snapToGrid/>
        </w:rPr>
        <w:t xml:space="preserve">the </w:t>
      </w:r>
      <w:r w:rsidRPr="00804648">
        <w:rPr>
          <w:snapToGrid/>
        </w:rPr>
        <w:t>paediatric population.</w:t>
      </w:r>
    </w:p>
    <w:p w14:paraId="38BC1267" w14:textId="02A7E174" w:rsidR="00D67FE9" w:rsidRPr="00804648" w:rsidRDefault="00D67FE9" w:rsidP="00D67FE9">
      <w:pPr>
        <w:pStyle w:val="TableFigureHeading"/>
        <w:rPr>
          <w:rStyle w:val="CommentReference"/>
          <w:b/>
          <w:szCs w:val="24"/>
        </w:rPr>
      </w:pPr>
      <w:bookmarkStart w:id="39" w:name="_Ref133691230"/>
      <w:r w:rsidRPr="00804648">
        <w:lastRenderedPageBreak/>
        <w:t>Table</w:t>
      </w:r>
      <w:r w:rsidRPr="00804648">
        <w:rPr>
          <w:rStyle w:val="TableFigureHeadingChar"/>
        </w:rPr>
        <w:t xml:space="preserve"> </w:t>
      </w:r>
      <w:r w:rsidRPr="00804648">
        <w:rPr>
          <w:rStyle w:val="CommentReference"/>
          <w:b/>
          <w:szCs w:val="24"/>
        </w:rPr>
        <w:fldChar w:fldCharType="begin" w:fldLock="1"/>
      </w:r>
      <w:r w:rsidRPr="00804648">
        <w:rPr>
          <w:rStyle w:val="CommentReference"/>
          <w:b/>
          <w:szCs w:val="24"/>
        </w:rPr>
        <w:instrText xml:space="preserve"> SEQ Table \* ARABIC </w:instrText>
      </w:r>
      <w:r w:rsidRPr="00804648">
        <w:rPr>
          <w:rStyle w:val="CommentReference"/>
          <w:b/>
          <w:szCs w:val="24"/>
        </w:rPr>
        <w:fldChar w:fldCharType="separate"/>
      </w:r>
      <w:r w:rsidR="005D02DA" w:rsidRPr="00804648">
        <w:rPr>
          <w:rStyle w:val="CommentReference"/>
          <w:b/>
          <w:szCs w:val="24"/>
        </w:rPr>
        <w:t>8</w:t>
      </w:r>
      <w:r w:rsidRPr="00804648">
        <w:rPr>
          <w:rStyle w:val="CommentReference"/>
          <w:b/>
          <w:szCs w:val="24"/>
        </w:rPr>
        <w:fldChar w:fldCharType="end"/>
      </w:r>
      <w:bookmarkEnd w:id="39"/>
      <w:r w:rsidRPr="00804648">
        <w:rPr>
          <w:rStyle w:val="TableFigureHeadingChar"/>
        </w:rPr>
        <w:t xml:space="preserve">: </w:t>
      </w:r>
      <w:r w:rsidRPr="00804648">
        <w:rPr>
          <w:rStyle w:val="CommentReference"/>
          <w:b/>
          <w:szCs w:val="24"/>
        </w:rPr>
        <w:t>Summary of efficacy parameters for comparative paediatric analysis of ASCEND-peds and SPHINGO</w:t>
      </w:r>
      <w:r w:rsidR="00E732B7" w:rsidRPr="00804648">
        <w:rPr>
          <w:rStyle w:val="CommentReference"/>
          <w:b/>
          <w:szCs w:val="24"/>
        </w:rPr>
        <w:t>-</w:t>
      </w:r>
      <w:r w:rsidRPr="00804648">
        <w:rPr>
          <w:rStyle w:val="CommentReference"/>
          <w:b/>
          <w:szCs w:val="24"/>
        </w:rPr>
        <w:t>100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06"/>
        <w:gridCol w:w="1519"/>
        <w:gridCol w:w="1559"/>
        <w:gridCol w:w="1933"/>
      </w:tblGrid>
      <w:tr w:rsidR="00D67FE9" w:rsidRPr="00804648" w14:paraId="2E341120" w14:textId="77777777" w:rsidTr="008C351B">
        <w:trPr>
          <w:tblHeader/>
        </w:trPr>
        <w:tc>
          <w:tcPr>
            <w:tcW w:w="2221" w:type="pct"/>
            <w:vAlign w:val="center"/>
          </w:tcPr>
          <w:p w14:paraId="221ACF37" w14:textId="77777777" w:rsidR="00D67FE9" w:rsidRPr="00804648" w:rsidRDefault="00D67FE9" w:rsidP="006F6FE5">
            <w:pPr>
              <w:pStyle w:val="In-tableHeading"/>
              <w:rPr>
                <w:lang w:val="en-AU"/>
              </w:rPr>
            </w:pPr>
            <w:r w:rsidRPr="00804648">
              <w:rPr>
                <w:lang w:val="en-AU"/>
              </w:rPr>
              <w:t>Outcomes</w:t>
            </w:r>
          </w:p>
        </w:tc>
        <w:tc>
          <w:tcPr>
            <w:tcW w:w="842" w:type="pct"/>
            <w:vAlign w:val="center"/>
          </w:tcPr>
          <w:p w14:paraId="798C23A1" w14:textId="77777777" w:rsidR="00D67FE9" w:rsidRPr="00804648" w:rsidRDefault="00D67FE9" w:rsidP="006F6FE5">
            <w:pPr>
              <w:pStyle w:val="In-tableHeading"/>
              <w:jc w:val="center"/>
              <w:rPr>
                <w:iCs/>
                <w:lang w:val="en-AU"/>
              </w:rPr>
            </w:pPr>
            <w:r w:rsidRPr="00804648">
              <w:rPr>
                <w:iCs/>
                <w:lang w:val="en-AU"/>
              </w:rPr>
              <w:t>ASCEND-peds</w:t>
            </w:r>
          </w:p>
          <w:p w14:paraId="4787C7CB" w14:textId="77777777" w:rsidR="00D67FE9" w:rsidRPr="00804648" w:rsidRDefault="00D67FE9" w:rsidP="006F6FE5">
            <w:pPr>
              <w:pStyle w:val="In-tableHeading"/>
              <w:jc w:val="center"/>
              <w:rPr>
                <w:lang w:val="en-AU"/>
              </w:rPr>
            </w:pPr>
            <w:r w:rsidRPr="00804648">
              <w:rPr>
                <w:lang w:val="en-AU"/>
              </w:rPr>
              <w:t>Olipudase alfa</w:t>
            </w:r>
          </w:p>
          <w:p w14:paraId="103FCF9A" w14:textId="0729A8C5" w:rsidR="005E1FA3" w:rsidRPr="00804648" w:rsidRDefault="005E1FA3" w:rsidP="006F6FE5">
            <w:pPr>
              <w:pStyle w:val="In-tableHeading"/>
              <w:jc w:val="center"/>
              <w:rPr>
                <w:lang w:val="en-AU"/>
              </w:rPr>
            </w:pPr>
            <w:r w:rsidRPr="00804648">
              <w:rPr>
                <w:lang w:val="en-AU"/>
              </w:rPr>
              <w:t>(n=15)</w:t>
            </w:r>
          </w:p>
        </w:tc>
        <w:tc>
          <w:tcPr>
            <w:tcW w:w="864" w:type="pct"/>
            <w:vAlign w:val="center"/>
          </w:tcPr>
          <w:p w14:paraId="7B0C0103" w14:textId="77777777" w:rsidR="00D67FE9" w:rsidRPr="00804648" w:rsidRDefault="00D67FE9" w:rsidP="006F6FE5">
            <w:pPr>
              <w:pStyle w:val="In-tableHeading"/>
              <w:jc w:val="center"/>
              <w:rPr>
                <w:iCs/>
                <w:lang w:val="en-AU"/>
              </w:rPr>
            </w:pPr>
            <w:r w:rsidRPr="00804648">
              <w:rPr>
                <w:iCs/>
                <w:lang w:val="en-AU"/>
              </w:rPr>
              <w:t>SPHINGO-100</w:t>
            </w:r>
          </w:p>
          <w:p w14:paraId="1F03187E" w14:textId="77777777" w:rsidR="00D67FE9" w:rsidRPr="00804648" w:rsidRDefault="00D67FE9" w:rsidP="006F6FE5">
            <w:pPr>
              <w:pStyle w:val="In-tableHeading"/>
              <w:jc w:val="center"/>
              <w:rPr>
                <w:lang w:val="en-AU"/>
              </w:rPr>
            </w:pPr>
            <w:r w:rsidRPr="00804648">
              <w:rPr>
                <w:lang w:val="en-AU"/>
              </w:rPr>
              <w:t>BSC</w:t>
            </w:r>
          </w:p>
          <w:p w14:paraId="168FC787" w14:textId="0E9611FC" w:rsidR="005E1FA3" w:rsidRPr="00804648" w:rsidRDefault="005E1FA3" w:rsidP="006F6FE5">
            <w:pPr>
              <w:pStyle w:val="In-tableHeading"/>
              <w:jc w:val="center"/>
              <w:rPr>
                <w:lang w:val="en-AU"/>
              </w:rPr>
            </w:pPr>
            <w:r w:rsidRPr="00804648">
              <w:rPr>
                <w:lang w:val="en-AU"/>
              </w:rPr>
              <w:t>(n=14)</w:t>
            </w:r>
          </w:p>
        </w:tc>
        <w:tc>
          <w:tcPr>
            <w:tcW w:w="1072" w:type="pct"/>
            <w:vAlign w:val="center"/>
          </w:tcPr>
          <w:p w14:paraId="24E64E33" w14:textId="77777777" w:rsidR="00D67FE9" w:rsidRPr="00804648" w:rsidRDefault="00D67FE9" w:rsidP="006F6FE5">
            <w:pPr>
              <w:pStyle w:val="In-tableHeading"/>
              <w:jc w:val="center"/>
              <w:rPr>
                <w:iCs/>
                <w:lang w:val="en-AU"/>
              </w:rPr>
            </w:pPr>
            <w:r w:rsidRPr="00804648">
              <w:rPr>
                <w:iCs/>
                <w:lang w:val="en-AU"/>
              </w:rPr>
              <w:t xml:space="preserve">Difference, LS mean </w:t>
            </w:r>
          </w:p>
          <w:p w14:paraId="3252D14C" w14:textId="77777777" w:rsidR="00D67FE9" w:rsidRPr="00804648" w:rsidRDefault="00D67FE9" w:rsidP="006F6FE5">
            <w:pPr>
              <w:pStyle w:val="In-tableHeading"/>
              <w:jc w:val="center"/>
              <w:rPr>
                <w:iCs/>
                <w:lang w:val="en-AU"/>
              </w:rPr>
            </w:pPr>
            <w:r w:rsidRPr="00804648">
              <w:rPr>
                <w:iCs/>
                <w:lang w:val="en-AU"/>
              </w:rPr>
              <w:t>(95% CI)</w:t>
            </w:r>
          </w:p>
        </w:tc>
      </w:tr>
      <w:tr w:rsidR="00D67FE9" w:rsidRPr="00804648" w14:paraId="68FF1ED5" w14:textId="77777777" w:rsidTr="008C351B">
        <w:tc>
          <w:tcPr>
            <w:tcW w:w="2221" w:type="pct"/>
            <w:vAlign w:val="center"/>
          </w:tcPr>
          <w:p w14:paraId="1E81BB2A" w14:textId="77777777" w:rsidR="00D67FE9" w:rsidRPr="00804648" w:rsidRDefault="00D67FE9" w:rsidP="006F6FE5">
            <w:pPr>
              <w:pStyle w:val="TableText0"/>
              <w:rPr>
                <w:b/>
                <w:bCs w:val="0"/>
              </w:rPr>
            </w:pPr>
            <w:r w:rsidRPr="00804648">
              <w:rPr>
                <w:b/>
                <w:bCs w:val="0"/>
              </w:rPr>
              <w:t>Spleen volume, MN</w:t>
            </w:r>
          </w:p>
        </w:tc>
        <w:tc>
          <w:tcPr>
            <w:tcW w:w="842" w:type="pct"/>
            <w:vAlign w:val="center"/>
          </w:tcPr>
          <w:p w14:paraId="71F5F91F" w14:textId="77777777" w:rsidR="00D67FE9" w:rsidRPr="00804648" w:rsidRDefault="00D67FE9" w:rsidP="006F6FE5">
            <w:pPr>
              <w:pStyle w:val="TableText0"/>
              <w:jc w:val="center"/>
            </w:pPr>
            <w:r w:rsidRPr="00804648">
              <w:t>n=15</w:t>
            </w:r>
          </w:p>
        </w:tc>
        <w:tc>
          <w:tcPr>
            <w:tcW w:w="864" w:type="pct"/>
            <w:vAlign w:val="center"/>
          </w:tcPr>
          <w:p w14:paraId="04630351" w14:textId="77777777" w:rsidR="00D67FE9" w:rsidRPr="00804648" w:rsidRDefault="00D67FE9" w:rsidP="006F6FE5">
            <w:pPr>
              <w:pStyle w:val="TableText0"/>
              <w:jc w:val="center"/>
            </w:pPr>
            <w:r w:rsidRPr="00804648">
              <w:t>n=9</w:t>
            </w:r>
          </w:p>
        </w:tc>
        <w:tc>
          <w:tcPr>
            <w:tcW w:w="1072" w:type="pct"/>
            <w:vAlign w:val="center"/>
          </w:tcPr>
          <w:p w14:paraId="6582E103" w14:textId="77777777" w:rsidR="00D67FE9" w:rsidRPr="00804648" w:rsidRDefault="00D67FE9" w:rsidP="006F6FE5">
            <w:pPr>
              <w:pStyle w:val="TableText0"/>
              <w:rPr>
                <w:b/>
                <w:bCs w:val="0"/>
              </w:rPr>
            </w:pPr>
          </w:p>
        </w:tc>
      </w:tr>
      <w:tr w:rsidR="00D67FE9" w:rsidRPr="00804648" w14:paraId="71F9D93C" w14:textId="77777777" w:rsidTr="008C351B">
        <w:tc>
          <w:tcPr>
            <w:tcW w:w="2221" w:type="pct"/>
            <w:vAlign w:val="center"/>
          </w:tcPr>
          <w:p w14:paraId="1E4EBD0E" w14:textId="77777777" w:rsidR="00D67FE9" w:rsidRPr="00804648" w:rsidRDefault="00D67FE9" w:rsidP="006F6FE5">
            <w:pPr>
              <w:pStyle w:val="TableText0"/>
            </w:pPr>
            <w:r w:rsidRPr="00804648">
              <w:t>Baseline, mean (SD)</w:t>
            </w:r>
          </w:p>
        </w:tc>
        <w:tc>
          <w:tcPr>
            <w:tcW w:w="842" w:type="pct"/>
            <w:vAlign w:val="center"/>
          </w:tcPr>
          <w:p w14:paraId="4DB7763C" w14:textId="77777777" w:rsidR="00D67FE9" w:rsidRPr="00804648" w:rsidRDefault="00D67FE9" w:rsidP="006F6FE5">
            <w:pPr>
              <w:pStyle w:val="TableText0"/>
              <w:jc w:val="center"/>
            </w:pPr>
            <w:r w:rsidRPr="00804648">
              <w:rPr>
                <w:rFonts w:cstheme="minorHAnsi"/>
                <w:szCs w:val="18"/>
              </w:rPr>
              <w:t>18.7 (9.8)</w:t>
            </w:r>
          </w:p>
        </w:tc>
        <w:tc>
          <w:tcPr>
            <w:tcW w:w="864" w:type="pct"/>
            <w:vAlign w:val="center"/>
          </w:tcPr>
          <w:p w14:paraId="123FC5D3" w14:textId="77777777" w:rsidR="00D67FE9" w:rsidRPr="00804648" w:rsidRDefault="00D67FE9" w:rsidP="006F6FE5">
            <w:pPr>
              <w:pStyle w:val="TableText0"/>
              <w:jc w:val="center"/>
            </w:pPr>
            <w:r w:rsidRPr="00804648">
              <w:rPr>
                <w:rFonts w:cstheme="minorHAnsi"/>
                <w:szCs w:val="18"/>
              </w:rPr>
              <w:t>17.4 (5.6)</w:t>
            </w:r>
          </w:p>
        </w:tc>
        <w:tc>
          <w:tcPr>
            <w:tcW w:w="1072" w:type="pct"/>
          </w:tcPr>
          <w:p w14:paraId="3394E3F4" w14:textId="77777777" w:rsidR="00D67FE9" w:rsidRPr="00804648" w:rsidRDefault="00D67FE9" w:rsidP="006F6FE5">
            <w:pPr>
              <w:pStyle w:val="TableText0"/>
              <w:jc w:val="center"/>
            </w:pPr>
            <w:r w:rsidRPr="00804648">
              <w:t>-</w:t>
            </w:r>
          </w:p>
        </w:tc>
      </w:tr>
      <w:tr w:rsidR="00D67FE9" w:rsidRPr="00804648" w14:paraId="43F1483E" w14:textId="77777777" w:rsidTr="008C351B">
        <w:tc>
          <w:tcPr>
            <w:tcW w:w="2221" w:type="pct"/>
            <w:vAlign w:val="center"/>
          </w:tcPr>
          <w:p w14:paraId="190FCB95" w14:textId="77777777" w:rsidR="00D67FE9" w:rsidRPr="00804648" w:rsidRDefault="00D67FE9" w:rsidP="006F6FE5">
            <w:pPr>
              <w:pStyle w:val="TableText0"/>
            </w:pPr>
            <w:r w:rsidRPr="00804648">
              <w:t>% change from baseline to 1 year, LS mean (95% CI)</w:t>
            </w:r>
          </w:p>
        </w:tc>
        <w:tc>
          <w:tcPr>
            <w:tcW w:w="842" w:type="pct"/>
          </w:tcPr>
          <w:p w14:paraId="0E01E57A" w14:textId="63A57A84" w:rsidR="00D67FE9" w:rsidRPr="00804648" w:rsidRDefault="00D67FE9" w:rsidP="006F6FE5">
            <w:pPr>
              <w:pStyle w:val="TableText0"/>
              <w:jc w:val="center"/>
            </w:pPr>
            <w:r w:rsidRPr="00804648">
              <w:rPr>
                <w:rFonts w:cstheme="minorHAnsi"/>
                <w:szCs w:val="18"/>
              </w:rPr>
              <w:noBreakHyphen/>
              <w:t>47.7 (</w:t>
            </w:r>
            <w:r w:rsidRPr="00804648">
              <w:rPr>
                <w:rFonts w:cstheme="minorHAnsi"/>
                <w:szCs w:val="18"/>
              </w:rPr>
              <w:noBreakHyphen/>
              <w:t>53.</w:t>
            </w:r>
            <w:r w:rsidR="002B54CB" w:rsidRPr="00804648">
              <w:rPr>
                <w:rFonts w:cstheme="minorHAnsi"/>
                <w:szCs w:val="18"/>
              </w:rPr>
              <w:t xml:space="preserve">3, </w:t>
            </w:r>
            <w:r w:rsidR="002B54CB" w:rsidRPr="00804648">
              <w:rPr>
                <w:rFonts w:cstheme="minorHAnsi"/>
                <w:szCs w:val="18"/>
              </w:rPr>
              <w:noBreakHyphen/>
            </w:r>
            <w:r w:rsidRPr="00804648">
              <w:rPr>
                <w:rFonts w:cstheme="minorHAnsi"/>
                <w:szCs w:val="18"/>
              </w:rPr>
              <w:t>42.1)</w:t>
            </w:r>
          </w:p>
        </w:tc>
        <w:tc>
          <w:tcPr>
            <w:tcW w:w="864" w:type="pct"/>
          </w:tcPr>
          <w:p w14:paraId="79CD44B2" w14:textId="5F75FFD8" w:rsidR="00D67FE9" w:rsidRPr="00804648" w:rsidRDefault="00D67FE9" w:rsidP="006F6FE5">
            <w:pPr>
              <w:pStyle w:val="TableText0"/>
              <w:jc w:val="center"/>
            </w:pPr>
            <w:r w:rsidRPr="00804648">
              <w:rPr>
                <w:rFonts w:cstheme="minorHAnsi"/>
                <w:szCs w:val="18"/>
              </w:rPr>
              <w:noBreakHyphen/>
              <w:t>1.5 (</w:t>
            </w:r>
            <w:r w:rsidRPr="00804648">
              <w:rPr>
                <w:rFonts w:cstheme="minorHAnsi"/>
                <w:szCs w:val="18"/>
              </w:rPr>
              <w:noBreakHyphen/>
              <w:t>6.6,</w:t>
            </w:r>
            <w:r w:rsidR="00CD6CA5" w:rsidRPr="00804648">
              <w:rPr>
                <w:rFonts w:cstheme="minorHAnsi"/>
                <w:szCs w:val="18"/>
              </w:rPr>
              <w:t xml:space="preserve"> </w:t>
            </w:r>
            <w:r w:rsidRPr="00804648">
              <w:rPr>
                <w:rFonts w:cstheme="minorHAnsi"/>
                <w:szCs w:val="18"/>
              </w:rPr>
              <w:t>3.7)</w:t>
            </w:r>
          </w:p>
        </w:tc>
        <w:tc>
          <w:tcPr>
            <w:tcW w:w="1072" w:type="pct"/>
          </w:tcPr>
          <w:p w14:paraId="52D15687" w14:textId="7BCEFCB4" w:rsidR="00D67FE9" w:rsidRPr="00804648" w:rsidRDefault="00D67FE9" w:rsidP="006F6FE5">
            <w:pPr>
              <w:pStyle w:val="TableText0"/>
              <w:jc w:val="center"/>
              <w:rPr>
                <w:b/>
                <w:bCs w:val="0"/>
              </w:rPr>
            </w:pPr>
            <w:r w:rsidRPr="00804648">
              <w:rPr>
                <w:b/>
                <w:bCs w:val="0"/>
              </w:rPr>
              <w:t>-46.3 (</w:t>
            </w:r>
            <w:r w:rsidR="00D0301E" w:rsidRPr="00804648">
              <w:rPr>
                <w:b/>
                <w:bCs w:val="0"/>
              </w:rPr>
              <w:t>-</w:t>
            </w:r>
            <w:r w:rsidRPr="00804648">
              <w:rPr>
                <w:b/>
                <w:bCs w:val="0"/>
              </w:rPr>
              <w:t>54.1,</w:t>
            </w:r>
            <w:r w:rsidR="005F090D" w:rsidRPr="00804648">
              <w:rPr>
                <w:b/>
                <w:bCs w:val="0"/>
              </w:rPr>
              <w:t xml:space="preserve"> </w:t>
            </w:r>
            <w:r w:rsidR="00D0301E" w:rsidRPr="00804648">
              <w:rPr>
                <w:b/>
                <w:bCs w:val="0"/>
              </w:rPr>
              <w:t>-</w:t>
            </w:r>
            <w:r w:rsidRPr="00804648">
              <w:rPr>
                <w:b/>
                <w:bCs w:val="0"/>
              </w:rPr>
              <w:t>38.5)</w:t>
            </w:r>
          </w:p>
        </w:tc>
      </w:tr>
      <w:tr w:rsidR="00D67FE9" w:rsidRPr="00804648" w14:paraId="0B8C4B43" w14:textId="77777777" w:rsidTr="008C351B">
        <w:tc>
          <w:tcPr>
            <w:tcW w:w="2221" w:type="pct"/>
            <w:vAlign w:val="center"/>
          </w:tcPr>
          <w:p w14:paraId="1A6D4C24" w14:textId="77777777" w:rsidR="00D67FE9" w:rsidRPr="00804648" w:rsidRDefault="00D67FE9" w:rsidP="006F6FE5">
            <w:pPr>
              <w:pStyle w:val="TableText0"/>
              <w:rPr>
                <w:b/>
                <w:bCs w:val="0"/>
              </w:rPr>
            </w:pPr>
            <w:r w:rsidRPr="00804648">
              <w:rPr>
                <w:b/>
                <w:bCs w:val="0"/>
              </w:rPr>
              <w:t>Liver volume, MN</w:t>
            </w:r>
          </w:p>
        </w:tc>
        <w:tc>
          <w:tcPr>
            <w:tcW w:w="842" w:type="pct"/>
            <w:vAlign w:val="center"/>
          </w:tcPr>
          <w:p w14:paraId="6E0EBDD8" w14:textId="77777777" w:rsidR="00D67FE9" w:rsidRPr="00804648" w:rsidRDefault="00D67FE9" w:rsidP="006F6FE5">
            <w:pPr>
              <w:pStyle w:val="TableText0"/>
              <w:jc w:val="center"/>
            </w:pPr>
            <w:r w:rsidRPr="00804648">
              <w:t>n=15</w:t>
            </w:r>
          </w:p>
        </w:tc>
        <w:tc>
          <w:tcPr>
            <w:tcW w:w="864" w:type="pct"/>
            <w:vAlign w:val="center"/>
          </w:tcPr>
          <w:p w14:paraId="4695ED39" w14:textId="77777777" w:rsidR="00D67FE9" w:rsidRPr="00804648" w:rsidRDefault="00D67FE9" w:rsidP="006F6FE5">
            <w:pPr>
              <w:pStyle w:val="TableText0"/>
              <w:jc w:val="center"/>
            </w:pPr>
            <w:r w:rsidRPr="00804648">
              <w:t>n=8</w:t>
            </w:r>
          </w:p>
        </w:tc>
        <w:tc>
          <w:tcPr>
            <w:tcW w:w="1072" w:type="pct"/>
            <w:vAlign w:val="center"/>
          </w:tcPr>
          <w:p w14:paraId="00BA70F6" w14:textId="77777777" w:rsidR="00D67FE9" w:rsidRPr="00804648" w:rsidRDefault="00D67FE9" w:rsidP="006F6FE5">
            <w:pPr>
              <w:pStyle w:val="TableText0"/>
              <w:jc w:val="center"/>
            </w:pPr>
          </w:p>
        </w:tc>
      </w:tr>
      <w:tr w:rsidR="00D67FE9" w:rsidRPr="00804648" w14:paraId="026F57E8" w14:textId="77777777" w:rsidTr="008C351B">
        <w:tc>
          <w:tcPr>
            <w:tcW w:w="2221" w:type="pct"/>
            <w:vAlign w:val="center"/>
          </w:tcPr>
          <w:p w14:paraId="202FFE2B" w14:textId="77777777" w:rsidR="00D67FE9" w:rsidRPr="00804648" w:rsidRDefault="00D67FE9" w:rsidP="006F6FE5">
            <w:pPr>
              <w:pStyle w:val="TableText0"/>
            </w:pPr>
            <w:r w:rsidRPr="00804648">
              <w:t>Baseline, mean (SD)</w:t>
            </w:r>
          </w:p>
        </w:tc>
        <w:tc>
          <w:tcPr>
            <w:tcW w:w="842" w:type="pct"/>
          </w:tcPr>
          <w:p w14:paraId="6C3678C5" w14:textId="77777777" w:rsidR="00D67FE9" w:rsidRPr="00804648" w:rsidRDefault="00D67FE9" w:rsidP="006F6FE5">
            <w:pPr>
              <w:pStyle w:val="TableText0"/>
              <w:jc w:val="center"/>
            </w:pPr>
            <w:r w:rsidRPr="00804648">
              <w:t>2.6 (0.7)</w:t>
            </w:r>
          </w:p>
        </w:tc>
        <w:tc>
          <w:tcPr>
            <w:tcW w:w="864" w:type="pct"/>
          </w:tcPr>
          <w:p w14:paraId="00C40828" w14:textId="77777777" w:rsidR="00D67FE9" w:rsidRPr="00804648" w:rsidRDefault="00D67FE9" w:rsidP="006F6FE5">
            <w:pPr>
              <w:pStyle w:val="TableText0"/>
              <w:jc w:val="center"/>
            </w:pPr>
            <w:r w:rsidRPr="00804648">
              <w:t>2.4 (0.7)</w:t>
            </w:r>
          </w:p>
        </w:tc>
        <w:tc>
          <w:tcPr>
            <w:tcW w:w="1072" w:type="pct"/>
          </w:tcPr>
          <w:p w14:paraId="7B7995A8" w14:textId="77777777" w:rsidR="00D67FE9" w:rsidRPr="00804648" w:rsidRDefault="00D67FE9" w:rsidP="006F6FE5">
            <w:pPr>
              <w:pStyle w:val="TableText0"/>
              <w:jc w:val="center"/>
            </w:pPr>
            <w:r w:rsidRPr="00804648">
              <w:t>-</w:t>
            </w:r>
          </w:p>
        </w:tc>
      </w:tr>
      <w:tr w:rsidR="00D67FE9" w:rsidRPr="00804648" w14:paraId="6D94E783" w14:textId="77777777" w:rsidTr="008C351B">
        <w:tc>
          <w:tcPr>
            <w:tcW w:w="2221" w:type="pct"/>
            <w:vAlign w:val="center"/>
          </w:tcPr>
          <w:p w14:paraId="048C0054" w14:textId="77777777" w:rsidR="00D67FE9" w:rsidRPr="00804648" w:rsidRDefault="00D67FE9" w:rsidP="006F6FE5">
            <w:pPr>
              <w:pStyle w:val="TableText0"/>
            </w:pPr>
            <w:r w:rsidRPr="00804648">
              <w:t>% change from baseline to 1 year, LS mean (95% CI)</w:t>
            </w:r>
          </w:p>
        </w:tc>
        <w:tc>
          <w:tcPr>
            <w:tcW w:w="842" w:type="pct"/>
          </w:tcPr>
          <w:p w14:paraId="09F54DF8" w14:textId="10D7F592" w:rsidR="00D67FE9" w:rsidRPr="00804648" w:rsidRDefault="00D67FE9" w:rsidP="006F6FE5">
            <w:pPr>
              <w:pStyle w:val="TableText0"/>
              <w:jc w:val="center"/>
            </w:pPr>
            <w:r w:rsidRPr="00804648">
              <w:t xml:space="preserve"> -39.5 (-44.3,</w:t>
            </w:r>
            <w:r w:rsidR="00CD6CA5" w:rsidRPr="00804648">
              <w:t xml:space="preserve"> </w:t>
            </w:r>
            <w:r w:rsidRPr="00804648">
              <w:t>-34.8)</w:t>
            </w:r>
          </w:p>
        </w:tc>
        <w:tc>
          <w:tcPr>
            <w:tcW w:w="864" w:type="pct"/>
          </w:tcPr>
          <w:p w14:paraId="22BCD716" w14:textId="77777777" w:rsidR="00D67FE9" w:rsidRPr="00804648" w:rsidRDefault="00D67FE9" w:rsidP="006F6FE5">
            <w:pPr>
              <w:pStyle w:val="TableText0"/>
              <w:jc w:val="center"/>
            </w:pPr>
            <w:r w:rsidRPr="00804648">
              <w:t>8.7 (-6.9, 24.3)</w:t>
            </w:r>
          </w:p>
        </w:tc>
        <w:tc>
          <w:tcPr>
            <w:tcW w:w="1072" w:type="pct"/>
          </w:tcPr>
          <w:p w14:paraId="419433D2" w14:textId="6A294071" w:rsidR="00D67FE9" w:rsidRPr="00804648" w:rsidRDefault="00A15BEF" w:rsidP="006F6FE5">
            <w:pPr>
              <w:pStyle w:val="TableText0"/>
              <w:jc w:val="center"/>
              <w:rPr>
                <w:b/>
                <w:bCs w:val="0"/>
                <w:i/>
                <w:iCs/>
              </w:rPr>
            </w:pPr>
            <w:r w:rsidRPr="00804648">
              <w:rPr>
                <w:b/>
                <w:bCs w:val="0"/>
                <w:i/>
                <w:iCs/>
              </w:rPr>
              <w:t>-48.22 (-64.19,-32.24)</w:t>
            </w:r>
          </w:p>
        </w:tc>
      </w:tr>
      <w:tr w:rsidR="00D67FE9" w:rsidRPr="00804648" w14:paraId="685602FF" w14:textId="77777777" w:rsidTr="008C351B">
        <w:tc>
          <w:tcPr>
            <w:tcW w:w="2221" w:type="pct"/>
            <w:vAlign w:val="center"/>
          </w:tcPr>
          <w:p w14:paraId="04827FD5" w14:textId="77777777" w:rsidR="00D67FE9" w:rsidRPr="00804648" w:rsidRDefault="00D67FE9" w:rsidP="006F6FE5">
            <w:pPr>
              <w:pStyle w:val="TableText0"/>
              <w:rPr>
                <w:b/>
                <w:bCs w:val="0"/>
              </w:rPr>
            </w:pPr>
            <w:r w:rsidRPr="00804648">
              <w:rPr>
                <w:b/>
                <w:bCs w:val="0"/>
              </w:rPr>
              <w:t>Platelet counts, 10</w:t>
            </w:r>
            <w:r w:rsidRPr="00804648">
              <w:rPr>
                <w:b/>
                <w:bCs w:val="0"/>
                <w:vertAlign w:val="superscript"/>
              </w:rPr>
              <w:t>9</w:t>
            </w:r>
            <w:r w:rsidRPr="00804648">
              <w:rPr>
                <w:b/>
                <w:bCs w:val="0"/>
              </w:rPr>
              <w:t>/L</w:t>
            </w:r>
          </w:p>
        </w:tc>
        <w:tc>
          <w:tcPr>
            <w:tcW w:w="842" w:type="pct"/>
            <w:vAlign w:val="center"/>
          </w:tcPr>
          <w:p w14:paraId="1D6ECFF2" w14:textId="77777777" w:rsidR="00D67FE9" w:rsidRPr="00804648" w:rsidRDefault="00D67FE9" w:rsidP="006F6FE5">
            <w:pPr>
              <w:pStyle w:val="TableText0"/>
              <w:jc w:val="center"/>
            </w:pPr>
            <w:r w:rsidRPr="00804648">
              <w:t>n=15</w:t>
            </w:r>
          </w:p>
        </w:tc>
        <w:tc>
          <w:tcPr>
            <w:tcW w:w="864" w:type="pct"/>
            <w:vAlign w:val="center"/>
          </w:tcPr>
          <w:p w14:paraId="3F2C27EB" w14:textId="77777777" w:rsidR="00D67FE9" w:rsidRPr="00804648" w:rsidRDefault="00D67FE9" w:rsidP="006F6FE5">
            <w:pPr>
              <w:pStyle w:val="TableText0"/>
              <w:jc w:val="center"/>
            </w:pPr>
            <w:r w:rsidRPr="00804648">
              <w:t>n=13</w:t>
            </w:r>
          </w:p>
        </w:tc>
        <w:tc>
          <w:tcPr>
            <w:tcW w:w="1072" w:type="pct"/>
            <w:vAlign w:val="center"/>
          </w:tcPr>
          <w:p w14:paraId="1C043445" w14:textId="77777777" w:rsidR="00D67FE9" w:rsidRPr="00804648" w:rsidRDefault="00D67FE9" w:rsidP="006F6FE5">
            <w:pPr>
              <w:pStyle w:val="TableText0"/>
              <w:rPr>
                <w:b/>
                <w:bCs w:val="0"/>
              </w:rPr>
            </w:pPr>
          </w:p>
        </w:tc>
      </w:tr>
      <w:tr w:rsidR="00D67FE9" w:rsidRPr="00804648" w14:paraId="32A21905" w14:textId="77777777" w:rsidTr="008C351B">
        <w:tc>
          <w:tcPr>
            <w:tcW w:w="2221" w:type="pct"/>
            <w:vAlign w:val="center"/>
          </w:tcPr>
          <w:p w14:paraId="46BDD8DD" w14:textId="77777777" w:rsidR="00D67FE9" w:rsidRPr="00804648" w:rsidRDefault="00D67FE9" w:rsidP="006F6FE5">
            <w:pPr>
              <w:pStyle w:val="TableText0"/>
            </w:pPr>
            <w:r w:rsidRPr="00804648">
              <w:t>Baseline, mean (SD)</w:t>
            </w:r>
          </w:p>
        </w:tc>
        <w:tc>
          <w:tcPr>
            <w:tcW w:w="842" w:type="pct"/>
          </w:tcPr>
          <w:p w14:paraId="7C356329" w14:textId="77777777" w:rsidR="00D67FE9" w:rsidRPr="00804648" w:rsidRDefault="00D67FE9" w:rsidP="006F6FE5">
            <w:pPr>
              <w:pStyle w:val="TableText0"/>
              <w:jc w:val="center"/>
            </w:pPr>
            <w:r w:rsidRPr="00804648">
              <w:t>138.2 (71.6)</w:t>
            </w:r>
          </w:p>
        </w:tc>
        <w:tc>
          <w:tcPr>
            <w:tcW w:w="864" w:type="pct"/>
          </w:tcPr>
          <w:p w14:paraId="272A03AC" w14:textId="77777777" w:rsidR="00D67FE9" w:rsidRPr="00804648" w:rsidRDefault="00D67FE9" w:rsidP="006F6FE5">
            <w:pPr>
              <w:pStyle w:val="TableText0"/>
              <w:jc w:val="center"/>
            </w:pPr>
            <w:r w:rsidRPr="00804648">
              <w:t>168.15 (59.0)</w:t>
            </w:r>
          </w:p>
        </w:tc>
        <w:tc>
          <w:tcPr>
            <w:tcW w:w="1072" w:type="pct"/>
          </w:tcPr>
          <w:p w14:paraId="11DBA6FE" w14:textId="77777777" w:rsidR="00D67FE9" w:rsidRPr="00804648" w:rsidRDefault="00D67FE9" w:rsidP="006F6FE5">
            <w:pPr>
              <w:pStyle w:val="TableText0"/>
              <w:jc w:val="center"/>
            </w:pPr>
            <w:r w:rsidRPr="00804648">
              <w:t>-</w:t>
            </w:r>
          </w:p>
        </w:tc>
      </w:tr>
      <w:tr w:rsidR="00D67FE9" w:rsidRPr="00804648" w14:paraId="01AEBDAF" w14:textId="77777777" w:rsidTr="008C351B">
        <w:tc>
          <w:tcPr>
            <w:tcW w:w="2221" w:type="pct"/>
            <w:vAlign w:val="center"/>
          </w:tcPr>
          <w:p w14:paraId="0FA697E1" w14:textId="77777777" w:rsidR="00D67FE9" w:rsidRPr="00804648" w:rsidRDefault="00D67FE9" w:rsidP="006F6FE5">
            <w:pPr>
              <w:pStyle w:val="TableText0"/>
            </w:pPr>
            <w:r w:rsidRPr="00804648">
              <w:t>% change from baseline to 1 year, LS mean (95% CI)</w:t>
            </w:r>
          </w:p>
        </w:tc>
        <w:tc>
          <w:tcPr>
            <w:tcW w:w="842" w:type="pct"/>
          </w:tcPr>
          <w:p w14:paraId="051D5C06" w14:textId="39F7E5D8" w:rsidR="00D67FE9" w:rsidRPr="00804648" w:rsidRDefault="00D67FE9" w:rsidP="006F6FE5">
            <w:pPr>
              <w:pStyle w:val="TableText0"/>
              <w:jc w:val="center"/>
            </w:pPr>
            <w:r w:rsidRPr="00804648">
              <w:t>34.8 (18.4,</w:t>
            </w:r>
            <w:r w:rsidR="00CD6CA5" w:rsidRPr="00804648">
              <w:t xml:space="preserve"> </w:t>
            </w:r>
            <w:r w:rsidRPr="00804648">
              <w:t>51.2)</w:t>
            </w:r>
          </w:p>
        </w:tc>
        <w:tc>
          <w:tcPr>
            <w:tcW w:w="864" w:type="pct"/>
          </w:tcPr>
          <w:p w14:paraId="525FF805" w14:textId="410DD766" w:rsidR="00D67FE9" w:rsidRPr="00804648" w:rsidRDefault="00D67FE9" w:rsidP="006F6FE5">
            <w:pPr>
              <w:pStyle w:val="TableText0"/>
              <w:jc w:val="center"/>
            </w:pPr>
            <w:r w:rsidRPr="00804648">
              <w:t>-11.0 (-29.8,</w:t>
            </w:r>
            <w:r w:rsidR="00CD6CA5" w:rsidRPr="00804648">
              <w:t xml:space="preserve"> </w:t>
            </w:r>
            <w:r w:rsidRPr="00804648">
              <w:t>7.9)</w:t>
            </w:r>
          </w:p>
        </w:tc>
        <w:tc>
          <w:tcPr>
            <w:tcW w:w="1072" w:type="pct"/>
          </w:tcPr>
          <w:p w14:paraId="46BAA73E" w14:textId="73B37710" w:rsidR="00D67FE9" w:rsidRPr="00804648" w:rsidRDefault="00D67FE9" w:rsidP="006F6FE5">
            <w:pPr>
              <w:pStyle w:val="TableText0"/>
              <w:jc w:val="center"/>
              <w:rPr>
                <w:b/>
                <w:bCs w:val="0"/>
              </w:rPr>
            </w:pPr>
            <w:r w:rsidRPr="00804648">
              <w:rPr>
                <w:b/>
                <w:bCs w:val="0"/>
              </w:rPr>
              <w:t>45.8 (19.4,</w:t>
            </w:r>
            <w:r w:rsidR="00CD6CA5" w:rsidRPr="00804648">
              <w:rPr>
                <w:b/>
                <w:bCs w:val="0"/>
              </w:rPr>
              <w:t xml:space="preserve"> </w:t>
            </w:r>
            <w:r w:rsidRPr="00804648">
              <w:rPr>
                <w:b/>
                <w:bCs w:val="0"/>
              </w:rPr>
              <w:t>72.1)</w:t>
            </w:r>
          </w:p>
        </w:tc>
      </w:tr>
      <w:tr w:rsidR="00D67FE9" w:rsidRPr="00804648" w14:paraId="5ADB889D" w14:textId="77777777" w:rsidTr="008C351B">
        <w:tc>
          <w:tcPr>
            <w:tcW w:w="2221" w:type="pct"/>
            <w:vAlign w:val="center"/>
          </w:tcPr>
          <w:p w14:paraId="27AF92FB" w14:textId="7FBE2143" w:rsidR="00D67FE9" w:rsidRPr="00804648" w:rsidRDefault="00D67FE9" w:rsidP="006F6FE5">
            <w:pPr>
              <w:pStyle w:val="TableText0"/>
              <w:rPr>
                <w:b/>
                <w:bCs w:val="0"/>
              </w:rPr>
            </w:pPr>
            <w:r w:rsidRPr="00804648">
              <w:rPr>
                <w:b/>
                <w:bCs w:val="0"/>
              </w:rPr>
              <w:t xml:space="preserve">% predicted </w:t>
            </w:r>
            <w:r w:rsidR="00BD6F49" w:rsidRPr="00804648">
              <w:rPr>
                <w:b/>
                <w:bCs w:val="0"/>
              </w:rPr>
              <w:t>DLco</w:t>
            </w:r>
          </w:p>
        </w:tc>
        <w:tc>
          <w:tcPr>
            <w:tcW w:w="842" w:type="pct"/>
            <w:vAlign w:val="center"/>
          </w:tcPr>
          <w:p w14:paraId="15A667B4" w14:textId="77777777" w:rsidR="00D67FE9" w:rsidRPr="00804648" w:rsidRDefault="00D67FE9" w:rsidP="006F6FE5">
            <w:pPr>
              <w:pStyle w:val="TableText0"/>
              <w:jc w:val="center"/>
            </w:pPr>
            <w:r w:rsidRPr="00804648">
              <w:t>n=9</w:t>
            </w:r>
          </w:p>
        </w:tc>
        <w:tc>
          <w:tcPr>
            <w:tcW w:w="864" w:type="pct"/>
            <w:vAlign w:val="center"/>
          </w:tcPr>
          <w:p w14:paraId="2BE51791" w14:textId="77777777" w:rsidR="00D67FE9" w:rsidRPr="00804648" w:rsidRDefault="00D67FE9" w:rsidP="006F6FE5">
            <w:pPr>
              <w:pStyle w:val="TableText0"/>
              <w:jc w:val="center"/>
            </w:pPr>
            <w:r w:rsidRPr="00804648">
              <w:t>n=8</w:t>
            </w:r>
          </w:p>
        </w:tc>
        <w:tc>
          <w:tcPr>
            <w:tcW w:w="1072" w:type="pct"/>
            <w:vAlign w:val="center"/>
          </w:tcPr>
          <w:p w14:paraId="0EC5F1D7" w14:textId="77777777" w:rsidR="00D67FE9" w:rsidRPr="00804648" w:rsidRDefault="00D67FE9" w:rsidP="006F6FE5">
            <w:pPr>
              <w:pStyle w:val="TableText0"/>
              <w:jc w:val="center"/>
            </w:pPr>
          </w:p>
        </w:tc>
      </w:tr>
      <w:tr w:rsidR="00D67FE9" w:rsidRPr="00804648" w14:paraId="76D9F0EC" w14:textId="77777777" w:rsidTr="008C351B">
        <w:tc>
          <w:tcPr>
            <w:tcW w:w="2221" w:type="pct"/>
            <w:vAlign w:val="center"/>
          </w:tcPr>
          <w:p w14:paraId="3314E220" w14:textId="77777777" w:rsidR="00D67FE9" w:rsidRPr="00804648" w:rsidRDefault="00D67FE9" w:rsidP="006F6FE5">
            <w:pPr>
              <w:pStyle w:val="TableText0"/>
            </w:pPr>
            <w:r w:rsidRPr="00804648">
              <w:t>Baseline, mean (SD)</w:t>
            </w:r>
          </w:p>
        </w:tc>
        <w:tc>
          <w:tcPr>
            <w:tcW w:w="842" w:type="pct"/>
          </w:tcPr>
          <w:p w14:paraId="4333BF77" w14:textId="77777777" w:rsidR="00D67FE9" w:rsidRPr="00804648" w:rsidRDefault="00D67FE9" w:rsidP="006F6FE5">
            <w:pPr>
              <w:pStyle w:val="TableText0"/>
              <w:jc w:val="center"/>
            </w:pPr>
            <w:r w:rsidRPr="00804648">
              <w:t>54.8 (14.2)</w:t>
            </w:r>
          </w:p>
        </w:tc>
        <w:tc>
          <w:tcPr>
            <w:tcW w:w="864" w:type="pct"/>
          </w:tcPr>
          <w:p w14:paraId="334509E7" w14:textId="77777777" w:rsidR="00D67FE9" w:rsidRPr="00804648" w:rsidRDefault="00D67FE9" w:rsidP="006F6FE5">
            <w:pPr>
              <w:pStyle w:val="TableText0"/>
              <w:jc w:val="center"/>
            </w:pPr>
            <w:r w:rsidRPr="00804648">
              <w:t>51.7 (25.7)</w:t>
            </w:r>
          </w:p>
        </w:tc>
        <w:tc>
          <w:tcPr>
            <w:tcW w:w="1072" w:type="pct"/>
          </w:tcPr>
          <w:p w14:paraId="7A99BC4E" w14:textId="77777777" w:rsidR="00D67FE9" w:rsidRPr="00804648" w:rsidRDefault="00D67FE9" w:rsidP="006F6FE5">
            <w:pPr>
              <w:pStyle w:val="TableText0"/>
              <w:jc w:val="center"/>
            </w:pPr>
            <w:r w:rsidRPr="00804648">
              <w:t>-</w:t>
            </w:r>
          </w:p>
        </w:tc>
      </w:tr>
      <w:tr w:rsidR="00D67FE9" w:rsidRPr="00804648" w14:paraId="57D3A635" w14:textId="77777777" w:rsidTr="008C351B">
        <w:tc>
          <w:tcPr>
            <w:tcW w:w="2221" w:type="pct"/>
            <w:vAlign w:val="center"/>
          </w:tcPr>
          <w:p w14:paraId="21FC7FDA" w14:textId="77777777" w:rsidR="00D67FE9" w:rsidRPr="00804648" w:rsidRDefault="00D67FE9" w:rsidP="006F6FE5">
            <w:pPr>
              <w:pStyle w:val="TableText0"/>
            </w:pPr>
            <w:r w:rsidRPr="00804648">
              <w:t>% change from baseline to 1 year, LS mean (95% CI)</w:t>
            </w:r>
          </w:p>
        </w:tc>
        <w:tc>
          <w:tcPr>
            <w:tcW w:w="842" w:type="pct"/>
          </w:tcPr>
          <w:p w14:paraId="6EC19A3F" w14:textId="6C604D24" w:rsidR="00D67FE9" w:rsidRPr="00804648" w:rsidRDefault="00D67FE9" w:rsidP="006F6FE5">
            <w:pPr>
              <w:pStyle w:val="TableText0"/>
              <w:jc w:val="center"/>
            </w:pPr>
            <w:r w:rsidRPr="00804648">
              <w:t>27.8 (7.8,</w:t>
            </w:r>
            <w:r w:rsidR="00CD6CA5" w:rsidRPr="00804648">
              <w:t xml:space="preserve"> </w:t>
            </w:r>
            <w:r w:rsidRPr="00804648">
              <w:t>47.8)</w:t>
            </w:r>
          </w:p>
        </w:tc>
        <w:tc>
          <w:tcPr>
            <w:tcW w:w="864" w:type="pct"/>
          </w:tcPr>
          <w:p w14:paraId="14474ABE" w14:textId="219FAD5B" w:rsidR="00D67FE9" w:rsidRPr="00804648" w:rsidRDefault="00D67FE9" w:rsidP="006F6FE5">
            <w:pPr>
              <w:pStyle w:val="TableText0"/>
              <w:jc w:val="center"/>
            </w:pPr>
            <w:r w:rsidRPr="00804648">
              <w:t>27.9 (-8.8,</w:t>
            </w:r>
            <w:r w:rsidR="00CD6CA5" w:rsidRPr="00804648">
              <w:t xml:space="preserve"> </w:t>
            </w:r>
            <w:r w:rsidRPr="00804648">
              <w:t>64.5)</w:t>
            </w:r>
          </w:p>
        </w:tc>
        <w:tc>
          <w:tcPr>
            <w:tcW w:w="1072" w:type="pct"/>
          </w:tcPr>
          <w:p w14:paraId="0E0B0536" w14:textId="726DFBAF" w:rsidR="00D67FE9" w:rsidRPr="00804648" w:rsidRDefault="00D67FE9" w:rsidP="006F6FE5">
            <w:pPr>
              <w:pStyle w:val="TableText0"/>
              <w:jc w:val="center"/>
            </w:pPr>
            <w:r w:rsidRPr="00804648">
              <w:t>-0.06 (</w:t>
            </w:r>
            <w:r w:rsidR="005F090D" w:rsidRPr="00804648">
              <w:t>-</w:t>
            </w:r>
            <w:r w:rsidRPr="00804648">
              <w:t>42.44, 42.33)</w:t>
            </w:r>
          </w:p>
        </w:tc>
      </w:tr>
      <w:tr w:rsidR="00D67FE9" w:rsidRPr="00804648" w14:paraId="71225F97" w14:textId="77777777" w:rsidTr="008C351B">
        <w:tc>
          <w:tcPr>
            <w:tcW w:w="2221" w:type="pct"/>
            <w:vAlign w:val="center"/>
          </w:tcPr>
          <w:p w14:paraId="6D9C24EE" w14:textId="77777777" w:rsidR="00D67FE9" w:rsidRPr="00804648" w:rsidRDefault="00D67FE9" w:rsidP="006F6FE5">
            <w:pPr>
              <w:pStyle w:val="TableText0"/>
              <w:rPr>
                <w:b/>
                <w:bCs w:val="0"/>
              </w:rPr>
            </w:pPr>
            <w:r w:rsidRPr="00804648">
              <w:rPr>
                <w:rFonts w:cstheme="minorHAnsi"/>
                <w:b/>
                <w:szCs w:val="18"/>
              </w:rPr>
              <w:t>Height z</w:t>
            </w:r>
            <w:r w:rsidRPr="00804648">
              <w:rPr>
                <w:rFonts w:cstheme="minorHAnsi"/>
                <w:b/>
                <w:szCs w:val="18"/>
              </w:rPr>
              <w:noBreakHyphen/>
              <w:t>score</w:t>
            </w:r>
          </w:p>
        </w:tc>
        <w:tc>
          <w:tcPr>
            <w:tcW w:w="842" w:type="pct"/>
            <w:vAlign w:val="center"/>
          </w:tcPr>
          <w:p w14:paraId="1A41AAF6" w14:textId="77777777" w:rsidR="00D67FE9" w:rsidRPr="00804648" w:rsidRDefault="00D67FE9" w:rsidP="006F6FE5">
            <w:pPr>
              <w:pStyle w:val="TableText0"/>
              <w:jc w:val="center"/>
            </w:pPr>
            <w:r w:rsidRPr="00804648">
              <w:t>n=14</w:t>
            </w:r>
          </w:p>
        </w:tc>
        <w:tc>
          <w:tcPr>
            <w:tcW w:w="864" w:type="pct"/>
            <w:vAlign w:val="center"/>
          </w:tcPr>
          <w:p w14:paraId="64485371" w14:textId="77777777" w:rsidR="00D67FE9" w:rsidRPr="00804648" w:rsidRDefault="00D67FE9" w:rsidP="006F6FE5">
            <w:pPr>
              <w:pStyle w:val="TableText0"/>
              <w:jc w:val="center"/>
            </w:pPr>
            <w:r w:rsidRPr="00804648">
              <w:t>n=13</w:t>
            </w:r>
          </w:p>
        </w:tc>
        <w:tc>
          <w:tcPr>
            <w:tcW w:w="1072" w:type="pct"/>
            <w:vAlign w:val="center"/>
          </w:tcPr>
          <w:p w14:paraId="45B5F91B" w14:textId="77777777" w:rsidR="00D67FE9" w:rsidRPr="00804648" w:rsidRDefault="00D67FE9" w:rsidP="006F6FE5">
            <w:pPr>
              <w:pStyle w:val="TableText0"/>
              <w:jc w:val="center"/>
            </w:pPr>
          </w:p>
        </w:tc>
      </w:tr>
      <w:tr w:rsidR="00D67FE9" w:rsidRPr="00804648" w14:paraId="41ED0882" w14:textId="77777777" w:rsidTr="008C351B">
        <w:tc>
          <w:tcPr>
            <w:tcW w:w="2221" w:type="pct"/>
            <w:vAlign w:val="center"/>
          </w:tcPr>
          <w:p w14:paraId="4EBA1B71" w14:textId="77777777" w:rsidR="00D67FE9" w:rsidRPr="00804648" w:rsidRDefault="00D67FE9" w:rsidP="006F6FE5">
            <w:pPr>
              <w:pStyle w:val="TableText0"/>
            </w:pPr>
            <w:r w:rsidRPr="00804648">
              <w:t>Baseline, mean (SD)</w:t>
            </w:r>
          </w:p>
        </w:tc>
        <w:tc>
          <w:tcPr>
            <w:tcW w:w="842" w:type="pct"/>
            <w:vAlign w:val="center"/>
          </w:tcPr>
          <w:p w14:paraId="54BB93FE" w14:textId="77777777" w:rsidR="00D67FE9" w:rsidRPr="00804648" w:rsidRDefault="00D67FE9" w:rsidP="006F6FE5">
            <w:pPr>
              <w:pStyle w:val="TableText0"/>
              <w:jc w:val="center"/>
            </w:pPr>
            <w:r w:rsidRPr="00804648">
              <w:rPr>
                <w:rFonts w:cstheme="minorHAnsi"/>
                <w:szCs w:val="18"/>
              </w:rPr>
              <w:noBreakHyphen/>
              <w:t>2.19 (0.870)</w:t>
            </w:r>
          </w:p>
        </w:tc>
        <w:tc>
          <w:tcPr>
            <w:tcW w:w="864" w:type="pct"/>
            <w:vAlign w:val="center"/>
          </w:tcPr>
          <w:p w14:paraId="3B295E3A" w14:textId="77777777" w:rsidR="00D67FE9" w:rsidRPr="00804648" w:rsidRDefault="00D67FE9" w:rsidP="006F6FE5">
            <w:pPr>
              <w:pStyle w:val="TableText0"/>
              <w:jc w:val="center"/>
            </w:pPr>
            <w:r w:rsidRPr="00804648">
              <w:rPr>
                <w:rFonts w:cstheme="minorHAnsi"/>
                <w:szCs w:val="18"/>
              </w:rPr>
              <w:noBreakHyphen/>
              <w:t>2.90 (0.917)</w:t>
            </w:r>
          </w:p>
        </w:tc>
        <w:tc>
          <w:tcPr>
            <w:tcW w:w="1072" w:type="pct"/>
          </w:tcPr>
          <w:p w14:paraId="3D10A093" w14:textId="77777777" w:rsidR="00D67FE9" w:rsidRPr="00804648" w:rsidRDefault="00D67FE9" w:rsidP="006F6FE5">
            <w:pPr>
              <w:pStyle w:val="TableText0"/>
              <w:jc w:val="center"/>
            </w:pPr>
            <w:r w:rsidRPr="00804648">
              <w:t>-</w:t>
            </w:r>
          </w:p>
        </w:tc>
      </w:tr>
      <w:tr w:rsidR="00D67FE9" w:rsidRPr="00804648" w14:paraId="7795DD45" w14:textId="77777777" w:rsidTr="008C351B">
        <w:tc>
          <w:tcPr>
            <w:tcW w:w="2221" w:type="pct"/>
            <w:vAlign w:val="center"/>
          </w:tcPr>
          <w:p w14:paraId="3D6C4CA7" w14:textId="77777777" w:rsidR="00D67FE9" w:rsidRPr="00804648" w:rsidRDefault="00D67FE9" w:rsidP="006F6FE5">
            <w:pPr>
              <w:pStyle w:val="TableText0"/>
            </w:pPr>
            <w:r w:rsidRPr="00804648">
              <w:t>% change from baseline to 1 year, LS mean (95% CI)</w:t>
            </w:r>
          </w:p>
        </w:tc>
        <w:tc>
          <w:tcPr>
            <w:tcW w:w="842" w:type="pct"/>
          </w:tcPr>
          <w:p w14:paraId="7EC56BF2" w14:textId="2D2B7825" w:rsidR="00D67FE9" w:rsidRPr="00804648" w:rsidRDefault="00D67FE9" w:rsidP="006F6FE5">
            <w:pPr>
              <w:pStyle w:val="TableText0"/>
              <w:jc w:val="center"/>
            </w:pPr>
            <w:r w:rsidRPr="00804648">
              <w:rPr>
                <w:rFonts w:cstheme="minorHAnsi"/>
                <w:szCs w:val="18"/>
              </w:rPr>
              <w:t>0.61 (0.21,</w:t>
            </w:r>
            <w:r w:rsidR="00CD6CA5" w:rsidRPr="00804648">
              <w:rPr>
                <w:rFonts w:cstheme="minorHAnsi"/>
                <w:szCs w:val="18"/>
              </w:rPr>
              <w:t xml:space="preserve"> </w:t>
            </w:r>
            <w:r w:rsidRPr="00804648">
              <w:rPr>
                <w:rFonts w:cstheme="minorHAnsi"/>
                <w:szCs w:val="18"/>
              </w:rPr>
              <w:t>1.01)</w:t>
            </w:r>
          </w:p>
        </w:tc>
        <w:tc>
          <w:tcPr>
            <w:tcW w:w="864" w:type="pct"/>
          </w:tcPr>
          <w:p w14:paraId="76CB157A" w14:textId="17439CD6" w:rsidR="00D67FE9" w:rsidRPr="00804648" w:rsidRDefault="00D67FE9" w:rsidP="006F6FE5">
            <w:pPr>
              <w:pStyle w:val="TableText0"/>
              <w:jc w:val="center"/>
            </w:pPr>
            <w:r w:rsidRPr="00804648">
              <w:rPr>
                <w:rFonts w:cstheme="minorHAnsi"/>
                <w:szCs w:val="18"/>
              </w:rPr>
              <w:noBreakHyphen/>
              <w:t>0.03 (</w:t>
            </w:r>
            <w:r w:rsidRPr="00804648">
              <w:rPr>
                <w:rFonts w:cstheme="minorHAnsi"/>
                <w:szCs w:val="18"/>
              </w:rPr>
              <w:noBreakHyphen/>
              <w:t>0.22,</w:t>
            </w:r>
            <w:r w:rsidR="00CD6CA5" w:rsidRPr="00804648">
              <w:rPr>
                <w:rFonts w:cstheme="minorHAnsi"/>
                <w:szCs w:val="18"/>
              </w:rPr>
              <w:t xml:space="preserve"> </w:t>
            </w:r>
            <w:r w:rsidRPr="00804648">
              <w:rPr>
                <w:rFonts w:cstheme="minorHAnsi"/>
                <w:szCs w:val="18"/>
              </w:rPr>
              <w:t>0.17)</w:t>
            </w:r>
          </w:p>
        </w:tc>
        <w:tc>
          <w:tcPr>
            <w:tcW w:w="1072" w:type="pct"/>
          </w:tcPr>
          <w:p w14:paraId="6803DF2E" w14:textId="77777777" w:rsidR="00D67FE9" w:rsidRPr="00804648" w:rsidRDefault="00D67FE9" w:rsidP="006F6FE5">
            <w:pPr>
              <w:pStyle w:val="TableText0"/>
              <w:jc w:val="center"/>
              <w:rPr>
                <w:b/>
                <w:bCs w:val="0"/>
              </w:rPr>
            </w:pPr>
            <w:r w:rsidRPr="00804648">
              <w:rPr>
                <w:b/>
                <w:bCs w:val="0"/>
              </w:rPr>
              <w:t>0.64 (0.23, 1.05)</w:t>
            </w:r>
          </w:p>
        </w:tc>
      </w:tr>
    </w:tbl>
    <w:p w14:paraId="4B56A00B" w14:textId="77777777" w:rsidR="00D67FE9" w:rsidRPr="00804648" w:rsidRDefault="00D67FE9" w:rsidP="00D67FE9">
      <w:pPr>
        <w:pStyle w:val="FooterTableFigure"/>
      </w:pPr>
      <w:r w:rsidRPr="00804648">
        <w:t>Source: Table 2.2.44, pp90-91 of the submission.</w:t>
      </w:r>
    </w:p>
    <w:p w14:paraId="5546A920" w14:textId="25EC44E7" w:rsidR="00D67FE9" w:rsidRPr="00804648" w:rsidRDefault="00D67FE9" w:rsidP="00D67FE9">
      <w:pPr>
        <w:pStyle w:val="FooterTableFigure"/>
      </w:pPr>
      <w:r w:rsidRPr="00804648">
        <w:t xml:space="preserve">BSC = best supportive care, CI = confidence interval, </w:t>
      </w:r>
      <w:r w:rsidR="00BD6F49" w:rsidRPr="00804648">
        <w:t>DLco</w:t>
      </w:r>
      <w:r w:rsidRPr="00804648">
        <w:t xml:space="preserve"> = diffusing capacity of the lung for carbon monoxide, LS = least squares, MN = multiples of normal, </w:t>
      </w:r>
      <w:r w:rsidRPr="00804648">
        <w:rPr>
          <w:rFonts w:eastAsia="Calibri"/>
        </w:rPr>
        <w:t>N = total participants in group,</w:t>
      </w:r>
      <w:r w:rsidRPr="00804648">
        <w:t xml:space="preserve"> SD = standard deviation, SE = standard error</w:t>
      </w:r>
    </w:p>
    <w:p w14:paraId="7341F73C" w14:textId="4CF22F2F" w:rsidR="00A15BEF" w:rsidRPr="00804648" w:rsidRDefault="00A15BEF" w:rsidP="00D67FE9">
      <w:pPr>
        <w:pStyle w:val="FooterTableFigure"/>
        <w:rPr>
          <w:sz w:val="20"/>
        </w:rPr>
      </w:pPr>
      <w:r w:rsidRPr="00804648">
        <w:rPr>
          <w:i/>
          <w:iCs/>
        </w:rPr>
        <w:t xml:space="preserve">Italics </w:t>
      </w:r>
      <w:r w:rsidRPr="00804648">
        <w:t>corrected during evaluation.</w:t>
      </w:r>
    </w:p>
    <w:p w14:paraId="568C118B" w14:textId="42BE7358" w:rsidR="00DC77D3" w:rsidRPr="00804648" w:rsidRDefault="00D67FE9" w:rsidP="00CD6CA5">
      <w:pPr>
        <w:pStyle w:val="FooterTableFigure"/>
      </w:pPr>
      <w:r w:rsidRPr="00804648">
        <w:rPr>
          <w:b/>
          <w:bCs/>
        </w:rPr>
        <w:t xml:space="preserve">Bold </w:t>
      </w:r>
      <w:r w:rsidRPr="00804648">
        <w:t xml:space="preserve">indicates statistical significance. </w:t>
      </w:r>
    </w:p>
    <w:p w14:paraId="0AD9C756" w14:textId="3AA37A64" w:rsidR="00E732B7" w:rsidRPr="00804648" w:rsidRDefault="00C01CFC" w:rsidP="00E732B7">
      <w:pPr>
        <w:pStyle w:val="3-BodyText"/>
      </w:pPr>
      <w:r w:rsidRPr="00804648">
        <w:t>Statistically significant improvement</w:t>
      </w:r>
      <w:r w:rsidR="0049186D" w:rsidRPr="00804648">
        <w:t xml:space="preserve"> (albeit from an unanchored comparison)</w:t>
      </w:r>
      <w:r w:rsidRPr="00804648">
        <w:t xml:space="preserve"> was observed in paediatric patients </w:t>
      </w:r>
      <w:r w:rsidR="002B54CB" w:rsidRPr="00804648">
        <w:t xml:space="preserve">in </w:t>
      </w:r>
      <w:r w:rsidRPr="00804648">
        <w:t xml:space="preserve">ASCEND-peds </w:t>
      </w:r>
      <w:r w:rsidR="00193800" w:rsidRPr="00804648">
        <w:t xml:space="preserve">in </w:t>
      </w:r>
      <w:r w:rsidRPr="00804648">
        <w:t>terms of spleen volume, liver volume, and platelet count</w:t>
      </w:r>
      <w:r w:rsidR="002B54CB" w:rsidRPr="00804648">
        <w:t xml:space="preserve"> compared to SPHINGO-100.</w:t>
      </w:r>
      <w:r w:rsidR="00E732B7" w:rsidRPr="00804648">
        <w:t xml:space="preserve"> </w:t>
      </w:r>
      <w:r w:rsidR="0049186D" w:rsidRPr="00804648">
        <w:t>P</w:t>
      </w:r>
      <w:r w:rsidR="00E732B7" w:rsidRPr="00804648">
        <w:t>atients in ASCEND-peds</w:t>
      </w:r>
      <w:r w:rsidR="0049186D" w:rsidRPr="00804648">
        <w:t xml:space="preserve"> also</w:t>
      </w:r>
      <w:r w:rsidR="00E732B7" w:rsidRPr="00804648">
        <w:t xml:space="preserve"> achieved greater improvements in height with a mean Z-score of 0.61 from baseline to 1 year compared to no improvement in height with a mean Z-score of </w:t>
      </w:r>
      <w:r w:rsidR="00044E64" w:rsidRPr="00804648">
        <w:t>-</w:t>
      </w:r>
      <w:r w:rsidR="00E732B7" w:rsidRPr="00804648">
        <w:t>0.03 in the BSC group.</w:t>
      </w:r>
    </w:p>
    <w:p w14:paraId="6BDFA72D" w14:textId="2FF758B7" w:rsidR="00C01CFC" w:rsidRPr="00804648" w:rsidRDefault="00B7135E" w:rsidP="00C01CFC">
      <w:pPr>
        <w:pStyle w:val="3-BodyText"/>
      </w:pPr>
      <w:r w:rsidRPr="00804648">
        <w:t>N</w:t>
      </w:r>
      <w:r w:rsidR="00C01CFC" w:rsidRPr="00804648">
        <w:t>o statistically significant difference</w:t>
      </w:r>
      <w:r w:rsidR="00850981" w:rsidRPr="00804648">
        <w:t xml:space="preserve"> (albeit from an unanchored comparison)</w:t>
      </w:r>
      <w:r w:rsidRPr="00804648">
        <w:t xml:space="preserve"> was observed</w:t>
      </w:r>
      <w:r w:rsidR="00C01CFC" w:rsidRPr="00804648">
        <w:t xml:space="preserve"> for </w:t>
      </w:r>
      <w:r w:rsidR="00BD6F49" w:rsidRPr="00804648">
        <w:t>DLco</w:t>
      </w:r>
      <w:r w:rsidRPr="00804648">
        <w:t xml:space="preserve"> (percent predicted)</w:t>
      </w:r>
      <w:r w:rsidR="00C01CFC" w:rsidRPr="00804648">
        <w:t xml:space="preserve"> between the two groups. </w:t>
      </w:r>
      <w:r w:rsidR="00F9093F" w:rsidRPr="00804648">
        <w:t>Of note, o</w:t>
      </w:r>
      <w:r w:rsidR="00C01CFC" w:rsidRPr="00804648">
        <w:t xml:space="preserve">nly nine </w:t>
      </w:r>
      <w:r w:rsidR="00F15D81" w:rsidRPr="00804648">
        <w:t>patients</w:t>
      </w:r>
      <w:r w:rsidR="001C752D" w:rsidRPr="00804648">
        <w:t xml:space="preserve"> (</w:t>
      </w:r>
      <w:r w:rsidR="000001E9" w:rsidRPr="00804648">
        <w:t>60</w:t>
      </w:r>
      <w:r w:rsidR="001C752D" w:rsidRPr="00804648">
        <w:t xml:space="preserve">%) </w:t>
      </w:r>
      <w:r w:rsidR="00C01CFC" w:rsidRPr="00804648">
        <w:t>in ASCEND-peds</w:t>
      </w:r>
      <w:r w:rsidR="00F15D81" w:rsidRPr="00804648">
        <w:t xml:space="preserve"> </w:t>
      </w:r>
      <w:r w:rsidR="00C01CFC" w:rsidRPr="00804648">
        <w:t>and</w:t>
      </w:r>
      <w:r w:rsidR="00933F30" w:rsidRPr="00804648">
        <w:t xml:space="preserve"> </w:t>
      </w:r>
      <w:r w:rsidR="009B5F78" w:rsidRPr="00804648">
        <w:t>eight</w:t>
      </w:r>
      <w:r w:rsidR="00933F30" w:rsidRPr="00804648">
        <w:t xml:space="preserve"> patients </w:t>
      </w:r>
      <w:r w:rsidR="00A20DDE" w:rsidRPr="00804648">
        <w:t>(</w:t>
      </w:r>
      <w:r w:rsidR="009B5F78" w:rsidRPr="00804648">
        <w:t xml:space="preserve">57%) </w:t>
      </w:r>
      <w:r w:rsidR="00933F30" w:rsidRPr="00804648">
        <w:t>in</w:t>
      </w:r>
      <w:r w:rsidR="00C01CFC" w:rsidRPr="00804648">
        <w:t xml:space="preserve"> SPHINGO-100 had </w:t>
      </w:r>
      <w:r w:rsidR="00BD6F49" w:rsidRPr="00804648">
        <w:t>DLco</w:t>
      </w:r>
      <w:r w:rsidR="00C01CFC" w:rsidRPr="00804648">
        <w:t xml:space="preserve"> values</w:t>
      </w:r>
      <w:r w:rsidR="002B54CB" w:rsidRPr="00804648">
        <w:t xml:space="preserve"> </w:t>
      </w:r>
      <w:r w:rsidR="00F15D81" w:rsidRPr="00804648">
        <w:t>at baseline and week 52.</w:t>
      </w:r>
    </w:p>
    <w:p w14:paraId="15BF3732" w14:textId="5533E86C" w:rsidR="00C01CFC" w:rsidRPr="00804648" w:rsidRDefault="005F570A" w:rsidP="00C01CFC">
      <w:pPr>
        <w:pStyle w:val="3-BodyText"/>
        <w:rPr>
          <w:b/>
          <w:bCs/>
        </w:rPr>
      </w:pPr>
      <w:r w:rsidRPr="00804648">
        <w:t>T</w:t>
      </w:r>
      <w:r w:rsidR="00C01CFC" w:rsidRPr="00804648">
        <w:t xml:space="preserve">he results of </w:t>
      </w:r>
      <w:r w:rsidR="00AA4D56" w:rsidRPr="00804648">
        <w:t xml:space="preserve">the </w:t>
      </w:r>
      <w:r w:rsidR="00C01CFC" w:rsidRPr="00804648">
        <w:t xml:space="preserve">comparison </w:t>
      </w:r>
      <w:r w:rsidRPr="00804648">
        <w:t>between</w:t>
      </w:r>
      <w:r w:rsidR="00C01CFC" w:rsidRPr="00804648">
        <w:t xml:space="preserve"> ASCEND-peds and SPHINGO-100 </w:t>
      </w:r>
      <w:r w:rsidR="00193800" w:rsidRPr="00804648">
        <w:t>were</w:t>
      </w:r>
      <w:r w:rsidR="00C01CFC" w:rsidRPr="00804648">
        <w:t xml:space="preserve"> difficult to interpret, given that the submission did not </w:t>
      </w:r>
      <w:r w:rsidR="00193800" w:rsidRPr="00804648">
        <w:t xml:space="preserve">conduct a comparison using </w:t>
      </w:r>
      <w:r w:rsidR="00AA4D56" w:rsidRPr="00804648">
        <w:t xml:space="preserve">a </w:t>
      </w:r>
      <w:r w:rsidR="008E3BB1" w:rsidRPr="00804648">
        <w:t xml:space="preserve">full </w:t>
      </w:r>
      <w:r w:rsidR="00AA4D56" w:rsidRPr="00804648">
        <w:t>matching</w:t>
      </w:r>
      <w:r w:rsidR="00190792" w:rsidRPr="00804648">
        <w:t xml:space="preserve"> </w:t>
      </w:r>
      <w:r w:rsidR="00AA4D56" w:rsidRPr="00804648">
        <w:t>approach</w:t>
      </w:r>
      <w:r w:rsidR="00190792" w:rsidRPr="00804648">
        <w:t xml:space="preserve"> t</w:t>
      </w:r>
      <w:r w:rsidR="00193800" w:rsidRPr="00804648">
        <w:t>o account for</w:t>
      </w:r>
      <w:r w:rsidR="008E3BB1" w:rsidRPr="00804648">
        <w:t xml:space="preserve"> all apparent sources of</w:t>
      </w:r>
      <w:r w:rsidR="00193800" w:rsidRPr="00804648">
        <w:t xml:space="preserve"> heterogeneity, such as age and sphingomyelin in plasma, between trials.</w:t>
      </w:r>
      <w:r w:rsidR="003F09E1" w:rsidRPr="00804648">
        <w:t xml:space="preserve"> </w:t>
      </w:r>
      <w:r w:rsidR="00BD6F49" w:rsidRPr="00804648">
        <w:t xml:space="preserve">Of note, </w:t>
      </w:r>
      <w:r w:rsidR="008E3BB1" w:rsidRPr="00804648">
        <w:t xml:space="preserve">full </w:t>
      </w:r>
      <w:r w:rsidR="00BD6F49" w:rsidRPr="00804648">
        <w:t>matching may not be feasible given the small sample size.</w:t>
      </w:r>
    </w:p>
    <w:p w14:paraId="3FE12955" w14:textId="3E68112A" w:rsidR="00E72E4F" w:rsidRPr="00804648" w:rsidRDefault="00E72E4F" w:rsidP="00193800">
      <w:pPr>
        <w:pStyle w:val="3-BodyText"/>
        <w:numPr>
          <w:ilvl w:val="0"/>
          <w:numId w:val="0"/>
        </w:numPr>
        <w:rPr>
          <w:b/>
          <w:bCs/>
          <w:u w:val="single"/>
        </w:rPr>
      </w:pPr>
      <w:r w:rsidRPr="00804648">
        <w:rPr>
          <w:b/>
          <w:bCs/>
          <w:u w:val="single"/>
        </w:rPr>
        <w:t>ADULT AND PAEDIATRIC POPULATIONS</w:t>
      </w:r>
    </w:p>
    <w:p w14:paraId="02B4DABC" w14:textId="28FB8D08" w:rsidR="00193800" w:rsidRPr="00804648" w:rsidRDefault="00193800" w:rsidP="0022697B">
      <w:pPr>
        <w:pStyle w:val="5-SubsectionSubheading"/>
      </w:pPr>
      <w:r w:rsidRPr="00804648">
        <w:t>LTS13632</w:t>
      </w:r>
      <w:r w:rsidR="00E72E4F" w:rsidRPr="00804648">
        <w:t xml:space="preserve"> long-term extension single arm study</w:t>
      </w:r>
      <w:r w:rsidR="00850981" w:rsidRPr="00804648">
        <w:t xml:space="preserve"> with patients from DFI13412 and ASCEND</w:t>
      </w:r>
      <w:r w:rsidR="00850981" w:rsidRPr="00804648">
        <w:noBreakHyphen/>
        <w:t>peds studies</w:t>
      </w:r>
      <w:r w:rsidR="00E72E4F" w:rsidRPr="00804648">
        <w:t xml:space="preserve"> (olipudase alfa)</w:t>
      </w:r>
    </w:p>
    <w:p w14:paraId="7143E052" w14:textId="13E3287A" w:rsidR="006762C2" w:rsidRPr="00804648" w:rsidRDefault="006762C2" w:rsidP="006762C2">
      <w:pPr>
        <w:pStyle w:val="3-BodyText"/>
        <w:rPr>
          <w:rStyle w:val="TableFigureHeadingChar"/>
          <w:rFonts w:asciiTheme="minorHAnsi" w:hAnsiTheme="minorHAnsi" w:cs="Arial"/>
          <w:b w:val="0"/>
          <w:bCs w:val="0"/>
        </w:rPr>
      </w:pPr>
      <w:r w:rsidRPr="00804648">
        <w:rPr>
          <w:rStyle w:val="TableFigureHeadingChar"/>
          <w:rFonts w:asciiTheme="minorHAnsi" w:hAnsiTheme="minorHAnsi" w:cs="Arial"/>
          <w:b w:val="0"/>
          <w:bCs w:val="0"/>
        </w:rPr>
        <w:fldChar w:fldCharType="begin" w:fldLock="1"/>
      </w:r>
      <w:r w:rsidRPr="00804648">
        <w:rPr>
          <w:rStyle w:val="TableFigureHeadingChar"/>
          <w:rFonts w:asciiTheme="minorHAnsi" w:hAnsiTheme="minorHAnsi" w:cs="Arial"/>
          <w:b w:val="0"/>
          <w:bCs w:val="0"/>
        </w:rPr>
        <w:instrText xml:space="preserve"> REF _Ref133691799 \h </w:instrText>
      </w:r>
      <w:r w:rsidRPr="00804648">
        <w:rPr>
          <w:rStyle w:val="TableFigureHeadingChar"/>
          <w:rFonts w:asciiTheme="minorHAnsi" w:hAnsiTheme="minorHAnsi" w:cs="Arial"/>
          <w:b w:val="0"/>
          <w:bCs w:val="0"/>
        </w:rPr>
      </w:r>
      <w:r w:rsidRPr="00804648">
        <w:rPr>
          <w:rStyle w:val="TableFigureHeadingChar"/>
          <w:rFonts w:asciiTheme="minorHAnsi" w:hAnsiTheme="minorHAnsi" w:cs="Arial"/>
          <w:b w:val="0"/>
          <w:bCs w:val="0"/>
        </w:rPr>
        <w:fldChar w:fldCharType="separate"/>
      </w:r>
      <w:r w:rsidR="005D02DA" w:rsidRPr="00804648">
        <w:t>Figure 5</w:t>
      </w:r>
      <w:r w:rsidRPr="00804648">
        <w:rPr>
          <w:rStyle w:val="TableFigureHeadingChar"/>
          <w:rFonts w:asciiTheme="minorHAnsi" w:hAnsiTheme="minorHAnsi" w:cs="Arial"/>
          <w:b w:val="0"/>
          <w:bCs w:val="0"/>
        </w:rPr>
        <w:fldChar w:fldCharType="end"/>
      </w:r>
      <w:r w:rsidRPr="00804648">
        <w:rPr>
          <w:rStyle w:val="TableFigureHeadingChar"/>
          <w:rFonts w:asciiTheme="minorHAnsi" w:hAnsiTheme="minorHAnsi" w:cs="Arial"/>
          <w:b w:val="0"/>
          <w:bCs w:val="0"/>
        </w:rPr>
        <w:t xml:space="preserve"> </w:t>
      </w:r>
      <w:r w:rsidR="00277FD9" w:rsidRPr="00804648">
        <w:rPr>
          <w:rStyle w:val="TableFigureHeadingChar"/>
          <w:rFonts w:asciiTheme="minorHAnsi" w:hAnsiTheme="minorHAnsi" w:cs="Arial"/>
          <w:b w:val="0"/>
          <w:bCs w:val="0"/>
        </w:rPr>
        <w:t>presents the mean spleen volume over time in adult and paediatric patients.</w:t>
      </w:r>
    </w:p>
    <w:p w14:paraId="365C78BB" w14:textId="09DE34B9" w:rsidR="006762C2" w:rsidRPr="00804648" w:rsidRDefault="006762C2" w:rsidP="006762C2">
      <w:pPr>
        <w:pStyle w:val="TableFigureHeading"/>
      </w:pPr>
      <w:bookmarkStart w:id="40" w:name="_Ref133691799"/>
      <w:r w:rsidRPr="00804648">
        <w:lastRenderedPageBreak/>
        <w:t xml:space="preserve">Figure </w:t>
      </w:r>
      <w:fldSimple w:instr=" SEQ Figure \* ARABIC " w:fldLock="1">
        <w:r w:rsidR="005D02DA" w:rsidRPr="00804648">
          <w:t>5</w:t>
        </w:r>
      </w:fldSimple>
      <w:bookmarkEnd w:id="40"/>
      <w:r w:rsidRPr="00804648">
        <w:rPr>
          <w:rStyle w:val="TableFigureHeadingChar"/>
          <w:b/>
          <w:bCs/>
        </w:rPr>
        <w:t>: Mean spleen volume over time in adult and paediatric patients in LTS13632</w:t>
      </w:r>
    </w:p>
    <w:p w14:paraId="18BEE3EC" w14:textId="3641BEEF" w:rsidR="006762C2" w:rsidRPr="00804648" w:rsidRDefault="006762C2" w:rsidP="006762C2">
      <w:pPr>
        <w:pStyle w:val="TableFigureHeading"/>
        <w:rPr>
          <w:rStyle w:val="TableFigureHeadingChar"/>
          <w:b/>
          <w:bCs/>
        </w:rPr>
      </w:pPr>
      <w:r w:rsidRPr="00804648">
        <w:rPr>
          <w:noProof/>
        </w:rPr>
        <w:drawing>
          <wp:inline distT="0" distB="0" distL="0" distR="0" wp14:anchorId="5C49D89D" wp14:editId="3C678669">
            <wp:extent cx="4731222" cy="2820838"/>
            <wp:effectExtent l="0" t="0" r="0" b="0"/>
            <wp:docPr id="4" name="Picture 4" descr="Figure 5: Mean spleen volume over time in adult and paediatric patients in LTS1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5: Mean spleen volume over time in adult and paediatric patients in LTS13632"/>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4744165" cy="2828555"/>
                    </a:xfrm>
                    <a:prstGeom prst="rect">
                      <a:avLst/>
                    </a:prstGeom>
                    <a:noFill/>
                    <a:ln>
                      <a:noFill/>
                    </a:ln>
                    <a:extLst>
                      <a:ext uri="{53640926-AAD7-44D8-BBD7-CCE9431645EC}">
                        <a14:shadowObscured xmlns:a14="http://schemas.microsoft.com/office/drawing/2010/main"/>
                      </a:ext>
                    </a:extLst>
                  </pic:spPr>
                </pic:pic>
              </a:graphicData>
            </a:graphic>
          </wp:inline>
        </w:drawing>
      </w:r>
    </w:p>
    <w:p w14:paraId="6E3A88A8" w14:textId="77777777" w:rsidR="006762C2" w:rsidRPr="00804648" w:rsidRDefault="006762C2" w:rsidP="006762C2">
      <w:pPr>
        <w:pStyle w:val="FooterTableFigure"/>
      </w:pPr>
      <w:r w:rsidRPr="00804648">
        <w:t xml:space="preserve">Source: Figure 2.2.21, p100 of the submission. </w:t>
      </w:r>
    </w:p>
    <w:p w14:paraId="56999083" w14:textId="77777777" w:rsidR="006762C2" w:rsidRPr="00804648" w:rsidRDefault="006762C2" w:rsidP="006762C2">
      <w:pPr>
        <w:pStyle w:val="FooterTableFigure"/>
      </w:pPr>
      <w:r w:rsidRPr="00804648">
        <w:t xml:space="preserve">MN = multiple of normal </w:t>
      </w:r>
    </w:p>
    <w:p w14:paraId="5E1E60C9" w14:textId="5B2961AA" w:rsidR="00F023D0" w:rsidRPr="00804648" w:rsidRDefault="00A13F1F" w:rsidP="006F6FE5">
      <w:pPr>
        <w:pStyle w:val="3-BodyText"/>
        <w:rPr>
          <w:rStyle w:val="TableFigureHeadingChar"/>
          <w:rFonts w:asciiTheme="minorHAnsi" w:hAnsiTheme="minorHAnsi" w:cs="Arial"/>
          <w:b w:val="0"/>
          <w:bCs w:val="0"/>
        </w:rPr>
      </w:pPr>
      <w:r w:rsidRPr="00804648">
        <w:rPr>
          <w:rStyle w:val="TableFigureHeadingChar"/>
          <w:rFonts w:asciiTheme="minorHAnsi" w:hAnsiTheme="minorHAnsi" w:cs="Arial"/>
          <w:b w:val="0"/>
          <w:bCs w:val="0"/>
        </w:rPr>
        <w:t>Mean spleen volume at baseline was 12.8 MN</w:t>
      </w:r>
      <w:r w:rsidR="00A301FF" w:rsidRPr="00804648">
        <w:rPr>
          <w:rStyle w:val="TableFigureHeadingChar"/>
          <w:rFonts w:asciiTheme="minorHAnsi" w:hAnsiTheme="minorHAnsi" w:cs="Arial"/>
          <w:b w:val="0"/>
          <w:bCs w:val="0"/>
        </w:rPr>
        <w:t xml:space="preserve"> (moderate splenomegaly)</w:t>
      </w:r>
      <w:r w:rsidRPr="00804648">
        <w:rPr>
          <w:rStyle w:val="TableFigureHeadingChar"/>
          <w:rFonts w:asciiTheme="minorHAnsi" w:hAnsiTheme="minorHAnsi" w:cs="Arial"/>
          <w:b w:val="0"/>
          <w:bCs w:val="0"/>
        </w:rPr>
        <w:t xml:space="preserve"> in adults and 19.0 MN</w:t>
      </w:r>
      <w:r w:rsidR="00A301FF" w:rsidRPr="00804648">
        <w:rPr>
          <w:rStyle w:val="TableFigureHeadingChar"/>
          <w:rFonts w:asciiTheme="minorHAnsi" w:hAnsiTheme="minorHAnsi" w:cs="Arial"/>
          <w:b w:val="0"/>
          <w:bCs w:val="0"/>
        </w:rPr>
        <w:t xml:space="preserve"> (sever</w:t>
      </w:r>
      <w:r w:rsidR="00F86403" w:rsidRPr="00804648">
        <w:rPr>
          <w:rStyle w:val="TableFigureHeadingChar"/>
          <w:rFonts w:asciiTheme="minorHAnsi" w:hAnsiTheme="minorHAnsi" w:cs="Arial"/>
          <w:b w:val="0"/>
          <w:bCs w:val="0"/>
        </w:rPr>
        <w:t>e</w:t>
      </w:r>
      <w:r w:rsidR="00A301FF" w:rsidRPr="00804648">
        <w:rPr>
          <w:rStyle w:val="TableFigureHeadingChar"/>
          <w:rFonts w:asciiTheme="minorHAnsi" w:hAnsiTheme="minorHAnsi" w:cs="Arial"/>
          <w:b w:val="0"/>
          <w:bCs w:val="0"/>
        </w:rPr>
        <w:t xml:space="preserve"> splenomegaly)</w:t>
      </w:r>
      <w:r w:rsidRPr="00804648">
        <w:rPr>
          <w:rStyle w:val="TableFigureHeadingChar"/>
          <w:rFonts w:asciiTheme="minorHAnsi" w:hAnsiTheme="minorHAnsi" w:cs="Arial"/>
          <w:b w:val="0"/>
          <w:bCs w:val="0"/>
        </w:rPr>
        <w:t xml:space="preserve"> in paediatric patients.</w:t>
      </w:r>
      <w:r w:rsidR="00980EF3" w:rsidRPr="00804648">
        <w:t xml:space="preserve"> M</w:t>
      </w:r>
      <w:r w:rsidR="00980EF3" w:rsidRPr="00804648">
        <w:rPr>
          <w:rStyle w:val="TableFigureHeadingChar"/>
          <w:rFonts w:asciiTheme="minorHAnsi" w:hAnsiTheme="minorHAnsi" w:cs="Arial"/>
          <w:b w:val="0"/>
          <w:bCs w:val="0"/>
        </w:rPr>
        <w:t xml:space="preserve">ean spleen volume in both groups </w:t>
      </w:r>
      <w:r w:rsidR="002E18FB" w:rsidRPr="00804648">
        <w:rPr>
          <w:rStyle w:val="TableFigureHeadingChar"/>
          <w:rFonts w:asciiTheme="minorHAnsi" w:hAnsiTheme="minorHAnsi" w:cs="Arial"/>
          <w:b w:val="0"/>
          <w:bCs w:val="0"/>
        </w:rPr>
        <w:t>we</w:t>
      </w:r>
      <w:r w:rsidR="00980EF3" w:rsidRPr="00804648">
        <w:rPr>
          <w:rStyle w:val="TableFigureHeadingChar"/>
          <w:rFonts w:asciiTheme="minorHAnsi" w:hAnsiTheme="minorHAnsi" w:cs="Arial"/>
          <w:b w:val="0"/>
          <w:bCs w:val="0"/>
        </w:rPr>
        <w:t>re trending downwards to mild splenomegaly (spleen volume &lt;5 MN)</w:t>
      </w:r>
      <w:r w:rsidR="000C09AE" w:rsidRPr="00804648">
        <w:rPr>
          <w:rStyle w:val="TableFigureHeadingChar"/>
          <w:rFonts w:asciiTheme="minorHAnsi" w:hAnsiTheme="minorHAnsi" w:cs="Arial"/>
          <w:b w:val="0"/>
          <w:bCs w:val="0"/>
        </w:rPr>
        <w:t>.</w:t>
      </w:r>
    </w:p>
    <w:p w14:paraId="53D79DCF" w14:textId="29C6E679" w:rsidR="005A43E4" w:rsidRPr="00804648" w:rsidRDefault="005A43E4" w:rsidP="005A43E4">
      <w:pPr>
        <w:pStyle w:val="3-BodyText"/>
      </w:pPr>
      <w:r w:rsidRPr="00804648">
        <w:fldChar w:fldCharType="begin" w:fldLock="1"/>
      </w:r>
      <w:r w:rsidRPr="00804648">
        <w:instrText xml:space="preserve"> REF _Ref133692211 \h </w:instrText>
      </w:r>
      <w:r w:rsidRPr="00804648">
        <w:fldChar w:fldCharType="separate"/>
      </w:r>
      <w:r w:rsidR="005D02DA" w:rsidRPr="00804648">
        <w:t>Figure 6</w:t>
      </w:r>
      <w:r w:rsidRPr="00804648">
        <w:fldChar w:fldCharType="end"/>
      </w:r>
      <w:r w:rsidRPr="00804648">
        <w:t xml:space="preserve"> presents the percent predicted </w:t>
      </w:r>
      <w:r w:rsidR="00BD6F49" w:rsidRPr="00804648">
        <w:t>DLco</w:t>
      </w:r>
      <w:r w:rsidRPr="00804648">
        <w:t xml:space="preserve"> over time in adult and paediatric patients.</w:t>
      </w:r>
    </w:p>
    <w:p w14:paraId="2C90A1E4" w14:textId="2DDD0C44" w:rsidR="005A43E4" w:rsidRPr="00804648" w:rsidRDefault="005A43E4" w:rsidP="005A43E4">
      <w:pPr>
        <w:pStyle w:val="TableFigureHeading"/>
        <w:rPr>
          <w:rStyle w:val="TableFigureHeadingChar"/>
          <w:b/>
          <w:bCs/>
        </w:rPr>
      </w:pPr>
      <w:bookmarkStart w:id="41" w:name="_Ref133692211"/>
      <w:r w:rsidRPr="00804648">
        <w:t xml:space="preserve">Figure </w:t>
      </w:r>
      <w:fldSimple w:instr=" SEQ Figure \* ARABIC " w:fldLock="1">
        <w:r w:rsidR="005D02DA" w:rsidRPr="00804648">
          <w:t>6</w:t>
        </w:r>
      </w:fldSimple>
      <w:bookmarkEnd w:id="41"/>
      <w:r w:rsidRPr="00804648">
        <w:rPr>
          <w:rStyle w:val="TableFigureHeadingChar"/>
          <w:b/>
          <w:bCs/>
        </w:rPr>
        <w:t xml:space="preserve">: Percent predicted </w:t>
      </w:r>
      <w:r w:rsidR="00BD6F49" w:rsidRPr="00804648">
        <w:rPr>
          <w:rStyle w:val="TableFigureHeadingChar"/>
          <w:b/>
          <w:bCs/>
        </w:rPr>
        <w:t>DLco</w:t>
      </w:r>
      <w:r w:rsidRPr="00804648">
        <w:rPr>
          <w:rStyle w:val="TableFigureHeadingChar"/>
          <w:b/>
          <w:bCs/>
        </w:rPr>
        <w:t xml:space="preserve"> over time in adult and paediatric patients in LTS13632.</w:t>
      </w:r>
    </w:p>
    <w:p w14:paraId="0AE9F731" w14:textId="77777777" w:rsidR="005A43E4" w:rsidRPr="00804648" w:rsidRDefault="005A43E4" w:rsidP="005A43E4">
      <w:r w:rsidRPr="00804648">
        <w:rPr>
          <w:noProof/>
        </w:rPr>
        <w:drawing>
          <wp:inline distT="0" distB="0" distL="0" distR="0" wp14:anchorId="329D6F4A" wp14:editId="6A28B068">
            <wp:extent cx="4623758" cy="3035768"/>
            <wp:effectExtent l="0" t="0" r="5715" b="0"/>
            <wp:docPr id="6" name="Picture 6" descr="Figure 6: Percent predicted DLco over time in adult and paediatric patients in LTS1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6: Percent predicted DLco over time in adult and paediatric patients in LTS13632."/>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4645248" cy="3049877"/>
                    </a:xfrm>
                    <a:prstGeom prst="rect">
                      <a:avLst/>
                    </a:prstGeom>
                    <a:noFill/>
                    <a:ln>
                      <a:noFill/>
                    </a:ln>
                    <a:extLst>
                      <a:ext uri="{53640926-AAD7-44D8-BBD7-CCE9431645EC}">
                        <a14:shadowObscured xmlns:a14="http://schemas.microsoft.com/office/drawing/2010/main"/>
                      </a:ext>
                    </a:extLst>
                  </pic:spPr>
                </pic:pic>
              </a:graphicData>
            </a:graphic>
          </wp:inline>
        </w:drawing>
      </w:r>
    </w:p>
    <w:p w14:paraId="4CBCDCAE" w14:textId="77777777" w:rsidR="005A43E4" w:rsidRPr="00804648" w:rsidRDefault="005A43E4" w:rsidP="005A43E4">
      <w:pPr>
        <w:pStyle w:val="FooterTableFigure"/>
      </w:pPr>
      <w:r w:rsidRPr="00804648">
        <w:t xml:space="preserve">Source: Figure 2.2.22, p101 of the submission. </w:t>
      </w:r>
    </w:p>
    <w:p w14:paraId="046ADCCD" w14:textId="452D094D" w:rsidR="005A43E4" w:rsidRPr="00804648" w:rsidRDefault="00BD6F49" w:rsidP="005A43E4">
      <w:pPr>
        <w:pStyle w:val="FooterTableFigure"/>
      </w:pPr>
      <w:r w:rsidRPr="00804648">
        <w:t>DLco</w:t>
      </w:r>
      <w:r w:rsidR="005A43E4" w:rsidRPr="00804648">
        <w:t xml:space="preserve"> = diffusing capacity of the lung for carbon monoxide, Drv = derived, Pred = predicted.</w:t>
      </w:r>
    </w:p>
    <w:p w14:paraId="37B8463A" w14:textId="16B2556E" w:rsidR="000C09AE" w:rsidRPr="00804648" w:rsidRDefault="000C09AE" w:rsidP="000D2B73">
      <w:pPr>
        <w:pStyle w:val="3-BodyText"/>
        <w:rPr>
          <w:rFonts w:eastAsiaTheme="majorEastAsia"/>
        </w:rPr>
      </w:pPr>
      <w:r w:rsidRPr="00804648">
        <w:rPr>
          <w:rStyle w:val="TableFigureHeadingChar"/>
          <w:rFonts w:asciiTheme="minorHAnsi" w:hAnsiTheme="minorHAnsi" w:cs="Arial"/>
          <w:b w:val="0"/>
          <w:bCs w:val="0"/>
        </w:rPr>
        <w:lastRenderedPageBreak/>
        <w:t xml:space="preserve">Mean </w:t>
      </w:r>
      <w:r w:rsidR="00F86403" w:rsidRPr="00804648">
        <w:rPr>
          <w:rStyle w:val="TableFigureHeadingChar"/>
          <w:rFonts w:asciiTheme="minorHAnsi" w:hAnsiTheme="minorHAnsi" w:cs="Arial"/>
          <w:b w:val="0"/>
          <w:bCs w:val="0"/>
        </w:rPr>
        <w:t xml:space="preserve">percent predicted </w:t>
      </w:r>
      <w:r w:rsidR="00BD6F49" w:rsidRPr="00804648">
        <w:rPr>
          <w:rStyle w:val="TableFigureHeadingChar"/>
          <w:rFonts w:asciiTheme="minorHAnsi" w:hAnsiTheme="minorHAnsi" w:cs="Arial"/>
          <w:b w:val="0"/>
          <w:bCs w:val="0"/>
        </w:rPr>
        <w:t>DLco</w:t>
      </w:r>
      <w:r w:rsidRPr="00804648">
        <w:rPr>
          <w:rStyle w:val="TableFigureHeadingChar"/>
          <w:rFonts w:asciiTheme="minorHAnsi" w:hAnsiTheme="minorHAnsi" w:cs="Arial"/>
          <w:b w:val="0"/>
          <w:bCs w:val="0"/>
        </w:rPr>
        <w:t xml:space="preserve"> at baseline was </w:t>
      </w:r>
      <w:r w:rsidR="00F86403" w:rsidRPr="00804648">
        <w:rPr>
          <w:rStyle w:val="TableFigureHeadingChar"/>
          <w:rFonts w:asciiTheme="minorHAnsi" w:hAnsiTheme="minorHAnsi" w:cs="Arial"/>
          <w:b w:val="0"/>
          <w:bCs w:val="0"/>
        </w:rPr>
        <w:t>53%</w:t>
      </w:r>
      <w:r w:rsidRPr="00804648">
        <w:rPr>
          <w:rStyle w:val="TableFigureHeadingChar"/>
          <w:rFonts w:asciiTheme="minorHAnsi" w:hAnsiTheme="minorHAnsi" w:cs="Arial"/>
          <w:b w:val="0"/>
          <w:bCs w:val="0"/>
        </w:rPr>
        <w:t xml:space="preserve"> (moderate</w:t>
      </w:r>
      <w:r w:rsidR="000B53ED" w:rsidRPr="00804648">
        <w:rPr>
          <w:rStyle w:val="TableFigureHeadingChar"/>
          <w:rFonts w:asciiTheme="minorHAnsi" w:hAnsiTheme="minorHAnsi" w:cs="Arial"/>
          <w:b w:val="0"/>
          <w:bCs w:val="0"/>
        </w:rPr>
        <w:t xml:space="preserve"> severity</w:t>
      </w:r>
      <w:r w:rsidRPr="00804648">
        <w:rPr>
          <w:rStyle w:val="TableFigureHeadingChar"/>
          <w:rFonts w:asciiTheme="minorHAnsi" w:hAnsiTheme="minorHAnsi" w:cs="Arial"/>
          <w:b w:val="0"/>
          <w:bCs w:val="0"/>
        </w:rPr>
        <w:t xml:space="preserve">) in adults and </w:t>
      </w:r>
      <w:r w:rsidR="00F86403" w:rsidRPr="00804648">
        <w:rPr>
          <w:rStyle w:val="TableFigureHeadingChar"/>
          <w:rFonts w:asciiTheme="minorHAnsi" w:hAnsiTheme="minorHAnsi" w:cs="Arial"/>
          <w:b w:val="0"/>
          <w:bCs w:val="0"/>
        </w:rPr>
        <w:t>5</w:t>
      </w:r>
      <w:r w:rsidR="000F5B64" w:rsidRPr="00804648">
        <w:rPr>
          <w:rStyle w:val="TableFigureHeadingChar"/>
          <w:rFonts w:asciiTheme="minorHAnsi" w:hAnsiTheme="minorHAnsi" w:cs="Arial"/>
          <w:b w:val="0"/>
          <w:bCs w:val="0"/>
        </w:rPr>
        <w:t>5</w:t>
      </w:r>
      <w:r w:rsidR="00F86403" w:rsidRPr="00804648">
        <w:rPr>
          <w:rStyle w:val="TableFigureHeadingChar"/>
          <w:rFonts w:asciiTheme="minorHAnsi" w:hAnsiTheme="minorHAnsi" w:cs="Arial"/>
          <w:b w:val="0"/>
          <w:bCs w:val="0"/>
        </w:rPr>
        <w:t xml:space="preserve">% </w:t>
      </w:r>
      <w:r w:rsidRPr="00804648">
        <w:rPr>
          <w:rStyle w:val="TableFigureHeadingChar"/>
          <w:rFonts w:asciiTheme="minorHAnsi" w:hAnsiTheme="minorHAnsi" w:cs="Arial"/>
          <w:b w:val="0"/>
          <w:bCs w:val="0"/>
        </w:rPr>
        <w:t>(</w:t>
      </w:r>
      <w:r w:rsidR="000B53ED" w:rsidRPr="00804648">
        <w:rPr>
          <w:rStyle w:val="TableFigureHeadingChar"/>
          <w:rFonts w:asciiTheme="minorHAnsi" w:hAnsiTheme="minorHAnsi" w:cs="Arial"/>
          <w:b w:val="0"/>
          <w:bCs w:val="0"/>
        </w:rPr>
        <w:t>moderate severity</w:t>
      </w:r>
      <w:r w:rsidRPr="00804648">
        <w:rPr>
          <w:rStyle w:val="TableFigureHeadingChar"/>
          <w:rFonts w:asciiTheme="minorHAnsi" w:hAnsiTheme="minorHAnsi" w:cs="Arial"/>
          <w:b w:val="0"/>
          <w:bCs w:val="0"/>
        </w:rPr>
        <w:t>) in paediatric patients.</w:t>
      </w:r>
      <w:r w:rsidRPr="00804648">
        <w:t xml:space="preserve"> </w:t>
      </w:r>
      <w:r w:rsidR="00826800" w:rsidRPr="00804648">
        <w:t xml:space="preserve">The mean percent predicted </w:t>
      </w:r>
      <w:r w:rsidR="00BD6F49" w:rsidRPr="00804648">
        <w:t>DLco</w:t>
      </w:r>
      <w:r w:rsidR="00826800" w:rsidRPr="00804648">
        <w:t xml:space="preserve"> was approximately 80% </w:t>
      </w:r>
      <w:r w:rsidR="000D2B73" w:rsidRPr="00804648">
        <w:t>(normal range)</w:t>
      </w:r>
      <w:r w:rsidR="00003038" w:rsidRPr="00804648">
        <w:t xml:space="preserve"> for adults </w:t>
      </w:r>
      <w:r w:rsidR="00826800" w:rsidRPr="00804648">
        <w:t>at Month 78</w:t>
      </w:r>
      <w:r w:rsidR="00003038" w:rsidRPr="00804648">
        <w:t xml:space="preserve"> and paediatric patients a</w:t>
      </w:r>
      <w:r w:rsidR="000D2B73" w:rsidRPr="00804648">
        <w:t>t</w:t>
      </w:r>
      <w:r w:rsidR="00003038" w:rsidRPr="00804648">
        <w:t xml:space="preserve"> M</w:t>
      </w:r>
      <w:r w:rsidR="000D2B73" w:rsidRPr="00804648">
        <w:t>o</w:t>
      </w:r>
      <w:r w:rsidR="00003038" w:rsidRPr="00804648">
        <w:t>nth 58</w:t>
      </w:r>
      <w:r w:rsidR="000D2B73" w:rsidRPr="00804648">
        <w:t>.</w:t>
      </w:r>
    </w:p>
    <w:p w14:paraId="0C744AFF" w14:textId="4AF50CA0" w:rsidR="005A43E4" w:rsidRPr="00804648" w:rsidRDefault="005A43E4" w:rsidP="005A43E4">
      <w:pPr>
        <w:pStyle w:val="3-BodyText"/>
      </w:pPr>
      <w:r w:rsidRPr="00804648">
        <w:fldChar w:fldCharType="begin" w:fldLock="1"/>
      </w:r>
      <w:r w:rsidRPr="00804648">
        <w:instrText xml:space="preserve"> REF _Ref133692250 \h </w:instrText>
      </w:r>
      <w:r w:rsidRPr="00804648">
        <w:fldChar w:fldCharType="separate"/>
      </w:r>
      <w:r w:rsidR="005D02DA" w:rsidRPr="00804648">
        <w:t>Figure 7</w:t>
      </w:r>
      <w:r w:rsidRPr="00804648">
        <w:fldChar w:fldCharType="end"/>
      </w:r>
      <w:r w:rsidRPr="00804648">
        <w:t xml:space="preserve"> presents the mean liver volume over time in adult and paediatric patients.</w:t>
      </w:r>
    </w:p>
    <w:p w14:paraId="7568FFBD" w14:textId="7F366DDE" w:rsidR="005A43E4" w:rsidRPr="00804648" w:rsidRDefault="005A43E4" w:rsidP="005A43E4">
      <w:pPr>
        <w:pStyle w:val="TableFigureHeading"/>
      </w:pPr>
      <w:bookmarkStart w:id="42" w:name="_Ref133692250"/>
      <w:r w:rsidRPr="00804648">
        <w:t xml:space="preserve">Figure </w:t>
      </w:r>
      <w:fldSimple w:instr=" SEQ Figure \* ARABIC " w:fldLock="1">
        <w:r w:rsidR="005D02DA" w:rsidRPr="00804648">
          <w:t>7</w:t>
        </w:r>
      </w:fldSimple>
      <w:bookmarkEnd w:id="42"/>
      <w:r w:rsidRPr="00804648">
        <w:rPr>
          <w:rStyle w:val="TableFigureHeadingChar"/>
          <w:b/>
          <w:bCs/>
        </w:rPr>
        <w:t>: Mean liver volume over time in adult and paediatric patients in LTS13632</w:t>
      </w:r>
    </w:p>
    <w:p w14:paraId="70F82604" w14:textId="77777777" w:rsidR="005A43E4" w:rsidRPr="00804648" w:rsidRDefault="005A43E4" w:rsidP="005A43E4">
      <w:r w:rsidRPr="00804648">
        <w:rPr>
          <w:noProof/>
        </w:rPr>
        <w:drawing>
          <wp:inline distT="0" distB="0" distL="0" distR="0" wp14:anchorId="47AE3D0A" wp14:editId="3811A308">
            <wp:extent cx="4419600" cy="2764435"/>
            <wp:effectExtent l="0" t="0" r="0" b="0"/>
            <wp:docPr id="7" name="Picture 7" descr="Figure 7: Mean liver volume over time in adult and paediatric patients in LTS1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7: Mean liver volume over time in adult and paediatric patients in LTS13632"/>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4441519" cy="2778145"/>
                    </a:xfrm>
                    <a:prstGeom prst="rect">
                      <a:avLst/>
                    </a:prstGeom>
                    <a:noFill/>
                    <a:ln>
                      <a:noFill/>
                    </a:ln>
                    <a:extLst>
                      <a:ext uri="{53640926-AAD7-44D8-BBD7-CCE9431645EC}">
                        <a14:shadowObscured xmlns:a14="http://schemas.microsoft.com/office/drawing/2010/main"/>
                      </a:ext>
                    </a:extLst>
                  </pic:spPr>
                </pic:pic>
              </a:graphicData>
            </a:graphic>
          </wp:inline>
        </w:drawing>
      </w:r>
    </w:p>
    <w:p w14:paraId="7AD76508" w14:textId="77777777" w:rsidR="005A43E4" w:rsidRPr="00804648" w:rsidRDefault="005A43E4" w:rsidP="005A43E4">
      <w:pPr>
        <w:pStyle w:val="FooterTableFigure"/>
      </w:pPr>
      <w:r w:rsidRPr="00804648">
        <w:t xml:space="preserve">Source: Figure 2.2.23, p102 of the submission. </w:t>
      </w:r>
    </w:p>
    <w:p w14:paraId="344BCE3B" w14:textId="77777777" w:rsidR="005A43E4" w:rsidRPr="00804648" w:rsidRDefault="005A43E4" w:rsidP="005A43E4">
      <w:pPr>
        <w:pStyle w:val="FooterTableFigure"/>
      </w:pPr>
      <w:r w:rsidRPr="00804648">
        <w:t>MN = multiple of normal</w:t>
      </w:r>
    </w:p>
    <w:p w14:paraId="61696AA7" w14:textId="7409DC36" w:rsidR="005A43E4" w:rsidRPr="00804648" w:rsidRDefault="005A43E4" w:rsidP="005A43E4">
      <w:pPr>
        <w:pStyle w:val="3-BodyText"/>
      </w:pPr>
      <w:r w:rsidRPr="00804648">
        <w:t xml:space="preserve">At baseline, the mean liver volume was 1.7 MN </w:t>
      </w:r>
      <w:r w:rsidR="000D2B73" w:rsidRPr="00804648">
        <w:t xml:space="preserve">(moderate </w:t>
      </w:r>
      <w:r w:rsidR="000F2DF8" w:rsidRPr="00804648">
        <w:t xml:space="preserve">hepatomegaly) </w:t>
      </w:r>
      <w:r w:rsidRPr="00804648">
        <w:t>in the adult</w:t>
      </w:r>
      <w:r w:rsidR="000D2B73" w:rsidRPr="00804648">
        <w:t>s</w:t>
      </w:r>
      <w:r w:rsidRPr="00804648">
        <w:t xml:space="preserve"> </w:t>
      </w:r>
      <w:r w:rsidR="000D2B73" w:rsidRPr="00804648">
        <w:t>and</w:t>
      </w:r>
      <w:r w:rsidRPr="00804648">
        <w:t xml:space="preserve"> 2.7 MN</w:t>
      </w:r>
      <w:r w:rsidR="000F2DF8" w:rsidRPr="00804648">
        <w:t xml:space="preserve"> (severe hepatomegaly)</w:t>
      </w:r>
      <w:r w:rsidRPr="00804648">
        <w:t xml:space="preserve"> in the paediatric patients</w:t>
      </w:r>
      <w:r w:rsidR="000F2DF8" w:rsidRPr="00804648">
        <w:t>.</w:t>
      </w:r>
      <w:r w:rsidRPr="00804648">
        <w:t xml:space="preserve"> The mean liver volume reduced to within normal ranges by Month 48 for both adult and paediatric patients.</w:t>
      </w:r>
    </w:p>
    <w:p w14:paraId="00677604" w14:textId="3920C6DA" w:rsidR="005A43E4" w:rsidRPr="00804648" w:rsidRDefault="005A43E4" w:rsidP="005A43E4">
      <w:pPr>
        <w:pStyle w:val="3-BodyText"/>
      </w:pPr>
      <w:r w:rsidRPr="00804648">
        <w:fldChar w:fldCharType="begin" w:fldLock="1"/>
      </w:r>
      <w:r w:rsidRPr="00804648">
        <w:instrText xml:space="preserve"> REF _Ref133692290 \h </w:instrText>
      </w:r>
      <w:r w:rsidRPr="00804648">
        <w:fldChar w:fldCharType="separate"/>
      </w:r>
      <w:r w:rsidR="005D02DA" w:rsidRPr="00804648">
        <w:t>Figure 8</w:t>
      </w:r>
      <w:r w:rsidRPr="00804648">
        <w:fldChar w:fldCharType="end"/>
      </w:r>
      <w:r w:rsidRPr="00804648">
        <w:t xml:space="preserve"> presents the mean platelet counts over time in adult and paediatric patients.</w:t>
      </w:r>
    </w:p>
    <w:p w14:paraId="63282E38" w14:textId="5ACCF4CC" w:rsidR="005A43E4" w:rsidRPr="00804648" w:rsidRDefault="005A43E4" w:rsidP="005A43E4">
      <w:pPr>
        <w:pStyle w:val="TableFigureHeading"/>
        <w:rPr>
          <w:rStyle w:val="TableFigureHeadingChar"/>
          <w:b/>
          <w:bCs/>
        </w:rPr>
      </w:pPr>
      <w:bookmarkStart w:id="43" w:name="_Ref133692290"/>
      <w:bookmarkStart w:id="44" w:name="_Hlk137708382"/>
      <w:r w:rsidRPr="00804648">
        <w:lastRenderedPageBreak/>
        <w:t xml:space="preserve">Figure </w:t>
      </w:r>
      <w:fldSimple w:instr=" SEQ Figure \* ARABIC " w:fldLock="1">
        <w:r w:rsidR="005D02DA" w:rsidRPr="00804648">
          <w:t>8</w:t>
        </w:r>
      </w:fldSimple>
      <w:bookmarkEnd w:id="43"/>
      <w:r w:rsidRPr="00804648">
        <w:t>:</w:t>
      </w:r>
      <w:r w:rsidRPr="00804648">
        <w:rPr>
          <w:rStyle w:val="Heading7Char"/>
        </w:rPr>
        <w:t xml:space="preserve"> </w:t>
      </w:r>
      <w:r w:rsidRPr="00804648">
        <w:rPr>
          <w:rStyle w:val="TableFigureHeadingChar"/>
          <w:b/>
          <w:bCs/>
        </w:rPr>
        <w:t>Summary plot of platelet counts over time in adult and paediatric patients in LTS13632</w:t>
      </w:r>
    </w:p>
    <w:p w14:paraId="27DA24CA" w14:textId="77777777" w:rsidR="005A43E4" w:rsidRPr="00804648" w:rsidRDefault="005A43E4" w:rsidP="005A43E4">
      <w:r w:rsidRPr="00804648">
        <w:rPr>
          <w:noProof/>
        </w:rPr>
        <w:drawing>
          <wp:inline distT="0" distB="0" distL="0" distR="0" wp14:anchorId="7BC74BA1" wp14:editId="7D93AF70">
            <wp:extent cx="5133989" cy="2924175"/>
            <wp:effectExtent l="0" t="0" r="9525" b="0"/>
            <wp:docPr id="8" name="Picture 8" descr="Figure 8: Summary plot of platelet counts over time in adult and paediatric patients in LTS1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8: Summary plot of platelet counts over time in adult and paediatric patients in LTS136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8725" cy="2949655"/>
                    </a:xfrm>
                    <a:prstGeom prst="rect">
                      <a:avLst/>
                    </a:prstGeom>
                    <a:noFill/>
                  </pic:spPr>
                </pic:pic>
              </a:graphicData>
            </a:graphic>
          </wp:inline>
        </w:drawing>
      </w:r>
    </w:p>
    <w:p w14:paraId="76C218B2" w14:textId="77777777" w:rsidR="005A43E4" w:rsidRPr="00804648" w:rsidRDefault="005A43E4" w:rsidP="005A43E4">
      <w:pPr>
        <w:pStyle w:val="FooterTableFigure"/>
      </w:pPr>
      <w:r w:rsidRPr="00804648">
        <w:t xml:space="preserve">Source: Figure 2.2.24, p103 of the submission. </w:t>
      </w:r>
    </w:p>
    <w:p w14:paraId="4B486C55" w14:textId="23161301" w:rsidR="005A43E4" w:rsidRPr="00804648" w:rsidRDefault="005A43E4" w:rsidP="005A43E4">
      <w:pPr>
        <w:pStyle w:val="3-BodyText"/>
      </w:pPr>
      <w:r w:rsidRPr="00804648">
        <w:t>At baseline, the mean platelet count was 117.6 x 10</w:t>
      </w:r>
      <w:r w:rsidRPr="00804648">
        <w:rPr>
          <w:vertAlign w:val="superscript"/>
        </w:rPr>
        <w:t>9</w:t>
      </w:r>
      <w:r w:rsidRPr="00804648">
        <w:t xml:space="preserve">/L </w:t>
      </w:r>
      <w:r w:rsidR="000F2DF8" w:rsidRPr="00804648">
        <w:t>(moderate thrombo</w:t>
      </w:r>
      <w:r w:rsidR="00BB16A0" w:rsidRPr="00804648">
        <w:t xml:space="preserve">cytopenia) </w:t>
      </w:r>
      <w:r w:rsidRPr="00804648">
        <w:t>in</w:t>
      </w:r>
      <w:r w:rsidR="00BB16A0" w:rsidRPr="00804648">
        <w:t xml:space="preserve"> </w:t>
      </w:r>
      <w:r w:rsidRPr="00804648">
        <w:t>adult</w:t>
      </w:r>
      <w:r w:rsidR="00BB16A0" w:rsidRPr="00804648">
        <w:t>s</w:t>
      </w:r>
      <w:r w:rsidRPr="00804648">
        <w:t xml:space="preserve"> </w:t>
      </w:r>
      <w:r w:rsidR="00BB16A0" w:rsidRPr="00804648">
        <w:t>and 1</w:t>
      </w:r>
      <w:r w:rsidR="00C40463" w:rsidRPr="00804648">
        <w:t>3</w:t>
      </w:r>
      <w:r w:rsidR="00BB16A0" w:rsidRPr="00804648">
        <w:t>7.</w:t>
      </w:r>
      <w:r w:rsidR="00C34A25" w:rsidRPr="00804648">
        <w:t>7</w:t>
      </w:r>
      <w:r w:rsidR="00BB16A0" w:rsidRPr="00804648">
        <w:t xml:space="preserve"> x 10</w:t>
      </w:r>
      <w:r w:rsidR="00BB16A0" w:rsidRPr="00804648">
        <w:rPr>
          <w:vertAlign w:val="superscript"/>
        </w:rPr>
        <w:t>9</w:t>
      </w:r>
      <w:r w:rsidR="00BB16A0" w:rsidRPr="00804648">
        <w:t xml:space="preserve">/L </w:t>
      </w:r>
      <w:r w:rsidR="00C34A25" w:rsidRPr="00804648">
        <w:t xml:space="preserve">(mild thrombocytopenia) </w:t>
      </w:r>
      <w:r w:rsidR="00BB16A0" w:rsidRPr="00804648">
        <w:t>in the paediatric patients</w:t>
      </w:r>
      <w:r w:rsidR="003747BF" w:rsidRPr="00804648">
        <w:t>.</w:t>
      </w:r>
      <w:r w:rsidR="00BB16A0" w:rsidRPr="00804648">
        <w:t xml:space="preserve"> </w:t>
      </w:r>
      <w:r w:rsidR="00775725" w:rsidRPr="00804648">
        <w:t xml:space="preserve">The platelet counts improved over time in </w:t>
      </w:r>
      <w:r w:rsidR="00DC0E90" w:rsidRPr="00804648">
        <w:t xml:space="preserve">both </w:t>
      </w:r>
      <w:r w:rsidR="00775725" w:rsidRPr="00804648">
        <w:t>the adult and</w:t>
      </w:r>
      <w:r w:rsidR="003747BF" w:rsidRPr="00804648">
        <w:t xml:space="preserve"> </w:t>
      </w:r>
      <w:r w:rsidR="00775725" w:rsidRPr="00804648">
        <w:t>paediatric patient group</w:t>
      </w:r>
      <w:r w:rsidR="00DC0E90" w:rsidRPr="00804648">
        <w:t>s: mean % improvement was 26.8% by Month 54 (p=0.0505) and 38.5% by Month 78 for five adult patients (p=0.0093); mean % improvement from baseline was 28.7% by Month 24 (p=0.0009) in 14 paediatric patients, which corresponded to normalised platelet counts.</w:t>
      </w:r>
    </w:p>
    <w:bookmarkEnd w:id="44"/>
    <w:p w14:paraId="68B23E9B" w14:textId="38C5CBFD" w:rsidR="005A43E4" w:rsidRPr="00804648" w:rsidRDefault="008C0861" w:rsidP="005A43E4">
      <w:pPr>
        <w:pStyle w:val="3-BodyText"/>
      </w:pPr>
      <w:r w:rsidRPr="00804648">
        <w:fldChar w:fldCharType="begin" w:fldLock="1"/>
      </w:r>
      <w:r w:rsidRPr="00804648">
        <w:instrText xml:space="preserve"> REF _Ref133778575 \h </w:instrText>
      </w:r>
      <w:r w:rsidRPr="00804648">
        <w:fldChar w:fldCharType="separate"/>
      </w:r>
      <w:r w:rsidR="005D02DA" w:rsidRPr="00804648">
        <w:t>Figure 9</w:t>
      </w:r>
      <w:r w:rsidRPr="00804648">
        <w:fldChar w:fldCharType="end"/>
      </w:r>
      <w:r w:rsidRPr="00804648">
        <w:t xml:space="preserve"> </w:t>
      </w:r>
      <w:r w:rsidR="005A43E4" w:rsidRPr="00804648">
        <w:t>presents the change in height Z-scores over time for paediatric patients.</w:t>
      </w:r>
    </w:p>
    <w:p w14:paraId="1918B7E6" w14:textId="235F546B" w:rsidR="005A43E4" w:rsidRPr="00804648" w:rsidRDefault="008C0861" w:rsidP="005A43E4">
      <w:pPr>
        <w:pStyle w:val="TableFigureHeading"/>
        <w:rPr>
          <w:rStyle w:val="TableFigureHeadingChar"/>
          <w:b/>
          <w:bCs/>
        </w:rPr>
      </w:pPr>
      <w:bookmarkStart w:id="45" w:name="_Ref133778575"/>
      <w:r w:rsidRPr="00804648">
        <w:lastRenderedPageBreak/>
        <w:t xml:space="preserve">Figure </w:t>
      </w:r>
      <w:fldSimple w:instr=" SEQ Figure \* ARABIC " w:fldLock="1">
        <w:r w:rsidR="005D02DA" w:rsidRPr="00804648">
          <w:t>9</w:t>
        </w:r>
      </w:fldSimple>
      <w:bookmarkEnd w:id="45"/>
      <w:r w:rsidR="005A43E4" w:rsidRPr="00804648">
        <w:rPr>
          <w:rStyle w:val="TableFigureHeadingChar"/>
          <w:b/>
          <w:bCs/>
        </w:rPr>
        <w:t>: Height Z score in the paediatric group of LTS13632</w:t>
      </w:r>
    </w:p>
    <w:p w14:paraId="6453A222" w14:textId="33FADFA2" w:rsidR="005A43E4" w:rsidRPr="00804648" w:rsidRDefault="008E44A1" w:rsidP="005A43E4">
      <w:r w:rsidRPr="00804648">
        <w:rPr>
          <w:noProof/>
        </w:rPr>
        <w:drawing>
          <wp:inline distT="0" distB="0" distL="0" distR="0" wp14:anchorId="3A622783" wp14:editId="3ED702C0">
            <wp:extent cx="4791075" cy="3345005"/>
            <wp:effectExtent l="0" t="0" r="0" b="8255"/>
            <wp:docPr id="22" name="Picture 22" descr="Figure 9: Height Z score in the paediatric group of LTS1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9: Height Z score in the paediatric group of LTS13632"/>
                    <pic:cNvPicPr/>
                  </pic:nvPicPr>
                  <pic:blipFill>
                    <a:blip r:embed="rId16"/>
                    <a:stretch>
                      <a:fillRect/>
                    </a:stretch>
                  </pic:blipFill>
                  <pic:spPr>
                    <a:xfrm>
                      <a:off x="0" y="0"/>
                      <a:ext cx="4827002" cy="3370088"/>
                    </a:xfrm>
                    <a:prstGeom prst="rect">
                      <a:avLst/>
                    </a:prstGeom>
                  </pic:spPr>
                </pic:pic>
              </a:graphicData>
            </a:graphic>
          </wp:inline>
        </w:drawing>
      </w:r>
    </w:p>
    <w:p w14:paraId="777FD94D" w14:textId="77777777" w:rsidR="005A43E4" w:rsidRPr="00804648" w:rsidRDefault="005A43E4" w:rsidP="005A43E4">
      <w:pPr>
        <w:pStyle w:val="FooterTableFigure"/>
      </w:pPr>
      <w:r w:rsidRPr="00804648">
        <w:t xml:space="preserve">Source: Figure 2.2.25, p103 of the submission. </w:t>
      </w:r>
    </w:p>
    <w:p w14:paraId="1EE1A808" w14:textId="614B7A95" w:rsidR="005A43E4" w:rsidRPr="00804648" w:rsidRDefault="005A43E4" w:rsidP="00003452">
      <w:pPr>
        <w:pStyle w:val="3-BodyText"/>
        <w:rPr>
          <w:rStyle w:val="TableFigureHeadingChar"/>
          <w:rFonts w:asciiTheme="minorHAnsi" w:eastAsia="Times New Roman" w:hAnsiTheme="minorHAnsi" w:cs="Arial"/>
          <w:b w:val="0"/>
          <w:bCs w:val="0"/>
        </w:rPr>
      </w:pPr>
      <w:r w:rsidRPr="00804648">
        <w:t>At baseline, the mean height Z-score was 2.1, indicating that the cohort were on average more than two standard deviations shorter than the mean height of the general population of the same age. The overall score improved by 1.2 by Month 24 and by 2.3 in five patients by Month 48, indicating continued improvement in growth.</w:t>
      </w:r>
    </w:p>
    <w:p w14:paraId="1452C351" w14:textId="2731709D" w:rsidR="00B60939" w:rsidRPr="00804648" w:rsidRDefault="00B60939" w:rsidP="00D86231">
      <w:pPr>
        <w:pStyle w:val="4-SubsectionHeading"/>
      </w:pPr>
      <w:bookmarkStart w:id="46" w:name="_Toc22897642"/>
      <w:bookmarkStart w:id="47" w:name="_Toc135224897"/>
      <w:r w:rsidRPr="00804648">
        <w:t>Comparative harms</w:t>
      </w:r>
      <w:bookmarkEnd w:id="46"/>
      <w:bookmarkEnd w:id="47"/>
    </w:p>
    <w:p w14:paraId="1C666ACF" w14:textId="5763DFB3" w:rsidR="007E34BC" w:rsidRPr="00804648" w:rsidRDefault="007E34BC" w:rsidP="008A2BD4">
      <w:pPr>
        <w:pStyle w:val="3-BodyText"/>
        <w:numPr>
          <w:ilvl w:val="0"/>
          <w:numId w:val="0"/>
        </w:numPr>
        <w:ind w:left="720" w:hanging="720"/>
        <w:rPr>
          <w:b/>
          <w:bCs/>
          <w:u w:val="single"/>
        </w:rPr>
      </w:pPr>
      <w:r w:rsidRPr="00804648">
        <w:rPr>
          <w:b/>
          <w:bCs/>
          <w:u w:val="single"/>
        </w:rPr>
        <w:t>ADULT POPULATION</w:t>
      </w:r>
    </w:p>
    <w:p w14:paraId="2EDD21DF" w14:textId="579DF92D" w:rsidR="008A2BD4" w:rsidRPr="00804648" w:rsidRDefault="008A2BD4" w:rsidP="00D65A99">
      <w:pPr>
        <w:pStyle w:val="5-SubsectionSubheading"/>
      </w:pPr>
      <w:r w:rsidRPr="00804648">
        <w:t>ASC</w:t>
      </w:r>
      <w:r w:rsidR="00AD7466" w:rsidRPr="00804648">
        <w:t>E</w:t>
      </w:r>
      <w:r w:rsidRPr="00804648">
        <w:t>ND</w:t>
      </w:r>
      <w:r w:rsidR="007E34BC" w:rsidRPr="00804648">
        <w:t xml:space="preserve"> randomised trial</w:t>
      </w:r>
      <w:r w:rsidR="0050065D" w:rsidRPr="00804648">
        <w:t xml:space="preserve"> </w:t>
      </w:r>
      <w:r w:rsidR="007E34BC" w:rsidRPr="00804648">
        <w:t>(</w:t>
      </w:r>
      <w:r w:rsidR="0050065D" w:rsidRPr="00804648">
        <w:t>olipudase alfa versus BSC</w:t>
      </w:r>
      <w:r w:rsidR="007E34BC" w:rsidRPr="00804648">
        <w:t>)</w:t>
      </w:r>
      <w:r w:rsidR="0050065D" w:rsidRPr="00804648">
        <w:t xml:space="preserve"> </w:t>
      </w:r>
    </w:p>
    <w:p w14:paraId="770C2E5F" w14:textId="042A84F2" w:rsidR="00A6484B" w:rsidRPr="00804648" w:rsidRDefault="00712CBC" w:rsidP="00D6076E">
      <w:pPr>
        <w:pStyle w:val="3-BodyText"/>
        <w:rPr>
          <w:b/>
          <w:bCs/>
        </w:rPr>
      </w:pPr>
      <w:r w:rsidRPr="00804648">
        <w:fldChar w:fldCharType="begin" w:fldLock="1"/>
      </w:r>
      <w:r w:rsidRPr="00804648">
        <w:instrText xml:space="preserve"> REF _Ref133692557 \h </w:instrText>
      </w:r>
      <w:r w:rsidRPr="00804648">
        <w:fldChar w:fldCharType="separate"/>
      </w:r>
      <w:r w:rsidR="005D02DA" w:rsidRPr="00804648">
        <w:t>Table 9</w:t>
      </w:r>
      <w:r w:rsidRPr="00804648">
        <w:fldChar w:fldCharType="end"/>
      </w:r>
      <w:r w:rsidRPr="00804648">
        <w:t xml:space="preserve"> </w:t>
      </w:r>
      <w:r w:rsidR="00A6484B" w:rsidRPr="00804648">
        <w:t xml:space="preserve">presents summary of the key adverse events </w:t>
      </w:r>
      <w:r w:rsidR="00044E64" w:rsidRPr="00804648">
        <w:t xml:space="preserve">during the primary </w:t>
      </w:r>
      <w:r w:rsidR="00CE3B66" w:rsidRPr="00804648">
        <w:t xml:space="preserve">treatment </w:t>
      </w:r>
      <w:r w:rsidR="00044E64" w:rsidRPr="00804648">
        <w:t xml:space="preserve">period of </w:t>
      </w:r>
      <w:r w:rsidR="00A6484B" w:rsidRPr="00804648">
        <w:t xml:space="preserve">the ASCEND trial. </w:t>
      </w:r>
    </w:p>
    <w:p w14:paraId="7EBC22DC" w14:textId="0DDB31D8" w:rsidR="00712CBC" w:rsidRPr="00804648" w:rsidRDefault="00712CBC" w:rsidP="00712CBC">
      <w:pPr>
        <w:pStyle w:val="TableFigureHeading"/>
      </w:pPr>
      <w:bookmarkStart w:id="48" w:name="_Ref133692557"/>
      <w:r w:rsidRPr="00804648">
        <w:lastRenderedPageBreak/>
        <w:t xml:space="preserve">Table </w:t>
      </w:r>
      <w:fldSimple w:instr=" SEQ Table \* ARABIC " w:fldLock="1">
        <w:r w:rsidR="005D02DA" w:rsidRPr="00804648">
          <w:t>9</w:t>
        </w:r>
      </w:fldSimple>
      <w:bookmarkEnd w:id="48"/>
      <w:r w:rsidRPr="00804648">
        <w:t xml:space="preserve">: Summary of key adverse events </w:t>
      </w:r>
      <w:r w:rsidR="00044E64" w:rsidRPr="00804648">
        <w:t xml:space="preserve">during the primary </w:t>
      </w:r>
      <w:r w:rsidR="00353FCA" w:rsidRPr="00804648">
        <w:t>treatment</w:t>
      </w:r>
      <w:r w:rsidR="00044E64" w:rsidRPr="00804648">
        <w:t xml:space="preserve"> period of</w:t>
      </w:r>
      <w:r w:rsidRPr="00804648">
        <w:t xml:space="preserve"> the ASCEND trial</w:t>
      </w:r>
      <w:r w:rsidR="00044E64" w:rsidRPr="0080464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417"/>
        <w:gridCol w:w="1363"/>
        <w:gridCol w:w="1681"/>
        <w:gridCol w:w="1560"/>
        <w:gridCol w:w="1582"/>
      </w:tblGrid>
      <w:tr w:rsidR="00712CBC" w:rsidRPr="00804648" w14:paraId="587EECE9" w14:textId="77777777" w:rsidTr="00A9033C">
        <w:trPr>
          <w:tblHeader/>
        </w:trPr>
        <w:tc>
          <w:tcPr>
            <w:tcW w:w="784" w:type="pct"/>
            <w:tcMar>
              <w:left w:w="40" w:type="dxa"/>
              <w:right w:w="40" w:type="dxa"/>
            </w:tcMar>
            <w:vAlign w:val="center"/>
          </w:tcPr>
          <w:p w14:paraId="12923EB9" w14:textId="77777777" w:rsidR="00712CBC" w:rsidRPr="00804648" w:rsidRDefault="00712CBC" w:rsidP="006F6FE5">
            <w:pPr>
              <w:pStyle w:val="TableText0"/>
            </w:pPr>
          </w:p>
        </w:tc>
        <w:tc>
          <w:tcPr>
            <w:tcW w:w="786" w:type="pct"/>
            <w:tcMar>
              <w:left w:w="40" w:type="dxa"/>
              <w:right w:w="40" w:type="dxa"/>
            </w:tcMar>
            <w:vAlign w:val="center"/>
          </w:tcPr>
          <w:p w14:paraId="0F7CE8CC" w14:textId="77777777" w:rsidR="00712CBC" w:rsidRPr="00804648" w:rsidRDefault="00712CBC" w:rsidP="006F6FE5">
            <w:pPr>
              <w:pStyle w:val="TableFigureHeading"/>
              <w:jc w:val="center"/>
            </w:pPr>
            <w:r w:rsidRPr="00804648">
              <w:t>Olipudase alfa</w:t>
            </w:r>
          </w:p>
          <w:p w14:paraId="45FB8651" w14:textId="64FB6ED2" w:rsidR="00712CBC" w:rsidRPr="00804648" w:rsidRDefault="00712CBC" w:rsidP="006F6FE5">
            <w:pPr>
              <w:pStyle w:val="TableFigureHeading"/>
              <w:jc w:val="center"/>
            </w:pPr>
            <w:r w:rsidRPr="00804648">
              <w:t>n/N (%)</w:t>
            </w:r>
          </w:p>
        </w:tc>
        <w:tc>
          <w:tcPr>
            <w:tcW w:w="756" w:type="pct"/>
            <w:tcMar>
              <w:left w:w="40" w:type="dxa"/>
              <w:right w:w="40" w:type="dxa"/>
            </w:tcMar>
            <w:vAlign w:val="center"/>
          </w:tcPr>
          <w:p w14:paraId="5D5CB1B5" w14:textId="77777777" w:rsidR="00712CBC" w:rsidRPr="00804648" w:rsidRDefault="00712CBC" w:rsidP="006F6FE5">
            <w:pPr>
              <w:pStyle w:val="TableFigureHeading"/>
              <w:jc w:val="center"/>
            </w:pPr>
            <w:r w:rsidRPr="00804648">
              <w:t>BSC</w:t>
            </w:r>
          </w:p>
          <w:p w14:paraId="481A5641" w14:textId="1CD760DB" w:rsidR="00712CBC" w:rsidRPr="00804648" w:rsidRDefault="00712CBC" w:rsidP="006F6FE5">
            <w:pPr>
              <w:pStyle w:val="TableFigureHeading"/>
              <w:jc w:val="center"/>
            </w:pPr>
            <w:r w:rsidRPr="00804648">
              <w:t>n/N (%)</w:t>
            </w:r>
          </w:p>
        </w:tc>
        <w:tc>
          <w:tcPr>
            <w:tcW w:w="932" w:type="pct"/>
            <w:tcMar>
              <w:left w:w="40" w:type="dxa"/>
              <w:right w:w="40" w:type="dxa"/>
            </w:tcMar>
            <w:vAlign w:val="center"/>
          </w:tcPr>
          <w:p w14:paraId="356BCBDD" w14:textId="77777777" w:rsidR="00712CBC" w:rsidRPr="00804648" w:rsidRDefault="00712CBC" w:rsidP="006F6FE5">
            <w:pPr>
              <w:pStyle w:val="TableFigureHeading"/>
              <w:jc w:val="center"/>
            </w:pPr>
            <w:r w:rsidRPr="00804648">
              <w:t>RD (95% CI)</w:t>
            </w:r>
          </w:p>
        </w:tc>
        <w:tc>
          <w:tcPr>
            <w:tcW w:w="865" w:type="pct"/>
            <w:tcMar>
              <w:left w:w="40" w:type="dxa"/>
              <w:right w:w="40" w:type="dxa"/>
            </w:tcMar>
            <w:vAlign w:val="center"/>
          </w:tcPr>
          <w:p w14:paraId="0378A55F" w14:textId="77777777" w:rsidR="00712CBC" w:rsidRPr="00804648" w:rsidRDefault="00712CBC" w:rsidP="006F6FE5">
            <w:pPr>
              <w:pStyle w:val="TableFigureHeading"/>
              <w:jc w:val="center"/>
            </w:pPr>
            <w:r w:rsidRPr="00804648">
              <w:t>RR (95% CI)</w:t>
            </w:r>
          </w:p>
        </w:tc>
        <w:tc>
          <w:tcPr>
            <w:tcW w:w="877" w:type="pct"/>
            <w:tcMar>
              <w:left w:w="40" w:type="dxa"/>
              <w:right w:w="40" w:type="dxa"/>
            </w:tcMar>
            <w:vAlign w:val="center"/>
          </w:tcPr>
          <w:p w14:paraId="466CD6F2" w14:textId="77777777" w:rsidR="00712CBC" w:rsidRPr="00804648" w:rsidRDefault="00712CBC" w:rsidP="006F6FE5">
            <w:pPr>
              <w:pStyle w:val="TableFigureHeading"/>
              <w:jc w:val="center"/>
            </w:pPr>
            <w:r w:rsidRPr="00804648">
              <w:t>OR (95% CI)</w:t>
            </w:r>
          </w:p>
        </w:tc>
      </w:tr>
      <w:tr w:rsidR="00712CBC" w:rsidRPr="00804648" w14:paraId="30AE72A1" w14:textId="77777777" w:rsidTr="00A9033C">
        <w:tc>
          <w:tcPr>
            <w:tcW w:w="784" w:type="pct"/>
            <w:tcMar>
              <w:left w:w="40" w:type="dxa"/>
              <w:right w:w="40" w:type="dxa"/>
            </w:tcMar>
          </w:tcPr>
          <w:p w14:paraId="18538F2C" w14:textId="77777777" w:rsidR="00712CBC" w:rsidRPr="00804648" w:rsidRDefault="00712CBC" w:rsidP="006F6FE5">
            <w:pPr>
              <w:pStyle w:val="TableText0"/>
            </w:pPr>
            <w:r w:rsidRPr="00804648">
              <w:rPr>
                <w:lang w:eastAsia="en-US"/>
              </w:rPr>
              <w:t>Any TEAE</w:t>
            </w:r>
          </w:p>
        </w:tc>
        <w:tc>
          <w:tcPr>
            <w:tcW w:w="786" w:type="pct"/>
            <w:tcMar>
              <w:left w:w="40" w:type="dxa"/>
              <w:right w:w="40" w:type="dxa"/>
            </w:tcMar>
            <w:vAlign w:val="center"/>
          </w:tcPr>
          <w:p w14:paraId="58A84D5F" w14:textId="77777777" w:rsidR="00712CBC" w:rsidRPr="00804648" w:rsidRDefault="00712CBC" w:rsidP="006F6FE5">
            <w:pPr>
              <w:pStyle w:val="TableText0"/>
              <w:jc w:val="center"/>
            </w:pPr>
            <w:r w:rsidRPr="00804648">
              <w:t>18/18 (100%)</w:t>
            </w:r>
          </w:p>
        </w:tc>
        <w:tc>
          <w:tcPr>
            <w:tcW w:w="756" w:type="pct"/>
            <w:tcMar>
              <w:left w:w="40" w:type="dxa"/>
              <w:right w:w="40" w:type="dxa"/>
            </w:tcMar>
            <w:vAlign w:val="center"/>
          </w:tcPr>
          <w:p w14:paraId="4BAD0CCE" w14:textId="77777777" w:rsidR="00712CBC" w:rsidRPr="00804648" w:rsidRDefault="00712CBC" w:rsidP="006F6FE5">
            <w:pPr>
              <w:pStyle w:val="TableText0"/>
              <w:jc w:val="center"/>
            </w:pPr>
            <w:r w:rsidRPr="00804648">
              <w:t>18/18 (100%)</w:t>
            </w:r>
          </w:p>
        </w:tc>
        <w:tc>
          <w:tcPr>
            <w:tcW w:w="932" w:type="pct"/>
            <w:tcMar>
              <w:left w:w="40" w:type="dxa"/>
              <w:right w:w="40" w:type="dxa"/>
            </w:tcMar>
            <w:vAlign w:val="center"/>
          </w:tcPr>
          <w:p w14:paraId="48D105C4" w14:textId="77777777" w:rsidR="00712CBC" w:rsidRPr="00804648" w:rsidRDefault="00712CBC" w:rsidP="006F6FE5">
            <w:pPr>
              <w:pStyle w:val="TableText0"/>
              <w:jc w:val="center"/>
            </w:pPr>
            <w:r w:rsidRPr="00804648">
              <w:t>0.00 (</w:t>
            </w:r>
            <w:r w:rsidRPr="00804648">
              <w:noBreakHyphen/>
              <w:t>0.10, 0.10)</w:t>
            </w:r>
          </w:p>
        </w:tc>
        <w:tc>
          <w:tcPr>
            <w:tcW w:w="865" w:type="pct"/>
            <w:tcMar>
              <w:left w:w="40" w:type="dxa"/>
              <w:right w:w="40" w:type="dxa"/>
            </w:tcMar>
            <w:vAlign w:val="center"/>
          </w:tcPr>
          <w:p w14:paraId="15D6FC42" w14:textId="77777777" w:rsidR="00712CBC" w:rsidRPr="00804648" w:rsidRDefault="00712CBC" w:rsidP="006F6FE5">
            <w:pPr>
              <w:pStyle w:val="TableText0"/>
              <w:jc w:val="center"/>
            </w:pPr>
            <w:r w:rsidRPr="00804648">
              <w:t>1.00 (0.90, 1.11)</w:t>
            </w:r>
          </w:p>
        </w:tc>
        <w:tc>
          <w:tcPr>
            <w:tcW w:w="877" w:type="pct"/>
            <w:tcMar>
              <w:left w:w="40" w:type="dxa"/>
              <w:right w:w="40" w:type="dxa"/>
            </w:tcMar>
            <w:vAlign w:val="center"/>
          </w:tcPr>
          <w:p w14:paraId="73983176" w14:textId="77777777" w:rsidR="00712CBC" w:rsidRPr="00804648" w:rsidRDefault="00712CBC" w:rsidP="006F6FE5">
            <w:pPr>
              <w:pStyle w:val="TableText0"/>
              <w:jc w:val="center"/>
            </w:pPr>
            <w:r w:rsidRPr="00804648">
              <w:t>NE</w:t>
            </w:r>
          </w:p>
        </w:tc>
      </w:tr>
      <w:tr w:rsidR="00712CBC" w:rsidRPr="00804648" w14:paraId="24E78CBA" w14:textId="77777777" w:rsidTr="00A9033C">
        <w:tc>
          <w:tcPr>
            <w:tcW w:w="784" w:type="pct"/>
            <w:tcMar>
              <w:left w:w="40" w:type="dxa"/>
              <w:right w:w="40" w:type="dxa"/>
            </w:tcMar>
          </w:tcPr>
          <w:p w14:paraId="2F706095" w14:textId="77777777" w:rsidR="00712CBC" w:rsidRPr="00804648" w:rsidRDefault="00712CBC" w:rsidP="006F6FE5">
            <w:pPr>
              <w:pStyle w:val="TableText0"/>
            </w:pPr>
            <w:r w:rsidRPr="00804648">
              <w:rPr>
                <w:lang w:eastAsia="en-US"/>
              </w:rPr>
              <w:t xml:space="preserve">     Mild</w:t>
            </w:r>
          </w:p>
        </w:tc>
        <w:tc>
          <w:tcPr>
            <w:tcW w:w="786" w:type="pct"/>
            <w:tcMar>
              <w:left w:w="40" w:type="dxa"/>
              <w:right w:w="40" w:type="dxa"/>
            </w:tcMar>
            <w:vAlign w:val="center"/>
          </w:tcPr>
          <w:p w14:paraId="053602A8" w14:textId="77777777" w:rsidR="00712CBC" w:rsidRPr="00804648" w:rsidRDefault="00712CBC" w:rsidP="006F6FE5">
            <w:pPr>
              <w:pStyle w:val="TableText0"/>
              <w:jc w:val="center"/>
            </w:pPr>
            <w:r w:rsidRPr="00804648">
              <w:t>18/18 (100%)</w:t>
            </w:r>
          </w:p>
        </w:tc>
        <w:tc>
          <w:tcPr>
            <w:tcW w:w="756" w:type="pct"/>
            <w:tcMar>
              <w:left w:w="40" w:type="dxa"/>
              <w:right w:w="40" w:type="dxa"/>
            </w:tcMar>
            <w:vAlign w:val="center"/>
          </w:tcPr>
          <w:p w14:paraId="0410A84C" w14:textId="77777777" w:rsidR="00712CBC" w:rsidRPr="00804648" w:rsidRDefault="00712CBC" w:rsidP="006F6FE5">
            <w:pPr>
              <w:pStyle w:val="TableText0"/>
              <w:jc w:val="center"/>
            </w:pPr>
            <w:r w:rsidRPr="00804648">
              <w:t>18/18 (100%)</w:t>
            </w:r>
          </w:p>
        </w:tc>
        <w:tc>
          <w:tcPr>
            <w:tcW w:w="932" w:type="pct"/>
            <w:tcMar>
              <w:left w:w="40" w:type="dxa"/>
              <w:right w:w="40" w:type="dxa"/>
            </w:tcMar>
            <w:vAlign w:val="center"/>
          </w:tcPr>
          <w:p w14:paraId="0E15271B" w14:textId="77777777" w:rsidR="00712CBC" w:rsidRPr="00804648" w:rsidRDefault="00712CBC" w:rsidP="006F6FE5">
            <w:pPr>
              <w:pStyle w:val="TableText0"/>
              <w:jc w:val="center"/>
            </w:pPr>
            <w:r w:rsidRPr="00804648">
              <w:t>0.00 (</w:t>
            </w:r>
            <w:r w:rsidRPr="00804648">
              <w:noBreakHyphen/>
              <w:t>0.10, 0.10)</w:t>
            </w:r>
          </w:p>
        </w:tc>
        <w:tc>
          <w:tcPr>
            <w:tcW w:w="865" w:type="pct"/>
            <w:tcMar>
              <w:left w:w="40" w:type="dxa"/>
              <w:right w:w="40" w:type="dxa"/>
            </w:tcMar>
            <w:vAlign w:val="center"/>
          </w:tcPr>
          <w:p w14:paraId="5C89F2D3" w14:textId="77777777" w:rsidR="00712CBC" w:rsidRPr="00804648" w:rsidRDefault="00712CBC" w:rsidP="006F6FE5">
            <w:pPr>
              <w:pStyle w:val="TableText0"/>
              <w:jc w:val="center"/>
            </w:pPr>
            <w:r w:rsidRPr="00804648">
              <w:t>1.00 (0.90, 1.11)</w:t>
            </w:r>
          </w:p>
        </w:tc>
        <w:tc>
          <w:tcPr>
            <w:tcW w:w="877" w:type="pct"/>
            <w:tcMar>
              <w:left w:w="40" w:type="dxa"/>
              <w:right w:w="40" w:type="dxa"/>
            </w:tcMar>
            <w:vAlign w:val="center"/>
          </w:tcPr>
          <w:p w14:paraId="33357573" w14:textId="77777777" w:rsidR="00712CBC" w:rsidRPr="00804648" w:rsidRDefault="00712CBC" w:rsidP="006F6FE5">
            <w:pPr>
              <w:pStyle w:val="TableText0"/>
              <w:jc w:val="center"/>
            </w:pPr>
            <w:r w:rsidRPr="00804648">
              <w:t>NE</w:t>
            </w:r>
          </w:p>
        </w:tc>
      </w:tr>
      <w:tr w:rsidR="00712CBC" w:rsidRPr="00804648" w14:paraId="415AE042" w14:textId="77777777" w:rsidTr="00A9033C">
        <w:tc>
          <w:tcPr>
            <w:tcW w:w="784" w:type="pct"/>
            <w:tcMar>
              <w:left w:w="40" w:type="dxa"/>
              <w:right w:w="40" w:type="dxa"/>
            </w:tcMar>
          </w:tcPr>
          <w:p w14:paraId="620E8E24" w14:textId="77777777" w:rsidR="00712CBC" w:rsidRPr="00804648" w:rsidRDefault="00712CBC" w:rsidP="006F6FE5">
            <w:pPr>
              <w:pStyle w:val="TableText0"/>
            </w:pPr>
            <w:r w:rsidRPr="00804648">
              <w:rPr>
                <w:lang w:eastAsia="en-US"/>
              </w:rPr>
              <w:t xml:space="preserve">     Moderate</w:t>
            </w:r>
          </w:p>
        </w:tc>
        <w:tc>
          <w:tcPr>
            <w:tcW w:w="786" w:type="pct"/>
            <w:tcMar>
              <w:left w:w="40" w:type="dxa"/>
              <w:right w:w="40" w:type="dxa"/>
            </w:tcMar>
            <w:vAlign w:val="center"/>
          </w:tcPr>
          <w:p w14:paraId="636FDB5C" w14:textId="77777777" w:rsidR="00712CBC" w:rsidRPr="00804648" w:rsidRDefault="00712CBC" w:rsidP="006F6FE5">
            <w:pPr>
              <w:pStyle w:val="TableText0"/>
              <w:jc w:val="center"/>
            </w:pPr>
            <w:r w:rsidRPr="00804648">
              <w:t>13/18 (72.2%)</w:t>
            </w:r>
          </w:p>
        </w:tc>
        <w:tc>
          <w:tcPr>
            <w:tcW w:w="756" w:type="pct"/>
            <w:tcMar>
              <w:left w:w="40" w:type="dxa"/>
              <w:right w:w="40" w:type="dxa"/>
            </w:tcMar>
            <w:vAlign w:val="center"/>
          </w:tcPr>
          <w:p w14:paraId="553F41EC" w14:textId="77777777" w:rsidR="00712CBC" w:rsidRPr="00804648" w:rsidRDefault="00712CBC" w:rsidP="006F6FE5">
            <w:pPr>
              <w:pStyle w:val="TableText0"/>
              <w:jc w:val="center"/>
            </w:pPr>
            <w:r w:rsidRPr="00804648">
              <w:t>13/18 (72.2%)</w:t>
            </w:r>
          </w:p>
        </w:tc>
        <w:tc>
          <w:tcPr>
            <w:tcW w:w="932" w:type="pct"/>
            <w:tcMar>
              <w:left w:w="40" w:type="dxa"/>
              <w:right w:w="40" w:type="dxa"/>
            </w:tcMar>
            <w:vAlign w:val="center"/>
          </w:tcPr>
          <w:p w14:paraId="76D0CAFB" w14:textId="77777777" w:rsidR="00712CBC" w:rsidRPr="00804648" w:rsidRDefault="00712CBC" w:rsidP="006F6FE5">
            <w:pPr>
              <w:pStyle w:val="TableText0"/>
              <w:jc w:val="center"/>
            </w:pPr>
            <w:r w:rsidRPr="00804648">
              <w:t>0.00 (</w:t>
            </w:r>
            <w:r w:rsidRPr="00804648">
              <w:noBreakHyphen/>
              <w:t>0.29, 0.29)</w:t>
            </w:r>
          </w:p>
        </w:tc>
        <w:tc>
          <w:tcPr>
            <w:tcW w:w="865" w:type="pct"/>
            <w:tcMar>
              <w:left w:w="40" w:type="dxa"/>
              <w:right w:w="40" w:type="dxa"/>
            </w:tcMar>
            <w:vAlign w:val="center"/>
          </w:tcPr>
          <w:p w14:paraId="4307EDA1" w14:textId="77777777" w:rsidR="00712CBC" w:rsidRPr="00804648" w:rsidRDefault="00712CBC" w:rsidP="006F6FE5">
            <w:pPr>
              <w:pStyle w:val="TableText0"/>
              <w:jc w:val="center"/>
            </w:pPr>
            <w:r w:rsidRPr="00804648">
              <w:t>1.00 (0.67, 1.50)</w:t>
            </w:r>
          </w:p>
        </w:tc>
        <w:tc>
          <w:tcPr>
            <w:tcW w:w="877" w:type="pct"/>
            <w:tcMar>
              <w:left w:w="40" w:type="dxa"/>
              <w:right w:w="40" w:type="dxa"/>
            </w:tcMar>
            <w:vAlign w:val="center"/>
          </w:tcPr>
          <w:p w14:paraId="22340970" w14:textId="77777777" w:rsidR="00712CBC" w:rsidRPr="00804648" w:rsidRDefault="00712CBC" w:rsidP="006F6FE5">
            <w:pPr>
              <w:pStyle w:val="TableText0"/>
              <w:jc w:val="center"/>
            </w:pPr>
            <w:r w:rsidRPr="00804648">
              <w:t>1.00 (0.23, 4.30)</w:t>
            </w:r>
          </w:p>
        </w:tc>
      </w:tr>
      <w:tr w:rsidR="00712CBC" w:rsidRPr="00804648" w14:paraId="35674EF1" w14:textId="77777777" w:rsidTr="00A9033C">
        <w:tc>
          <w:tcPr>
            <w:tcW w:w="784" w:type="pct"/>
            <w:tcMar>
              <w:left w:w="40" w:type="dxa"/>
              <w:right w:w="40" w:type="dxa"/>
            </w:tcMar>
          </w:tcPr>
          <w:p w14:paraId="565A2442" w14:textId="77777777" w:rsidR="00712CBC" w:rsidRPr="00804648" w:rsidRDefault="00712CBC" w:rsidP="006F6FE5">
            <w:pPr>
              <w:pStyle w:val="TableText0"/>
            </w:pPr>
            <w:r w:rsidRPr="00804648">
              <w:rPr>
                <w:lang w:eastAsia="en-US"/>
              </w:rPr>
              <w:t xml:space="preserve">     Severe</w:t>
            </w:r>
          </w:p>
        </w:tc>
        <w:tc>
          <w:tcPr>
            <w:tcW w:w="786" w:type="pct"/>
            <w:tcMar>
              <w:left w:w="40" w:type="dxa"/>
              <w:right w:w="40" w:type="dxa"/>
            </w:tcMar>
            <w:vAlign w:val="center"/>
          </w:tcPr>
          <w:p w14:paraId="5B2DE179" w14:textId="77777777" w:rsidR="00712CBC" w:rsidRPr="00804648" w:rsidRDefault="00712CBC" w:rsidP="006F6FE5">
            <w:pPr>
              <w:pStyle w:val="TableText0"/>
              <w:jc w:val="center"/>
            </w:pPr>
            <w:r w:rsidRPr="00804648">
              <w:t>1/18 (5.6%)</w:t>
            </w:r>
          </w:p>
        </w:tc>
        <w:tc>
          <w:tcPr>
            <w:tcW w:w="756" w:type="pct"/>
            <w:tcMar>
              <w:left w:w="40" w:type="dxa"/>
              <w:right w:w="40" w:type="dxa"/>
            </w:tcMar>
            <w:vAlign w:val="center"/>
          </w:tcPr>
          <w:p w14:paraId="0A2FD592" w14:textId="77777777" w:rsidR="00712CBC" w:rsidRPr="00804648" w:rsidRDefault="00712CBC" w:rsidP="006F6FE5">
            <w:pPr>
              <w:pStyle w:val="TableText0"/>
              <w:jc w:val="center"/>
            </w:pPr>
            <w:r w:rsidRPr="00804648">
              <w:t>6/18 (33.3%)</w:t>
            </w:r>
          </w:p>
        </w:tc>
        <w:tc>
          <w:tcPr>
            <w:tcW w:w="932" w:type="pct"/>
            <w:tcMar>
              <w:left w:w="40" w:type="dxa"/>
              <w:right w:w="40" w:type="dxa"/>
            </w:tcMar>
            <w:vAlign w:val="center"/>
          </w:tcPr>
          <w:p w14:paraId="68210A1E" w14:textId="77777777" w:rsidR="00712CBC" w:rsidRPr="00804648" w:rsidRDefault="00712CBC" w:rsidP="006F6FE5">
            <w:pPr>
              <w:pStyle w:val="TableText0"/>
              <w:jc w:val="center"/>
            </w:pPr>
            <w:r w:rsidRPr="00804648">
              <w:noBreakHyphen/>
              <w:t>0.28 (</w:t>
            </w:r>
            <w:r w:rsidRPr="00804648">
              <w:noBreakHyphen/>
              <w:t xml:space="preserve">0.52, </w:t>
            </w:r>
            <w:r w:rsidRPr="00804648">
              <w:noBreakHyphen/>
              <w:t>0.04)</w:t>
            </w:r>
          </w:p>
        </w:tc>
        <w:tc>
          <w:tcPr>
            <w:tcW w:w="865" w:type="pct"/>
            <w:tcMar>
              <w:left w:w="40" w:type="dxa"/>
              <w:right w:w="40" w:type="dxa"/>
            </w:tcMar>
            <w:vAlign w:val="center"/>
          </w:tcPr>
          <w:p w14:paraId="568E170F" w14:textId="77777777" w:rsidR="00712CBC" w:rsidRPr="00804648" w:rsidRDefault="00712CBC" w:rsidP="006F6FE5">
            <w:pPr>
              <w:pStyle w:val="TableText0"/>
              <w:jc w:val="center"/>
            </w:pPr>
            <w:r w:rsidRPr="00804648">
              <w:t>0.17 (0.02, 1.25)</w:t>
            </w:r>
          </w:p>
        </w:tc>
        <w:tc>
          <w:tcPr>
            <w:tcW w:w="877" w:type="pct"/>
            <w:tcMar>
              <w:left w:w="40" w:type="dxa"/>
              <w:right w:w="40" w:type="dxa"/>
            </w:tcMar>
            <w:vAlign w:val="center"/>
          </w:tcPr>
          <w:p w14:paraId="24178573" w14:textId="77777777" w:rsidR="00712CBC" w:rsidRPr="00804648" w:rsidRDefault="00712CBC" w:rsidP="006F6FE5">
            <w:pPr>
              <w:pStyle w:val="TableText0"/>
              <w:jc w:val="center"/>
            </w:pPr>
            <w:r w:rsidRPr="00804648">
              <w:t>0.12 (0.01, 1.11)</w:t>
            </w:r>
          </w:p>
        </w:tc>
      </w:tr>
      <w:tr w:rsidR="00712CBC" w:rsidRPr="00804648" w14:paraId="19BCE6AB" w14:textId="77777777" w:rsidTr="00A9033C">
        <w:tc>
          <w:tcPr>
            <w:tcW w:w="784" w:type="pct"/>
            <w:tcMar>
              <w:left w:w="40" w:type="dxa"/>
              <w:right w:w="40" w:type="dxa"/>
            </w:tcMar>
          </w:tcPr>
          <w:p w14:paraId="574C35F0" w14:textId="77777777" w:rsidR="00712CBC" w:rsidRPr="00804648" w:rsidRDefault="00712CBC" w:rsidP="006F6FE5">
            <w:pPr>
              <w:pStyle w:val="TableText0"/>
            </w:pPr>
            <w:r w:rsidRPr="00804648">
              <w:rPr>
                <w:lang w:eastAsia="en-US"/>
              </w:rPr>
              <w:t>Any serious TEAEs</w:t>
            </w:r>
          </w:p>
        </w:tc>
        <w:tc>
          <w:tcPr>
            <w:tcW w:w="786" w:type="pct"/>
            <w:tcMar>
              <w:left w:w="40" w:type="dxa"/>
              <w:right w:w="40" w:type="dxa"/>
            </w:tcMar>
            <w:vAlign w:val="center"/>
          </w:tcPr>
          <w:p w14:paraId="21BE0F7B" w14:textId="77777777" w:rsidR="00712CBC" w:rsidRPr="00804648" w:rsidRDefault="00712CBC" w:rsidP="006F6FE5">
            <w:pPr>
              <w:pStyle w:val="TableText0"/>
              <w:jc w:val="center"/>
            </w:pPr>
            <w:r w:rsidRPr="00804648">
              <w:t>3/18 (16.7%)</w:t>
            </w:r>
          </w:p>
        </w:tc>
        <w:tc>
          <w:tcPr>
            <w:tcW w:w="756" w:type="pct"/>
            <w:tcMar>
              <w:left w:w="40" w:type="dxa"/>
              <w:right w:w="40" w:type="dxa"/>
            </w:tcMar>
            <w:vAlign w:val="center"/>
          </w:tcPr>
          <w:p w14:paraId="1364AC9D" w14:textId="77777777" w:rsidR="00712CBC" w:rsidRPr="00804648" w:rsidRDefault="00712CBC" w:rsidP="006F6FE5">
            <w:pPr>
              <w:pStyle w:val="TableText0"/>
              <w:jc w:val="center"/>
            </w:pPr>
            <w:r w:rsidRPr="00804648">
              <w:t>4/18 (22.2%)</w:t>
            </w:r>
          </w:p>
        </w:tc>
        <w:tc>
          <w:tcPr>
            <w:tcW w:w="932" w:type="pct"/>
            <w:tcMar>
              <w:left w:w="40" w:type="dxa"/>
              <w:right w:w="40" w:type="dxa"/>
            </w:tcMar>
            <w:vAlign w:val="center"/>
          </w:tcPr>
          <w:p w14:paraId="183ECF17" w14:textId="77777777" w:rsidR="00712CBC" w:rsidRPr="00804648" w:rsidRDefault="00712CBC" w:rsidP="006F6FE5">
            <w:pPr>
              <w:pStyle w:val="TableText0"/>
              <w:jc w:val="center"/>
            </w:pPr>
            <w:r w:rsidRPr="00804648">
              <w:noBreakHyphen/>
              <w:t>0.06 (</w:t>
            </w:r>
            <w:r w:rsidRPr="00804648">
              <w:noBreakHyphen/>
              <w:t>0.31, 0.20)</w:t>
            </w:r>
          </w:p>
        </w:tc>
        <w:tc>
          <w:tcPr>
            <w:tcW w:w="865" w:type="pct"/>
            <w:tcMar>
              <w:left w:w="40" w:type="dxa"/>
              <w:right w:w="40" w:type="dxa"/>
            </w:tcMar>
            <w:vAlign w:val="center"/>
          </w:tcPr>
          <w:p w14:paraId="3C9B66D8" w14:textId="77777777" w:rsidR="00712CBC" w:rsidRPr="00804648" w:rsidRDefault="00712CBC" w:rsidP="006F6FE5">
            <w:pPr>
              <w:pStyle w:val="TableText0"/>
              <w:jc w:val="center"/>
            </w:pPr>
            <w:r w:rsidRPr="00804648">
              <w:t>0.75 (0.20, 2.88)</w:t>
            </w:r>
          </w:p>
        </w:tc>
        <w:tc>
          <w:tcPr>
            <w:tcW w:w="877" w:type="pct"/>
            <w:tcMar>
              <w:left w:w="40" w:type="dxa"/>
              <w:right w:w="40" w:type="dxa"/>
            </w:tcMar>
            <w:vAlign w:val="center"/>
          </w:tcPr>
          <w:p w14:paraId="30C53CDE" w14:textId="4ED6A4B9" w:rsidR="00712CBC" w:rsidRPr="00804648" w:rsidRDefault="00712CBC" w:rsidP="006F6FE5">
            <w:pPr>
              <w:pStyle w:val="TableText0"/>
              <w:jc w:val="center"/>
            </w:pPr>
            <w:r w:rsidRPr="00804648">
              <w:t>0.70</w:t>
            </w:r>
            <w:r w:rsidR="00607022" w:rsidRPr="00804648">
              <w:t xml:space="preserve"> </w:t>
            </w:r>
            <w:r w:rsidRPr="00804648">
              <w:t>(0.13, 3.70)</w:t>
            </w:r>
          </w:p>
        </w:tc>
      </w:tr>
      <w:tr w:rsidR="00712CBC" w:rsidRPr="00804648" w14:paraId="22BA8899" w14:textId="77777777" w:rsidTr="00A9033C">
        <w:tc>
          <w:tcPr>
            <w:tcW w:w="784" w:type="pct"/>
            <w:tcMar>
              <w:left w:w="40" w:type="dxa"/>
              <w:right w:w="40" w:type="dxa"/>
            </w:tcMar>
          </w:tcPr>
          <w:p w14:paraId="7EE9F5AD" w14:textId="77777777" w:rsidR="00712CBC" w:rsidRPr="00804648" w:rsidRDefault="00712CBC" w:rsidP="006F6FE5">
            <w:pPr>
              <w:pStyle w:val="TableText0"/>
            </w:pPr>
            <w:r w:rsidRPr="00804648">
              <w:rPr>
                <w:lang w:eastAsia="en-US"/>
              </w:rPr>
              <w:t>Any TEAEs potentially related to study drug</w:t>
            </w:r>
          </w:p>
        </w:tc>
        <w:tc>
          <w:tcPr>
            <w:tcW w:w="786" w:type="pct"/>
            <w:tcMar>
              <w:left w:w="40" w:type="dxa"/>
              <w:right w:w="40" w:type="dxa"/>
            </w:tcMar>
            <w:vAlign w:val="center"/>
          </w:tcPr>
          <w:p w14:paraId="7082D998" w14:textId="77777777" w:rsidR="00712CBC" w:rsidRPr="00804648" w:rsidRDefault="00712CBC" w:rsidP="006F6FE5">
            <w:pPr>
              <w:pStyle w:val="TableText0"/>
              <w:jc w:val="center"/>
            </w:pPr>
            <w:r w:rsidRPr="00804648">
              <w:t>12/18 (66.7%)</w:t>
            </w:r>
          </w:p>
        </w:tc>
        <w:tc>
          <w:tcPr>
            <w:tcW w:w="756" w:type="pct"/>
            <w:tcMar>
              <w:left w:w="40" w:type="dxa"/>
              <w:right w:w="40" w:type="dxa"/>
            </w:tcMar>
            <w:vAlign w:val="center"/>
          </w:tcPr>
          <w:p w14:paraId="66E27DD9" w14:textId="77777777" w:rsidR="00712CBC" w:rsidRPr="00804648" w:rsidRDefault="00712CBC" w:rsidP="006F6FE5">
            <w:pPr>
              <w:pStyle w:val="TableText0"/>
              <w:jc w:val="center"/>
            </w:pPr>
            <w:r w:rsidRPr="00804648">
              <w:t>6/18 (33.3%)</w:t>
            </w:r>
          </w:p>
        </w:tc>
        <w:tc>
          <w:tcPr>
            <w:tcW w:w="932" w:type="pct"/>
            <w:tcMar>
              <w:left w:w="40" w:type="dxa"/>
              <w:right w:w="40" w:type="dxa"/>
            </w:tcMar>
            <w:vAlign w:val="center"/>
          </w:tcPr>
          <w:p w14:paraId="1A02E1C0" w14:textId="77777777" w:rsidR="00712CBC" w:rsidRPr="00804648" w:rsidRDefault="00712CBC" w:rsidP="006F6FE5">
            <w:pPr>
              <w:pStyle w:val="TableText0"/>
              <w:jc w:val="center"/>
            </w:pPr>
            <w:r w:rsidRPr="00804648">
              <w:t>0.33 (0.03, 0.64)</w:t>
            </w:r>
          </w:p>
        </w:tc>
        <w:tc>
          <w:tcPr>
            <w:tcW w:w="865" w:type="pct"/>
            <w:tcMar>
              <w:left w:w="40" w:type="dxa"/>
              <w:right w:w="40" w:type="dxa"/>
            </w:tcMar>
            <w:vAlign w:val="center"/>
          </w:tcPr>
          <w:p w14:paraId="7B9B3626" w14:textId="77777777" w:rsidR="00712CBC" w:rsidRPr="00804648" w:rsidRDefault="00712CBC" w:rsidP="006F6FE5">
            <w:pPr>
              <w:pStyle w:val="TableText0"/>
              <w:jc w:val="center"/>
            </w:pPr>
            <w:r w:rsidRPr="00804648">
              <w:t>2.00 (0.96, 4.15)</w:t>
            </w:r>
          </w:p>
        </w:tc>
        <w:tc>
          <w:tcPr>
            <w:tcW w:w="877" w:type="pct"/>
            <w:tcMar>
              <w:left w:w="40" w:type="dxa"/>
              <w:right w:w="40" w:type="dxa"/>
            </w:tcMar>
            <w:vAlign w:val="center"/>
          </w:tcPr>
          <w:p w14:paraId="0C7940E0" w14:textId="77777777" w:rsidR="00712CBC" w:rsidRPr="00804648" w:rsidRDefault="00712CBC" w:rsidP="006F6FE5">
            <w:pPr>
              <w:pStyle w:val="TableText0"/>
              <w:jc w:val="center"/>
            </w:pPr>
            <w:r w:rsidRPr="00804648">
              <w:t>4.00 (1.00, 15.99)</w:t>
            </w:r>
          </w:p>
        </w:tc>
      </w:tr>
      <w:tr w:rsidR="00712CBC" w:rsidRPr="00804648" w14:paraId="38C27C92" w14:textId="77777777" w:rsidTr="00A9033C">
        <w:tc>
          <w:tcPr>
            <w:tcW w:w="5000" w:type="pct"/>
            <w:gridSpan w:val="6"/>
            <w:tcMar>
              <w:left w:w="40" w:type="dxa"/>
              <w:right w:w="40" w:type="dxa"/>
            </w:tcMar>
          </w:tcPr>
          <w:p w14:paraId="69172A66" w14:textId="77777777" w:rsidR="00712CBC" w:rsidRPr="00804648" w:rsidRDefault="00712CBC" w:rsidP="006F6FE5">
            <w:pPr>
              <w:pStyle w:val="TableText0"/>
            </w:pPr>
            <w:r w:rsidRPr="00804648">
              <w:rPr>
                <w:b/>
              </w:rPr>
              <w:t>Any protocol</w:t>
            </w:r>
            <w:r w:rsidRPr="00804648">
              <w:rPr>
                <w:b/>
              </w:rPr>
              <w:noBreakHyphen/>
              <w:t>defined infusion associated reaction</w:t>
            </w:r>
          </w:p>
        </w:tc>
      </w:tr>
      <w:tr w:rsidR="00712CBC" w:rsidRPr="00804648" w14:paraId="45DE92E4" w14:textId="77777777" w:rsidTr="00A9033C">
        <w:tc>
          <w:tcPr>
            <w:tcW w:w="784" w:type="pct"/>
            <w:tcMar>
              <w:left w:w="40" w:type="dxa"/>
              <w:right w:w="40" w:type="dxa"/>
            </w:tcMar>
          </w:tcPr>
          <w:p w14:paraId="1831CE00" w14:textId="77777777" w:rsidR="00712CBC" w:rsidRPr="00804648" w:rsidRDefault="00712CBC" w:rsidP="006F6FE5">
            <w:pPr>
              <w:pStyle w:val="TableText0"/>
            </w:pPr>
            <w:r w:rsidRPr="00804648">
              <w:t xml:space="preserve"> Headache</w:t>
            </w:r>
          </w:p>
        </w:tc>
        <w:tc>
          <w:tcPr>
            <w:tcW w:w="786" w:type="pct"/>
            <w:tcMar>
              <w:left w:w="40" w:type="dxa"/>
              <w:right w:w="40" w:type="dxa"/>
            </w:tcMar>
          </w:tcPr>
          <w:p w14:paraId="49B88B20" w14:textId="77777777" w:rsidR="00712CBC" w:rsidRPr="00804648" w:rsidRDefault="00712CBC" w:rsidP="006F6FE5">
            <w:pPr>
              <w:pStyle w:val="TableText0"/>
              <w:jc w:val="center"/>
            </w:pPr>
            <w:r w:rsidRPr="00804648">
              <w:t>5/18 (27.8%)</w:t>
            </w:r>
          </w:p>
        </w:tc>
        <w:tc>
          <w:tcPr>
            <w:tcW w:w="756" w:type="pct"/>
            <w:tcMar>
              <w:left w:w="40" w:type="dxa"/>
              <w:right w:w="40" w:type="dxa"/>
            </w:tcMar>
          </w:tcPr>
          <w:p w14:paraId="47BE1C26" w14:textId="77777777" w:rsidR="00712CBC" w:rsidRPr="00804648" w:rsidRDefault="00712CBC" w:rsidP="006F6FE5">
            <w:pPr>
              <w:pStyle w:val="TableText0"/>
              <w:jc w:val="center"/>
            </w:pPr>
            <w:r w:rsidRPr="00804648">
              <w:t>2/18 (11.1%)</w:t>
            </w:r>
          </w:p>
        </w:tc>
        <w:tc>
          <w:tcPr>
            <w:tcW w:w="932" w:type="pct"/>
            <w:tcMar>
              <w:left w:w="40" w:type="dxa"/>
              <w:right w:w="40" w:type="dxa"/>
            </w:tcMar>
          </w:tcPr>
          <w:p w14:paraId="634AA941" w14:textId="77777777" w:rsidR="00712CBC" w:rsidRPr="00804648" w:rsidRDefault="00712CBC" w:rsidP="006F6FE5">
            <w:pPr>
              <w:pStyle w:val="TableText0"/>
              <w:jc w:val="center"/>
            </w:pPr>
            <w:r w:rsidRPr="00804648">
              <w:t>0.17 (</w:t>
            </w:r>
            <w:r w:rsidRPr="00804648">
              <w:noBreakHyphen/>
              <w:t>0.09, 0.42)</w:t>
            </w:r>
          </w:p>
        </w:tc>
        <w:tc>
          <w:tcPr>
            <w:tcW w:w="865" w:type="pct"/>
            <w:tcMar>
              <w:left w:w="40" w:type="dxa"/>
              <w:right w:w="40" w:type="dxa"/>
            </w:tcMar>
          </w:tcPr>
          <w:p w14:paraId="424C1F72" w14:textId="77777777" w:rsidR="00712CBC" w:rsidRPr="00804648" w:rsidRDefault="00712CBC" w:rsidP="006F6FE5">
            <w:pPr>
              <w:pStyle w:val="TableText0"/>
              <w:jc w:val="center"/>
            </w:pPr>
            <w:r w:rsidRPr="00804648">
              <w:t>2.50 (0.56, 11.25)</w:t>
            </w:r>
          </w:p>
        </w:tc>
        <w:tc>
          <w:tcPr>
            <w:tcW w:w="877" w:type="pct"/>
            <w:tcMar>
              <w:left w:w="40" w:type="dxa"/>
              <w:right w:w="40" w:type="dxa"/>
            </w:tcMar>
          </w:tcPr>
          <w:p w14:paraId="7D5F236A" w14:textId="77777777" w:rsidR="00712CBC" w:rsidRPr="00804648" w:rsidRDefault="00712CBC" w:rsidP="006F6FE5">
            <w:pPr>
              <w:pStyle w:val="TableText0"/>
              <w:jc w:val="center"/>
            </w:pPr>
            <w:r w:rsidRPr="00804648">
              <w:t>3.08 (0.51, 18.53)</w:t>
            </w:r>
          </w:p>
        </w:tc>
      </w:tr>
      <w:tr w:rsidR="00712CBC" w:rsidRPr="00804648" w14:paraId="190F86E0" w14:textId="77777777" w:rsidTr="00A9033C">
        <w:tc>
          <w:tcPr>
            <w:tcW w:w="784" w:type="pct"/>
            <w:tcMar>
              <w:left w:w="40" w:type="dxa"/>
              <w:right w:w="40" w:type="dxa"/>
            </w:tcMar>
          </w:tcPr>
          <w:p w14:paraId="06B61890" w14:textId="77777777" w:rsidR="00712CBC" w:rsidRPr="00804648" w:rsidRDefault="00712CBC" w:rsidP="006F6FE5">
            <w:pPr>
              <w:pStyle w:val="TableText0"/>
            </w:pPr>
            <w:r w:rsidRPr="00804648">
              <w:t xml:space="preserve"> Nausea</w:t>
            </w:r>
          </w:p>
        </w:tc>
        <w:tc>
          <w:tcPr>
            <w:tcW w:w="786" w:type="pct"/>
            <w:tcMar>
              <w:left w:w="40" w:type="dxa"/>
              <w:right w:w="40" w:type="dxa"/>
            </w:tcMar>
          </w:tcPr>
          <w:p w14:paraId="12D8F6BA" w14:textId="77777777" w:rsidR="00712CBC" w:rsidRPr="00804648" w:rsidRDefault="00712CBC" w:rsidP="006F6FE5">
            <w:pPr>
              <w:pStyle w:val="TableText0"/>
              <w:jc w:val="center"/>
            </w:pPr>
            <w:r w:rsidRPr="00804648">
              <w:t>2/18 (11.1%)</w:t>
            </w:r>
          </w:p>
        </w:tc>
        <w:tc>
          <w:tcPr>
            <w:tcW w:w="756" w:type="pct"/>
            <w:tcMar>
              <w:left w:w="40" w:type="dxa"/>
              <w:right w:w="40" w:type="dxa"/>
            </w:tcMar>
          </w:tcPr>
          <w:p w14:paraId="287DE9B4" w14:textId="77777777" w:rsidR="00712CBC" w:rsidRPr="00804648" w:rsidRDefault="00712CBC" w:rsidP="006F6FE5">
            <w:pPr>
              <w:pStyle w:val="TableText0"/>
              <w:jc w:val="center"/>
            </w:pPr>
            <w:r w:rsidRPr="00804648">
              <w:t>1/18 (5.6%)</w:t>
            </w:r>
          </w:p>
        </w:tc>
        <w:tc>
          <w:tcPr>
            <w:tcW w:w="932" w:type="pct"/>
            <w:tcMar>
              <w:left w:w="40" w:type="dxa"/>
              <w:right w:w="40" w:type="dxa"/>
            </w:tcMar>
          </w:tcPr>
          <w:p w14:paraId="017B77B6" w14:textId="77777777" w:rsidR="00712CBC" w:rsidRPr="00804648" w:rsidRDefault="00712CBC" w:rsidP="006F6FE5">
            <w:pPr>
              <w:pStyle w:val="TableText0"/>
              <w:jc w:val="center"/>
            </w:pPr>
            <w:r w:rsidRPr="00804648">
              <w:t>0.06 (</w:t>
            </w:r>
            <w:r w:rsidRPr="00804648">
              <w:noBreakHyphen/>
              <w:t>0.12, 0.24)</w:t>
            </w:r>
          </w:p>
        </w:tc>
        <w:tc>
          <w:tcPr>
            <w:tcW w:w="865" w:type="pct"/>
            <w:tcMar>
              <w:left w:w="40" w:type="dxa"/>
              <w:right w:w="40" w:type="dxa"/>
            </w:tcMar>
          </w:tcPr>
          <w:p w14:paraId="78AC2202" w14:textId="77777777" w:rsidR="00712CBC" w:rsidRPr="00804648" w:rsidRDefault="00712CBC" w:rsidP="006F6FE5">
            <w:pPr>
              <w:pStyle w:val="TableText0"/>
              <w:jc w:val="center"/>
            </w:pPr>
            <w:r w:rsidRPr="00804648">
              <w:t>2.00 (0.20, 20.15)</w:t>
            </w:r>
          </w:p>
        </w:tc>
        <w:tc>
          <w:tcPr>
            <w:tcW w:w="877" w:type="pct"/>
            <w:tcMar>
              <w:left w:w="40" w:type="dxa"/>
              <w:right w:w="40" w:type="dxa"/>
            </w:tcMar>
          </w:tcPr>
          <w:p w14:paraId="7EA19CF6" w14:textId="77777777" w:rsidR="00712CBC" w:rsidRPr="00804648" w:rsidRDefault="00712CBC" w:rsidP="006F6FE5">
            <w:pPr>
              <w:pStyle w:val="TableText0"/>
              <w:jc w:val="center"/>
            </w:pPr>
            <w:r w:rsidRPr="00804648">
              <w:t>2.12 (0.18, 25.78)</w:t>
            </w:r>
          </w:p>
        </w:tc>
      </w:tr>
      <w:tr w:rsidR="00712CBC" w:rsidRPr="00804648" w14:paraId="4ED74382" w14:textId="77777777" w:rsidTr="00A9033C">
        <w:tc>
          <w:tcPr>
            <w:tcW w:w="784" w:type="pct"/>
            <w:tcMar>
              <w:left w:w="40" w:type="dxa"/>
              <w:right w:w="40" w:type="dxa"/>
            </w:tcMar>
          </w:tcPr>
          <w:p w14:paraId="03B5FC72" w14:textId="77777777" w:rsidR="00712CBC" w:rsidRPr="00804648" w:rsidRDefault="00712CBC" w:rsidP="006F6FE5">
            <w:pPr>
              <w:pStyle w:val="TableText0"/>
            </w:pPr>
            <w:r w:rsidRPr="00804648">
              <w:t xml:space="preserve"> Arthralgia</w:t>
            </w:r>
          </w:p>
        </w:tc>
        <w:tc>
          <w:tcPr>
            <w:tcW w:w="786" w:type="pct"/>
            <w:tcMar>
              <w:left w:w="40" w:type="dxa"/>
              <w:right w:w="40" w:type="dxa"/>
            </w:tcMar>
          </w:tcPr>
          <w:p w14:paraId="77A2564F" w14:textId="77777777" w:rsidR="00712CBC" w:rsidRPr="00804648" w:rsidRDefault="00712CBC" w:rsidP="006F6FE5">
            <w:pPr>
              <w:pStyle w:val="TableText0"/>
              <w:jc w:val="center"/>
            </w:pPr>
            <w:r w:rsidRPr="00804648">
              <w:t>1/18 (5.6%)</w:t>
            </w:r>
          </w:p>
        </w:tc>
        <w:tc>
          <w:tcPr>
            <w:tcW w:w="756" w:type="pct"/>
            <w:tcMar>
              <w:left w:w="40" w:type="dxa"/>
              <w:right w:w="40" w:type="dxa"/>
            </w:tcMar>
          </w:tcPr>
          <w:p w14:paraId="29D61E0B" w14:textId="77777777" w:rsidR="00712CBC" w:rsidRPr="00804648" w:rsidRDefault="00712CBC" w:rsidP="006F6FE5">
            <w:pPr>
              <w:pStyle w:val="TableText0"/>
              <w:jc w:val="center"/>
            </w:pPr>
            <w:r w:rsidRPr="00804648">
              <w:t>0</w:t>
            </w:r>
          </w:p>
        </w:tc>
        <w:tc>
          <w:tcPr>
            <w:tcW w:w="932" w:type="pct"/>
            <w:tcMar>
              <w:left w:w="40" w:type="dxa"/>
              <w:right w:w="40" w:type="dxa"/>
            </w:tcMar>
          </w:tcPr>
          <w:p w14:paraId="164B63E4" w14:textId="77777777" w:rsidR="00712CBC" w:rsidRPr="00804648" w:rsidRDefault="00712CBC" w:rsidP="006F6FE5">
            <w:pPr>
              <w:pStyle w:val="TableText0"/>
              <w:jc w:val="center"/>
            </w:pPr>
            <w:r w:rsidRPr="00804648">
              <w:t>0.06 (0.09, 0.20)</w:t>
            </w:r>
          </w:p>
        </w:tc>
        <w:tc>
          <w:tcPr>
            <w:tcW w:w="865" w:type="pct"/>
            <w:tcMar>
              <w:left w:w="40" w:type="dxa"/>
              <w:right w:w="40" w:type="dxa"/>
            </w:tcMar>
          </w:tcPr>
          <w:p w14:paraId="6543D7C6" w14:textId="77777777" w:rsidR="00712CBC" w:rsidRPr="00804648" w:rsidRDefault="00712CBC" w:rsidP="006F6FE5">
            <w:pPr>
              <w:pStyle w:val="TableText0"/>
              <w:jc w:val="center"/>
            </w:pPr>
            <w:r w:rsidRPr="00804648">
              <w:t>3.00 (0.13, 68.97)</w:t>
            </w:r>
          </w:p>
        </w:tc>
        <w:tc>
          <w:tcPr>
            <w:tcW w:w="877" w:type="pct"/>
            <w:tcMar>
              <w:left w:w="40" w:type="dxa"/>
              <w:right w:w="40" w:type="dxa"/>
            </w:tcMar>
          </w:tcPr>
          <w:p w14:paraId="76B9BEBD" w14:textId="77777777" w:rsidR="00712CBC" w:rsidRPr="00804648" w:rsidRDefault="00712CBC" w:rsidP="006F6FE5">
            <w:pPr>
              <w:pStyle w:val="TableText0"/>
              <w:jc w:val="center"/>
            </w:pPr>
            <w:r w:rsidRPr="00804648">
              <w:t>3.17 (0.12, 83.17)</w:t>
            </w:r>
          </w:p>
        </w:tc>
      </w:tr>
      <w:tr w:rsidR="00712CBC" w:rsidRPr="00804648" w14:paraId="7F3CA7E8" w14:textId="77777777" w:rsidTr="00A9033C">
        <w:tc>
          <w:tcPr>
            <w:tcW w:w="784" w:type="pct"/>
            <w:tcMar>
              <w:left w:w="40" w:type="dxa"/>
              <w:right w:w="40" w:type="dxa"/>
            </w:tcMar>
          </w:tcPr>
          <w:p w14:paraId="3345ACF7" w14:textId="77777777" w:rsidR="00712CBC" w:rsidRPr="00804648" w:rsidRDefault="00712CBC" w:rsidP="006F6FE5">
            <w:pPr>
              <w:pStyle w:val="TableText0"/>
            </w:pPr>
            <w:r w:rsidRPr="00804648">
              <w:t xml:space="preserve"> Urticaria</w:t>
            </w:r>
          </w:p>
        </w:tc>
        <w:tc>
          <w:tcPr>
            <w:tcW w:w="786" w:type="pct"/>
            <w:tcMar>
              <w:left w:w="40" w:type="dxa"/>
              <w:right w:w="40" w:type="dxa"/>
            </w:tcMar>
          </w:tcPr>
          <w:p w14:paraId="1309584C" w14:textId="77777777" w:rsidR="00712CBC" w:rsidRPr="00804648" w:rsidRDefault="00712CBC" w:rsidP="006F6FE5">
            <w:pPr>
              <w:pStyle w:val="TableText0"/>
              <w:jc w:val="center"/>
            </w:pPr>
            <w:r w:rsidRPr="00804648">
              <w:t>1/18 (5.6%)</w:t>
            </w:r>
          </w:p>
        </w:tc>
        <w:tc>
          <w:tcPr>
            <w:tcW w:w="756" w:type="pct"/>
            <w:tcMar>
              <w:left w:w="40" w:type="dxa"/>
              <w:right w:w="40" w:type="dxa"/>
            </w:tcMar>
          </w:tcPr>
          <w:p w14:paraId="688D29E8" w14:textId="77777777" w:rsidR="00712CBC" w:rsidRPr="00804648" w:rsidRDefault="00712CBC" w:rsidP="006F6FE5">
            <w:pPr>
              <w:pStyle w:val="TableText0"/>
              <w:jc w:val="center"/>
            </w:pPr>
            <w:r w:rsidRPr="00804648">
              <w:t>0</w:t>
            </w:r>
          </w:p>
        </w:tc>
        <w:tc>
          <w:tcPr>
            <w:tcW w:w="932" w:type="pct"/>
            <w:tcMar>
              <w:left w:w="40" w:type="dxa"/>
              <w:right w:w="40" w:type="dxa"/>
            </w:tcMar>
          </w:tcPr>
          <w:p w14:paraId="0A8DA25E" w14:textId="77777777" w:rsidR="00712CBC" w:rsidRPr="00804648" w:rsidRDefault="00712CBC" w:rsidP="006F6FE5">
            <w:pPr>
              <w:pStyle w:val="TableText0"/>
              <w:jc w:val="center"/>
            </w:pPr>
            <w:r w:rsidRPr="00804648">
              <w:t>0.06 (0.09, 0.20)</w:t>
            </w:r>
          </w:p>
        </w:tc>
        <w:tc>
          <w:tcPr>
            <w:tcW w:w="865" w:type="pct"/>
            <w:tcMar>
              <w:left w:w="40" w:type="dxa"/>
              <w:right w:w="40" w:type="dxa"/>
            </w:tcMar>
          </w:tcPr>
          <w:p w14:paraId="769AB800" w14:textId="77777777" w:rsidR="00712CBC" w:rsidRPr="00804648" w:rsidRDefault="00712CBC" w:rsidP="006F6FE5">
            <w:pPr>
              <w:pStyle w:val="TableText0"/>
              <w:jc w:val="center"/>
            </w:pPr>
            <w:r w:rsidRPr="00804648">
              <w:t>3.00 (0.13, 68.97)</w:t>
            </w:r>
          </w:p>
        </w:tc>
        <w:tc>
          <w:tcPr>
            <w:tcW w:w="877" w:type="pct"/>
            <w:tcMar>
              <w:left w:w="40" w:type="dxa"/>
              <w:right w:w="40" w:type="dxa"/>
            </w:tcMar>
          </w:tcPr>
          <w:p w14:paraId="2891DF9F" w14:textId="77777777" w:rsidR="00712CBC" w:rsidRPr="00804648" w:rsidRDefault="00712CBC" w:rsidP="006F6FE5">
            <w:pPr>
              <w:pStyle w:val="TableText0"/>
              <w:jc w:val="center"/>
            </w:pPr>
            <w:r w:rsidRPr="00804648">
              <w:t>3.17 (0.12, 83.17)</w:t>
            </w:r>
          </w:p>
        </w:tc>
      </w:tr>
      <w:tr w:rsidR="00712CBC" w:rsidRPr="00804648" w14:paraId="091C5AC6" w14:textId="77777777" w:rsidTr="00A9033C">
        <w:tc>
          <w:tcPr>
            <w:tcW w:w="784" w:type="pct"/>
            <w:tcMar>
              <w:left w:w="40" w:type="dxa"/>
              <w:right w:w="40" w:type="dxa"/>
            </w:tcMar>
          </w:tcPr>
          <w:p w14:paraId="5502649E" w14:textId="1C3E995B" w:rsidR="00712CBC" w:rsidRPr="00804648" w:rsidRDefault="008C351B" w:rsidP="006F6FE5">
            <w:pPr>
              <w:pStyle w:val="TableText0"/>
            </w:pPr>
            <w:r w:rsidRPr="00804648">
              <w:t xml:space="preserve"> </w:t>
            </w:r>
            <w:r w:rsidR="00712CBC" w:rsidRPr="00804648">
              <w:t>Pyrexia</w:t>
            </w:r>
          </w:p>
        </w:tc>
        <w:tc>
          <w:tcPr>
            <w:tcW w:w="786" w:type="pct"/>
            <w:tcMar>
              <w:left w:w="40" w:type="dxa"/>
              <w:right w:w="40" w:type="dxa"/>
            </w:tcMar>
          </w:tcPr>
          <w:p w14:paraId="57DAEC9F" w14:textId="77777777" w:rsidR="00712CBC" w:rsidRPr="00804648" w:rsidRDefault="00712CBC" w:rsidP="006F6FE5">
            <w:pPr>
              <w:pStyle w:val="TableText0"/>
              <w:jc w:val="center"/>
            </w:pPr>
            <w:r w:rsidRPr="00804648">
              <w:t>1/18 (5.6%)</w:t>
            </w:r>
          </w:p>
        </w:tc>
        <w:tc>
          <w:tcPr>
            <w:tcW w:w="756" w:type="pct"/>
            <w:tcMar>
              <w:left w:w="40" w:type="dxa"/>
              <w:right w:w="40" w:type="dxa"/>
            </w:tcMar>
          </w:tcPr>
          <w:p w14:paraId="04B466D5" w14:textId="77777777" w:rsidR="00712CBC" w:rsidRPr="00804648" w:rsidRDefault="00712CBC" w:rsidP="006F6FE5">
            <w:pPr>
              <w:pStyle w:val="TableText0"/>
              <w:jc w:val="center"/>
            </w:pPr>
            <w:r w:rsidRPr="00804648">
              <w:t>0</w:t>
            </w:r>
          </w:p>
        </w:tc>
        <w:tc>
          <w:tcPr>
            <w:tcW w:w="932" w:type="pct"/>
            <w:tcMar>
              <w:left w:w="40" w:type="dxa"/>
              <w:right w:w="40" w:type="dxa"/>
            </w:tcMar>
          </w:tcPr>
          <w:p w14:paraId="17D9AF68" w14:textId="77777777" w:rsidR="00712CBC" w:rsidRPr="00804648" w:rsidRDefault="00712CBC" w:rsidP="006F6FE5">
            <w:pPr>
              <w:pStyle w:val="TableText0"/>
              <w:jc w:val="center"/>
            </w:pPr>
            <w:r w:rsidRPr="00804648">
              <w:t>0.06 (0.09, 0.20)</w:t>
            </w:r>
          </w:p>
        </w:tc>
        <w:tc>
          <w:tcPr>
            <w:tcW w:w="865" w:type="pct"/>
            <w:tcMar>
              <w:left w:w="40" w:type="dxa"/>
              <w:right w:w="40" w:type="dxa"/>
            </w:tcMar>
          </w:tcPr>
          <w:p w14:paraId="152ADAD6" w14:textId="77777777" w:rsidR="00712CBC" w:rsidRPr="00804648" w:rsidRDefault="00712CBC" w:rsidP="006F6FE5">
            <w:pPr>
              <w:pStyle w:val="TableText0"/>
              <w:jc w:val="center"/>
            </w:pPr>
            <w:r w:rsidRPr="00804648">
              <w:t>3.00 (0.13, 68.97)</w:t>
            </w:r>
          </w:p>
        </w:tc>
        <w:tc>
          <w:tcPr>
            <w:tcW w:w="877" w:type="pct"/>
            <w:tcMar>
              <w:left w:w="40" w:type="dxa"/>
              <w:right w:w="40" w:type="dxa"/>
            </w:tcMar>
          </w:tcPr>
          <w:p w14:paraId="281A041B" w14:textId="77777777" w:rsidR="00712CBC" w:rsidRPr="00804648" w:rsidRDefault="00712CBC" w:rsidP="006F6FE5">
            <w:pPr>
              <w:pStyle w:val="TableText0"/>
              <w:jc w:val="center"/>
            </w:pPr>
            <w:r w:rsidRPr="00804648">
              <w:t>3.17 (0.12, 83.17)</w:t>
            </w:r>
          </w:p>
        </w:tc>
      </w:tr>
      <w:tr w:rsidR="00712CBC" w:rsidRPr="00804648" w14:paraId="5885BEEE" w14:textId="77777777" w:rsidTr="00A9033C">
        <w:tc>
          <w:tcPr>
            <w:tcW w:w="784" w:type="pct"/>
            <w:tcMar>
              <w:left w:w="40" w:type="dxa"/>
              <w:right w:w="40" w:type="dxa"/>
            </w:tcMar>
          </w:tcPr>
          <w:p w14:paraId="1FD3250A" w14:textId="77777777" w:rsidR="00712CBC" w:rsidRPr="00804648" w:rsidRDefault="00712CBC" w:rsidP="006F6FE5">
            <w:pPr>
              <w:pStyle w:val="TableText0"/>
            </w:pPr>
            <w:r w:rsidRPr="00804648">
              <w:rPr>
                <w:lang w:eastAsia="en-US"/>
              </w:rPr>
              <w:t xml:space="preserve"> Vomiting</w:t>
            </w:r>
          </w:p>
        </w:tc>
        <w:tc>
          <w:tcPr>
            <w:tcW w:w="786" w:type="pct"/>
            <w:tcMar>
              <w:left w:w="40" w:type="dxa"/>
              <w:right w:w="40" w:type="dxa"/>
            </w:tcMar>
            <w:vAlign w:val="center"/>
          </w:tcPr>
          <w:p w14:paraId="0240B293" w14:textId="77777777" w:rsidR="00712CBC" w:rsidRPr="00804648" w:rsidRDefault="00712CBC" w:rsidP="006F6FE5">
            <w:pPr>
              <w:pStyle w:val="TableText0"/>
              <w:jc w:val="center"/>
            </w:pPr>
            <w:r w:rsidRPr="00804648">
              <w:t>1/18 (5.6%)</w:t>
            </w:r>
          </w:p>
        </w:tc>
        <w:tc>
          <w:tcPr>
            <w:tcW w:w="756" w:type="pct"/>
            <w:tcMar>
              <w:left w:w="40" w:type="dxa"/>
              <w:right w:w="40" w:type="dxa"/>
            </w:tcMar>
            <w:vAlign w:val="center"/>
          </w:tcPr>
          <w:p w14:paraId="070F5EE3" w14:textId="77777777" w:rsidR="00712CBC" w:rsidRPr="00804648" w:rsidRDefault="00712CBC" w:rsidP="006F6FE5">
            <w:pPr>
              <w:pStyle w:val="TableText0"/>
              <w:jc w:val="center"/>
            </w:pPr>
            <w:r w:rsidRPr="00804648">
              <w:t>1/18 (5.6%)</w:t>
            </w:r>
          </w:p>
        </w:tc>
        <w:tc>
          <w:tcPr>
            <w:tcW w:w="932" w:type="pct"/>
            <w:tcMar>
              <w:left w:w="40" w:type="dxa"/>
              <w:right w:w="40" w:type="dxa"/>
            </w:tcMar>
          </w:tcPr>
          <w:p w14:paraId="73B7E7C1" w14:textId="77777777" w:rsidR="00712CBC" w:rsidRPr="00804648" w:rsidRDefault="00712CBC" w:rsidP="006F6FE5">
            <w:pPr>
              <w:pStyle w:val="TableText0"/>
              <w:jc w:val="center"/>
            </w:pPr>
            <w:r w:rsidRPr="00804648">
              <w:t>0.00 (0.15, 0.15)</w:t>
            </w:r>
          </w:p>
        </w:tc>
        <w:tc>
          <w:tcPr>
            <w:tcW w:w="865" w:type="pct"/>
            <w:tcMar>
              <w:left w:w="40" w:type="dxa"/>
              <w:right w:w="40" w:type="dxa"/>
            </w:tcMar>
          </w:tcPr>
          <w:p w14:paraId="7142DE46" w14:textId="77777777" w:rsidR="00712CBC" w:rsidRPr="00804648" w:rsidRDefault="00712CBC" w:rsidP="006F6FE5">
            <w:pPr>
              <w:pStyle w:val="TableText0"/>
              <w:jc w:val="center"/>
            </w:pPr>
            <w:r w:rsidRPr="00804648">
              <w:t>1.00 (0.07, 14.79)</w:t>
            </w:r>
          </w:p>
        </w:tc>
        <w:tc>
          <w:tcPr>
            <w:tcW w:w="877" w:type="pct"/>
            <w:tcMar>
              <w:left w:w="40" w:type="dxa"/>
              <w:right w:w="40" w:type="dxa"/>
            </w:tcMar>
          </w:tcPr>
          <w:p w14:paraId="2D560836" w14:textId="77777777" w:rsidR="00712CBC" w:rsidRPr="00804648" w:rsidRDefault="00712CBC" w:rsidP="006F6FE5">
            <w:pPr>
              <w:pStyle w:val="TableText0"/>
              <w:jc w:val="center"/>
            </w:pPr>
            <w:r w:rsidRPr="00804648">
              <w:t>1.00 (0.06, 17.33)</w:t>
            </w:r>
          </w:p>
        </w:tc>
      </w:tr>
    </w:tbl>
    <w:p w14:paraId="1DFA9CF6" w14:textId="77777777" w:rsidR="00712CBC" w:rsidRPr="00804648" w:rsidRDefault="00712CBC" w:rsidP="00712CBC">
      <w:pPr>
        <w:pStyle w:val="FooterTableFigure"/>
        <w:rPr>
          <w:sz w:val="20"/>
        </w:rPr>
      </w:pPr>
      <w:r w:rsidRPr="00804648">
        <w:t xml:space="preserve">Source: Table 2.2.21, pp57-58 of the submission. </w:t>
      </w:r>
    </w:p>
    <w:p w14:paraId="32643D72" w14:textId="07800BB5" w:rsidR="00712CBC" w:rsidRPr="00804648" w:rsidRDefault="00662C2E" w:rsidP="00712CBC">
      <w:pPr>
        <w:pStyle w:val="FooterTableFigure"/>
        <w:rPr>
          <w:rFonts w:eastAsia="Calibri"/>
        </w:rPr>
      </w:pPr>
      <w:r w:rsidRPr="00804648">
        <w:rPr>
          <w:rFonts w:eastAsia="Calibri"/>
        </w:rPr>
        <w:t xml:space="preserve">BSC = best supportive care, </w:t>
      </w:r>
      <w:r w:rsidR="00712CBC" w:rsidRPr="00804648">
        <w:rPr>
          <w:rFonts w:eastAsia="Calibri"/>
        </w:rPr>
        <w:t>CI = confidence interval, n = number of participants reporting data, N = total participants in group, NE = not estimable, OR = odds ratio, RD = risk difference, RR = relative risk</w:t>
      </w:r>
      <w:r w:rsidR="00C84D36" w:rsidRPr="00804648">
        <w:rPr>
          <w:rFonts w:eastAsia="Calibri"/>
        </w:rPr>
        <w:t>, TEAE = treatment emergent adverse event.</w:t>
      </w:r>
    </w:p>
    <w:p w14:paraId="51A41CC6" w14:textId="012A9339" w:rsidR="004F572A" w:rsidRPr="00804648" w:rsidRDefault="004F572A" w:rsidP="004F572A">
      <w:pPr>
        <w:pStyle w:val="3-BodyText"/>
      </w:pPr>
      <w:r w:rsidRPr="00804648">
        <w:t xml:space="preserve">In the </w:t>
      </w:r>
      <w:r w:rsidR="00CE3B66" w:rsidRPr="00804648">
        <w:t xml:space="preserve">primary treatment period of the </w:t>
      </w:r>
      <w:r w:rsidRPr="00804648">
        <w:t>ASCEND trial, all patients experienced at least one treatment emergent adverse event (TEAE). A greater proportion of patients experienced TEAEs potentially related to treatment in the olipudase alfa arm (66.7%) compared with BSC arm (33.3%). Furthermore, a greater proportion of patients experienced infusion-associated reactions to treatment in the olipudase alfa arm (44.4%) compared with BSC arm (27.8%).</w:t>
      </w:r>
    </w:p>
    <w:p w14:paraId="7FE0E637" w14:textId="1FB25EA1" w:rsidR="00A6484B" w:rsidRPr="00804648" w:rsidRDefault="004F572A" w:rsidP="004F572A">
      <w:pPr>
        <w:pStyle w:val="3-BodyText"/>
      </w:pPr>
      <w:r w:rsidRPr="00804648">
        <w:t>For the extended treatment analysis, all patients (n=35; 100%) experienced at least one TEAE. A total of 12 (34.3%) patients had at least one serious AE. There were no TEAEs that led to treatment discontinuation or death.</w:t>
      </w:r>
    </w:p>
    <w:p w14:paraId="122AF1F1" w14:textId="26EB5D88" w:rsidR="007E34BC" w:rsidRPr="00804648" w:rsidRDefault="007E34BC" w:rsidP="007E34BC">
      <w:pPr>
        <w:pStyle w:val="ListBullet"/>
        <w:spacing w:after="120"/>
        <w:ind w:left="357" w:hanging="357"/>
        <w:contextualSpacing w:val="0"/>
        <w:rPr>
          <w:b/>
          <w:bCs/>
          <w:u w:val="single"/>
        </w:rPr>
      </w:pPr>
      <w:r w:rsidRPr="00804648">
        <w:rPr>
          <w:b/>
          <w:bCs/>
          <w:u w:val="single"/>
        </w:rPr>
        <w:t>PAEDIATRIC POPULATION</w:t>
      </w:r>
    </w:p>
    <w:p w14:paraId="05ACDED5" w14:textId="4D3DBF5E" w:rsidR="008A2BD4" w:rsidRPr="00804648" w:rsidRDefault="008A2BD4" w:rsidP="00D65A99">
      <w:pPr>
        <w:pStyle w:val="5-SubsectionSubheading"/>
      </w:pPr>
      <w:r w:rsidRPr="00804648">
        <w:t>ASCEND-peds</w:t>
      </w:r>
      <w:r w:rsidR="0050065D" w:rsidRPr="00804648">
        <w:t xml:space="preserve"> single arm</w:t>
      </w:r>
      <w:r w:rsidR="007E34BC" w:rsidRPr="00804648">
        <w:t xml:space="preserve"> study</w:t>
      </w:r>
      <w:r w:rsidR="0050065D" w:rsidRPr="00804648">
        <w:t xml:space="preserve"> </w:t>
      </w:r>
      <w:r w:rsidR="007E34BC" w:rsidRPr="00804648">
        <w:t>(</w:t>
      </w:r>
      <w:r w:rsidR="0050065D" w:rsidRPr="00804648">
        <w:t>olipudase alfa</w:t>
      </w:r>
      <w:r w:rsidR="007E34BC" w:rsidRPr="00804648">
        <w:t>)</w:t>
      </w:r>
      <w:r w:rsidR="0050065D" w:rsidRPr="00804648">
        <w:t xml:space="preserve"> </w:t>
      </w:r>
    </w:p>
    <w:p w14:paraId="7E04A795" w14:textId="4AA7C198" w:rsidR="00916D18" w:rsidRPr="00804648" w:rsidRDefault="00916D18" w:rsidP="00916D18">
      <w:pPr>
        <w:pStyle w:val="3-BodyText"/>
      </w:pPr>
      <w:r w:rsidRPr="00804648">
        <w:fldChar w:fldCharType="begin" w:fldLock="1"/>
      </w:r>
      <w:r w:rsidRPr="00804648">
        <w:instrText xml:space="preserve"> REF _Ref133692742 \h </w:instrText>
      </w:r>
      <w:r w:rsidRPr="00804648">
        <w:fldChar w:fldCharType="separate"/>
      </w:r>
      <w:r w:rsidR="005D02DA" w:rsidRPr="00804648">
        <w:t>Table 10</w:t>
      </w:r>
      <w:r w:rsidRPr="00804648">
        <w:fldChar w:fldCharType="end"/>
      </w:r>
      <w:r w:rsidRPr="00804648">
        <w:t xml:space="preserve"> presents </w:t>
      </w:r>
      <w:r w:rsidR="003747BF" w:rsidRPr="00804648">
        <w:t xml:space="preserve">a </w:t>
      </w:r>
      <w:r w:rsidRPr="00804648">
        <w:t xml:space="preserve">summary of the key adverse events in the ASCEND-peds trial. </w:t>
      </w:r>
    </w:p>
    <w:p w14:paraId="139DEC87" w14:textId="683476D4" w:rsidR="00916D18" w:rsidRPr="00804648" w:rsidRDefault="00916D18" w:rsidP="00916D18">
      <w:pPr>
        <w:pStyle w:val="TableFigureHeading"/>
      </w:pPr>
      <w:bookmarkStart w:id="49" w:name="_Ref133692742"/>
      <w:r w:rsidRPr="00804648">
        <w:lastRenderedPageBreak/>
        <w:t xml:space="preserve">Table </w:t>
      </w:r>
      <w:fldSimple w:instr=" SEQ Table \* ARABIC " w:fldLock="1">
        <w:r w:rsidR="005D02DA" w:rsidRPr="00804648">
          <w:t>10</w:t>
        </w:r>
      </w:fldSimple>
      <w:bookmarkEnd w:id="49"/>
      <w:r w:rsidRPr="00804648">
        <w:t>: Summary of key adverse events in the ASCEND-peds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6"/>
        <w:gridCol w:w="1100"/>
        <w:gridCol w:w="1235"/>
        <w:gridCol w:w="1212"/>
        <w:gridCol w:w="1464"/>
      </w:tblGrid>
      <w:tr w:rsidR="00916D18" w:rsidRPr="00804648" w14:paraId="4B032F50" w14:textId="77777777" w:rsidTr="008C351B">
        <w:trPr>
          <w:tblHeader/>
        </w:trPr>
        <w:tc>
          <w:tcPr>
            <w:tcW w:w="2221" w:type="pct"/>
            <w:vMerge w:val="restart"/>
            <w:vAlign w:val="center"/>
          </w:tcPr>
          <w:p w14:paraId="2C87B203" w14:textId="77777777" w:rsidR="00916D18" w:rsidRPr="00804648" w:rsidRDefault="00916D18" w:rsidP="006F6FE5">
            <w:pPr>
              <w:pStyle w:val="In-tableHeading"/>
              <w:rPr>
                <w:lang w:val="en-AU"/>
              </w:rPr>
            </w:pPr>
          </w:p>
        </w:tc>
        <w:tc>
          <w:tcPr>
            <w:tcW w:w="610" w:type="pct"/>
          </w:tcPr>
          <w:p w14:paraId="6CC4F50E" w14:textId="77777777" w:rsidR="00916D18" w:rsidRPr="00804648" w:rsidRDefault="00916D18" w:rsidP="006F6FE5">
            <w:pPr>
              <w:pStyle w:val="In-tableHeading"/>
              <w:jc w:val="center"/>
              <w:rPr>
                <w:lang w:val="en-AU"/>
              </w:rPr>
            </w:pPr>
            <w:r w:rsidRPr="00804648">
              <w:rPr>
                <w:lang w:val="en-AU"/>
              </w:rPr>
              <w:t>Adolescent</w:t>
            </w:r>
          </w:p>
          <w:p w14:paraId="5AF9FD5D" w14:textId="77777777" w:rsidR="00916D18" w:rsidRPr="00804648" w:rsidRDefault="00916D18" w:rsidP="006F6FE5">
            <w:pPr>
              <w:pStyle w:val="In-tableHeading"/>
              <w:jc w:val="center"/>
              <w:rPr>
                <w:lang w:val="en-AU"/>
              </w:rPr>
            </w:pPr>
            <w:r w:rsidRPr="00804648">
              <w:rPr>
                <w:lang w:val="en-AU"/>
              </w:rPr>
              <w:t xml:space="preserve"> (N=4)</w:t>
            </w:r>
          </w:p>
        </w:tc>
        <w:tc>
          <w:tcPr>
            <w:tcW w:w="685" w:type="pct"/>
          </w:tcPr>
          <w:p w14:paraId="4379CC8D" w14:textId="77777777" w:rsidR="00916D18" w:rsidRPr="00804648" w:rsidRDefault="00916D18" w:rsidP="006F6FE5">
            <w:pPr>
              <w:pStyle w:val="In-tableHeading"/>
              <w:jc w:val="center"/>
              <w:rPr>
                <w:lang w:val="en-AU"/>
              </w:rPr>
            </w:pPr>
            <w:r w:rsidRPr="00804648">
              <w:rPr>
                <w:lang w:val="en-AU"/>
              </w:rPr>
              <w:t xml:space="preserve">Child </w:t>
            </w:r>
          </w:p>
          <w:p w14:paraId="32A9090D" w14:textId="77777777" w:rsidR="00916D18" w:rsidRPr="00804648" w:rsidRDefault="00916D18" w:rsidP="006F6FE5">
            <w:pPr>
              <w:pStyle w:val="In-tableHeading"/>
              <w:jc w:val="center"/>
              <w:rPr>
                <w:lang w:val="en-AU"/>
              </w:rPr>
            </w:pPr>
            <w:r w:rsidRPr="00804648">
              <w:rPr>
                <w:lang w:val="en-AU"/>
              </w:rPr>
              <w:t>(N=9)</w:t>
            </w:r>
          </w:p>
        </w:tc>
        <w:tc>
          <w:tcPr>
            <w:tcW w:w="672" w:type="pct"/>
          </w:tcPr>
          <w:p w14:paraId="19CD0AAC" w14:textId="77777777" w:rsidR="00916D18" w:rsidRPr="00804648" w:rsidRDefault="00916D18" w:rsidP="006F6FE5">
            <w:pPr>
              <w:pStyle w:val="In-tableHeading"/>
              <w:jc w:val="center"/>
              <w:rPr>
                <w:lang w:val="en-AU"/>
              </w:rPr>
            </w:pPr>
            <w:r w:rsidRPr="00804648">
              <w:rPr>
                <w:lang w:val="en-AU"/>
              </w:rPr>
              <w:t xml:space="preserve">Infant/Early Child </w:t>
            </w:r>
          </w:p>
          <w:p w14:paraId="6A1F1EE1" w14:textId="77777777" w:rsidR="00916D18" w:rsidRPr="00804648" w:rsidRDefault="00916D18" w:rsidP="006F6FE5">
            <w:pPr>
              <w:pStyle w:val="In-tableHeading"/>
              <w:jc w:val="center"/>
              <w:rPr>
                <w:lang w:val="en-AU"/>
              </w:rPr>
            </w:pPr>
            <w:r w:rsidRPr="00804648">
              <w:rPr>
                <w:lang w:val="en-AU"/>
              </w:rPr>
              <w:t>(N=7)</w:t>
            </w:r>
          </w:p>
        </w:tc>
        <w:tc>
          <w:tcPr>
            <w:tcW w:w="812" w:type="pct"/>
          </w:tcPr>
          <w:p w14:paraId="46F098FF" w14:textId="77777777" w:rsidR="00916D18" w:rsidRPr="00804648" w:rsidRDefault="00916D18" w:rsidP="006F6FE5">
            <w:pPr>
              <w:pStyle w:val="In-tableHeading"/>
              <w:jc w:val="center"/>
              <w:rPr>
                <w:lang w:val="en-AU"/>
              </w:rPr>
            </w:pPr>
            <w:r w:rsidRPr="00804648">
              <w:rPr>
                <w:lang w:val="en-AU"/>
              </w:rPr>
              <w:t xml:space="preserve">Overall </w:t>
            </w:r>
          </w:p>
          <w:p w14:paraId="172A40C3" w14:textId="77777777" w:rsidR="00916D18" w:rsidRPr="00804648" w:rsidRDefault="00916D18" w:rsidP="006F6FE5">
            <w:pPr>
              <w:pStyle w:val="In-tableHeading"/>
              <w:jc w:val="center"/>
              <w:rPr>
                <w:lang w:val="en-AU"/>
              </w:rPr>
            </w:pPr>
            <w:r w:rsidRPr="00804648">
              <w:rPr>
                <w:lang w:val="en-AU"/>
              </w:rPr>
              <w:t>(N=20)</w:t>
            </w:r>
          </w:p>
        </w:tc>
      </w:tr>
      <w:tr w:rsidR="00916D18" w:rsidRPr="00804648" w14:paraId="57D893B7" w14:textId="77777777" w:rsidTr="008C351B">
        <w:tc>
          <w:tcPr>
            <w:tcW w:w="2221" w:type="pct"/>
            <w:vMerge/>
          </w:tcPr>
          <w:p w14:paraId="543AEBEC" w14:textId="77777777" w:rsidR="00916D18" w:rsidRPr="00804648" w:rsidRDefault="00916D18" w:rsidP="006F6FE5">
            <w:pPr>
              <w:pStyle w:val="TableText0"/>
              <w:rPr>
                <w:lang w:eastAsia="en-US"/>
              </w:rPr>
            </w:pPr>
          </w:p>
        </w:tc>
        <w:tc>
          <w:tcPr>
            <w:tcW w:w="610" w:type="pct"/>
          </w:tcPr>
          <w:p w14:paraId="1E8BE94C" w14:textId="43148EDE" w:rsidR="00916D18" w:rsidRPr="00804648" w:rsidRDefault="00916D18" w:rsidP="00CE1551">
            <w:pPr>
              <w:pStyle w:val="TableText0"/>
              <w:jc w:val="center"/>
              <w:rPr>
                <w:b/>
                <w:bCs w:val="0"/>
              </w:rPr>
            </w:pPr>
            <w:r w:rsidRPr="00804648">
              <w:rPr>
                <w:b/>
                <w:bCs w:val="0"/>
              </w:rPr>
              <w:t>n (%</w:t>
            </w:r>
            <w:r w:rsidR="00CE1551" w:rsidRPr="00804648">
              <w:rPr>
                <w:b/>
                <w:bCs w:val="0"/>
              </w:rPr>
              <w:t>)</w:t>
            </w:r>
          </w:p>
        </w:tc>
        <w:tc>
          <w:tcPr>
            <w:tcW w:w="685" w:type="pct"/>
          </w:tcPr>
          <w:p w14:paraId="7881BA95" w14:textId="77777777" w:rsidR="00916D18" w:rsidRPr="00804648" w:rsidRDefault="00916D18" w:rsidP="006F6FE5">
            <w:pPr>
              <w:pStyle w:val="TableText0"/>
              <w:jc w:val="center"/>
              <w:rPr>
                <w:b/>
                <w:bCs w:val="0"/>
              </w:rPr>
            </w:pPr>
            <w:r w:rsidRPr="00804648">
              <w:rPr>
                <w:b/>
                <w:bCs w:val="0"/>
              </w:rPr>
              <w:t>n (%)</w:t>
            </w:r>
          </w:p>
        </w:tc>
        <w:tc>
          <w:tcPr>
            <w:tcW w:w="672" w:type="pct"/>
          </w:tcPr>
          <w:p w14:paraId="23DFEC41" w14:textId="77777777" w:rsidR="00916D18" w:rsidRPr="00804648" w:rsidRDefault="00916D18" w:rsidP="006F6FE5">
            <w:pPr>
              <w:pStyle w:val="TableText0"/>
              <w:jc w:val="center"/>
              <w:rPr>
                <w:b/>
                <w:bCs w:val="0"/>
              </w:rPr>
            </w:pPr>
            <w:r w:rsidRPr="00804648">
              <w:rPr>
                <w:b/>
                <w:bCs w:val="0"/>
              </w:rPr>
              <w:t>n (%)</w:t>
            </w:r>
          </w:p>
        </w:tc>
        <w:tc>
          <w:tcPr>
            <w:tcW w:w="812" w:type="pct"/>
          </w:tcPr>
          <w:p w14:paraId="6077327B" w14:textId="77777777" w:rsidR="00916D18" w:rsidRPr="00804648" w:rsidRDefault="00916D18" w:rsidP="006F6FE5">
            <w:pPr>
              <w:pStyle w:val="TableText0"/>
              <w:jc w:val="center"/>
              <w:rPr>
                <w:b/>
                <w:bCs w:val="0"/>
              </w:rPr>
            </w:pPr>
            <w:r w:rsidRPr="00804648">
              <w:rPr>
                <w:b/>
                <w:bCs w:val="0"/>
              </w:rPr>
              <w:t>n (%)</w:t>
            </w:r>
          </w:p>
        </w:tc>
      </w:tr>
      <w:tr w:rsidR="00916D18" w:rsidRPr="00804648" w14:paraId="4FD005A5" w14:textId="77777777" w:rsidTr="008C351B">
        <w:tc>
          <w:tcPr>
            <w:tcW w:w="2221" w:type="pct"/>
          </w:tcPr>
          <w:p w14:paraId="2AA7B710" w14:textId="77777777" w:rsidR="00916D18" w:rsidRPr="00804648" w:rsidRDefault="00916D18" w:rsidP="006F6FE5">
            <w:pPr>
              <w:pStyle w:val="TableText0"/>
            </w:pPr>
            <w:r w:rsidRPr="00804648">
              <w:rPr>
                <w:lang w:eastAsia="en-US"/>
              </w:rPr>
              <w:t>Any TEAE</w:t>
            </w:r>
          </w:p>
        </w:tc>
        <w:tc>
          <w:tcPr>
            <w:tcW w:w="610" w:type="pct"/>
            <w:vAlign w:val="center"/>
          </w:tcPr>
          <w:p w14:paraId="7F26A3A5" w14:textId="77777777" w:rsidR="00916D18" w:rsidRPr="00804648" w:rsidRDefault="00916D18" w:rsidP="006F6FE5">
            <w:pPr>
              <w:pStyle w:val="TableText0"/>
              <w:jc w:val="center"/>
            </w:pPr>
            <w:r w:rsidRPr="00804648">
              <w:t>4 (100%)</w:t>
            </w:r>
          </w:p>
        </w:tc>
        <w:tc>
          <w:tcPr>
            <w:tcW w:w="685" w:type="pct"/>
            <w:vAlign w:val="center"/>
          </w:tcPr>
          <w:p w14:paraId="0860F20C" w14:textId="77777777" w:rsidR="00916D18" w:rsidRPr="00804648" w:rsidRDefault="00916D18" w:rsidP="006F6FE5">
            <w:pPr>
              <w:pStyle w:val="TableText0"/>
              <w:jc w:val="center"/>
            </w:pPr>
            <w:r w:rsidRPr="00804648">
              <w:t>9 (100%)</w:t>
            </w:r>
          </w:p>
        </w:tc>
        <w:tc>
          <w:tcPr>
            <w:tcW w:w="672" w:type="pct"/>
            <w:vAlign w:val="center"/>
          </w:tcPr>
          <w:p w14:paraId="0A3268A4" w14:textId="77777777" w:rsidR="00916D18" w:rsidRPr="00804648" w:rsidRDefault="00916D18" w:rsidP="006F6FE5">
            <w:pPr>
              <w:pStyle w:val="TableText0"/>
              <w:jc w:val="center"/>
            </w:pPr>
            <w:r w:rsidRPr="00804648">
              <w:t>7 (100%)</w:t>
            </w:r>
          </w:p>
        </w:tc>
        <w:tc>
          <w:tcPr>
            <w:tcW w:w="812" w:type="pct"/>
            <w:vAlign w:val="center"/>
          </w:tcPr>
          <w:p w14:paraId="4AE50A7C" w14:textId="77777777" w:rsidR="00916D18" w:rsidRPr="00804648" w:rsidRDefault="00916D18" w:rsidP="006F6FE5">
            <w:pPr>
              <w:pStyle w:val="TableText0"/>
              <w:jc w:val="center"/>
            </w:pPr>
            <w:r w:rsidRPr="00804648">
              <w:t>20 (100%)</w:t>
            </w:r>
          </w:p>
        </w:tc>
      </w:tr>
      <w:tr w:rsidR="00916D18" w:rsidRPr="00804648" w14:paraId="13EFD787" w14:textId="77777777" w:rsidTr="008C351B">
        <w:tc>
          <w:tcPr>
            <w:tcW w:w="2221" w:type="pct"/>
          </w:tcPr>
          <w:p w14:paraId="7A757988" w14:textId="77777777" w:rsidR="00916D18" w:rsidRPr="00804648" w:rsidRDefault="00916D18" w:rsidP="006F6FE5">
            <w:pPr>
              <w:pStyle w:val="TableText0"/>
            </w:pPr>
            <w:r w:rsidRPr="00804648">
              <w:rPr>
                <w:lang w:eastAsia="en-US"/>
              </w:rPr>
              <w:t xml:space="preserve">     Mild</w:t>
            </w:r>
          </w:p>
        </w:tc>
        <w:tc>
          <w:tcPr>
            <w:tcW w:w="610" w:type="pct"/>
            <w:vAlign w:val="center"/>
          </w:tcPr>
          <w:p w14:paraId="07C45A82" w14:textId="77777777" w:rsidR="00916D18" w:rsidRPr="00804648" w:rsidRDefault="00916D18" w:rsidP="006F6FE5">
            <w:pPr>
              <w:pStyle w:val="TableText0"/>
              <w:jc w:val="center"/>
            </w:pPr>
            <w:r w:rsidRPr="00804648">
              <w:t>4 (100%)</w:t>
            </w:r>
          </w:p>
        </w:tc>
        <w:tc>
          <w:tcPr>
            <w:tcW w:w="685" w:type="pct"/>
            <w:vAlign w:val="center"/>
          </w:tcPr>
          <w:p w14:paraId="12D0E9B2" w14:textId="77777777" w:rsidR="00916D18" w:rsidRPr="00804648" w:rsidRDefault="00916D18" w:rsidP="006F6FE5">
            <w:pPr>
              <w:pStyle w:val="TableText0"/>
              <w:jc w:val="center"/>
            </w:pPr>
            <w:r w:rsidRPr="00804648">
              <w:t>9 (100%)</w:t>
            </w:r>
          </w:p>
        </w:tc>
        <w:tc>
          <w:tcPr>
            <w:tcW w:w="672" w:type="pct"/>
            <w:vAlign w:val="center"/>
          </w:tcPr>
          <w:p w14:paraId="73A21B8A" w14:textId="77777777" w:rsidR="00916D18" w:rsidRPr="00804648" w:rsidRDefault="00916D18" w:rsidP="006F6FE5">
            <w:pPr>
              <w:pStyle w:val="TableText0"/>
              <w:jc w:val="center"/>
            </w:pPr>
            <w:r w:rsidRPr="00804648">
              <w:t>7 (100%)</w:t>
            </w:r>
          </w:p>
        </w:tc>
        <w:tc>
          <w:tcPr>
            <w:tcW w:w="812" w:type="pct"/>
            <w:vAlign w:val="center"/>
          </w:tcPr>
          <w:p w14:paraId="2D078115" w14:textId="77777777" w:rsidR="00916D18" w:rsidRPr="00804648" w:rsidRDefault="00916D18" w:rsidP="006F6FE5">
            <w:pPr>
              <w:pStyle w:val="TableText0"/>
              <w:jc w:val="center"/>
            </w:pPr>
            <w:r w:rsidRPr="00804648">
              <w:t>20 (100%)</w:t>
            </w:r>
          </w:p>
        </w:tc>
      </w:tr>
      <w:tr w:rsidR="00916D18" w:rsidRPr="00804648" w14:paraId="61F23FDD" w14:textId="77777777" w:rsidTr="008C351B">
        <w:tc>
          <w:tcPr>
            <w:tcW w:w="2221" w:type="pct"/>
          </w:tcPr>
          <w:p w14:paraId="732C01CC" w14:textId="77777777" w:rsidR="00916D18" w:rsidRPr="00804648" w:rsidRDefault="00916D18" w:rsidP="006F6FE5">
            <w:pPr>
              <w:pStyle w:val="TableText0"/>
            </w:pPr>
            <w:r w:rsidRPr="00804648">
              <w:rPr>
                <w:lang w:eastAsia="en-US"/>
              </w:rPr>
              <w:t xml:space="preserve">     Moderate</w:t>
            </w:r>
          </w:p>
        </w:tc>
        <w:tc>
          <w:tcPr>
            <w:tcW w:w="610" w:type="pct"/>
            <w:vAlign w:val="center"/>
          </w:tcPr>
          <w:p w14:paraId="7A4DF24E" w14:textId="77777777" w:rsidR="00916D18" w:rsidRPr="00804648" w:rsidRDefault="00916D18" w:rsidP="006F6FE5">
            <w:pPr>
              <w:pStyle w:val="TableText0"/>
              <w:jc w:val="center"/>
            </w:pPr>
            <w:r w:rsidRPr="00804648">
              <w:t>3 (75.0%)</w:t>
            </w:r>
          </w:p>
        </w:tc>
        <w:tc>
          <w:tcPr>
            <w:tcW w:w="685" w:type="pct"/>
            <w:vAlign w:val="center"/>
          </w:tcPr>
          <w:p w14:paraId="1B559CA4" w14:textId="77777777" w:rsidR="00916D18" w:rsidRPr="00804648" w:rsidRDefault="00916D18" w:rsidP="006F6FE5">
            <w:pPr>
              <w:pStyle w:val="TableText0"/>
              <w:jc w:val="center"/>
            </w:pPr>
            <w:r w:rsidRPr="00804648">
              <w:t>8 (88.9%)</w:t>
            </w:r>
          </w:p>
        </w:tc>
        <w:tc>
          <w:tcPr>
            <w:tcW w:w="672" w:type="pct"/>
            <w:vAlign w:val="center"/>
          </w:tcPr>
          <w:p w14:paraId="3E66EE42" w14:textId="77777777" w:rsidR="00916D18" w:rsidRPr="00804648" w:rsidRDefault="00916D18" w:rsidP="006F6FE5">
            <w:pPr>
              <w:pStyle w:val="TableText0"/>
              <w:jc w:val="center"/>
            </w:pPr>
            <w:r w:rsidRPr="00804648">
              <w:t>5 (71.4%)</w:t>
            </w:r>
          </w:p>
        </w:tc>
        <w:tc>
          <w:tcPr>
            <w:tcW w:w="812" w:type="pct"/>
            <w:vAlign w:val="center"/>
          </w:tcPr>
          <w:p w14:paraId="0DCF3A0A" w14:textId="77777777" w:rsidR="00916D18" w:rsidRPr="00804648" w:rsidRDefault="00916D18" w:rsidP="006F6FE5">
            <w:pPr>
              <w:pStyle w:val="TableText0"/>
              <w:jc w:val="center"/>
            </w:pPr>
            <w:r w:rsidRPr="00804648">
              <w:t>16 (80.0%)</w:t>
            </w:r>
          </w:p>
        </w:tc>
      </w:tr>
      <w:tr w:rsidR="00916D18" w:rsidRPr="00804648" w14:paraId="2481FD2C" w14:textId="77777777" w:rsidTr="008C351B">
        <w:tc>
          <w:tcPr>
            <w:tcW w:w="2221" w:type="pct"/>
          </w:tcPr>
          <w:p w14:paraId="2588DDE6" w14:textId="77777777" w:rsidR="00916D18" w:rsidRPr="00804648" w:rsidRDefault="00916D18" w:rsidP="006F6FE5">
            <w:pPr>
              <w:pStyle w:val="TableText0"/>
            </w:pPr>
            <w:r w:rsidRPr="00804648">
              <w:rPr>
                <w:lang w:eastAsia="en-US"/>
              </w:rPr>
              <w:t xml:space="preserve">     Severe</w:t>
            </w:r>
          </w:p>
        </w:tc>
        <w:tc>
          <w:tcPr>
            <w:tcW w:w="610" w:type="pct"/>
            <w:vAlign w:val="center"/>
          </w:tcPr>
          <w:p w14:paraId="0EB58784" w14:textId="77777777" w:rsidR="00916D18" w:rsidRPr="00804648" w:rsidRDefault="00916D18" w:rsidP="006F6FE5">
            <w:pPr>
              <w:pStyle w:val="TableText0"/>
              <w:jc w:val="center"/>
            </w:pPr>
            <w:r w:rsidRPr="00804648">
              <w:t>1 (25.0%)</w:t>
            </w:r>
          </w:p>
        </w:tc>
        <w:tc>
          <w:tcPr>
            <w:tcW w:w="685" w:type="pct"/>
            <w:vAlign w:val="center"/>
          </w:tcPr>
          <w:p w14:paraId="651C86F4" w14:textId="77777777" w:rsidR="00916D18" w:rsidRPr="00804648" w:rsidRDefault="00916D18" w:rsidP="006F6FE5">
            <w:pPr>
              <w:pStyle w:val="TableText0"/>
              <w:jc w:val="center"/>
            </w:pPr>
            <w:r w:rsidRPr="00804648">
              <w:t>1 (11.1%)</w:t>
            </w:r>
          </w:p>
        </w:tc>
        <w:tc>
          <w:tcPr>
            <w:tcW w:w="672" w:type="pct"/>
            <w:vAlign w:val="center"/>
          </w:tcPr>
          <w:p w14:paraId="12721ABB" w14:textId="77777777" w:rsidR="00916D18" w:rsidRPr="00804648" w:rsidRDefault="00916D18" w:rsidP="006F6FE5">
            <w:pPr>
              <w:pStyle w:val="TableText0"/>
              <w:jc w:val="center"/>
            </w:pPr>
            <w:r w:rsidRPr="00804648">
              <w:t>1 (14.3%)</w:t>
            </w:r>
          </w:p>
        </w:tc>
        <w:tc>
          <w:tcPr>
            <w:tcW w:w="812" w:type="pct"/>
            <w:vAlign w:val="center"/>
          </w:tcPr>
          <w:p w14:paraId="3E78347A" w14:textId="77777777" w:rsidR="00916D18" w:rsidRPr="00804648" w:rsidRDefault="00916D18" w:rsidP="006F6FE5">
            <w:pPr>
              <w:pStyle w:val="TableText0"/>
              <w:jc w:val="center"/>
            </w:pPr>
            <w:r w:rsidRPr="00804648">
              <w:t>3 (15.0%)</w:t>
            </w:r>
          </w:p>
        </w:tc>
      </w:tr>
      <w:tr w:rsidR="00916D18" w:rsidRPr="00804648" w14:paraId="0F19DFB8" w14:textId="77777777" w:rsidTr="008C351B">
        <w:tc>
          <w:tcPr>
            <w:tcW w:w="2221" w:type="pct"/>
          </w:tcPr>
          <w:p w14:paraId="29DA3416" w14:textId="77777777" w:rsidR="00916D18" w:rsidRPr="00804648" w:rsidRDefault="00916D18" w:rsidP="006F6FE5">
            <w:pPr>
              <w:pStyle w:val="TableText0"/>
            </w:pPr>
            <w:r w:rsidRPr="00804648">
              <w:rPr>
                <w:lang w:eastAsia="en-US"/>
              </w:rPr>
              <w:t>Any serious TEAEs</w:t>
            </w:r>
          </w:p>
        </w:tc>
        <w:tc>
          <w:tcPr>
            <w:tcW w:w="610" w:type="pct"/>
            <w:vAlign w:val="center"/>
          </w:tcPr>
          <w:p w14:paraId="330D0530" w14:textId="77777777" w:rsidR="00916D18" w:rsidRPr="00804648" w:rsidRDefault="00916D18" w:rsidP="006F6FE5">
            <w:pPr>
              <w:pStyle w:val="TableText0"/>
              <w:jc w:val="center"/>
            </w:pPr>
            <w:r w:rsidRPr="00804648">
              <w:t>0</w:t>
            </w:r>
          </w:p>
        </w:tc>
        <w:tc>
          <w:tcPr>
            <w:tcW w:w="685" w:type="pct"/>
            <w:vAlign w:val="center"/>
          </w:tcPr>
          <w:p w14:paraId="158CCA12" w14:textId="77777777" w:rsidR="00916D18" w:rsidRPr="00804648" w:rsidRDefault="00916D18" w:rsidP="006F6FE5">
            <w:pPr>
              <w:pStyle w:val="TableText0"/>
              <w:jc w:val="center"/>
            </w:pPr>
            <w:r w:rsidRPr="00804648">
              <w:t>1 (11.1%)</w:t>
            </w:r>
          </w:p>
        </w:tc>
        <w:tc>
          <w:tcPr>
            <w:tcW w:w="672" w:type="pct"/>
            <w:vAlign w:val="center"/>
          </w:tcPr>
          <w:p w14:paraId="5530E0E4" w14:textId="77777777" w:rsidR="00916D18" w:rsidRPr="00804648" w:rsidRDefault="00916D18" w:rsidP="006F6FE5">
            <w:pPr>
              <w:pStyle w:val="TableText0"/>
              <w:jc w:val="center"/>
            </w:pPr>
            <w:r w:rsidRPr="00804648">
              <w:t>4 (57.1%)</w:t>
            </w:r>
          </w:p>
        </w:tc>
        <w:tc>
          <w:tcPr>
            <w:tcW w:w="812" w:type="pct"/>
            <w:vAlign w:val="center"/>
          </w:tcPr>
          <w:p w14:paraId="4F306830" w14:textId="77777777" w:rsidR="00916D18" w:rsidRPr="00804648" w:rsidRDefault="00916D18" w:rsidP="006F6FE5">
            <w:pPr>
              <w:pStyle w:val="TableText0"/>
              <w:jc w:val="center"/>
            </w:pPr>
            <w:r w:rsidRPr="00804648">
              <w:t>5 (25.0%)</w:t>
            </w:r>
          </w:p>
        </w:tc>
      </w:tr>
      <w:tr w:rsidR="00916D18" w:rsidRPr="00804648" w14:paraId="4BA64405" w14:textId="77777777" w:rsidTr="008C351B">
        <w:tc>
          <w:tcPr>
            <w:tcW w:w="2221" w:type="pct"/>
          </w:tcPr>
          <w:p w14:paraId="6EA846FF" w14:textId="77777777" w:rsidR="00916D18" w:rsidRPr="00804648" w:rsidRDefault="00916D18" w:rsidP="006F6FE5">
            <w:pPr>
              <w:pStyle w:val="TableText0"/>
            </w:pPr>
            <w:r w:rsidRPr="00804648">
              <w:rPr>
                <w:lang w:eastAsia="en-US"/>
              </w:rPr>
              <w:t>Any TEAEs potentially related to study drug</w:t>
            </w:r>
          </w:p>
        </w:tc>
        <w:tc>
          <w:tcPr>
            <w:tcW w:w="610" w:type="pct"/>
            <w:vAlign w:val="center"/>
          </w:tcPr>
          <w:p w14:paraId="48B88478" w14:textId="77777777" w:rsidR="00916D18" w:rsidRPr="00804648" w:rsidRDefault="00916D18" w:rsidP="006F6FE5">
            <w:pPr>
              <w:pStyle w:val="TableText0"/>
              <w:jc w:val="center"/>
            </w:pPr>
            <w:r w:rsidRPr="00804648">
              <w:t>2 (50.0%)</w:t>
            </w:r>
          </w:p>
        </w:tc>
        <w:tc>
          <w:tcPr>
            <w:tcW w:w="685" w:type="pct"/>
            <w:vAlign w:val="center"/>
          </w:tcPr>
          <w:p w14:paraId="69BED5B8" w14:textId="77777777" w:rsidR="00916D18" w:rsidRPr="00804648" w:rsidRDefault="00916D18" w:rsidP="006F6FE5">
            <w:pPr>
              <w:pStyle w:val="TableText0"/>
              <w:jc w:val="center"/>
            </w:pPr>
            <w:r w:rsidRPr="00804648">
              <w:t>6 (66.7%)</w:t>
            </w:r>
          </w:p>
        </w:tc>
        <w:tc>
          <w:tcPr>
            <w:tcW w:w="672" w:type="pct"/>
            <w:vAlign w:val="center"/>
          </w:tcPr>
          <w:p w14:paraId="5919E3C9" w14:textId="77777777" w:rsidR="00916D18" w:rsidRPr="00804648" w:rsidRDefault="00916D18" w:rsidP="006F6FE5">
            <w:pPr>
              <w:pStyle w:val="TableText0"/>
              <w:jc w:val="center"/>
            </w:pPr>
            <w:r w:rsidRPr="00804648">
              <w:t>5 (71.4%)</w:t>
            </w:r>
          </w:p>
        </w:tc>
        <w:tc>
          <w:tcPr>
            <w:tcW w:w="812" w:type="pct"/>
            <w:vAlign w:val="center"/>
          </w:tcPr>
          <w:p w14:paraId="51447E18" w14:textId="77777777" w:rsidR="00916D18" w:rsidRPr="00804648" w:rsidRDefault="00916D18" w:rsidP="006F6FE5">
            <w:pPr>
              <w:pStyle w:val="TableText0"/>
              <w:jc w:val="center"/>
            </w:pPr>
            <w:r w:rsidRPr="00804648">
              <w:t>13 (65.0%)</w:t>
            </w:r>
          </w:p>
        </w:tc>
      </w:tr>
      <w:tr w:rsidR="00916D18" w:rsidRPr="00804648" w14:paraId="02B495EC" w14:textId="77777777" w:rsidTr="008C351B">
        <w:tc>
          <w:tcPr>
            <w:tcW w:w="2221" w:type="pct"/>
          </w:tcPr>
          <w:p w14:paraId="448C63D6" w14:textId="77777777" w:rsidR="00916D18" w:rsidRPr="00804648" w:rsidRDefault="00916D18" w:rsidP="006F6FE5">
            <w:pPr>
              <w:pStyle w:val="TableText0"/>
            </w:pPr>
            <w:r w:rsidRPr="00804648">
              <w:rPr>
                <w:lang w:eastAsia="en-US"/>
              </w:rPr>
              <w:t>Any serious TEAEs potentially related to study drug</w:t>
            </w:r>
          </w:p>
        </w:tc>
        <w:tc>
          <w:tcPr>
            <w:tcW w:w="610" w:type="pct"/>
            <w:vAlign w:val="center"/>
          </w:tcPr>
          <w:p w14:paraId="58DED16C" w14:textId="77777777" w:rsidR="00916D18" w:rsidRPr="00804648" w:rsidRDefault="00916D18" w:rsidP="006F6FE5">
            <w:pPr>
              <w:pStyle w:val="TableText0"/>
              <w:jc w:val="center"/>
            </w:pPr>
            <w:r w:rsidRPr="00804648">
              <w:t>0</w:t>
            </w:r>
          </w:p>
        </w:tc>
        <w:tc>
          <w:tcPr>
            <w:tcW w:w="685" w:type="pct"/>
            <w:vAlign w:val="center"/>
          </w:tcPr>
          <w:p w14:paraId="7714FD6A" w14:textId="77777777" w:rsidR="00916D18" w:rsidRPr="00804648" w:rsidRDefault="00916D18" w:rsidP="006F6FE5">
            <w:pPr>
              <w:pStyle w:val="TableText0"/>
              <w:jc w:val="center"/>
            </w:pPr>
            <w:r w:rsidRPr="00804648">
              <w:t>0</w:t>
            </w:r>
          </w:p>
        </w:tc>
        <w:tc>
          <w:tcPr>
            <w:tcW w:w="672" w:type="pct"/>
            <w:vAlign w:val="center"/>
          </w:tcPr>
          <w:p w14:paraId="7B4ABBE6" w14:textId="77777777" w:rsidR="00916D18" w:rsidRPr="00804648" w:rsidRDefault="00916D18" w:rsidP="006F6FE5">
            <w:pPr>
              <w:pStyle w:val="TableText0"/>
              <w:jc w:val="center"/>
            </w:pPr>
            <w:r w:rsidRPr="00804648">
              <w:t>3 (42.9%)</w:t>
            </w:r>
          </w:p>
        </w:tc>
        <w:tc>
          <w:tcPr>
            <w:tcW w:w="812" w:type="pct"/>
            <w:vAlign w:val="center"/>
          </w:tcPr>
          <w:p w14:paraId="7D175213" w14:textId="77777777" w:rsidR="00916D18" w:rsidRPr="00804648" w:rsidRDefault="00916D18" w:rsidP="006F6FE5">
            <w:pPr>
              <w:pStyle w:val="TableText0"/>
              <w:jc w:val="center"/>
            </w:pPr>
            <w:r w:rsidRPr="00804648">
              <w:t>3 (15.0%)</w:t>
            </w:r>
          </w:p>
        </w:tc>
      </w:tr>
      <w:tr w:rsidR="00916D18" w:rsidRPr="00804648" w14:paraId="39D29F31" w14:textId="77777777" w:rsidTr="008C351B">
        <w:tc>
          <w:tcPr>
            <w:tcW w:w="5000" w:type="pct"/>
            <w:gridSpan w:val="5"/>
          </w:tcPr>
          <w:p w14:paraId="64E82B51" w14:textId="77777777" w:rsidR="00916D18" w:rsidRPr="00804648" w:rsidRDefault="00916D18" w:rsidP="006F6FE5">
            <w:pPr>
              <w:pStyle w:val="TableText0"/>
              <w:rPr>
                <w:b/>
                <w:bCs w:val="0"/>
              </w:rPr>
            </w:pPr>
            <w:r w:rsidRPr="00804648">
              <w:rPr>
                <w:b/>
                <w:bCs w:val="0"/>
              </w:rPr>
              <w:t>Any protocol</w:t>
            </w:r>
            <w:r w:rsidRPr="00804648">
              <w:rPr>
                <w:b/>
                <w:bCs w:val="0"/>
              </w:rPr>
              <w:noBreakHyphen/>
              <w:t>defined infusion associated reaction</w:t>
            </w:r>
          </w:p>
        </w:tc>
      </w:tr>
      <w:tr w:rsidR="00916D18" w:rsidRPr="00804648" w14:paraId="3F07E0F8" w14:textId="77777777" w:rsidTr="008C351B">
        <w:tc>
          <w:tcPr>
            <w:tcW w:w="2221" w:type="pct"/>
          </w:tcPr>
          <w:p w14:paraId="6031E055" w14:textId="77777777" w:rsidR="00916D18" w:rsidRPr="00804648" w:rsidRDefault="00916D18" w:rsidP="006F6FE5">
            <w:pPr>
              <w:pStyle w:val="TableText0"/>
            </w:pPr>
            <w:r w:rsidRPr="00804648">
              <w:t>Pyrexia</w:t>
            </w:r>
          </w:p>
        </w:tc>
        <w:tc>
          <w:tcPr>
            <w:tcW w:w="610" w:type="pct"/>
            <w:vAlign w:val="center"/>
          </w:tcPr>
          <w:p w14:paraId="74780C4B" w14:textId="77777777" w:rsidR="00916D18" w:rsidRPr="00804648" w:rsidRDefault="00916D18" w:rsidP="006F6FE5">
            <w:pPr>
              <w:pStyle w:val="TableText0"/>
              <w:jc w:val="center"/>
            </w:pPr>
            <w:r w:rsidRPr="00804648">
              <w:t>0</w:t>
            </w:r>
          </w:p>
        </w:tc>
        <w:tc>
          <w:tcPr>
            <w:tcW w:w="685" w:type="pct"/>
            <w:vAlign w:val="center"/>
          </w:tcPr>
          <w:p w14:paraId="3C7C9D45" w14:textId="77777777" w:rsidR="00916D18" w:rsidRPr="00804648" w:rsidRDefault="00916D18" w:rsidP="006F6FE5">
            <w:pPr>
              <w:pStyle w:val="TableText0"/>
              <w:jc w:val="center"/>
            </w:pPr>
            <w:r w:rsidRPr="00804648">
              <w:t>4 (44.4%)</w:t>
            </w:r>
          </w:p>
        </w:tc>
        <w:tc>
          <w:tcPr>
            <w:tcW w:w="672" w:type="pct"/>
            <w:vAlign w:val="center"/>
          </w:tcPr>
          <w:p w14:paraId="13AA3C02" w14:textId="77777777" w:rsidR="00916D18" w:rsidRPr="00804648" w:rsidRDefault="00916D18" w:rsidP="006F6FE5">
            <w:pPr>
              <w:pStyle w:val="TableText0"/>
              <w:jc w:val="center"/>
            </w:pPr>
            <w:r w:rsidRPr="00804648">
              <w:t>3 (42.9%)</w:t>
            </w:r>
          </w:p>
        </w:tc>
        <w:tc>
          <w:tcPr>
            <w:tcW w:w="812" w:type="pct"/>
            <w:vAlign w:val="center"/>
          </w:tcPr>
          <w:p w14:paraId="04CCC756" w14:textId="77777777" w:rsidR="00916D18" w:rsidRPr="00804648" w:rsidRDefault="00916D18" w:rsidP="006F6FE5">
            <w:pPr>
              <w:pStyle w:val="TableText0"/>
              <w:jc w:val="center"/>
            </w:pPr>
            <w:r w:rsidRPr="00804648">
              <w:t>7 (35.0%)</w:t>
            </w:r>
          </w:p>
        </w:tc>
      </w:tr>
      <w:tr w:rsidR="00916D18" w:rsidRPr="00804648" w14:paraId="50C611AB" w14:textId="77777777" w:rsidTr="008C351B">
        <w:tc>
          <w:tcPr>
            <w:tcW w:w="2221" w:type="pct"/>
          </w:tcPr>
          <w:p w14:paraId="2C4E62CF" w14:textId="77777777" w:rsidR="00916D18" w:rsidRPr="00804648" w:rsidRDefault="00916D18" w:rsidP="006F6FE5">
            <w:pPr>
              <w:pStyle w:val="TableText0"/>
            </w:pPr>
            <w:r w:rsidRPr="00804648">
              <w:t>Vomiting</w:t>
            </w:r>
          </w:p>
        </w:tc>
        <w:tc>
          <w:tcPr>
            <w:tcW w:w="610" w:type="pct"/>
            <w:vAlign w:val="center"/>
          </w:tcPr>
          <w:p w14:paraId="56317B6F" w14:textId="77777777" w:rsidR="00916D18" w:rsidRPr="00804648" w:rsidRDefault="00916D18" w:rsidP="006F6FE5">
            <w:pPr>
              <w:pStyle w:val="TableText0"/>
              <w:jc w:val="center"/>
            </w:pPr>
            <w:r w:rsidRPr="00804648">
              <w:t>0</w:t>
            </w:r>
          </w:p>
        </w:tc>
        <w:tc>
          <w:tcPr>
            <w:tcW w:w="685" w:type="pct"/>
            <w:vAlign w:val="center"/>
          </w:tcPr>
          <w:p w14:paraId="4359422B" w14:textId="77777777" w:rsidR="00916D18" w:rsidRPr="00804648" w:rsidRDefault="00916D18" w:rsidP="006F6FE5">
            <w:pPr>
              <w:pStyle w:val="TableText0"/>
              <w:jc w:val="center"/>
            </w:pPr>
            <w:r w:rsidRPr="00804648">
              <w:t>3 (33.3)</w:t>
            </w:r>
          </w:p>
        </w:tc>
        <w:tc>
          <w:tcPr>
            <w:tcW w:w="672" w:type="pct"/>
            <w:vAlign w:val="center"/>
          </w:tcPr>
          <w:p w14:paraId="524C343A" w14:textId="77777777" w:rsidR="00916D18" w:rsidRPr="00804648" w:rsidRDefault="00916D18" w:rsidP="006F6FE5">
            <w:pPr>
              <w:pStyle w:val="TableText0"/>
              <w:jc w:val="center"/>
            </w:pPr>
            <w:r w:rsidRPr="00804648">
              <w:t>3 (42.9)</w:t>
            </w:r>
          </w:p>
        </w:tc>
        <w:tc>
          <w:tcPr>
            <w:tcW w:w="812" w:type="pct"/>
            <w:vAlign w:val="center"/>
          </w:tcPr>
          <w:p w14:paraId="507C6F49" w14:textId="77777777" w:rsidR="00916D18" w:rsidRPr="00804648" w:rsidRDefault="00916D18" w:rsidP="006F6FE5">
            <w:pPr>
              <w:pStyle w:val="TableText0"/>
              <w:jc w:val="center"/>
            </w:pPr>
            <w:r w:rsidRPr="00804648">
              <w:t>6 (30.0)</w:t>
            </w:r>
          </w:p>
        </w:tc>
      </w:tr>
      <w:tr w:rsidR="00916D18" w:rsidRPr="00804648" w14:paraId="172D8E23" w14:textId="77777777" w:rsidTr="008C351B">
        <w:tc>
          <w:tcPr>
            <w:tcW w:w="2221" w:type="pct"/>
          </w:tcPr>
          <w:p w14:paraId="59A0B844" w14:textId="77777777" w:rsidR="00916D18" w:rsidRPr="00804648" w:rsidRDefault="00916D18" w:rsidP="006F6FE5">
            <w:pPr>
              <w:pStyle w:val="TableText0"/>
            </w:pPr>
            <w:r w:rsidRPr="00804648">
              <w:t>Urticaria</w:t>
            </w:r>
          </w:p>
        </w:tc>
        <w:tc>
          <w:tcPr>
            <w:tcW w:w="610" w:type="pct"/>
            <w:vAlign w:val="center"/>
          </w:tcPr>
          <w:p w14:paraId="05C9FF2B" w14:textId="77777777" w:rsidR="00916D18" w:rsidRPr="00804648" w:rsidRDefault="00916D18" w:rsidP="006F6FE5">
            <w:pPr>
              <w:pStyle w:val="TableText0"/>
              <w:jc w:val="center"/>
            </w:pPr>
            <w:r w:rsidRPr="00804648">
              <w:t>0</w:t>
            </w:r>
          </w:p>
        </w:tc>
        <w:tc>
          <w:tcPr>
            <w:tcW w:w="685" w:type="pct"/>
            <w:vAlign w:val="center"/>
          </w:tcPr>
          <w:p w14:paraId="314ECEC4" w14:textId="77777777" w:rsidR="00916D18" w:rsidRPr="00804648" w:rsidRDefault="00916D18" w:rsidP="006F6FE5">
            <w:pPr>
              <w:pStyle w:val="TableText0"/>
              <w:jc w:val="center"/>
            </w:pPr>
            <w:r w:rsidRPr="00804648">
              <w:t>2 (22.2)</w:t>
            </w:r>
          </w:p>
        </w:tc>
        <w:tc>
          <w:tcPr>
            <w:tcW w:w="672" w:type="pct"/>
            <w:vAlign w:val="center"/>
          </w:tcPr>
          <w:p w14:paraId="375F0D3F" w14:textId="77777777" w:rsidR="00916D18" w:rsidRPr="00804648" w:rsidRDefault="00916D18" w:rsidP="006F6FE5">
            <w:pPr>
              <w:pStyle w:val="TableText0"/>
              <w:jc w:val="center"/>
            </w:pPr>
            <w:r w:rsidRPr="00804648">
              <w:t>2 (28.6)</w:t>
            </w:r>
          </w:p>
        </w:tc>
        <w:tc>
          <w:tcPr>
            <w:tcW w:w="812" w:type="pct"/>
            <w:vAlign w:val="center"/>
          </w:tcPr>
          <w:p w14:paraId="548BEDC5" w14:textId="77777777" w:rsidR="00916D18" w:rsidRPr="00804648" w:rsidRDefault="00916D18" w:rsidP="006F6FE5">
            <w:pPr>
              <w:pStyle w:val="TableText0"/>
              <w:jc w:val="center"/>
            </w:pPr>
            <w:r w:rsidRPr="00804648">
              <w:t>4 (20.0)</w:t>
            </w:r>
          </w:p>
        </w:tc>
      </w:tr>
      <w:tr w:rsidR="00916D18" w:rsidRPr="00804648" w14:paraId="3CA1F732" w14:textId="77777777" w:rsidTr="008C351B">
        <w:tc>
          <w:tcPr>
            <w:tcW w:w="2221" w:type="pct"/>
          </w:tcPr>
          <w:p w14:paraId="49B299F3" w14:textId="77777777" w:rsidR="00916D18" w:rsidRPr="00804648" w:rsidRDefault="00916D18" w:rsidP="006F6FE5">
            <w:pPr>
              <w:pStyle w:val="TableText0"/>
            </w:pPr>
            <w:r w:rsidRPr="00804648">
              <w:t>Headache</w:t>
            </w:r>
          </w:p>
        </w:tc>
        <w:tc>
          <w:tcPr>
            <w:tcW w:w="610" w:type="pct"/>
            <w:vAlign w:val="center"/>
          </w:tcPr>
          <w:p w14:paraId="63C8D2D2" w14:textId="77777777" w:rsidR="00916D18" w:rsidRPr="00804648" w:rsidRDefault="00916D18" w:rsidP="006F6FE5">
            <w:pPr>
              <w:pStyle w:val="TableText0"/>
              <w:jc w:val="center"/>
            </w:pPr>
            <w:r w:rsidRPr="00804648">
              <w:t>0</w:t>
            </w:r>
          </w:p>
        </w:tc>
        <w:tc>
          <w:tcPr>
            <w:tcW w:w="685" w:type="pct"/>
            <w:vAlign w:val="center"/>
          </w:tcPr>
          <w:p w14:paraId="2A4CB06F" w14:textId="77777777" w:rsidR="00916D18" w:rsidRPr="00804648" w:rsidRDefault="00916D18" w:rsidP="006F6FE5">
            <w:pPr>
              <w:pStyle w:val="TableText0"/>
              <w:jc w:val="center"/>
            </w:pPr>
            <w:r w:rsidRPr="00804648">
              <w:t>3 (33.3)</w:t>
            </w:r>
          </w:p>
        </w:tc>
        <w:tc>
          <w:tcPr>
            <w:tcW w:w="672" w:type="pct"/>
            <w:vAlign w:val="center"/>
          </w:tcPr>
          <w:p w14:paraId="5B196C9D" w14:textId="77777777" w:rsidR="00916D18" w:rsidRPr="00804648" w:rsidRDefault="00916D18" w:rsidP="006F6FE5">
            <w:pPr>
              <w:pStyle w:val="TableText0"/>
              <w:jc w:val="center"/>
            </w:pPr>
            <w:r w:rsidRPr="00804648">
              <w:t>1 (14.3)</w:t>
            </w:r>
          </w:p>
        </w:tc>
        <w:tc>
          <w:tcPr>
            <w:tcW w:w="812" w:type="pct"/>
            <w:vAlign w:val="center"/>
          </w:tcPr>
          <w:p w14:paraId="79689827" w14:textId="77777777" w:rsidR="00916D18" w:rsidRPr="00804648" w:rsidRDefault="00916D18" w:rsidP="006F6FE5">
            <w:pPr>
              <w:pStyle w:val="TableText0"/>
              <w:jc w:val="center"/>
            </w:pPr>
            <w:r w:rsidRPr="00804648">
              <w:t>4 (20.0)</w:t>
            </w:r>
          </w:p>
        </w:tc>
      </w:tr>
      <w:tr w:rsidR="00916D18" w:rsidRPr="00804648" w14:paraId="25BF4A6D" w14:textId="77777777" w:rsidTr="008C351B">
        <w:tc>
          <w:tcPr>
            <w:tcW w:w="2221" w:type="pct"/>
          </w:tcPr>
          <w:p w14:paraId="2C9509B7" w14:textId="77777777" w:rsidR="00916D18" w:rsidRPr="00804648" w:rsidRDefault="00916D18" w:rsidP="006F6FE5">
            <w:pPr>
              <w:pStyle w:val="TableText0"/>
            </w:pPr>
            <w:r w:rsidRPr="00804648">
              <w:t>C-reactive protein increased</w:t>
            </w:r>
          </w:p>
        </w:tc>
        <w:tc>
          <w:tcPr>
            <w:tcW w:w="610" w:type="pct"/>
            <w:vAlign w:val="center"/>
          </w:tcPr>
          <w:p w14:paraId="6CA26F12" w14:textId="77777777" w:rsidR="00916D18" w:rsidRPr="00804648" w:rsidRDefault="00916D18" w:rsidP="006F6FE5">
            <w:pPr>
              <w:pStyle w:val="TableText0"/>
              <w:jc w:val="center"/>
            </w:pPr>
            <w:r w:rsidRPr="00804648">
              <w:t>0</w:t>
            </w:r>
          </w:p>
        </w:tc>
        <w:tc>
          <w:tcPr>
            <w:tcW w:w="685" w:type="pct"/>
            <w:vAlign w:val="center"/>
          </w:tcPr>
          <w:p w14:paraId="2E8BEB38" w14:textId="77777777" w:rsidR="00916D18" w:rsidRPr="00804648" w:rsidRDefault="00916D18" w:rsidP="006F6FE5">
            <w:pPr>
              <w:pStyle w:val="TableText0"/>
              <w:jc w:val="center"/>
            </w:pPr>
            <w:r w:rsidRPr="00804648">
              <w:t>2 (22.2)</w:t>
            </w:r>
          </w:p>
        </w:tc>
        <w:tc>
          <w:tcPr>
            <w:tcW w:w="672" w:type="pct"/>
            <w:vAlign w:val="center"/>
          </w:tcPr>
          <w:p w14:paraId="48CB898D" w14:textId="77777777" w:rsidR="00916D18" w:rsidRPr="00804648" w:rsidRDefault="00916D18" w:rsidP="006F6FE5">
            <w:pPr>
              <w:pStyle w:val="TableText0"/>
              <w:jc w:val="center"/>
            </w:pPr>
            <w:r w:rsidRPr="00804648">
              <w:t>2 (28.6)</w:t>
            </w:r>
          </w:p>
        </w:tc>
        <w:tc>
          <w:tcPr>
            <w:tcW w:w="812" w:type="pct"/>
            <w:vAlign w:val="center"/>
          </w:tcPr>
          <w:p w14:paraId="4368C7A1" w14:textId="77777777" w:rsidR="00916D18" w:rsidRPr="00804648" w:rsidRDefault="00916D18" w:rsidP="006F6FE5">
            <w:pPr>
              <w:pStyle w:val="TableText0"/>
              <w:jc w:val="center"/>
            </w:pPr>
            <w:r w:rsidRPr="00804648">
              <w:t>4 (20.0)</w:t>
            </w:r>
          </w:p>
        </w:tc>
      </w:tr>
      <w:tr w:rsidR="00916D18" w:rsidRPr="00804648" w14:paraId="69FEF7D2" w14:textId="77777777" w:rsidTr="008C351B">
        <w:tc>
          <w:tcPr>
            <w:tcW w:w="2221" w:type="pct"/>
          </w:tcPr>
          <w:p w14:paraId="3696F065" w14:textId="77777777" w:rsidR="00916D18" w:rsidRPr="00804648" w:rsidRDefault="00916D18" w:rsidP="006F6FE5">
            <w:pPr>
              <w:pStyle w:val="TableText0"/>
            </w:pPr>
            <w:r w:rsidRPr="00804648">
              <w:t>Nausea</w:t>
            </w:r>
          </w:p>
        </w:tc>
        <w:tc>
          <w:tcPr>
            <w:tcW w:w="610" w:type="pct"/>
            <w:vAlign w:val="center"/>
          </w:tcPr>
          <w:p w14:paraId="57912064" w14:textId="77777777" w:rsidR="00916D18" w:rsidRPr="00804648" w:rsidRDefault="00916D18" w:rsidP="006F6FE5">
            <w:pPr>
              <w:pStyle w:val="TableText0"/>
              <w:jc w:val="center"/>
            </w:pPr>
            <w:r w:rsidRPr="00804648">
              <w:t>0</w:t>
            </w:r>
          </w:p>
        </w:tc>
        <w:tc>
          <w:tcPr>
            <w:tcW w:w="685" w:type="pct"/>
            <w:vAlign w:val="center"/>
          </w:tcPr>
          <w:p w14:paraId="75948407" w14:textId="77777777" w:rsidR="00916D18" w:rsidRPr="00804648" w:rsidRDefault="00916D18" w:rsidP="006F6FE5">
            <w:pPr>
              <w:pStyle w:val="TableText0"/>
              <w:jc w:val="center"/>
            </w:pPr>
            <w:r w:rsidRPr="00804648">
              <w:t>3 (33.3)</w:t>
            </w:r>
          </w:p>
        </w:tc>
        <w:tc>
          <w:tcPr>
            <w:tcW w:w="672" w:type="pct"/>
            <w:vAlign w:val="center"/>
          </w:tcPr>
          <w:p w14:paraId="5D99E95E" w14:textId="77777777" w:rsidR="00916D18" w:rsidRPr="00804648" w:rsidRDefault="00916D18" w:rsidP="006F6FE5">
            <w:pPr>
              <w:pStyle w:val="TableText0"/>
              <w:jc w:val="center"/>
            </w:pPr>
            <w:r w:rsidRPr="00804648">
              <w:t>1 (14.3)</w:t>
            </w:r>
          </w:p>
        </w:tc>
        <w:tc>
          <w:tcPr>
            <w:tcW w:w="812" w:type="pct"/>
            <w:vAlign w:val="center"/>
          </w:tcPr>
          <w:p w14:paraId="749A997B" w14:textId="77777777" w:rsidR="00916D18" w:rsidRPr="00804648" w:rsidRDefault="00916D18" w:rsidP="006F6FE5">
            <w:pPr>
              <w:pStyle w:val="TableText0"/>
              <w:jc w:val="center"/>
            </w:pPr>
            <w:r w:rsidRPr="00804648">
              <w:t>4 (20.0)</w:t>
            </w:r>
          </w:p>
        </w:tc>
      </w:tr>
    </w:tbl>
    <w:p w14:paraId="7576221B" w14:textId="77777777" w:rsidR="00916D18" w:rsidRPr="00804648" w:rsidRDefault="00916D18" w:rsidP="00916D18">
      <w:pPr>
        <w:pStyle w:val="FooterTableFigure"/>
        <w:rPr>
          <w:sz w:val="20"/>
        </w:rPr>
      </w:pPr>
      <w:r w:rsidRPr="00804648">
        <w:t>Source: Table 2.2.40, p85 of the submission.</w:t>
      </w:r>
    </w:p>
    <w:p w14:paraId="44D90A52" w14:textId="38D13E57" w:rsidR="00916D18" w:rsidRPr="00D65A99" w:rsidRDefault="00916D18" w:rsidP="00916D18">
      <w:pPr>
        <w:pStyle w:val="FooterTableFigure"/>
        <w:rPr>
          <w:rFonts w:eastAsia="Calibri"/>
        </w:rPr>
      </w:pPr>
      <w:r w:rsidRPr="00804648">
        <w:rPr>
          <w:rFonts w:eastAsia="Calibri"/>
        </w:rPr>
        <w:t>n = number of participants reporting data, N = total participants in group, TEAE = treatment emergent adverse event.</w:t>
      </w:r>
    </w:p>
    <w:p w14:paraId="6E15B0BD" w14:textId="17ACEC70" w:rsidR="00916D18" w:rsidRPr="00804648" w:rsidRDefault="00916D18" w:rsidP="00916D18">
      <w:pPr>
        <w:pStyle w:val="3-BodyText"/>
      </w:pPr>
      <w:r w:rsidRPr="00804648">
        <w:t>In the ASCEND-peds trial, all patients experienced at least one TEAE. A total of 13 (65.0%) patients experienced TEAEs and a total of 3 (42.9%; all in the infant/early child cohort) patients experienced serious TEAEs potentially related to treatment with olipudase alfa. Furthermore, 11 (55.0%) patients experienced infusion-associated reactions</w:t>
      </w:r>
      <w:r w:rsidR="00D55A97" w:rsidRPr="00804648">
        <w:t xml:space="preserve"> (IARs)</w:t>
      </w:r>
      <w:r w:rsidRPr="00804648">
        <w:t xml:space="preserve"> to treatment.</w:t>
      </w:r>
    </w:p>
    <w:p w14:paraId="18E51B4F" w14:textId="6220C6E2" w:rsidR="008A2BD4" w:rsidRPr="00804648" w:rsidRDefault="00916D18" w:rsidP="00916D18">
      <w:pPr>
        <w:pStyle w:val="3-BodyText"/>
      </w:pPr>
      <w:r w:rsidRPr="00804648">
        <w:t>The submission stated that a comparison of safety of olipudase alfa</w:t>
      </w:r>
      <w:r w:rsidRPr="00804648" w:rsidDel="007C270D">
        <w:t xml:space="preserve"> </w:t>
      </w:r>
      <w:r w:rsidRPr="00804648">
        <w:t>versus BSC was not possible given SPHINGO</w:t>
      </w:r>
      <w:r w:rsidRPr="00804648">
        <w:noBreakHyphen/>
        <w:t xml:space="preserve">100 did not collect AEs over the same </w:t>
      </w:r>
      <w:r w:rsidRPr="00804648" w:rsidDel="00D928E4">
        <w:t>time</w:t>
      </w:r>
      <w:r w:rsidRPr="00804648">
        <w:t>. Of note, five deaths were reported in the paediatric cohort of SPHINGO-100, with pneumonia as the most common cause of death followed by liver-related deaths. All deaths except one were attributed to ASMD.</w:t>
      </w:r>
    </w:p>
    <w:p w14:paraId="5D3FF305" w14:textId="7A118324" w:rsidR="007E34BC" w:rsidRPr="00804648" w:rsidRDefault="007E34BC" w:rsidP="009B5C7B">
      <w:pPr>
        <w:pStyle w:val="3-BodyText"/>
        <w:numPr>
          <w:ilvl w:val="0"/>
          <w:numId w:val="0"/>
        </w:numPr>
        <w:rPr>
          <w:b/>
          <w:bCs/>
          <w:u w:val="single"/>
        </w:rPr>
      </w:pPr>
      <w:r w:rsidRPr="00804648">
        <w:rPr>
          <w:b/>
          <w:bCs/>
          <w:u w:val="single"/>
        </w:rPr>
        <w:t>ADULT AND PAEDIATRIC POPULATIONS</w:t>
      </w:r>
    </w:p>
    <w:p w14:paraId="1E7AB108" w14:textId="32C949CB" w:rsidR="00916D18" w:rsidRPr="00804648" w:rsidRDefault="009B5C7B" w:rsidP="00D65A99">
      <w:pPr>
        <w:pStyle w:val="5-SubsectionSubheading"/>
      </w:pPr>
      <w:r w:rsidRPr="00804648">
        <w:t>LTS13632</w:t>
      </w:r>
      <w:r w:rsidR="0050065D" w:rsidRPr="00804648">
        <w:t xml:space="preserve"> </w:t>
      </w:r>
      <w:r w:rsidR="007E34BC" w:rsidRPr="00804648">
        <w:t xml:space="preserve">long-term extension single arm study </w:t>
      </w:r>
      <w:r w:rsidR="0050065D" w:rsidRPr="00804648">
        <w:t>with patients from DFI13412 and ASCEND</w:t>
      </w:r>
      <w:r w:rsidR="0050065D" w:rsidRPr="00804648">
        <w:noBreakHyphen/>
        <w:t>peds studies</w:t>
      </w:r>
      <w:r w:rsidR="007E34BC" w:rsidRPr="00804648">
        <w:t xml:space="preserve"> (olipudase alfa)</w:t>
      </w:r>
    </w:p>
    <w:p w14:paraId="39D3A99E" w14:textId="136C0FAC" w:rsidR="008E1109" w:rsidRPr="00804648" w:rsidRDefault="005F5A75" w:rsidP="008E1109">
      <w:pPr>
        <w:pStyle w:val="3-BodyText"/>
      </w:pPr>
      <w:r w:rsidRPr="00804648">
        <w:fldChar w:fldCharType="begin" w:fldLock="1"/>
      </w:r>
      <w:r w:rsidRPr="00804648">
        <w:instrText xml:space="preserve"> REF _Ref133692860 \h </w:instrText>
      </w:r>
      <w:r w:rsidRPr="00804648">
        <w:fldChar w:fldCharType="separate"/>
      </w:r>
      <w:r w:rsidR="005D02DA" w:rsidRPr="00804648">
        <w:t>Table 11</w:t>
      </w:r>
      <w:r w:rsidRPr="00804648">
        <w:fldChar w:fldCharType="end"/>
      </w:r>
      <w:r w:rsidRPr="00804648">
        <w:t xml:space="preserve"> </w:t>
      </w:r>
      <w:r w:rsidR="008E1109" w:rsidRPr="00804648">
        <w:t xml:space="preserve">presents </w:t>
      </w:r>
      <w:r w:rsidR="003747BF" w:rsidRPr="00804648">
        <w:t xml:space="preserve">a </w:t>
      </w:r>
      <w:r w:rsidR="008E1109" w:rsidRPr="00804648">
        <w:t>summary of the key adverse events in the LTS13632</w:t>
      </w:r>
      <w:r w:rsidR="000414D8" w:rsidRPr="00804648">
        <w:t xml:space="preserve"> study</w:t>
      </w:r>
      <w:r w:rsidR="008E1109" w:rsidRPr="00804648">
        <w:t xml:space="preserve">. </w:t>
      </w:r>
    </w:p>
    <w:p w14:paraId="081EF05D" w14:textId="623DC21F" w:rsidR="008E1109" w:rsidRPr="00804648" w:rsidRDefault="005F5A75" w:rsidP="008E1109">
      <w:pPr>
        <w:pStyle w:val="TableFigureHeading"/>
      </w:pPr>
      <w:bookmarkStart w:id="50" w:name="_Ref133692860"/>
      <w:r w:rsidRPr="00804648">
        <w:lastRenderedPageBreak/>
        <w:t xml:space="preserve">Table </w:t>
      </w:r>
      <w:fldSimple w:instr=" SEQ Table \* ARABIC " w:fldLock="1">
        <w:r w:rsidR="005D02DA" w:rsidRPr="00804648">
          <w:t>11</w:t>
        </w:r>
      </w:fldSimple>
      <w:bookmarkEnd w:id="50"/>
      <w:r w:rsidRPr="00804648">
        <w:t xml:space="preserve">: </w:t>
      </w:r>
      <w:r w:rsidR="008E1109" w:rsidRPr="00804648">
        <w:t>Summary of key adverse events in the LTS13632</w:t>
      </w:r>
      <w:r w:rsidR="000414D8" w:rsidRPr="00804648">
        <w:t xml:space="preserve">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1684"/>
        <w:gridCol w:w="1684"/>
        <w:gridCol w:w="1683"/>
      </w:tblGrid>
      <w:tr w:rsidR="008E1109" w:rsidRPr="00804648" w14:paraId="6FCE3BD4" w14:textId="77777777" w:rsidTr="00044E64">
        <w:trPr>
          <w:tblHeader/>
        </w:trPr>
        <w:tc>
          <w:tcPr>
            <w:tcW w:w="2199" w:type="pct"/>
            <w:vMerge w:val="restart"/>
            <w:vAlign w:val="center"/>
          </w:tcPr>
          <w:p w14:paraId="25F7CAB9" w14:textId="77777777" w:rsidR="008E1109" w:rsidRPr="00804648" w:rsidRDefault="008E1109" w:rsidP="006F6FE5">
            <w:pPr>
              <w:pStyle w:val="In-tableHeading"/>
              <w:rPr>
                <w:lang w:val="en-AU"/>
              </w:rPr>
            </w:pPr>
          </w:p>
        </w:tc>
        <w:tc>
          <w:tcPr>
            <w:tcW w:w="934" w:type="pct"/>
            <w:vAlign w:val="center"/>
          </w:tcPr>
          <w:p w14:paraId="2E28D1C2" w14:textId="77777777" w:rsidR="008E1109" w:rsidRPr="00804648" w:rsidRDefault="008E1109" w:rsidP="006F6FE5">
            <w:pPr>
              <w:pStyle w:val="In-tableHeading"/>
              <w:jc w:val="center"/>
              <w:rPr>
                <w:lang w:val="en-AU"/>
              </w:rPr>
            </w:pPr>
            <w:r w:rsidRPr="00804648">
              <w:rPr>
                <w:lang w:val="en-AU"/>
              </w:rPr>
              <w:t xml:space="preserve">Patients from DFI13412 </w:t>
            </w:r>
          </w:p>
          <w:p w14:paraId="6F03BBF1" w14:textId="77777777" w:rsidR="008E1109" w:rsidRPr="00804648" w:rsidRDefault="008E1109" w:rsidP="006F6FE5">
            <w:pPr>
              <w:pStyle w:val="In-tableHeading"/>
              <w:jc w:val="center"/>
              <w:rPr>
                <w:lang w:val="en-AU"/>
              </w:rPr>
            </w:pPr>
            <w:r w:rsidRPr="00804648">
              <w:rPr>
                <w:lang w:val="en-AU"/>
              </w:rPr>
              <w:t>(Adults) (N=5)</w:t>
            </w:r>
          </w:p>
        </w:tc>
        <w:tc>
          <w:tcPr>
            <w:tcW w:w="934" w:type="pct"/>
            <w:vAlign w:val="center"/>
          </w:tcPr>
          <w:p w14:paraId="7D4DFCCA" w14:textId="03D1C41D" w:rsidR="008E1109" w:rsidRPr="00804648" w:rsidRDefault="008E1109" w:rsidP="006F6FE5">
            <w:pPr>
              <w:pStyle w:val="In-tableHeading"/>
              <w:jc w:val="center"/>
              <w:rPr>
                <w:lang w:val="en-AU"/>
              </w:rPr>
            </w:pPr>
            <w:r w:rsidRPr="00804648">
              <w:rPr>
                <w:lang w:val="en-AU"/>
              </w:rPr>
              <w:t>Patients from ASCEND peds (</w:t>
            </w:r>
            <w:r w:rsidR="00F56495" w:rsidRPr="00804648">
              <w:rPr>
                <w:lang w:val="en-AU"/>
              </w:rPr>
              <w:t>Paediatric</w:t>
            </w:r>
            <w:r w:rsidRPr="00804648">
              <w:rPr>
                <w:lang w:val="en-AU"/>
              </w:rPr>
              <w:t>) (N=20)</w:t>
            </w:r>
          </w:p>
        </w:tc>
        <w:tc>
          <w:tcPr>
            <w:tcW w:w="933" w:type="pct"/>
          </w:tcPr>
          <w:p w14:paraId="33E7D57C" w14:textId="2C2B1E7B" w:rsidR="008E1109" w:rsidRPr="00804648" w:rsidRDefault="008E1109" w:rsidP="006F6FE5">
            <w:pPr>
              <w:pStyle w:val="In-tableHeading"/>
              <w:jc w:val="center"/>
              <w:rPr>
                <w:lang w:val="en-AU"/>
              </w:rPr>
            </w:pPr>
            <w:r w:rsidRPr="00804648">
              <w:rPr>
                <w:lang w:val="en-AU"/>
              </w:rPr>
              <w:t>All Patients</w:t>
            </w:r>
          </w:p>
          <w:p w14:paraId="0D3D24A3" w14:textId="7FDBDC4A" w:rsidR="00D55A97" w:rsidRPr="00804648" w:rsidRDefault="00D55A97" w:rsidP="006F6FE5">
            <w:pPr>
              <w:pStyle w:val="In-tableHeading"/>
              <w:jc w:val="center"/>
              <w:rPr>
                <w:lang w:val="en-AU"/>
              </w:rPr>
            </w:pPr>
            <w:r w:rsidRPr="00804648">
              <w:rPr>
                <w:lang w:val="en-AU"/>
              </w:rPr>
              <w:t>LTS13632</w:t>
            </w:r>
          </w:p>
          <w:p w14:paraId="5FF5B283" w14:textId="77777777" w:rsidR="008E1109" w:rsidRPr="00804648" w:rsidRDefault="008E1109" w:rsidP="006F6FE5">
            <w:pPr>
              <w:pStyle w:val="In-tableHeading"/>
              <w:jc w:val="center"/>
              <w:rPr>
                <w:lang w:val="en-AU"/>
              </w:rPr>
            </w:pPr>
            <w:r w:rsidRPr="00804648">
              <w:rPr>
                <w:lang w:val="en-AU"/>
              </w:rPr>
              <w:t>(N=25)</w:t>
            </w:r>
          </w:p>
        </w:tc>
      </w:tr>
      <w:tr w:rsidR="008E1109" w:rsidRPr="00804648" w14:paraId="3431D925" w14:textId="77777777" w:rsidTr="00044E64">
        <w:tc>
          <w:tcPr>
            <w:tcW w:w="2199" w:type="pct"/>
            <w:vMerge/>
          </w:tcPr>
          <w:p w14:paraId="55DA37F7" w14:textId="77777777" w:rsidR="008E1109" w:rsidRPr="00804648" w:rsidRDefault="008E1109" w:rsidP="006F6FE5">
            <w:pPr>
              <w:pStyle w:val="TableText0"/>
              <w:rPr>
                <w:lang w:eastAsia="en-US"/>
              </w:rPr>
            </w:pPr>
          </w:p>
        </w:tc>
        <w:tc>
          <w:tcPr>
            <w:tcW w:w="934" w:type="pct"/>
          </w:tcPr>
          <w:p w14:paraId="2FA1D3A0" w14:textId="77777777" w:rsidR="008E1109" w:rsidRPr="00804648" w:rsidRDefault="008E1109" w:rsidP="006F6FE5">
            <w:pPr>
              <w:pStyle w:val="TableText0"/>
              <w:jc w:val="center"/>
              <w:rPr>
                <w:b/>
                <w:bCs w:val="0"/>
              </w:rPr>
            </w:pPr>
            <w:r w:rsidRPr="00804648">
              <w:rPr>
                <w:b/>
                <w:bCs w:val="0"/>
              </w:rPr>
              <w:t>n (%)</w:t>
            </w:r>
          </w:p>
        </w:tc>
        <w:tc>
          <w:tcPr>
            <w:tcW w:w="934" w:type="pct"/>
          </w:tcPr>
          <w:p w14:paraId="6E40733E" w14:textId="77777777" w:rsidR="008E1109" w:rsidRPr="00804648" w:rsidRDefault="008E1109" w:rsidP="006F6FE5">
            <w:pPr>
              <w:pStyle w:val="TableText0"/>
              <w:jc w:val="center"/>
              <w:rPr>
                <w:b/>
                <w:bCs w:val="0"/>
              </w:rPr>
            </w:pPr>
            <w:r w:rsidRPr="00804648">
              <w:rPr>
                <w:b/>
                <w:bCs w:val="0"/>
              </w:rPr>
              <w:t>n (%)</w:t>
            </w:r>
          </w:p>
        </w:tc>
        <w:tc>
          <w:tcPr>
            <w:tcW w:w="933" w:type="pct"/>
          </w:tcPr>
          <w:p w14:paraId="399214B9" w14:textId="77777777" w:rsidR="008E1109" w:rsidRPr="00804648" w:rsidRDefault="008E1109" w:rsidP="006F6FE5">
            <w:pPr>
              <w:pStyle w:val="TableText0"/>
              <w:jc w:val="center"/>
              <w:rPr>
                <w:b/>
                <w:bCs w:val="0"/>
              </w:rPr>
            </w:pPr>
            <w:r w:rsidRPr="00804648">
              <w:rPr>
                <w:b/>
                <w:bCs w:val="0"/>
              </w:rPr>
              <w:t>n (%)</w:t>
            </w:r>
          </w:p>
        </w:tc>
      </w:tr>
      <w:tr w:rsidR="008E1109" w:rsidRPr="00804648" w14:paraId="590A9662" w14:textId="77777777" w:rsidTr="00044E64">
        <w:tc>
          <w:tcPr>
            <w:tcW w:w="2199" w:type="pct"/>
          </w:tcPr>
          <w:p w14:paraId="77643568" w14:textId="77777777" w:rsidR="008E1109" w:rsidRPr="00804648" w:rsidRDefault="008E1109" w:rsidP="006F6FE5">
            <w:pPr>
              <w:pStyle w:val="TableText0"/>
            </w:pPr>
            <w:r w:rsidRPr="00804648">
              <w:rPr>
                <w:lang w:eastAsia="en-US"/>
              </w:rPr>
              <w:t>Any TEAE</w:t>
            </w:r>
          </w:p>
        </w:tc>
        <w:tc>
          <w:tcPr>
            <w:tcW w:w="934" w:type="pct"/>
            <w:vAlign w:val="center"/>
          </w:tcPr>
          <w:p w14:paraId="5A61D63C" w14:textId="77777777" w:rsidR="008E1109" w:rsidRPr="00804648" w:rsidRDefault="008E1109" w:rsidP="006F6FE5">
            <w:pPr>
              <w:pStyle w:val="TableText0"/>
              <w:jc w:val="center"/>
            </w:pPr>
            <w:r w:rsidRPr="00804648">
              <w:t>5 (100%)</w:t>
            </w:r>
          </w:p>
        </w:tc>
        <w:tc>
          <w:tcPr>
            <w:tcW w:w="934" w:type="pct"/>
            <w:vAlign w:val="center"/>
          </w:tcPr>
          <w:p w14:paraId="76649495" w14:textId="77777777" w:rsidR="008E1109" w:rsidRPr="00804648" w:rsidRDefault="008E1109" w:rsidP="006F6FE5">
            <w:pPr>
              <w:pStyle w:val="TableText0"/>
              <w:jc w:val="center"/>
            </w:pPr>
            <w:r w:rsidRPr="00804648">
              <w:t>20 (100%)</w:t>
            </w:r>
          </w:p>
        </w:tc>
        <w:tc>
          <w:tcPr>
            <w:tcW w:w="933" w:type="pct"/>
            <w:vAlign w:val="center"/>
          </w:tcPr>
          <w:p w14:paraId="0BA521B3" w14:textId="77777777" w:rsidR="008E1109" w:rsidRPr="00804648" w:rsidRDefault="008E1109" w:rsidP="006F6FE5">
            <w:pPr>
              <w:pStyle w:val="TableText0"/>
              <w:jc w:val="center"/>
            </w:pPr>
            <w:r w:rsidRPr="00804648">
              <w:t>25 (100%)</w:t>
            </w:r>
          </w:p>
        </w:tc>
      </w:tr>
      <w:tr w:rsidR="008E1109" w:rsidRPr="00804648" w14:paraId="6C024BED" w14:textId="77777777" w:rsidTr="00044E64">
        <w:tc>
          <w:tcPr>
            <w:tcW w:w="2199" w:type="pct"/>
          </w:tcPr>
          <w:p w14:paraId="06381CF3" w14:textId="77777777" w:rsidR="008E1109" w:rsidRPr="00804648" w:rsidRDefault="008E1109" w:rsidP="006F6FE5">
            <w:pPr>
              <w:pStyle w:val="TableText0"/>
            </w:pPr>
            <w:r w:rsidRPr="00804648">
              <w:rPr>
                <w:lang w:eastAsia="en-US"/>
              </w:rPr>
              <w:t xml:space="preserve">     Mild</w:t>
            </w:r>
          </w:p>
        </w:tc>
        <w:tc>
          <w:tcPr>
            <w:tcW w:w="934" w:type="pct"/>
            <w:vAlign w:val="center"/>
          </w:tcPr>
          <w:p w14:paraId="31BB469B" w14:textId="77777777" w:rsidR="008E1109" w:rsidRPr="00804648" w:rsidRDefault="008E1109" w:rsidP="006F6FE5">
            <w:pPr>
              <w:pStyle w:val="TableText0"/>
              <w:jc w:val="center"/>
            </w:pPr>
            <w:r w:rsidRPr="00804648">
              <w:t>5 (100%)</w:t>
            </w:r>
          </w:p>
        </w:tc>
        <w:tc>
          <w:tcPr>
            <w:tcW w:w="934" w:type="pct"/>
            <w:vAlign w:val="center"/>
          </w:tcPr>
          <w:p w14:paraId="78908837" w14:textId="77777777" w:rsidR="008E1109" w:rsidRPr="00804648" w:rsidRDefault="008E1109" w:rsidP="006F6FE5">
            <w:pPr>
              <w:pStyle w:val="TableText0"/>
              <w:jc w:val="center"/>
            </w:pPr>
            <w:r w:rsidRPr="00804648">
              <w:t>20 (100%)</w:t>
            </w:r>
          </w:p>
        </w:tc>
        <w:tc>
          <w:tcPr>
            <w:tcW w:w="933" w:type="pct"/>
            <w:vAlign w:val="center"/>
          </w:tcPr>
          <w:p w14:paraId="5BC69300" w14:textId="77777777" w:rsidR="008E1109" w:rsidRPr="00804648" w:rsidRDefault="008E1109" w:rsidP="006F6FE5">
            <w:pPr>
              <w:pStyle w:val="TableText0"/>
              <w:jc w:val="center"/>
            </w:pPr>
            <w:r w:rsidRPr="00804648">
              <w:t>25 (100%)</w:t>
            </w:r>
          </w:p>
        </w:tc>
      </w:tr>
      <w:tr w:rsidR="008E1109" w:rsidRPr="00804648" w14:paraId="0DE92E9C" w14:textId="77777777" w:rsidTr="00044E64">
        <w:tc>
          <w:tcPr>
            <w:tcW w:w="2199" w:type="pct"/>
          </w:tcPr>
          <w:p w14:paraId="2F27B6A3" w14:textId="77777777" w:rsidR="008E1109" w:rsidRPr="00804648" w:rsidRDefault="008E1109" w:rsidP="006F6FE5">
            <w:pPr>
              <w:pStyle w:val="TableText0"/>
            </w:pPr>
            <w:r w:rsidRPr="00804648">
              <w:rPr>
                <w:lang w:eastAsia="en-US"/>
              </w:rPr>
              <w:t xml:space="preserve">     Moderate</w:t>
            </w:r>
          </w:p>
        </w:tc>
        <w:tc>
          <w:tcPr>
            <w:tcW w:w="934" w:type="pct"/>
            <w:vAlign w:val="center"/>
          </w:tcPr>
          <w:p w14:paraId="219668A7" w14:textId="77777777" w:rsidR="008E1109" w:rsidRPr="00804648" w:rsidRDefault="008E1109" w:rsidP="006F6FE5">
            <w:pPr>
              <w:pStyle w:val="TableText0"/>
              <w:jc w:val="center"/>
            </w:pPr>
            <w:r w:rsidRPr="00804648">
              <w:t>2 (40%)</w:t>
            </w:r>
          </w:p>
        </w:tc>
        <w:tc>
          <w:tcPr>
            <w:tcW w:w="934" w:type="pct"/>
            <w:vAlign w:val="center"/>
          </w:tcPr>
          <w:p w14:paraId="2239958D" w14:textId="77777777" w:rsidR="008E1109" w:rsidRPr="00804648" w:rsidRDefault="008E1109" w:rsidP="006F6FE5">
            <w:pPr>
              <w:pStyle w:val="TableText0"/>
              <w:jc w:val="center"/>
            </w:pPr>
            <w:r w:rsidRPr="00804648">
              <w:t>17 (85%)</w:t>
            </w:r>
          </w:p>
        </w:tc>
        <w:tc>
          <w:tcPr>
            <w:tcW w:w="933" w:type="pct"/>
            <w:vAlign w:val="center"/>
          </w:tcPr>
          <w:p w14:paraId="162B159F" w14:textId="77777777" w:rsidR="008E1109" w:rsidRPr="00804648" w:rsidRDefault="008E1109" w:rsidP="006F6FE5">
            <w:pPr>
              <w:pStyle w:val="TableText0"/>
              <w:jc w:val="center"/>
            </w:pPr>
            <w:r w:rsidRPr="00804648">
              <w:t>19 (76%)</w:t>
            </w:r>
          </w:p>
        </w:tc>
      </w:tr>
      <w:tr w:rsidR="008E1109" w:rsidRPr="00804648" w14:paraId="582D3886" w14:textId="77777777" w:rsidTr="00044E64">
        <w:tc>
          <w:tcPr>
            <w:tcW w:w="2199" w:type="pct"/>
          </w:tcPr>
          <w:p w14:paraId="45ADD2D7" w14:textId="77777777" w:rsidR="008E1109" w:rsidRPr="00804648" w:rsidRDefault="008E1109" w:rsidP="006F6FE5">
            <w:pPr>
              <w:pStyle w:val="TableText0"/>
            </w:pPr>
            <w:r w:rsidRPr="00804648">
              <w:rPr>
                <w:lang w:eastAsia="en-US"/>
              </w:rPr>
              <w:t xml:space="preserve">     Severe</w:t>
            </w:r>
          </w:p>
        </w:tc>
        <w:tc>
          <w:tcPr>
            <w:tcW w:w="934" w:type="pct"/>
            <w:vAlign w:val="center"/>
          </w:tcPr>
          <w:p w14:paraId="387E567A" w14:textId="77777777" w:rsidR="008E1109" w:rsidRPr="00804648" w:rsidRDefault="008E1109" w:rsidP="006F6FE5">
            <w:pPr>
              <w:pStyle w:val="TableText0"/>
              <w:jc w:val="center"/>
            </w:pPr>
            <w:r w:rsidRPr="00804648">
              <w:t>1 (20%)</w:t>
            </w:r>
          </w:p>
        </w:tc>
        <w:tc>
          <w:tcPr>
            <w:tcW w:w="934" w:type="pct"/>
            <w:vAlign w:val="center"/>
          </w:tcPr>
          <w:p w14:paraId="61C84E06" w14:textId="77777777" w:rsidR="008E1109" w:rsidRPr="00804648" w:rsidRDefault="008E1109" w:rsidP="006F6FE5">
            <w:pPr>
              <w:pStyle w:val="TableText0"/>
              <w:jc w:val="center"/>
            </w:pPr>
            <w:r w:rsidRPr="00804648">
              <w:t>7 (35%)</w:t>
            </w:r>
          </w:p>
        </w:tc>
        <w:tc>
          <w:tcPr>
            <w:tcW w:w="933" w:type="pct"/>
            <w:vAlign w:val="center"/>
          </w:tcPr>
          <w:p w14:paraId="5C6635DD" w14:textId="77777777" w:rsidR="008E1109" w:rsidRPr="00804648" w:rsidRDefault="008E1109" w:rsidP="006F6FE5">
            <w:pPr>
              <w:pStyle w:val="TableText0"/>
              <w:jc w:val="center"/>
            </w:pPr>
            <w:r w:rsidRPr="00804648">
              <w:t>8 (32%)</w:t>
            </w:r>
          </w:p>
        </w:tc>
      </w:tr>
      <w:tr w:rsidR="008E1109" w:rsidRPr="00804648" w14:paraId="65BB4060" w14:textId="77777777" w:rsidTr="00044E64">
        <w:tc>
          <w:tcPr>
            <w:tcW w:w="2199" w:type="pct"/>
          </w:tcPr>
          <w:p w14:paraId="59DE5355" w14:textId="77777777" w:rsidR="008E1109" w:rsidRPr="00804648" w:rsidRDefault="008E1109" w:rsidP="006F6FE5">
            <w:pPr>
              <w:pStyle w:val="TableText0"/>
            </w:pPr>
            <w:r w:rsidRPr="00804648">
              <w:rPr>
                <w:lang w:eastAsia="en-US"/>
              </w:rPr>
              <w:t>Any serious TEAEs</w:t>
            </w:r>
          </w:p>
        </w:tc>
        <w:tc>
          <w:tcPr>
            <w:tcW w:w="934" w:type="pct"/>
            <w:vAlign w:val="center"/>
          </w:tcPr>
          <w:p w14:paraId="412FB7E0" w14:textId="77777777" w:rsidR="008E1109" w:rsidRPr="00804648" w:rsidRDefault="008E1109" w:rsidP="006F6FE5">
            <w:pPr>
              <w:pStyle w:val="TableText0"/>
              <w:jc w:val="center"/>
            </w:pPr>
            <w:r w:rsidRPr="00804648">
              <w:t>1 (20%)</w:t>
            </w:r>
          </w:p>
        </w:tc>
        <w:tc>
          <w:tcPr>
            <w:tcW w:w="934" w:type="pct"/>
            <w:vAlign w:val="center"/>
          </w:tcPr>
          <w:p w14:paraId="5EADD79A" w14:textId="77777777" w:rsidR="008E1109" w:rsidRPr="00804648" w:rsidRDefault="008E1109" w:rsidP="006F6FE5">
            <w:pPr>
              <w:pStyle w:val="TableText0"/>
              <w:jc w:val="center"/>
            </w:pPr>
            <w:r w:rsidRPr="00804648">
              <w:t>9 (45%)</w:t>
            </w:r>
          </w:p>
        </w:tc>
        <w:tc>
          <w:tcPr>
            <w:tcW w:w="933" w:type="pct"/>
            <w:vAlign w:val="center"/>
          </w:tcPr>
          <w:p w14:paraId="4E3516DF" w14:textId="77777777" w:rsidR="008E1109" w:rsidRPr="00804648" w:rsidRDefault="008E1109" w:rsidP="006F6FE5">
            <w:pPr>
              <w:pStyle w:val="TableText0"/>
              <w:jc w:val="center"/>
            </w:pPr>
            <w:r w:rsidRPr="00804648">
              <w:t>10 (40%)</w:t>
            </w:r>
          </w:p>
        </w:tc>
      </w:tr>
      <w:tr w:rsidR="008E1109" w:rsidRPr="00804648" w14:paraId="05CE50EB" w14:textId="77777777" w:rsidTr="00044E64">
        <w:tc>
          <w:tcPr>
            <w:tcW w:w="2199" w:type="pct"/>
          </w:tcPr>
          <w:p w14:paraId="5BA19B22" w14:textId="77777777" w:rsidR="008E1109" w:rsidRPr="00804648" w:rsidRDefault="008E1109" w:rsidP="006F6FE5">
            <w:pPr>
              <w:pStyle w:val="TableText0"/>
            </w:pPr>
            <w:r w:rsidRPr="00804648">
              <w:rPr>
                <w:lang w:eastAsia="en-US"/>
              </w:rPr>
              <w:t>Any TEAEs potentially related to study drug</w:t>
            </w:r>
          </w:p>
        </w:tc>
        <w:tc>
          <w:tcPr>
            <w:tcW w:w="934" w:type="pct"/>
            <w:vAlign w:val="center"/>
          </w:tcPr>
          <w:p w14:paraId="61C955A5" w14:textId="77777777" w:rsidR="008E1109" w:rsidRPr="00804648" w:rsidRDefault="008E1109" w:rsidP="006F6FE5">
            <w:pPr>
              <w:pStyle w:val="TableText0"/>
              <w:jc w:val="center"/>
            </w:pPr>
            <w:r w:rsidRPr="00804648">
              <w:t>4 (80%)</w:t>
            </w:r>
          </w:p>
        </w:tc>
        <w:tc>
          <w:tcPr>
            <w:tcW w:w="934" w:type="pct"/>
            <w:vAlign w:val="center"/>
          </w:tcPr>
          <w:p w14:paraId="03E7832C" w14:textId="77777777" w:rsidR="008E1109" w:rsidRPr="00804648" w:rsidRDefault="008E1109" w:rsidP="006F6FE5">
            <w:pPr>
              <w:pStyle w:val="TableText0"/>
              <w:jc w:val="center"/>
            </w:pPr>
            <w:r w:rsidRPr="00804648">
              <w:t>15 (75%)</w:t>
            </w:r>
          </w:p>
        </w:tc>
        <w:tc>
          <w:tcPr>
            <w:tcW w:w="933" w:type="pct"/>
            <w:vAlign w:val="center"/>
          </w:tcPr>
          <w:p w14:paraId="639FD57F" w14:textId="77777777" w:rsidR="008E1109" w:rsidRPr="00804648" w:rsidRDefault="008E1109" w:rsidP="006F6FE5">
            <w:pPr>
              <w:pStyle w:val="TableText0"/>
              <w:jc w:val="center"/>
            </w:pPr>
            <w:r w:rsidRPr="00804648">
              <w:t>19 (76%)</w:t>
            </w:r>
          </w:p>
        </w:tc>
      </w:tr>
      <w:tr w:rsidR="008E1109" w:rsidRPr="00804648" w14:paraId="50B82B0C" w14:textId="77777777" w:rsidTr="00044E64">
        <w:tc>
          <w:tcPr>
            <w:tcW w:w="2199" w:type="pct"/>
          </w:tcPr>
          <w:p w14:paraId="5702EA70" w14:textId="77777777" w:rsidR="008E1109" w:rsidRPr="00804648" w:rsidRDefault="008E1109" w:rsidP="006F6FE5">
            <w:pPr>
              <w:pStyle w:val="TableText0"/>
            </w:pPr>
            <w:r w:rsidRPr="00804648">
              <w:rPr>
                <w:lang w:eastAsia="en-US"/>
              </w:rPr>
              <w:t>Any serious TEAEs potentially related to study drug</w:t>
            </w:r>
          </w:p>
        </w:tc>
        <w:tc>
          <w:tcPr>
            <w:tcW w:w="934" w:type="pct"/>
            <w:vAlign w:val="center"/>
          </w:tcPr>
          <w:p w14:paraId="25E8A4D4" w14:textId="77777777" w:rsidR="008E1109" w:rsidRPr="00804648" w:rsidRDefault="008E1109" w:rsidP="006F6FE5">
            <w:pPr>
              <w:pStyle w:val="TableText0"/>
              <w:jc w:val="center"/>
            </w:pPr>
            <w:r w:rsidRPr="00804648">
              <w:t>0</w:t>
            </w:r>
          </w:p>
        </w:tc>
        <w:tc>
          <w:tcPr>
            <w:tcW w:w="934" w:type="pct"/>
            <w:vAlign w:val="center"/>
          </w:tcPr>
          <w:p w14:paraId="69082032" w14:textId="77777777" w:rsidR="008E1109" w:rsidRPr="00804648" w:rsidRDefault="008E1109" w:rsidP="006F6FE5">
            <w:pPr>
              <w:pStyle w:val="TableText0"/>
              <w:jc w:val="center"/>
            </w:pPr>
            <w:r w:rsidRPr="00804648">
              <w:t>4 (20%)</w:t>
            </w:r>
          </w:p>
        </w:tc>
        <w:tc>
          <w:tcPr>
            <w:tcW w:w="933" w:type="pct"/>
            <w:vAlign w:val="center"/>
          </w:tcPr>
          <w:p w14:paraId="77C80D6E" w14:textId="77777777" w:rsidR="008E1109" w:rsidRPr="00804648" w:rsidRDefault="008E1109" w:rsidP="006F6FE5">
            <w:pPr>
              <w:pStyle w:val="TableText0"/>
              <w:jc w:val="center"/>
            </w:pPr>
            <w:r w:rsidRPr="00804648">
              <w:t>4 (16%)</w:t>
            </w:r>
          </w:p>
        </w:tc>
      </w:tr>
      <w:tr w:rsidR="008E1109" w:rsidRPr="00804648" w14:paraId="7D8EBC84" w14:textId="77777777" w:rsidTr="00044E64">
        <w:tc>
          <w:tcPr>
            <w:tcW w:w="2199" w:type="pct"/>
          </w:tcPr>
          <w:p w14:paraId="44584F64" w14:textId="77777777" w:rsidR="008E1109" w:rsidRPr="00804648" w:rsidRDefault="008E1109" w:rsidP="006F6FE5">
            <w:pPr>
              <w:pStyle w:val="TableText0"/>
              <w:rPr>
                <w:lang w:eastAsia="en-US"/>
              </w:rPr>
            </w:pPr>
            <w:r w:rsidRPr="00804648">
              <w:rPr>
                <w:lang w:eastAsia="en-US"/>
              </w:rPr>
              <w:t>Any TEAE leading to dose reduction</w:t>
            </w:r>
          </w:p>
        </w:tc>
        <w:tc>
          <w:tcPr>
            <w:tcW w:w="934" w:type="pct"/>
            <w:vAlign w:val="center"/>
          </w:tcPr>
          <w:p w14:paraId="0AEA759D" w14:textId="77777777" w:rsidR="008E1109" w:rsidRPr="00804648" w:rsidRDefault="008E1109" w:rsidP="006F6FE5">
            <w:pPr>
              <w:pStyle w:val="TableText0"/>
              <w:jc w:val="center"/>
            </w:pPr>
            <w:r w:rsidRPr="00804648">
              <w:t>1 (20%)</w:t>
            </w:r>
          </w:p>
        </w:tc>
        <w:tc>
          <w:tcPr>
            <w:tcW w:w="934" w:type="pct"/>
            <w:vAlign w:val="center"/>
          </w:tcPr>
          <w:p w14:paraId="5FAECA0C" w14:textId="77777777" w:rsidR="008E1109" w:rsidRPr="00804648" w:rsidRDefault="008E1109" w:rsidP="006F6FE5">
            <w:pPr>
              <w:pStyle w:val="TableText0"/>
              <w:jc w:val="center"/>
            </w:pPr>
            <w:r w:rsidRPr="00804648">
              <w:t>7 (35%)</w:t>
            </w:r>
          </w:p>
        </w:tc>
        <w:tc>
          <w:tcPr>
            <w:tcW w:w="933" w:type="pct"/>
            <w:vAlign w:val="center"/>
          </w:tcPr>
          <w:p w14:paraId="4F8A092C" w14:textId="77777777" w:rsidR="008E1109" w:rsidRPr="00804648" w:rsidRDefault="008E1109" w:rsidP="006F6FE5">
            <w:pPr>
              <w:pStyle w:val="TableText0"/>
              <w:jc w:val="center"/>
            </w:pPr>
            <w:r w:rsidRPr="00804648">
              <w:t>8 (32%)</w:t>
            </w:r>
          </w:p>
        </w:tc>
      </w:tr>
      <w:tr w:rsidR="008E1109" w:rsidRPr="00804648" w14:paraId="441CA7A4" w14:textId="77777777" w:rsidTr="00044E64">
        <w:tc>
          <w:tcPr>
            <w:tcW w:w="2199" w:type="pct"/>
          </w:tcPr>
          <w:p w14:paraId="67E3047E" w14:textId="77777777" w:rsidR="008E1109" w:rsidRPr="00804648" w:rsidRDefault="008E1109" w:rsidP="006F6FE5">
            <w:pPr>
              <w:pStyle w:val="TableText0"/>
              <w:rPr>
                <w:lang w:eastAsia="en-US"/>
              </w:rPr>
            </w:pPr>
            <w:r w:rsidRPr="00804648">
              <w:t>Any TEAE leading to treatment interruption</w:t>
            </w:r>
          </w:p>
        </w:tc>
        <w:tc>
          <w:tcPr>
            <w:tcW w:w="934" w:type="pct"/>
            <w:vAlign w:val="center"/>
          </w:tcPr>
          <w:p w14:paraId="0B304F63" w14:textId="77777777" w:rsidR="008E1109" w:rsidRPr="00804648" w:rsidRDefault="008E1109" w:rsidP="006F6FE5">
            <w:pPr>
              <w:pStyle w:val="TableText0"/>
              <w:jc w:val="center"/>
            </w:pPr>
            <w:r w:rsidRPr="00804648">
              <w:t>1 (20%)</w:t>
            </w:r>
          </w:p>
        </w:tc>
        <w:tc>
          <w:tcPr>
            <w:tcW w:w="934" w:type="pct"/>
            <w:vAlign w:val="center"/>
          </w:tcPr>
          <w:p w14:paraId="576234DF" w14:textId="77777777" w:rsidR="008E1109" w:rsidRPr="00804648" w:rsidRDefault="008E1109" w:rsidP="006F6FE5">
            <w:pPr>
              <w:pStyle w:val="TableText0"/>
              <w:jc w:val="center"/>
            </w:pPr>
            <w:r w:rsidRPr="00804648">
              <w:t>5 (25%)</w:t>
            </w:r>
          </w:p>
        </w:tc>
        <w:tc>
          <w:tcPr>
            <w:tcW w:w="933" w:type="pct"/>
            <w:vAlign w:val="center"/>
          </w:tcPr>
          <w:p w14:paraId="6D9339C8" w14:textId="77777777" w:rsidR="008E1109" w:rsidRPr="00804648" w:rsidRDefault="008E1109" w:rsidP="006F6FE5">
            <w:pPr>
              <w:pStyle w:val="TableText0"/>
              <w:jc w:val="center"/>
            </w:pPr>
            <w:r w:rsidRPr="00804648">
              <w:t>6 (24%)</w:t>
            </w:r>
          </w:p>
        </w:tc>
      </w:tr>
      <w:tr w:rsidR="008E1109" w:rsidRPr="00804648" w14:paraId="3F0425AF" w14:textId="77777777" w:rsidTr="00044E64">
        <w:tc>
          <w:tcPr>
            <w:tcW w:w="5000" w:type="pct"/>
            <w:gridSpan w:val="4"/>
          </w:tcPr>
          <w:p w14:paraId="1A580D55" w14:textId="77777777" w:rsidR="008E1109" w:rsidRPr="00804648" w:rsidRDefault="008E1109" w:rsidP="006F6FE5">
            <w:pPr>
              <w:pStyle w:val="TableText0"/>
            </w:pPr>
            <w:r w:rsidRPr="00804648">
              <w:rPr>
                <w:b/>
                <w:bCs w:val="0"/>
              </w:rPr>
              <w:t>Any protocol</w:t>
            </w:r>
            <w:r w:rsidRPr="00804648">
              <w:rPr>
                <w:b/>
                <w:bCs w:val="0"/>
              </w:rPr>
              <w:noBreakHyphen/>
              <w:t>defined infusion associated reaction</w:t>
            </w:r>
          </w:p>
        </w:tc>
      </w:tr>
      <w:tr w:rsidR="008E1109" w:rsidRPr="00804648" w14:paraId="1DDC43D6" w14:textId="77777777" w:rsidTr="00044E64">
        <w:tc>
          <w:tcPr>
            <w:tcW w:w="2199" w:type="pct"/>
          </w:tcPr>
          <w:p w14:paraId="1D268012" w14:textId="77777777" w:rsidR="008E1109" w:rsidRPr="00804648" w:rsidRDefault="008E1109" w:rsidP="006F6FE5">
            <w:pPr>
              <w:pStyle w:val="TableText0"/>
            </w:pPr>
            <w:r w:rsidRPr="00804648">
              <w:rPr>
                <w:lang w:eastAsia="en-US"/>
              </w:rPr>
              <w:t>Headache</w:t>
            </w:r>
          </w:p>
        </w:tc>
        <w:tc>
          <w:tcPr>
            <w:tcW w:w="934" w:type="pct"/>
            <w:vAlign w:val="center"/>
          </w:tcPr>
          <w:p w14:paraId="690BEFAE" w14:textId="77777777" w:rsidR="008E1109" w:rsidRPr="00804648" w:rsidRDefault="008E1109" w:rsidP="006F6FE5">
            <w:pPr>
              <w:pStyle w:val="TableText0"/>
              <w:jc w:val="center"/>
            </w:pPr>
            <w:r w:rsidRPr="00804648">
              <w:t>3 (60%)</w:t>
            </w:r>
          </w:p>
        </w:tc>
        <w:tc>
          <w:tcPr>
            <w:tcW w:w="934" w:type="pct"/>
            <w:vAlign w:val="center"/>
          </w:tcPr>
          <w:p w14:paraId="09F6C872" w14:textId="77777777" w:rsidR="008E1109" w:rsidRPr="00804648" w:rsidRDefault="008E1109" w:rsidP="006F6FE5">
            <w:pPr>
              <w:pStyle w:val="TableText0"/>
              <w:jc w:val="center"/>
            </w:pPr>
            <w:r w:rsidRPr="00804648">
              <w:t>4 (20%)</w:t>
            </w:r>
          </w:p>
        </w:tc>
        <w:tc>
          <w:tcPr>
            <w:tcW w:w="933" w:type="pct"/>
            <w:vAlign w:val="center"/>
          </w:tcPr>
          <w:p w14:paraId="5B7475E9" w14:textId="77777777" w:rsidR="008E1109" w:rsidRPr="00804648" w:rsidRDefault="008E1109" w:rsidP="006F6FE5">
            <w:pPr>
              <w:pStyle w:val="TableText0"/>
              <w:jc w:val="center"/>
            </w:pPr>
            <w:r w:rsidRPr="00804648">
              <w:t>7 (28%)</w:t>
            </w:r>
          </w:p>
        </w:tc>
      </w:tr>
      <w:tr w:rsidR="008E1109" w:rsidRPr="00804648" w14:paraId="42CD98DC" w14:textId="77777777" w:rsidTr="00044E64">
        <w:tc>
          <w:tcPr>
            <w:tcW w:w="2199" w:type="pct"/>
          </w:tcPr>
          <w:p w14:paraId="26233A91" w14:textId="77777777" w:rsidR="008E1109" w:rsidRPr="00804648" w:rsidRDefault="008E1109" w:rsidP="006F6FE5">
            <w:pPr>
              <w:pStyle w:val="TableText0"/>
            </w:pPr>
            <w:r w:rsidRPr="00804648">
              <w:rPr>
                <w:lang w:eastAsia="en-US"/>
              </w:rPr>
              <w:t>Nausea</w:t>
            </w:r>
          </w:p>
        </w:tc>
        <w:tc>
          <w:tcPr>
            <w:tcW w:w="934" w:type="pct"/>
            <w:vAlign w:val="center"/>
          </w:tcPr>
          <w:p w14:paraId="308A8DA4" w14:textId="77777777" w:rsidR="008E1109" w:rsidRPr="00804648" w:rsidRDefault="008E1109" w:rsidP="006F6FE5">
            <w:pPr>
              <w:pStyle w:val="TableText0"/>
              <w:jc w:val="center"/>
            </w:pPr>
            <w:r w:rsidRPr="00804648">
              <w:t>3 (60%)</w:t>
            </w:r>
          </w:p>
        </w:tc>
        <w:tc>
          <w:tcPr>
            <w:tcW w:w="934" w:type="pct"/>
            <w:vAlign w:val="center"/>
          </w:tcPr>
          <w:p w14:paraId="4E689290" w14:textId="77777777" w:rsidR="008E1109" w:rsidRPr="00804648" w:rsidRDefault="008E1109" w:rsidP="006F6FE5">
            <w:pPr>
              <w:pStyle w:val="TableText0"/>
              <w:jc w:val="center"/>
            </w:pPr>
            <w:r w:rsidRPr="00804648">
              <w:t>4 (20%)</w:t>
            </w:r>
          </w:p>
        </w:tc>
        <w:tc>
          <w:tcPr>
            <w:tcW w:w="933" w:type="pct"/>
            <w:vAlign w:val="center"/>
          </w:tcPr>
          <w:p w14:paraId="1CCB6AD1" w14:textId="77777777" w:rsidR="008E1109" w:rsidRPr="00804648" w:rsidRDefault="008E1109" w:rsidP="006F6FE5">
            <w:pPr>
              <w:pStyle w:val="TableText0"/>
              <w:jc w:val="center"/>
            </w:pPr>
            <w:r w:rsidRPr="00804648">
              <w:t>7 (28%)</w:t>
            </w:r>
          </w:p>
        </w:tc>
      </w:tr>
      <w:tr w:rsidR="008E1109" w:rsidRPr="00804648" w14:paraId="3929B86F" w14:textId="77777777" w:rsidTr="00044E64">
        <w:tc>
          <w:tcPr>
            <w:tcW w:w="2199" w:type="pct"/>
          </w:tcPr>
          <w:p w14:paraId="646E0DF4" w14:textId="77777777" w:rsidR="008E1109" w:rsidRPr="00804648" w:rsidRDefault="008E1109" w:rsidP="006F6FE5">
            <w:pPr>
              <w:pStyle w:val="TableText0"/>
            </w:pPr>
            <w:r w:rsidRPr="00804648">
              <w:rPr>
                <w:lang w:eastAsia="en-US"/>
              </w:rPr>
              <w:t>Arthralgia</w:t>
            </w:r>
          </w:p>
        </w:tc>
        <w:tc>
          <w:tcPr>
            <w:tcW w:w="934" w:type="pct"/>
            <w:vAlign w:val="center"/>
          </w:tcPr>
          <w:p w14:paraId="6D1A4844" w14:textId="77777777" w:rsidR="008E1109" w:rsidRPr="00804648" w:rsidRDefault="008E1109" w:rsidP="006F6FE5">
            <w:pPr>
              <w:pStyle w:val="TableText0"/>
              <w:jc w:val="center"/>
            </w:pPr>
            <w:r w:rsidRPr="00804648">
              <w:t>3 (60%)</w:t>
            </w:r>
          </w:p>
        </w:tc>
        <w:tc>
          <w:tcPr>
            <w:tcW w:w="934" w:type="pct"/>
            <w:vAlign w:val="center"/>
          </w:tcPr>
          <w:p w14:paraId="245357DC" w14:textId="77777777" w:rsidR="008E1109" w:rsidRPr="00804648" w:rsidRDefault="008E1109" w:rsidP="006F6FE5">
            <w:pPr>
              <w:pStyle w:val="TableText0"/>
              <w:jc w:val="center"/>
            </w:pPr>
            <w:r w:rsidRPr="00804648">
              <w:t>0</w:t>
            </w:r>
          </w:p>
        </w:tc>
        <w:tc>
          <w:tcPr>
            <w:tcW w:w="933" w:type="pct"/>
            <w:vAlign w:val="center"/>
          </w:tcPr>
          <w:p w14:paraId="2C5E4FD7" w14:textId="77777777" w:rsidR="008E1109" w:rsidRPr="00804648" w:rsidRDefault="008E1109" w:rsidP="006F6FE5">
            <w:pPr>
              <w:pStyle w:val="TableText0"/>
              <w:jc w:val="center"/>
            </w:pPr>
            <w:r w:rsidRPr="00804648">
              <w:t>3 (12%)</w:t>
            </w:r>
          </w:p>
        </w:tc>
      </w:tr>
      <w:tr w:rsidR="008E1109" w:rsidRPr="00804648" w14:paraId="096F5BAC" w14:textId="77777777" w:rsidTr="00044E64">
        <w:tc>
          <w:tcPr>
            <w:tcW w:w="2199" w:type="pct"/>
          </w:tcPr>
          <w:p w14:paraId="10953F30" w14:textId="77777777" w:rsidR="008E1109" w:rsidRPr="00804648" w:rsidRDefault="008E1109" w:rsidP="006F6FE5">
            <w:pPr>
              <w:pStyle w:val="TableText0"/>
            </w:pPr>
            <w:r w:rsidRPr="00804648">
              <w:rPr>
                <w:lang w:eastAsia="en-US"/>
              </w:rPr>
              <w:t>Urticaria</w:t>
            </w:r>
          </w:p>
        </w:tc>
        <w:tc>
          <w:tcPr>
            <w:tcW w:w="934" w:type="pct"/>
            <w:vAlign w:val="center"/>
          </w:tcPr>
          <w:p w14:paraId="48A5C524" w14:textId="77777777" w:rsidR="008E1109" w:rsidRPr="00804648" w:rsidRDefault="008E1109" w:rsidP="006F6FE5">
            <w:pPr>
              <w:pStyle w:val="TableText0"/>
              <w:jc w:val="center"/>
            </w:pPr>
            <w:r w:rsidRPr="00804648">
              <w:t>2 (40%)</w:t>
            </w:r>
          </w:p>
        </w:tc>
        <w:tc>
          <w:tcPr>
            <w:tcW w:w="934" w:type="pct"/>
            <w:vAlign w:val="center"/>
          </w:tcPr>
          <w:p w14:paraId="1A88D278" w14:textId="77777777" w:rsidR="008E1109" w:rsidRPr="00804648" w:rsidRDefault="008E1109" w:rsidP="006F6FE5">
            <w:pPr>
              <w:pStyle w:val="TableText0"/>
              <w:jc w:val="center"/>
            </w:pPr>
            <w:r w:rsidRPr="00804648">
              <w:t>7 (35%)</w:t>
            </w:r>
          </w:p>
        </w:tc>
        <w:tc>
          <w:tcPr>
            <w:tcW w:w="933" w:type="pct"/>
            <w:vAlign w:val="center"/>
          </w:tcPr>
          <w:p w14:paraId="0DFEF7A6" w14:textId="77777777" w:rsidR="008E1109" w:rsidRPr="00804648" w:rsidRDefault="008E1109" w:rsidP="006F6FE5">
            <w:pPr>
              <w:pStyle w:val="TableText0"/>
              <w:jc w:val="center"/>
            </w:pPr>
            <w:r w:rsidRPr="00804648">
              <w:t>9 (36%)</w:t>
            </w:r>
          </w:p>
        </w:tc>
      </w:tr>
      <w:tr w:rsidR="008E1109" w:rsidRPr="00804648" w14:paraId="4FE7B812" w14:textId="77777777" w:rsidTr="00044E64">
        <w:tc>
          <w:tcPr>
            <w:tcW w:w="2199" w:type="pct"/>
          </w:tcPr>
          <w:p w14:paraId="101C8A16" w14:textId="77777777" w:rsidR="008E1109" w:rsidRPr="00804648" w:rsidRDefault="008E1109" w:rsidP="006F6FE5">
            <w:pPr>
              <w:pStyle w:val="TableText0"/>
            </w:pPr>
            <w:r w:rsidRPr="00804648">
              <w:rPr>
                <w:lang w:eastAsia="en-US"/>
              </w:rPr>
              <w:t>Pyrexia</w:t>
            </w:r>
          </w:p>
        </w:tc>
        <w:tc>
          <w:tcPr>
            <w:tcW w:w="934" w:type="pct"/>
            <w:vAlign w:val="center"/>
          </w:tcPr>
          <w:p w14:paraId="31EA351A" w14:textId="77777777" w:rsidR="008E1109" w:rsidRPr="00804648" w:rsidRDefault="008E1109" w:rsidP="006F6FE5">
            <w:pPr>
              <w:pStyle w:val="TableText0"/>
              <w:jc w:val="center"/>
            </w:pPr>
            <w:r w:rsidRPr="00804648">
              <w:t>2 (40%)</w:t>
            </w:r>
          </w:p>
        </w:tc>
        <w:tc>
          <w:tcPr>
            <w:tcW w:w="934" w:type="pct"/>
            <w:vAlign w:val="center"/>
          </w:tcPr>
          <w:p w14:paraId="0103E863" w14:textId="77777777" w:rsidR="008E1109" w:rsidRPr="00804648" w:rsidRDefault="008E1109" w:rsidP="006F6FE5">
            <w:pPr>
              <w:pStyle w:val="TableText0"/>
              <w:jc w:val="center"/>
            </w:pPr>
            <w:r w:rsidRPr="00804648">
              <w:t>8 (40%)</w:t>
            </w:r>
          </w:p>
        </w:tc>
        <w:tc>
          <w:tcPr>
            <w:tcW w:w="933" w:type="pct"/>
            <w:vAlign w:val="center"/>
          </w:tcPr>
          <w:p w14:paraId="0DF6CB73" w14:textId="77777777" w:rsidR="008E1109" w:rsidRPr="00804648" w:rsidRDefault="008E1109" w:rsidP="006F6FE5">
            <w:pPr>
              <w:pStyle w:val="TableText0"/>
              <w:jc w:val="center"/>
            </w:pPr>
            <w:r w:rsidRPr="00804648">
              <w:t>10 (40%)</w:t>
            </w:r>
          </w:p>
        </w:tc>
      </w:tr>
      <w:tr w:rsidR="008E1109" w:rsidRPr="00804648" w14:paraId="33698B2B" w14:textId="77777777" w:rsidTr="00044E64">
        <w:tc>
          <w:tcPr>
            <w:tcW w:w="2199" w:type="pct"/>
          </w:tcPr>
          <w:p w14:paraId="078D5FD9" w14:textId="77777777" w:rsidR="008E1109" w:rsidRPr="00804648" w:rsidRDefault="008E1109" w:rsidP="006F6FE5">
            <w:pPr>
              <w:pStyle w:val="TableText0"/>
            </w:pPr>
            <w:r w:rsidRPr="00804648">
              <w:rPr>
                <w:lang w:eastAsia="en-US"/>
              </w:rPr>
              <w:t>Vomiting</w:t>
            </w:r>
          </w:p>
        </w:tc>
        <w:tc>
          <w:tcPr>
            <w:tcW w:w="934" w:type="pct"/>
            <w:vAlign w:val="center"/>
          </w:tcPr>
          <w:p w14:paraId="55A2C6C5" w14:textId="77777777" w:rsidR="008E1109" w:rsidRPr="00804648" w:rsidRDefault="008E1109" w:rsidP="006F6FE5">
            <w:pPr>
              <w:pStyle w:val="TableText0"/>
              <w:jc w:val="center"/>
            </w:pPr>
            <w:r w:rsidRPr="00804648">
              <w:t>0</w:t>
            </w:r>
          </w:p>
        </w:tc>
        <w:tc>
          <w:tcPr>
            <w:tcW w:w="934" w:type="pct"/>
            <w:vAlign w:val="center"/>
          </w:tcPr>
          <w:p w14:paraId="60B06395" w14:textId="77777777" w:rsidR="008E1109" w:rsidRPr="00804648" w:rsidRDefault="008E1109" w:rsidP="006F6FE5">
            <w:pPr>
              <w:pStyle w:val="TableText0"/>
              <w:jc w:val="center"/>
            </w:pPr>
            <w:r w:rsidRPr="00804648">
              <w:t>6 (30%)</w:t>
            </w:r>
          </w:p>
        </w:tc>
        <w:tc>
          <w:tcPr>
            <w:tcW w:w="933" w:type="pct"/>
            <w:vAlign w:val="center"/>
          </w:tcPr>
          <w:p w14:paraId="69E93A2C" w14:textId="77777777" w:rsidR="008E1109" w:rsidRPr="00804648" w:rsidRDefault="008E1109" w:rsidP="006F6FE5">
            <w:pPr>
              <w:pStyle w:val="TableText0"/>
              <w:jc w:val="center"/>
            </w:pPr>
            <w:r w:rsidRPr="00804648">
              <w:t>6 (24%)</w:t>
            </w:r>
          </w:p>
        </w:tc>
      </w:tr>
    </w:tbl>
    <w:p w14:paraId="730CBAA6" w14:textId="77777777" w:rsidR="008E1109" w:rsidRPr="00804648" w:rsidRDefault="008E1109" w:rsidP="008E1109">
      <w:pPr>
        <w:pStyle w:val="FooterTableFigure"/>
        <w:rPr>
          <w:sz w:val="20"/>
        </w:rPr>
      </w:pPr>
      <w:r w:rsidRPr="00804648">
        <w:t>Source: Table 2.2.49, p104 of the submission.</w:t>
      </w:r>
    </w:p>
    <w:p w14:paraId="14595AAC" w14:textId="651E50AC" w:rsidR="008E1109" w:rsidRPr="00D65A99" w:rsidRDefault="008E1109" w:rsidP="008E1109">
      <w:pPr>
        <w:pStyle w:val="FooterTableFigure"/>
        <w:rPr>
          <w:rFonts w:eastAsia="Calibri"/>
        </w:rPr>
      </w:pPr>
      <w:r w:rsidRPr="00804648">
        <w:rPr>
          <w:rFonts w:eastAsia="Calibri"/>
        </w:rPr>
        <w:t>n = number of participants reporting data, N = total participants in group, TEAE = treatment emergent adverse event.</w:t>
      </w:r>
    </w:p>
    <w:p w14:paraId="11938575" w14:textId="02645BB4" w:rsidR="005F5A75" w:rsidRPr="00804648" w:rsidRDefault="008E1109" w:rsidP="006F6FE5">
      <w:pPr>
        <w:pStyle w:val="3-BodyText"/>
      </w:pPr>
      <w:r w:rsidRPr="00804648">
        <w:t>In the LTS13632 study, all patients experienced at least one treatment emergent adverse event (TEAE). A total of 19 (76.0%) patients experienced TEAEs and a total of 4 (16</w:t>
      </w:r>
      <w:r w:rsidR="003747BF" w:rsidRPr="00804648">
        <w:t>.0%)</w:t>
      </w:r>
      <w:r w:rsidRPr="00804648">
        <w:t xml:space="preserve"> patients experienced serious TEAEs potentially related to treatment with olipudase alfa. Furthermore, 17 (68.0%) patients experienced infusion-associated reactions to treatment.</w:t>
      </w:r>
    </w:p>
    <w:p w14:paraId="213390FB" w14:textId="458F4736" w:rsidR="001951AF" w:rsidRPr="00804648" w:rsidRDefault="00CE3B66" w:rsidP="008E1109">
      <w:pPr>
        <w:pStyle w:val="3-BodyText"/>
      </w:pPr>
      <w:r w:rsidRPr="00804648">
        <w:t xml:space="preserve">According to the TGA Delegate’s Overview, among a pooled safety set of </w:t>
      </w:r>
      <w:r w:rsidR="008E1109" w:rsidRPr="00804648">
        <w:t xml:space="preserve">60 patients </w:t>
      </w:r>
      <w:r w:rsidRPr="00804648">
        <w:t xml:space="preserve">(40 adults and 20 children) </w:t>
      </w:r>
      <w:r w:rsidR="008E1109" w:rsidRPr="00804648">
        <w:t>from the multiple dose studies</w:t>
      </w:r>
      <w:r w:rsidRPr="00804648">
        <w:t xml:space="preserve">, </w:t>
      </w:r>
      <w:r w:rsidR="001951AF" w:rsidRPr="00804648">
        <w:t xml:space="preserve">the ESC noted that </w:t>
      </w:r>
      <w:r w:rsidRPr="00804648">
        <w:t>p</w:t>
      </w:r>
      <w:r w:rsidR="008E1109" w:rsidRPr="00804648">
        <w:t>aediatric patients appeared to have a higher burden of</w:t>
      </w:r>
      <w:r w:rsidR="001951AF" w:rsidRPr="00804648">
        <w:t xml:space="preserve"> adverse events compared to adults:</w:t>
      </w:r>
      <w:r w:rsidR="008E1109" w:rsidRPr="00804648">
        <w:t xml:space="preserve"> </w:t>
      </w:r>
    </w:p>
    <w:p w14:paraId="7E844C5D" w14:textId="1901B61C" w:rsidR="001951AF" w:rsidRPr="00804648" w:rsidRDefault="008E1109" w:rsidP="00C1697C">
      <w:pPr>
        <w:pStyle w:val="3-BodyText"/>
        <w:numPr>
          <w:ilvl w:val="0"/>
          <w:numId w:val="11"/>
        </w:numPr>
        <w:ind w:left="1077" w:hanging="357"/>
      </w:pPr>
      <w:r w:rsidRPr="00804648">
        <w:t xml:space="preserve">SAEs (16.12 per 100 patient-years vs. 12.18 </w:t>
      </w:r>
      <w:r w:rsidR="003747BF" w:rsidRPr="00804648">
        <w:t xml:space="preserve">per 100 </w:t>
      </w:r>
      <w:r w:rsidRPr="00804648">
        <w:t>patient</w:t>
      </w:r>
      <w:r w:rsidR="003747BF" w:rsidRPr="00804648">
        <w:t>-</w:t>
      </w:r>
      <w:r w:rsidRPr="00804648">
        <w:t>years)</w:t>
      </w:r>
      <w:r w:rsidR="00DB3BC8" w:rsidRPr="00804648">
        <w:t>;</w:t>
      </w:r>
      <w:r w:rsidRPr="00804648">
        <w:t xml:space="preserve"> </w:t>
      </w:r>
    </w:p>
    <w:p w14:paraId="698C5CBF" w14:textId="71B41DA5" w:rsidR="001951AF" w:rsidRPr="00804648" w:rsidRDefault="00DB3BC8" w:rsidP="00C1697C">
      <w:pPr>
        <w:pStyle w:val="3-BodyText"/>
        <w:numPr>
          <w:ilvl w:val="0"/>
          <w:numId w:val="11"/>
        </w:numPr>
        <w:ind w:left="1077" w:hanging="357"/>
      </w:pPr>
      <w:r w:rsidRPr="00804648">
        <w:t>S</w:t>
      </w:r>
      <w:r w:rsidR="008E1109" w:rsidRPr="00804648">
        <w:t>evere TEAEs (11.47 per 100 patient-years vs. 5.93 per 100 patient-years)</w:t>
      </w:r>
      <w:r w:rsidRPr="00804648">
        <w:t>;</w:t>
      </w:r>
      <w:r w:rsidR="008E1109" w:rsidRPr="00804648">
        <w:t xml:space="preserve"> </w:t>
      </w:r>
    </w:p>
    <w:p w14:paraId="441858A9" w14:textId="55589671" w:rsidR="005F5A75" w:rsidRPr="00804648" w:rsidRDefault="008E1109" w:rsidP="00C1697C">
      <w:pPr>
        <w:pStyle w:val="3-BodyText"/>
        <w:numPr>
          <w:ilvl w:val="0"/>
          <w:numId w:val="11"/>
        </w:numPr>
        <w:ind w:left="1077" w:hanging="357"/>
      </w:pPr>
      <w:r w:rsidRPr="00804648">
        <w:t>TEAEs leading to dose reduction (12.86 per 100 patient-years vs. 3.31 per 100 patient-years).</w:t>
      </w:r>
    </w:p>
    <w:p w14:paraId="713D3148" w14:textId="6E606D85" w:rsidR="005F5A75" w:rsidRPr="00804648" w:rsidRDefault="008E1109" w:rsidP="008E1109">
      <w:pPr>
        <w:pStyle w:val="3-BodyText"/>
      </w:pPr>
      <w:r w:rsidRPr="00804648">
        <w:t xml:space="preserve">Furthermore, </w:t>
      </w:r>
      <w:r w:rsidR="00EC3C97" w:rsidRPr="00804648">
        <w:t>IAR</w:t>
      </w:r>
      <w:r w:rsidR="00D55A97" w:rsidRPr="00804648">
        <w:t>s</w:t>
      </w:r>
      <w:r w:rsidR="00EC3C97" w:rsidRPr="00804648">
        <w:t xml:space="preserve"> </w:t>
      </w:r>
      <w:r w:rsidRPr="00804648">
        <w:t>were common in</w:t>
      </w:r>
      <w:r w:rsidR="00224EB2" w:rsidRPr="00804648">
        <w:t xml:space="preserve"> both</w:t>
      </w:r>
      <w:r w:rsidRPr="00804648">
        <w:t xml:space="preserve"> adult (53.8%) and paediatric patients (60</w:t>
      </w:r>
      <w:r w:rsidR="003747BF" w:rsidRPr="00804648">
        <w:t>.0</w:t>
      </w:r>
      <w:r w:rsidRPr="00804648">
        <w:t>%). In adults, IARs occurred more often during dose escalation</w:t>
      </w:r>
      <w:r w:rsidR="00224EB2" w:rsidRPr="00804648">
        <w:t>,</w:t>
      </w:r>
      <w:r w:rsidRPr="00804648">
        <w:t xml:space="preserve"> whereas in paediatric patients they occurred</w:t>
      </w:r>
      <w:r w:rsidR="00224EB2" w:rsidRPr="00804648">
        <w:t xml:space="preserve"> both</w:t>
      </w:r>
      <w:r w:rsidRPr="00804648">
        <w:t xml:space="preserve"> during and after dose escalation. Three paediatric patients had serious infusion associated reactions (anaphylaxis, urticaria and hypersensitivity). Hypersensitivity infusion associated reactions were twice as common in children</w:t>
      </w:r>
      <w:r w:rsidR="00D55A97" w:rsidRPr="00804648">
        <w:t xml:space="preserve"> compared to</w:t>
      </w:r>
      <w:r w:rsidRPr="00804648">
        <w:t xml:space="preserve"> adults (40.0% </w:t>
      </w:r>
      <w:r w:rsidR="00D55A97" w:rsidRPr="00804648">
        <w:t>and</w:t>
      </w:r>
      <w:r w:rsidRPr="00804648">
        <w:t xml:space="preserve"> 17.9%</w:t>
      </w:r>
      <w:r w:rsidR="00D55A97" w:rsidRPr="00804648">
        <w:t>, respectively</w:t>
      </w:r>
      <w:r w:rsidRPr="00804648">
        <w:t>). There was an association between treatment emergent</w:t>
      </w:r>
      <w:r w:rsidR="00156106" w:rsidRPr="00804648">
        <w:t xml:space="preserve"> antidrug antibody</w:t>
      </w:r>
      <w:r w:rsidRPr="00804648">
        <w:t xml:space="preserve"> </w:t>
      </w:r>
      <w:r w:rsidR="00156106" w:rsidRPr="00804648">
        <w:t>(</w:t>
      </w:r>
      <w:r w:rsidRPr="00804648">
        <w:t>ADA</w:t>
      </w:r>
      <w:r w:rsidR="00156106" w:rsidRPr="00804648">
        <w:t>)</w:t>
      </w:r>
      <w:r w:rsidRPr="00804648">
        <w:t xml:space="preserve"> positivity and infusion associated reactions (both hypersensitivity and non-hypersensitivity related). Hypersensitivity IARs occurred more frequently in ADA positive patients compared </w:t>
      </w:r>
      <w:r w:rsidRPr="00804648">
        <w:lastRenderedPageBreak/>
        <w:t>with ADA negative patients (38.5% compared to 7.7%).</w:t>
      </w:r>
      <w:r w:rsidR="00CE3B66" w:rsidRPr="00804648">
        <w:t xml:space="preserve"> Nine of out 60 patients developed neutralising ADAs that inhibits catalytic activity.</w:t>
      </w:r>
    </w:p>
    <w:p w14:paraId="2C8E8D93" w14:textId="4E7EA14A" w:rsidR="00E720FF" w:rsidRPr="00804648" w:rsidRDefault="00607022" w:rsidP="005F5A75">
      <w:pPr>
        <w:pStyle w:val="3-BodyText"/>
      </w:pPr>
      <w:bookmarkStart w:id="51" w:name="_Ref137120482"/>
      <w:r w:rsidRPr="00804648">
        <w:t>T</w:t>
      </w:r>
      <w:r w:rsidR="00E720FF" w:rsidRPr="00804648">
        <w:t xml:space="preserve">he </w:t>
      </w:r>
      <w:r w:rsidR="00790BBE" w:rsidRPr="00804648">
        <w:t>Food and Drug Administration (</w:t>
      </w:r>
      <w:r w:rsidR="00E720FF" w:rsidRPr="00804648">
        <w:t>FDA</w:t>
      </w:r>
      <w:r w:rsidR="00790BBE" w:rsidRPr="00804648">
        <w:t>)</w:t>
      </w:r>
      <w:r w:rsidR="00E720FF" w:rsidRPr="00804648">
        <w:t xml:space="preserve"> </w:t>
      </w:r>
      <w:r w:rsidRPr="00804648">
        <w:t xml:space="preserve">has included </w:t>
      </w:r>
      <w:r w:rsidR="00E720FF" w:rsidRPr="00804648">
        <w:t>a boxed warning</w:t>
      </w:r>
      <w:r w:rsidRPr="00804648">
        <w:t xml:space="preserve"> </w:t>
      </w:r>
      <w:r w:rsidR="00E720FF" w:rsidRPr="00804648">
        <w:t>for hypersensitivity reactions (including anaphylaxis) with administration of olipudase alfa.</w:t>
      </w:r>
      <w:bookmarkEnd w:id="51"/>
    </w:p>
    <w:p w14:paraId="7C032A16" w14:textId="1DF2207B" w:rsidR="00E720FF" w:rsidRPr="00804648" w:rsidRDefault="00E720FF" w:rsidP="00E720FF">
      <w:pPr>
        <w:pStyle w:val="3-BodyText"/>
      </w:pPr>
      <w:r w:rsidRPr="00804648">
        <w:t>The submission stated that while systemic hypersensitivity reactions and transient elevation in transaminases have been observed during the treatment with olipudase, the benefit-risk profile of olipudase</w:t>
      </w:r>
      <w:r w:rsidR="001D43A8" w:rsidRPr="00804648">
        <w:t xml:space="preserve"> alfa</w:t>
      </w:r>
      <w:r w:rsidRPr="00804648">
        <w:t xml:space="preserve"> remains favourable. </w:t>
      </w:r>
    </w:p>
    <w:p w14:paraId="04908C7F" w14:textId="415B9B7D" w:rsidR="007F1017" w:rsidRPr="00804648" w:rsidRDefault="007F1017" w:rsidP="00D86231">
      <w:pPr>
        <w:pStyle w:val="4-SubsectionHeading"/>
      </w:pPr>
      <w:bookmarkStart w:id="52" w:name="_Toc22897643"/>
      <w:bookmarkStart w:id="53" w:name="_Toc135224898"/>
      <w:r w:rsidRPr="00804648">
        <w:t>Benefits/harms</w:t>
      </w:r>
      <w:bookmarkEnd w:id="52"/>
      <w:bookmarkEnd w:id="53"/>
    </w:p>
    <w:p w14:paraId="38A9036E" w14:textId="139C724C" w:rsidR="003D4A30" w:rsidRPr="00804648" w:rsidRDefault="002C66C9" w:rsidP="000060CE">
      <w:pPr>
        <w:pStyle w:val="3-BodyText"/>
      </w:pPr>
      <w:r w:rsidRPr="00804648">
        <w:t xml:space="preserve">A summary of the comparative benefits and harms for olipudase alfa versus BSC </w:t>
      </w:r>
      <w:r w:rsidR="00676A18" w:rsidRPr="00804648">
        <w:t xml:space="preserve">in the adult population </w:t>
      </w:r>
      <w:r w:rsidRPr="00804648">
        <w:t xml:space="preserve">is presented </w:t>
      </w:r>
      <w:r w:rsidR="00EC00C9" w:rsidRPr="00804648">
        <w:t>in</w:t>
      </w:r>
      <w:r w:rsidR="00E16AD8" w:rsidRPr="00804648">
        <w:t xml:space="preserve"> </w:t>
      </w:r>
      <w:r w:rsidR="00E16AD8" w:rsidRPr="00804648">
        <w:fldChar w:fldCharType="begin" w:fldLock="1"/>
      </w:r>
      <w:r w:rsidR="00E16AD8" w:rsidRPr="00804648">
        <w:instrText xml:space="preserve"> REF _Ref104805037 \h </w:instrText>
      </w:r>
      <w:r w:rsidR="00E16AD8" w:rsidRPr="00804648">
        <w:fldChar w:fldCharType="separate"/>
      </w:r>
      <w:r w:rsidR="005D02DA" w:rsidRPr="00804648">
        <w:t>Table 12</w:t>
      </w:r>
      <w:r w:rsidR="00E16AD8" w:rsidRPr="00804648">
        <w:fldChar w:fldCharType="end"/>
      </w:r>
      <w:r w:rsidR="00EC00C9" w:rsidRPr="00804648">
        <w:t>.</w:t>
      </w:r>
      <w:r w:rsidR="00F54B38" w:rsidRPr="00804648">
        <w:t xml:space="preserve"> </w:t>
      </w:r>
    </w:p>
    <w:p w14:paraId="6ABCA03F" w14:textId="5762E1C4" w:rsidR="00B3723A" w:rsidRPr="00804648" w:rsidRDefault="00B3723A" w:rsidP="00B3723A">
      <w:pPr>
        <w:pStyle w:val="Caption"/>
        <w:rPr>
          <w:rStyle w:val="CommentReference"/>
          <w:b/>
          <w:szCs w:val="24"/>
        </w:rPr>
      </w:pPr>
      <w:bookmarkStart w:id="54" w:name="_Ref104805037"/>
      <w:r w:rsidRPr="00804648">
        <w:t xml:space="preserve">Table </w:t>
      </w:r>
      <w:fldSimple w:instr=" SEQ Table \* ARABIC " w:fldLock="1">
        <w:r w:rsidR="005D02DA" w:rsidRPr="00804648">
          <w:t>12</w:t>
        </w:r>
      </w:fldSimple>
      <w:bookmarkEnd w:id="54"/>
      <w:r w:rsidRPr="00804648">
        <w:t xml:space="preserve">: </w:t>
      </w:r>
      <w:r w:rsidRPr="00804648">
        <w:rPr>
          <w:rStyle w:val="CommentReference"/>
          <w:b/>
          <w:szCs w:val="24"/>
        </w:rPr>
        <w:t>Summary of comparative benefits and harms for olipudase alfa and BSC</w:t>
      </w:r>
    </w:p>
    <w:tbl>
      <w:tblPr>
        <w:tblW w:w="5000" w:type="pct"/>
        <w:tblCellMar>
          <w:left w:w="28" w:type="dxa"/>
          <w:right w:w="28" w:type="dxa"/>
        </w:tblCellMar>
        <w:tblLook w:val="04A0" w:firstRow="1" w:lastRow="0" w:firstColumn="1" w:lastColumn="0" w:noHBand="0" w:noVBand="1"/>
      </w:tblPr>
      <w:tblGrid>
        <w:gridCol w:w="1694"/>
        <w:gridCol w:w="429"/>
        <w:gridCol w:w="851"/>
        <w:gridCol w:w="281"/>
        <w:gridCol w:w="995"/>
        <w:gridCol w:w="141"/>
        <w:gridCol w:w="424"/>
        <w:gridCol w:w="851"/>
        <w:gridCol w:w="285"/>
        <w:gridCol w:w="709"/>
        <w:gridCol w:w="287"/>
        <w:gridCol w:w="676"/>
        <w:gridCol w:w="1394"/>
      </w:tblGrid>
      <w:tr w:rsidR="00B3723A" w:rsidRPr="00804648" w14:paraId="34DE2C0F" w14:textId="7AEED871" w:rsidTr="008C351B">
        <w:trPr>
          <w:cantSplit/>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15C816D" w14:textId="11F4E481" w:rsidR="00B3723A" w:rsidRPr="00804648" w:rsidRDefault="00B3723A" w:rsidP="006F6FE5">
            <w:pPr>
              <w:pStyle w:val="In-tableHeading"/>
              <w:rPr>
                <w:lang w:val="en-AU"/>
              </w:rPr>
            </w:pPr>
            <w:r w:rsidRPr="00804648">
              <w:rPr>
                <w:lang w:val="en-AU"/>
              </w:rPr>
              <w:t>Benefits: Percentage change from baseline at week 52</w:t>
            </w:r>
          </w:p>
        </w:tc>
      </w:tr>
      <w:tr w:rsidR="00B3723A" w:rsidRPr="00804648" w14:paraId="19D4D025" w14:textId="1AFF27B6" w:rsidTr="008C351B">
        <w:trPr>
          <w:cantSplit/>
          <w:trHeight w:val="225"/>
        </w:trPr>
        <w:tc>
          <w:tcPr>
            <w:tcW w:w="9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4CFFC9" w14:textId="5D35F67F" w:rsidR="00B3723A" w:rsidRPr="00804648" w:rsidRDefault="00B3723A" w:rsidP="006F6FE5">
            <w:pPr>
              <w:pStyle w:val="TableText0"/>
              <w:rPr>
                <w:b/>
                <w:bCs w:val="0"/>
              </w:rPr>
            </w:pPr>
            <w:r w:rsidRPr="00804648">
              <w:rPr>
                <w:b/>
                <w:bCs w:val="0"/>
              </w:rPr>
              <w:t>Adult Population (ASCEND trial)</w:t>
            </w:r>
          </w:p>
        </w:tc>
        <w:tc>
          <w:tcPr>
            <w:tcW w:w="1496" w:type="pct"/>
            <w:gridSpan w:val="5"/>
            <w:tcBorders>
              <w:top w:val="single" w:sz="4" w:space="0" w:color="auto"/>
              <w:left w:val="single" w:sz="4" w:space="0" w:color="auto"/>
              <w:bottom w:val="single" w:sz="4" w:space="0" w:color="auto"/>
              <w:right w:val="single" w:sz="4" w:space="0" w:color="auto"/>
            </w:tcBorders>
            <w:vAlign w:val="center"/>
          </w:tcPr>
          <w:p w14:paraId="06FD8EAD" w14:textId="4242DED2" w:rsidR="00B3723A" w:rsidRPr="00804648" w:rsidRDefault="00B3723A" w:rsidP="006F6FE5">
            <w:pPr>
              <w:pStyle w:val="In-tableHeading"/>
              <w:jc w:val="center"/>
              <w:rPr>
                <w:szCs w:val="18"/>
                <w:lang w:val="en-AU"/>
              </w:rPr>
            </w:pPr>
            <w:r w:rsidRPr="00804648">
              <w:rPr>
                <w:szCs w:val="18"/>
                <w:lang w:val="en-AU"/>
              </w:rPr>
              <w:t>Olipudase alfa</w:t>
            </w:r>
          </w:p>
        </w:tc>
        <w:tc>
          <w:tcPr>
            <w:tcW w:w="1417" w:type="pct"/>
            <w:gridSpan w:val="5"/>
            <w:tcBorders>
              <w:top w:val="single" w:sz="4" w:space="0" w:color="auto"/>
              <w:left w:val="single" w:sz="4" w:space="0" w:color="auto"/>
              <w:bottom w:val="single" w:sz="4" w:space="0" w:color="auto"/>
              <w:right w:val="single" w:sz="4" w:space="0" w:color="auto"/>
            </w:tcBorders>
            <w:vAlign w:val="center"/>
          </w:tcPr>
          <w:p w14:paraId="48572F5B" w14:textId="11A47F5B" w:rsidR="00B3723A" w:rsidRPr="00804648" w:rsidRDefault="00B3723A" w:rsidP="006F6FE5">
            <w:pPr>
              <w:pStyle w:val="In-tableHeading"/>
              <w:jc w:val="center"/>
              <w:rPr>
                <w:lang w:val="en-AU"/>
              </w:rPr>
            </w:pPr>
            <w:r w:rsidRPr="00804648">
              <w:rPr>
                <w:lang w:val="en-AU"/>
              </w:rPr>
              <w:t>BSC</w:t>
            </w:r>
          </w:p>
        </w:tc>
        <w:tc>
          <w:tcPr>
            <w:tcW w:w="1148" w:type="pct"/>
            <w:gridSpan w:val="2"/>
            <w:vMerge w:val="restart"/>
            <w:tcBorders>
              <w:top w:val="single" w:sz="4" w:space="0" w:color="auto"/>
              <w:left w:val="single" w:sz="4" w:space="0" w:color="auto"/>
              <w:bottom w:val="single" w:sz="4" w:space="0" w:color="auto"/>
              <w:right w:val="single" w:sz="4" w:space="0" w:color="auto"/>
            </w:tcBorders>
            <w:vAlign w:val="center"/>
          </w:tcPr>
          <w:p w14:paraId="53C08BDA" w14:textId="42B5F6CC" w:rsidR="00B3723A" w:rsidRPr="00804648" w:rsidRDefault="00B3723A" w:rsidP="006F6FE5">
            <w:pPr>
              <w:pStyle w:val="In-tableHeading"/>
              <w:jc w:val="center"/>
              <w:rPr>
                <w:lang w:val="en-AU"/>
              </w:rPr>
            </w:pPr>
            <w:r w:rsidRPr="00804648">
              <w:rPr>
                <w:lang w:val="en-AU"/>
              </w:rPr>
              <w:t>LS Mean difference:</w:t>
            </w:r>
          </w:p>
          <w:p w14:paraId="1CC20336" w14:textId="4E4A392E" w:rsidR="00B3723A" w:rsidRPr="00804648" w:rsidRDefault="00B3723A" w:rsidP="006F6FE5">
            <w:pPr>
              <w:pStyle w:val="In-tableHeading"/>
              <w:jc w:val="center"/>
              <w:rPr>
                <w:szCs w:val="18"/>
                <w:lang w:val="en-AU"/>
              </w:rPr>
            </w:pPr>
            <w:r w:rsidRPr="00804648">
              <w:rPr>
                <w:szCs w:val="18"/>
                <w:lang w:val="en-AU"/>
              </w:rPr>
              <w:t>Olipudase alfa vs. BSC</w:t>
            </w:r>
          </w:p>
          <w:p w14:paraId="5A02005D" w14:textId="2BACB096" w:rsidR="00B3723A" w:rsidRPr="00804648" w:rsidRDefault="00B3723A" w:rsidP="006F6FE5">
            <w:pPr>
              <w:pStyle w:val="In-tableHeading"/>
              <w:jc w:val="center"/>
              <w:rPr>
                <w:szCs w:val="18"/>
                <w:lang w:val="en-AU"/>
              </w:rPr>
            </w:pPr>
            <w:r w:rsidRPr="00804648">
              <w:rPr>
                <w:szCs w:val="18"/>
                <w:lang w:val="en-AU"/>
              </w:rPr>
              <w:t>(95% CI)</w:t>
            </w:r>
          </w:p>
        </w:tc>
      </w:tr>
      <w:tr w:rsidR="00B3723A" w:rsidRPr="00804648" w14:paraId="3A2819F3" w14:textId="5538AB54" w:rsidTr="008C351B">
        <w:trPr>
          <w:cantSplit/>
          <w:trHeight w:val="225"/>
        </w:trPr>
        <w:tc>
          <w:tcPr>
            <w:tcW w:w="9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441E58C" w14:textId="49A333F4" w:rsidR="00B3723A" w:rsidRPr="00804648" w:rsidRDefault="00B3723A" w:rsidP="006F6FE5">
            <w:pPr>
              <w:keepNext/>
              <w:keepLines/>
              <w:rPr>
                <w:rFonts w:ascii="Arial Narrow" w:hAnsi="Arial Narrow"/>
                <w:color w:val="000000"/>
                <w:sz w:val="20"/>
                <w:szCs w:val="18"/>
              </w:rPr>
            </w:pPr>
          </w:p>
        </w:tc>
        <w:tc>
          <w:tcPr>
            <w:tcW w:w="238" w:type="pct"/>
            <w:tcBorders>
              <w:top w:val="single" w:sz="4" w:space="0" w:color="auto"/>
              <w:left w:val="single" w:sz="4" w:space="0" w:color="auto"/>
              <w:bottom w:val="single" w:sz="4" w:space="0" w:color="auto"/>
              <w:right w:val="single" w:sz="4" w:space="0" w:color="auto"/>
            </w:tcBorders>
            <w:vAlign w:val="center"/>
          </w:tcPr>
          <w:p w14:paraId="3F0FF7FD" w14:textId="2CBB4BCE" w:rsidR="00B3723A" w:rsidRPr="00804648" w:rsidRDefault="00B3723A" w:rsidP="006F6FE5">
            <w:pPr>
              <w:pStyle w:val="In-tableHeading"/>
              <w:jc w:val="center"/>
              <w:rPr>
                <w:lang w:val="en-AU"/>
              </w:rPr>
            </w:pPr>
            <w:r w:rsidRPr="00804648">
              <w:rPr>
                <w:lang w:val="en-AU"/>
              </w:rPr>
              <w:t>N</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62A96D5D" w14:textId="1D12FAC1" w:rsidR="00B3723A" w:rsidRPr="00804648" w:rsidRDefault="00B3723A" w:rsidP="006F6FE5">
            <w:pPr>
              <w:pStyle w:val="In-tableHeading"/>
              <w:jc w:val="center"/>
              <w:rPr>
                <w:lang w:val="en-AU"/>
              </w:rPr>
            </w:pPr>
            <w:r w:rsidRPr="00804648">
              <w:rPr>
                <w:lang w:val="en-AU"/>
              </w:rPr>
              <w:t xml:space="preserve">% change, </w:t>
            </w:r>
          </w:p>
          <w:p w14:paraId="18D57B6E" w14:textId="07C10C94" w:rsidR="00B3723A" w:rsidRPr="00804648" w:rsidRDefault="00B3723A" w:rsidP="006F6FE5">
            <w:pPr>
              <w:pStyle w:val="In-tableHeading"/>
              <w:jc w:val="center"/>
              <w:rPr>
                <w:lang w:val="en-AU"/>
              </w:rPr>
            </w:pPr>
            <w:r w:rsidRPr="00804648">
              <w:rPr>
                <w:lang w:val="en-AU"/>
              </w:rPr>
              <w:t>LS mean</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0ECDAFD" w14:textId="6C9A435B" w:rsidR="00B3723A" w:rsidRPr="00804648" w:rsidRDefault="00B3723A" w:rsidP="006F6FE5">
            <w:pPr>
              <w:pStyle w:val="In-tableHeading"/>
              <w:jc w:val="center"/>
              <w:rPr>
                <w:lang w:val="en-AU"/>
              </w:rPr>
            </w:pPr>
            <w:r w:rsidRPr="00804648">
              <w:rPr>
                <w:lang w:val="en-AU"/>
              </w:rPr>
              <w:t>SE</w:t>
            </w:r>
          </w:p>
        </w:tc>
        <w:tc>
          <w:tcPr>
            <w:tcW w:w="235" w:type="pct"/>
            <w:tcBorders>
              <w:top w:val="single" w:sz="4" w:space="0" w:color="auto"/>
              <w:left w:val="single" w:sz="4" w:space="0" w:color="auto"/>
              <w:bottom w:val="single" w:sz="4" w:space="0" w:color="auto"/>
              <w:right w:val="single" w:sz="4" w:space="0" w:color="auto"/>
            </w:tcBorders>
            <w:vAlign w:val="center"/>
          </w:tcPr>
          <w:p w14:paraId="299A064F" w14:textId="0DA58CDA" w:rsidR="00B3723A" w:rsidRPr="00804648" w:rsidRDefault="00B3723A" w:rsidP="006F6FE5">
            <w:pPr>
              <w:pStyle w:val="In-tableHeading"/>
              <w:jc w:val="center"/>
              <w:rPr>
                <w:lang w:val="en-AU"/>
              </w:rPr>
            </w:pPr>
            <w:r w:rsidRPr="00804648">
              <w:rPr>
                <w:lang w:val="en-AU"/>
              </w:rPr>
              <w:t>N</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4F0DBD8" w14:textId="4ED98364" w:rsidR="00B3723A" w:rsidRPr="00804648" w:rsidRDefault="00B3723A" w:rsidP="006F6FE5">
            <w:pPr>
              <w:pStyle w:val="In-tableHeading"/>
              <w:jc w:val="center"/>
              <w:rPr>
                <w:lang w:val="en-AU"/>
              </w:rPr>
            </w:pPr>
            <w:r w:rsidRPr="00804648">
              <w:rPr>
                <w:lang w:val="en-AU"/>
              </w:rPr>
              <w:t xml:space="preserve">% change, </w:t>
            </w:r>
          </w:p>
          <w:p w14:paraId="772EAA75" w14:textId="5480B91E" w:rsidR="00B3723A" w:rsidRPr="00804648" w:rsidRDefault="00B3723A" w:rsidP="006F6FE5">
            <w:pPr>
              <w:pStyle w:val="In-tableHeading"/>
              <w:jc w:val="center"/>
              <w:rPr>
                <w:lang w:val="en-AU"/>
              </w:rPr>
            </w:pPr>
            <w:r w:rsidRPr="00804648">
              <w:rPr>
                <w:lang w:val="en-AU"/>
              </w:rPr>
              <w:t>LS mean</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544E4529" w14:textId="2890902C" w:rsidR="00B3723A" w:rsidRPr="00804648" w:rsidRDefault="00B3723A" w:rsidP="006F6FE5">
            <w:pPr>
              <w:pStyle w:val="In-tableHeading"/>
              <w:jc w:val="center"/>
              <w:rPr>
                <w:lang w:val="en-AU"/>
              </w:rPr>
            </w:pPr>
            <w:r w:rsidRPr="00804648">
              <w:rPr>
                <w:lang w:val="en-AU"/>
              </w:rPr>
              <w:t>S</w:t>
            </w:r>
            <w:r w:rsidR="00597997" w:rsidRPr="00804648">
              <w:rPr>
                <w:lang w:val="en-AU"/>
              </w:rPr>
              <w:t>E</w:t>
            </w:r>
          </w:p>
        </w:tc>
        <w:tc>
          <w:tcPr>
            <w:tcW w:w="1148" w:type="pct"/>
            <w:gridSpan w:val="2"/>
            <w:vMerge/>
            <w:tcBorders>
              <w:top w:val="single" w:sz="4" w:space="0" w:color="auto"/>
              <w:left w:val="single" w:sz="4" w:space="0" w:color="auto"/>
              <w:bottom w:val="single" w:sz="4" w:space="0" w:color="auto"/>
              <w:right w:val="single" w:sz="4" w:space="0" w:color="auto"/>
            </w:tcBorders>
            <w:vAlign w:val="center"/>
          </w:tcPr>
          <w:p w14:paraId="59C01D12" w14:textId="4CF7B071" w:rsidR="00B3723A" w:rsidRPr="00804648" w:rsidRDefault="00B3723A" w:rsidP="006F6FE5">
            <w:pPr>
              <w:keepNext/>
              <w:keepLines/>
              <w:jc w:val="center"/>
              <w:rPr>
                <w:rFonts w:ascii="Arial Narrow" w:hAnsi="Arial Narrow"/>
                <w:b/>
                <w:sz w:val="20"/>
                <w:szCs w:val="18"/>
              </w:rPr>
            </w:pPr>
          </w:p>
        </w:tc>
      </w:tr>
      <w:tr w:rsidR="00B3723A" w:rsidRPr="00804648" w14:paraId="78AD1609" w14:textId="3C57C564" w:rsidTr="008C351B">
        <w:trPr>
          <w:cantSplit/>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2F785406" w14:textId="0E312DAF" w:rsidR="00B3723A" w:rsidRPr="00804648" w:rsidRDefault="00B3723A" w:rsidP="006F6FE5">
            <w:pPr>
              <w:pStyle w:val="TableText0"/>
            </w:pPr>
            <w:r w:rsidRPr="00804648">
              <w:t>Spleen volume (MN)</w:t>
            </w:r>
          </w:p>
        </w:tc>
        <w:tc>
          <w:tcPr>
            <w:tcW w:w="238" w:type="pct"/>
            <w:tcBorders>
              <w:top w:val="single" w:sz="4" w:space="0" w:color="auto"/>
              <w:left w:val="single" w:sz="4" w:space="0" w:color="auto"/>
              <w:bottom w:val="single" w:sz="4" w:space="0" w:color="auto"/>
              <w:right w:val="single" w:sz="4" w:space="0" w:color="auto"/>
            </w:tcBorders>
            <w:vAlign w:val="center"/>
          </w:tcPr>
          <w:p w14:paraId="363C2E5E" w14:textId="44CEB70D" w:rsidR="00B3723A" w:rsidRPr="00804648" w:rsidRDefault="00B3723A" w:rsidP="006F6FE5">
            <w:pPr>
              <w:pStyle w:val="TableText0"/>
              <w:jc w:val="center"/>
            </w:pPr>
            <w:r w:rsidRPr="00804648">
              <w:t>18</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DCB8ADD" w14:textId="4D5E7A8E" w:rsidR="00B3723A" w:rsidRPr="00804648" w:rsidRDefault="00B3723A" w:rsidP="006F6FE5">
            <w:pPr>
              <w:pStyle w:val="TableText0"/>
              <w:jc w:val="center"/>
            </w:pPr>
            <w:r w:rsidRPr="00804648">
              <w:t>-39.5</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49B1B66" w14:textId="34799E3E" w:rsidR="00B3723A" w:rsidRPr="00804648" w:rsidRDefault="00B3723A" w:rsidP="006F6FE5">
            <w:pPr>
              <w:pStyle w:val="TableText0"/>
              <w:jc w:val="center"/>
            </w:pPr>
            <w:r w:rsidRPr="00804648">
              <w:t>2</w:t>
            </w:r>
            <w:r w:rsidR="00E71C4F" w:rsidRPr="00804648">
              <w:t>.</w:t>
            </w:r>
            <w:r w:rsidRPr="00804648">
              <w:t>4</w:t>
            </w:r>
          </w:p>
        </w:tc>
        <w:tc>
          <w:tcPr>
            <w:tcW w:w="235" w:type="pct"/>
            <w:tcBorders>
              <w:top w:val="single" w:sz="4" w:space="0" w:color="auto"/>
              <w:left w:val="single" w:sz="4" w:space="0" w:color="auto"/>
              <w:bottom w:val="single" w:sz="4" w:space="0" w:color="auto"/>
              <w:right w:val="single" w:sz="4" w:space="0" w:color="auto"/>
            </w:tcBorders>
            <w:vAlign w:val="center"/>
          </w:tcPr>
          <w:p w14:paraId="0D76ED1A" w14:textId="18287FE9" w:rsidR="00B3723A" w:rsidRPr="00804648" w:rsidRDefault="00B3723A" w:rsidP="006F6FE5">
            <w:pPr>
              <w:pStyle w:val="TableText0"/>
              <w:jc w:val="center"/>
            </w:pPr>
            <w:r w:rsidRPr="00804648">
              <w:t>18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2672B824" w14:textId="2EF2AACF" w:rsidR="00B3723A" w:rsidRPr="00804648" w:rsidRDefault="00B3723A" w:rsidP="006F6FE5">
            <w:pPr>
              <w:pStyle w:val="TableText0"/>
              <w:jc w:val="center"/>
            </w:pPr>
            <w:r w:rsidRPr="00804648">
              <w:t>0.5</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1A0F11AD" w14:textId="5624D9AF" w:rsidR="00B3723A" w:rsidRPr="00804648" w:rsidRDefault="00B3723A" w:rsidP="006F6FE5">
            <w:pPr>
              <w:pStyle w:val="TableText0"/>
              <w:jc w:val="center"/>
            </w:pPr>
            <w:r w:rsidRPr="00804648">
              <w:t>2.5</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4F25D018" w14:textId="05CD9EF5" w:rsidR="00B3723A" w:rsidRPr="00804648" w:rsidRDefault="00B3723A" w:rsidP="006F6FE5">
            <w:pPr>
              <w:pStyle w:val="TableText0"/>
              <w:jc w:val="center"/>
              <w:rPr>
                <w:b/>
                <w:bCs w:val="0"/>
              </w:rPr>
            </w:pPr>
            <w:r w:rsidRPr="00804648">
              <w:rPr>
                <w:b/>
                <w:bCs w:val="0"/>
              </w:rPr>
              <w:t>-39.9 (-47.1, -32.8)</w:t>
            </w:r>
          </w:p>
        </w:tc>
      </w:tr>
      <w:tr w:rsidR="00B3723A" w:rsidRPr="00804648" w14:paraId="33DD81F4" w14:textId="4E7B1090" w:rsidTr="008C351B">
        <w:trPr>
          <w:cantSplit/>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23335800" w14:textId="7DEB0B54" w:rsidR="00B3723A" w:rsidRPr="00804648" w:rsidRDefault="00B3723A" w:rsidP="006F6FE5">
            <w:pPr>
              <w:pStyle w:val="TableText0"/>
            </w:pPr>
            <w:r w:rsidRPr="00804648">
              <w:t xml:space="preserve">% predicted </w:t>
            </w:r>
            <w:r w:rsidR="00BD6F49" w:rsidRPr="00804648">
              <w:t>DLco</w:t>
            </w:r>
          </w:p>
        </w:tc>
        <w:tc>
          <w:tcPr>
            <w:tcW w:w="238" w:type="pct"/>
            <w:tcBorders>
              <w:top w:val="single" w:sz="4" w:space="0" w:color="auto"/>
              <w:left w:val="single" w:sz="4" w:space="0" w:color="auto"/>
              <w:bottom w:val="single" w:sz="4" w:space="0" w:color="auto"/>
              <w:right w:val="single" w:sz="4" w:space="0" w:color="auto"/>
            </w:tcBorders>
            <w:vAlign w:val="center"/>
          </w:tcPr>
          <w:p w14:paraId="03C3ADE1" w14:textId="38CA7D81" w:rsidR="00B3723A" w:rsidRPr="00804648" w:rsidRDefault="00B3723A" w:rsidP="006F6FE5">
            <w:pPr>
              <w:pStyle w:val="TableText0"/>
              <w:jc w:val="center"/>
            </w:pPr>
            <w:r w:rsidRPr="00804648">
              <w:t>18</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04F234DC" w14:textId="71EA43E0" w:rsidR="00B3723A" w:rsidRPr="00804648" w:rsidRDefault="00B3723A" w:rsidP="006F6FE5">
            <w:pPr>
              <w:pStyle w:val="TableText0"/>
              <w:jc w:val="center"/>
            </w:pPr>
            <w:r w:rsidRPr="00804648">
              <w:t>22.0</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AE27E2A" w14:textId="423EF273" w:rsidR="00B3723A" w:rsidRPr="00804648" w:rsidRDefault="00B3723A" w:rsidP="006F6FE5">
            <w:pPr>
              <w:pStyle w:val="TableText0"/>
              <w:jc w:val="center"/>
            </w:pPr>
            <w:r w:rsidRPr="00804648">
              <w:t>3.3</w:t>
            </w:r>
          </w:p>
        </w:tc>
        <w:tc>
          <w:tcPr>
            <w:tcW w:w="235" w:type="pct"/>
            <w:tcBorders>
              <w:top w:val="single" w:sz="4" w:space="0" w:color="auto"/>
              <w:left w:val="single" w:sz="4" w:space="0" w:color="auto"/>
              <w:bottom w:val="single" w:sz="4" w:space="0" w:color="auto"/>
              <w:right w:val="single" w:sz="4" w:space="0" w:color="auto"/>
            </w:tcBorders>
            <w:vAlign w:val="center"/>
          </w:tcPr>
          <w:p w14:paraId="3E0EEB79" w14:textId="7551CD0F" w:rsidR="00B3723A" w:rsidRPr="00804648" w:rsidRDefault="00B3723A" w:rsidP="006F6FE5">
            <w:pPr>
              <w:pStyle w:val="TableText0"/>
              <w:jc w:val="center"/>
            </w:pPr>
            <w:r w:rsidRPr="00804648">
              <w:t>18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D6C4F1B" w14:textId="284C0874" w:rsidR="00B3723A" w:rsidRPr="00804648" w:rsidRDefault="00B3723A" w:rsidP="006F6FE5">
            <w:pPr>
              <w:pStyle w:val="TableText0"/>
              <w:jc w:val="center"/>
            </w:pPr>
            <w:r w:rsidRPr="00804648">
              <w:t>3.0</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1F23A9F5" w14:textId="2C4B6B3B" w:rsidR="00B3723A" w:rsidRPr="00804648" w:rsidRDefault="00B3723A" w:rsidP="006F6FE5">
            <w:pPr>
              <w:pStyle w:val="TableText0"/>
              <w:jc w:val="center"/>
            </w:pPr>
            <w:r w:rsidRPr="00804648">
              <w:t>3.4</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363BEC1A" w14:textId="0BB589FB" w:rsidR="00B3723A" w:rsidRPr="00804648" w:rsidRDefault="00B3723A" w:rsidP="006F6FE5">
            <w:pPr>
              <w:pStyle w:val="TableText0"/>
              <w:jc w:val="center"/>
              <w:rPr>
                <w:b/>
                <w:bCs w:val="0"/>
              </w:rPr>
            </w:pPr>
            <w:r w:rsidRPr="00804648">
              <w:rPr>
                <w:b/>
                <w:bCs w:val="0"/>
              </w:rPr>
              <w:t>19.0 (9.3, 28.7)</w:t>
            </w:r>
          </w:p>
        </w:tc>
      </w:tr>
      <w:tr w:rsidR="00B3723A" w:rsidRPr="00804648" w14:paraId="7DC3F5A1" w14:textId="68C458FE" w:rsidTr="008C351B">
        <w:trPr>
          <w:cantSplit/>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53CF45AE" w14:textId="7ED932FF" w:rsidR="00B3723A" w:rsidRPr="00804648" w:rsidRDefault="00B3723A" w:rsidP="006F6FE5">
            <w:pPr>
              <w:pStyle w:val="TableText0"/>
            </w:pPr>
            <w:r w:rsidRPr="00804648">
              <w:t>Liver volume (MN)</w:t>
            </w:r>
          </w:p>
        </w:tc>
        <w:tc>
          <w:tcPr>
            <w:tcW w:w="238" w:type="pct"/>
            <w:tcBorders>
              <w:top w:val="single" w:sz="4" w:space="0" w:color="auto"/>
              <w:left w:val="single" w:sz="4" w:space="0" w:color="auto"/>
              <w:bottom w:val="single" w:sz="4" w:space="0" w:color="auto"/>
              <w:right w:val="single" w:sz="4" w:space="0" w:color="auto"/>
            </w:tcBorders>
            <w:vAlign w:val="center"/>
          </w:tcPr>
          <w:p w14:paraId="51B10E75" w14:textId="576EC794" w:rsidR="00B3723A" w:rsidRPr="00804648" w:rsidRDefault="00B3723A" w:rsidP="006F6FE5">
            <w:pPr>
              <w:pStyle w:val="TableText0"/>
              <w:jc w:val="center"/>
            </w:pPr>
            <w:r w:rsidRPr="00804648">
              <w:t>18</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10848E13" w14:textId="29549664" w:rsidR="00B3723A" w:rsidRPr="00804648" w:rsidRDefault="00DB4226" w:rsidP="006F6FE5">
            <w:pPr>
              <w:pStyle w:val="TableText0"/>
              <w:jc w:val="center"/>
            </w:pPr>
            <w:r w:rsidRPr="00804648">
              <w:t>-</w:t>
            </w:r>
            <w:r w:rsidR="00B3723A" w:rsidRPr="00804648">
              <w:t>28.1</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84B3423" w14:textId="6355C73C" w:rsidR="00B3723A" w:rsidRPr="00804648" w:rsidRDefault="00B3723A" w:rsidP="006F6FE5">
            <w:pPr>
              <w:pStyle w:val="TableText0"/>
              <w:jc w:val="center"/>
            </w:pPr>
            <w:r w:rsidRPr="00804648">
              <w:t>2.5</w:t>
            </w:r>
          </w:p>
        </w:tc>
        <w:tc>
          <w:tcPr>
            <w:tcW w:w="235" w:type="pct"/>
            <w:tcBorders>
              <w:top w:val="single" w:sz="4" w:space="0" w:color="auto"/>
              <w:left w:val="single" w:sz="4" w:space="0" w:color="auto"/>
              <w:bottom w:val="single" w:sz="4" w:space="0" w:color="auto"/>
              <w:right w:val="single" w:sz="4" w:space="0" w:color="auto"/>
            </w:tcBorders>
            <w:vAlign w:val="center"/>
          </w:tcPr>
          <w:p w14:paraId="081BF643" w14:textId="7E42165A" w:rsidR="00B3723A" w:rsidRPr="00804648" w:rsidRDefault="00B3723A" w:rsidP="006F6FE5">
            <w:pPr>
              <w:pStyle w:val="TableText0"/>
              <w:jc w:val="center"/>
            </w:pPr>
            <w:r w:rsidRPr="00804648">
              <w:t>18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3C3301F" w14:textId="2363140F" w:rsidR="00B3723A" w:rsidRPr="00804648" w:rsidRDefault="00B3723A" w:rsidP="006F6FE5">
            <w:pPr>
              <w:pStyle w:val="TableText0"/>
              <w:jc w:val="center"/>
            </w:pPr>
            <w:r w:rsidRPr="00804648">
              <w:t>-1.5</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6219EF8C" w14:textId="02DC6AFB" w:rsidR="00B3723A" w:rsidRPr="00804648" w:rsidRDefault="00B3723A" w:rsidP="006F6FE5">
            <w:pPr>
              <w:pStyle w:val="TableText0"/>
              <w:jc w:val="center"/>
            </w:pPr>
            <w:r w:rsidRPr="00804648">
              <w:t>2.5</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1807C958" w14:textId="580F9497" w:rsidR="00B3723A" w:rsidRPr="00804648" w:rsidRDefault="00DB4226" w:rsidP="006F6FE5">
            <w:pPr>
              <w:pStyle w:val="TableText0"/>
              <w:jc w:val="center"/>
              <w:rPr>
                <w:b/>
                <w:bCs w:val="0"/>
              </w:rPr>
            </w:pPr>
            <w:r w:rsidRPr="00804648">
              <w:rPr>
                <w:b/>
                <w:bCs w:val="0"/>
              </w:rPr>
              <w:t>-</w:t>
            </w:r>
            <w:r w:rsidR="00B3723A" w:rsidRPr="00804648">
              <w:rPr>
                <w:b/>
                <w:bCs w:val="0"/>
              </w:rPr>
              <w:t>26.6 (</w:t>
            </w:r>
            <w:r w:rsidRPr="00804648">
              <w:rPr>
                <w:b/>
                <w:bCs w:val="0"/>
              </w:rPr>
              <w:t>-</w:t>
            </w:r>
            <w:r w:rsidR="00B3723A" w:rsidRPr="00804648">
              <w:rPr>
                <w:b/>
                <w:bCs w:val="0"/>
              </w:rPr>
              <w:t xml:space="preserve">33.9, </w:t>
            </w:r>
            <w:r w:rsidRPr="00804648">
              <w:rPr>
                <w:b/>
                <w:bCs w:val="0"/>
              </w:rPr>
              <w:t>-</w:t>
            </w:r>
            <w:r w:rsidR="00B3723A" w:rsidRPr="00804648">
              <w:rPr>
                <w:b/>
                <w:bCs w:val="0"/>
              </w:rPr>
              <w:t>19.3)</w:t>
            </w:r>
          </w:p>
        </w:tc>
      </w:tr>
      <w:tr w:rsidR="00B3723A" w:rsidRPr="00804648" w14:paraId="18DD6E4B" w14:textId="3203D2AE" w:rsidTr="008C351B">
        <w:trPr>
          <w:cantSplit/>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61B31853" w14:textId="138C669D" w:rsidR="00B3723A" w:rsidRPr="00804648" w:rsidRDefault="00B3723A" w:rsidP="006F6FE5">
            <w:pPr>
              <w:pStyle w:val="TableText0"/>
            </w:pPr>
            <w:r w:rsidRPr="00804648">
              <w:t>Platelet counts, 10</w:t>
            </w:r>
            <w:r w:rsidRPr="00804648">
              <w:rPr>
                <w:vertAlign w:val="superscript"/>
              </w:rPr>
              <w:t>9</w:t>
            </w:r>
            <w:r w:rsidRPr="00804648">
              <w:t>/L</w:t>
            </w:r>
          </w:p>
        </w:tc>
        <w:tc>
          <w:tcPr>
            <w:tcW w:w="238" w:type="pct"/>
            <w:tcBorders>
              <w:top w:val="single" w:sz="4" w:space="0" w:color="auto"/>
              <w:left w:val="single" w:sz="4" w:space="0" w:color="auto"/>
              <w:bottom w:val="single" w:sz="4" w:space="0" w:color="auto"/>
              <w:right w:val="single" w:sz="4" w:space="0" w:color="auto"/>
            </w:tcBorders>
            <w:vAlign w:val="center"/>
          </w:tcPr>
          <w:p w14:paraId="2EB9054A" w14:textId="7421A7BB" w:rsidR="00B3723A" w:rsidRPr="00804648" w:rsidRDefault="00B3723A" w:rsidP="006F6FE5">
            <w:pPr>
              <w:pStyle w:val="TableText0"/>
              <w:jc w:val="center"/>
            </w:pPr>
            <w:r w:rsidRPr="00804648">
              <w:t>18</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0B0CB942" w14:textId="2E3E4CC7" w:rsidR="00B3723A" w:rsidRPr="00804648" w:rsidRDefault="00B3723A" w:rsidP="006F6FE5">
            <w:pPr>
              <w:pStyle w:val="TableText0"/>
              <w:jc w:val="center"/>
            </w:pPr>
            <w:r w:rsidRPr="00804648">
              <w:t>16.8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22BD67F" w14:textId="4ECFC127" w:rsidR="00B3723A" w:rsidRPr="00804648" w:rsidRDefault="00B3723A" w:rsidP="006F6FE5">
            <w:pPr>
              <w:pStyle w:val="TableText0"/>
              <w:jc w:val="center"/>
            </w:pPr>
            <w:r w:rsidRPr="00804648">
              <w:t>4.0</w:t>
            </w:r>
          </w:p>
        </w:tc>
        <w:tc>
          <w:tcPr>
            <w:tcW w:w="235" w:type="pct"/>
            <w:tcBorders>
              <w:top w:val="single" w:sz="4" w:space="0" w:color="auto"/>
              <w:left w:val="single" w:sz="4" w:space="0" w:color="auto"/>
              <w:bottom w:val="single" w:sz="4" w:space="0" w:color="auto"/>
              <w:right w:val="single" w:sz="4" w:space="0" w:color="auto"/>
            </w:tcBorders>
            <w:vAlign w:val="center"/>
          </w:tcPr>
          <w:p w14:paraId="66D07E7B" w14:textId="7C128C8A" w:rsidR="00B3723A" w:rsidRPr="00804648" w:rsidRDefault="00B3723A" w:rsidP="006F6FE5">
            <w:pPr>
              <w:pStyle w:val="TableText0"/>
              <w:jc w:val="center"/>
            </w:pPr>
            <w:r w:rsidRPr="00804648">
              <w:t>18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6791254D" w14:textId="027B2095" w:rsidR="00B3723A" w:rsidRPr="00804648" w:rsidRDefault="00B3723A" w:rsidP="006F6FE5">
            <w:pPr>
              <w:pStyle w:val="TableText0"/>
              <w:jc w:val="center"/>
            </w:pPr>
            <w:r w:rsidRPr="00804648">
              <w:t>2.5</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4650EC0A" w14:textId="624241D8" w:rsidR="00B3723A" w:rsidRPr="00804648" w:rsidRDefault="00B3723A" w:rsidP="006F6FE5">
            <w:pPr>
              <w:pStyle w:val="TableText0"/>
              <w:jc w:val="center"/>
            </w:pPr>
            <w:r w:rsidRPr="00804648">
              <w:t>4.2</w:t>
            </w:r>
          </w:p>
        </w:tc>
        <w:tc>
          <w:tcPr>
            <w:tcW w:w="1148" w:type="pct"/>
            <w:gridSpan w:val="2"/>
            <w:tcBorders>
              <w:top w:val="single" w:sz="4" w:space="0" w:color="auto"/>
              <w:left w:val="single" w:sz="4" w:space="0" w:color="auto"/>
              <w:bottom w:val="single" w:sz="4" w:space="0" w:color="auto"/>
              <w:right w:val="single" w:sz="4" w:space="0" w:color="auto"/>
            </w:tcBorders>
            <w:vAlign w:val="center"/>
          </w:tcPr>
          <w:p w14:paraId="297C1925" w14:textId="435BC0E4" w:rsidR="00B3723A" w:rsidRPr="00804648" w:rsidRDefault="00B3723A" w:rsidP="006F6FE5">
            <w:pPr>
              <w:pStyle w:val="TableText0"/>
              <w:jc w:val="center"/>
              <w:rPr>
                <w:b/>
                <w:bCs w:val="0"/>
              </w:rPr>
            </w:pPr>
            <w:r w:rsidRPr="00804648">
              <w:rPr>
                <w:b/>
                <w:bCs w:val="0"/>
              </w:rPr>
              <w:t>14.3 (2.6, 26.1)</w:t>
            </w:r>
          </w:p>
        </w:tc>
      </w:tr>
      <w:tr w:rsidR="00B3723A" w:rsidRPr="00804648" w14:paraId="1EBF32C7" w14:textId="2865B360" w:rsidTr="008C351B">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414D86A" w14:textId="48DB840D" w:rsidR="00B3723A" w:rsidRPr="00804648" w:rsidRDefault="00B3723A" w:rsidP="006F6FE5">
            <w:pPr>
              <w:pStyle w:val="In-tableHeading"/>
              <w:rPr>
                <w:lang w:val="en-AU"/>
              </w:rPr>
            </w:pPr>
            <w:r w:rsidRPr="00804648">
              <w:rPr>
                <w:lang w:val="en-AU"/>
              </w:rPr>
              <w:t xml:space="preserve">Harms </w:t>
            </w:r>
          </w:p>
        </w:tc>
      </w:tr>
      <w:tr w:rsidR="00B3723A" w:rsidRPr="00804648" w14:paraId="6C6F838D" w14:textId="1C7D9B85" w:rsidTr="003F09E1">
        <w:trPr>
          <w:trHeight w:val="70"/>
        </w:trPr>
        <w:tc>
          <w:tcPr>
            <w:tcW w:w="9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0BAEB9" w14:textId="57EA412E" w:rsidR="00B3723A" w:rsidRPr="00804648" w:rsidRDefault="00B3723A" w:rsidP="006F6FE5">
            <w:pPr>
              <w:pStyle w:val="In-tableHeading"/>
              <w:rPr>
                <w:lang w:val="en-AU"/>
              </w:rPr>
            </w:pPr>
            <w:r w:rsidRPr="00804648">
              <w:rPr>
                <w:lang w:val="en-AU"/>
              </w:rPr>
              <w:t>Adult Population</w:t>
            </w:r>
          </w:p>
          <w:p w14:paraId="633AAC0C" w14:textId="288AFAC9" w:rsidR="00B3723A" w:rsidRPr="00804648" w:rsidRDefault="00B3723A" w:rsidP="006F6FE5">
            <w:pPr>
              <w:pStyle w:val="In-tableHeading"/>
              <w:rPr>
                <w:lang w:val="en-AU"/>
              </w:rPr>
            </w:pPr>
            <w:r w:rsidRPr="00804648">
              <w:rPr>
                <w:lang w:val="en-AU"/>
              </w:rPr>
              <w:t>(ASCEND trial)</w:t>
            </w:r>
          </w:p>
        </w:tc>
        <w:tc>
          <w:tcPr>
            <w:tcW w:w="710" w:type="pct"/>
            <w:gridSpan w:val="2"/>
            <w:vMerge w:val="restart"/>
            <w:tcBorders>
              <w:top w:val="single" w:sz="4" w:space="0" w:color="auto"/>
              <w:left w:val="single" w:sz="4" w:space="0" w:color="auto"/>
              <w:bottom w:val="single" w:sz="4" w:space="0" w:color="auto"/>
              <w:right w:val="single" w:sz="4" w:space="0" w:color="auto"/>
            </w:tcBorders>
            <w:vAlign w:val="center"/>
          </w:tcPr>
          <w:p w14:paraId="5CE73514" w14:textId="4DEE86C0" w:rsidR="00B3723A" w:rsidRPr="00804648" w:rsidRDefault="00B3723A" w:rsidP="006F6FE5">
            <w:pPr>
              <w:pStyle w:val="In-tableHeading"/>
              <w:jc w:val="center"/>
              <w:rPr>
                <w:lang w:val="en-AU"/>
              </w:rPr>
            </w:pPr>
            <w:r w:rsidRPr="00804648">
              <w:rPr>
                <w:lang w:val="en-AU"/>
              </w:rPr>
              <w:t>Olipudase alfa n/N</w:t>
            </w:r>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tcPr>
          <w:p w14:paraId="2CEC2F9C" w14:textId="6D364750" w:rsidR="00B3723A" w:rsidRPr="00804648" w:rsidRDefault="00B3723A" w:rsidP="006F6FE5">
            <w:pPr>
              <w:pStyle w:val="In-tableHeading"/>
              <w:jc w:val="center"/>
              <w:rPr>
                <w:lang w:val="en-AU"/>
              </w:rPr>
            </w:pPr>
            <w:r w:rsidRPr="00804648">
              <w:rPr>
                <w:lang w:val="en-AU"/>
              </w:rPr>
              <w:t>BSC</w:t>
            </w:r>
          </w:p>
          <w:p w14:paraId="7BEB4A5C" w14:textId="733D7065" w:rsidR="00B3723A" w:rsidRPr="00804648" w:rsidRDefault="00B3723A" w:rsidP="006F6FE5">
            <w:pPr>
              <w:pStyle w:val="In-tableHeading"/>
              <w:jc w:val="center"/>
              <w:rPr>
                <w:lang w:val="en-AU"/>
              </w:rPr>
            </w:pPr>
            <w:r w:rsidRPr="00804648">
              <w:rPr>
                <w:lang w:val="en-AU"/>
              </w:rPr>
              <w:t>n/N</w:t>
            </w:r>
          </w:p>
        </w:tc>
        <w:tc>
          <w:tcPr>
            <w:tcW w:w="785" w:type="pct"/>
            <w:gridSpan w:val="3"/>
            <w:vMerge w:val="restart"/>
            <w:tcBorders>
              <w:top w:val="single" w:sz="4" w:space="0" w:color="auto"/>
              <w:left w:val="single" w:sz="4" w:space="0" w:color="auto"/>
              <w:bottom w:val="single" w:sz="4" w:space="0" w:color="auto"/>
              <w:right w:val="single" w:sz="4" w:space="0" w:color="auto"/>
            </w:tcBorders>
            <w:vAlign w:val="center"/>
          </w:tcPr>
          <w:p w14:paraId="0C90B1B2" w14:textId="0904457F" w:rsidR="00B3723A" w:rsidRPr="00804648" w:rsidRDefault="00B3723A" w:rsidP="006F6FE5">
            <w:pPr>
              <w:pStyle w:val="In-tableHeading"/>
              <w:jc w:val="center"/>
              <w:rPr>
                <w:lang w:val="en-AU"/>
              </w:rPr>
            </w:pPr>
            <w:r w:rsidRPr="00804648">
              <w:rPr>
                <w:lang w:val="en-AU"/>
              </w:rPr>
              <w:t>RR</w:t>
            </w:r>
          </w:p>
          <w:p w14:paraId="25FDC053" w14:textId="60F21DA1" w:rsidR="00B3723A" w:rsidRPr="00804648" w:rsidRDefault="00B3723A" w:rsidP="006F6FE5">
            <w:pPr>
              <w:pStyle w:val="In-tableHeading"/>
              <w:jc w:val="center"/>
              <w:rPr>
                <w:lang w:val="en-AU"/>
              </w:rPr>
            </w:pPr>
            <w:r w:rsidRPr="00804648">
              <w:rPr>
                <w:lang w:val="en-AU"/>
              </w:rPr>
              <w:t>(95% CI)</w:t>
            </w:r>
          </w:p>
        </w:tc>
        <w:tc>
          <w:tcPr>
            <w:tcW w:w="1085" w:type="pct"/>
            <w:gridSpan w:val="4"/>
            <w:tcBorders>
              <w:top w:val="single" w:sz="4" w:space="0" w:color="auto"/>
              <w:left w:val="single" w:sz="4" w:space="0" w:color="auto"/>
              <w:bottom w:val="single" w:sz="4" w:space="0" w:color="auto"/>
              <w:right w:val="single" w:sz="4" w:space="0" w:color="auto"/>
            </w:tcBorders>
            <w:vAlign w:val="center"/>
          </w:tcPr>
          <w:p w14:paraId="12C7EEA5" w14:textId="777344AC" w:rsidR="00B3723A" w:rsidRPr="00804648" w:rsidRDefault="00B3723A" w:rsidP="006F6FE5">
            <w:pPr>
              <w:pStyle w:val="In-tableHeading"/>
              <w:jc w:val="center"/>
              <w:rPr>
                <w:lang w:val="en-AU"/>
              </w:rPr>
            </w:pPr>
            <w:r w:rsidRPr="00804648">
              <w:rPr>
                <w:lang w:val="en-AU"/>
              </w:rPr>
              <w:t>Event rate/100 patients</w:t>
            </w:r>
          </w:p>
        </w:tc>
        <w:tc>
          <w:tcPr>
            <w:tcW w:w="773" w:type="pct"/>
            <w:vMerge w:val="restart"/>
            <w:tcBorders>
              <w:top w:val="single" w:sz="4" w:space="0" w:color="auto"/>
              <w:left w:val="single" w:sz="4" w:space="0" w:color="auto"/>
              <w:bottom w:val="single" w:sz="4" w:space="0" w:color="auto"/>
              <w:right w:val="single" w:sz="4" w:space="0" w:color="auto"/>
            </w:tcBorders>
            <w:vAlign w:val="center"/>
          </w:tcPr>
          <w:p w14:paraId="1B1AF627" w14:textId="5824A5F5" w:rsidR="00B3723A" w:rsidRPr="00804648" w:rsidRDefault="00B3723A" w:rsidP="006F6FE5">
            <w:pPr>
              <w:pStyle w:val="In-tableHeading"/>
              <w:jc w:val="center"/>
              <w:rPr>
                <w:lang w:val="en-AU"/>
              </w:rPr>
            </w:pPr>
            <w:r w:rsidRPr="00804648">
              <w:rPr>
                <w:lang w:val="en-AU"/>
              </w:rPr>
              <w:t>RD</w:t>
            </w:r>
          </w:p>
          <w:p w14:paraId="7461F135" w14:textId="362AA15F" w:rsidR="00B3723A" w:rsidRPr="00804648" w:rsidRDefault="00B3723A" w:rsidP="006F6FE5">
            <w:pPr>
              <w:pStyle w:val="In-tableHeading"/>
              <w:jc w:val="center"/>
              <w:rPr>
                <w:lang w:val="en-AU"/>
              </w:rPr>
            </w:pPr>
            <w:r w:rsidRPr="00804648">
              <w:rPr>
                <w:lang w:val="en-AU"/>
              </w:rPr>
              <w:t>(95% CI)</w:t>
            </w:r>
          </w:p>
        </w:tc>
      </w:tr>
      <w:tr w:rsidR="00B3723A" w:rsidRPr="00804648" w14:paraId="135A7B57" w14:textId="43500E6C" w:rsidTr="003F09E1">
        <w:trPr>
          <w:trHeight w:val="390"/>
        </w:trPr>
        <w:tc>
          <w:tcPr>
            <w:tcW w:w="9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D169776" w14:textId="19C40746" w:rsidR="00B3723A" w:rsidRPr="00804648" w:rsidRDefault="00B3723A" w:rsidP="006F6FE5">
            <w:pPr>
              <w:pStyle w:val="In-tableHeading"/>
              <w:rPr>
                <w:lang w:val="en-AU"/>
              </w:rPr>
            </w:pPr>
          </w:p>
        </w:tc>
        <w:tc>
          <w:tcPr>
            <w:tcW w:w="710" w:type="pct"/>
            <w:gridSpan w:val="2"/>
            <w:vMerge/>
            <w:tcBorders>
              <w:top w:val="single" w:sz="4" w:space="0" w:color="auto"/>
              <w:left w:val="single" w:sz="4" w:space="0" w:color="auto"/>
              <w:bottom w:val="single" w:sz="4" w:space="0" w:color="auto"/>
              <w:right w:val="single" w:sz="4" w:space="0" w:color="auto"/>
            </w:tcBorders>
            <w:vAlign w:val="center"/>
          </w:tcPr>
          <w:p w14:paraId="36BD3840" w14:textId="1057C6A0" w:rsidR="00B3723A" w:rsidRPr="00804648" w:rsidRDefault="00B3723A" w:rsidP="006F6FE5">
            <w:pPr>
              <w:pStyle w:val="In-tableHeading"/>
              <w:rPr>
                <w:lang w:val="en-AU"/>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tcPr>
          <w:p w14:paraId="1423B370" w14:textId="126B9276" w:rsidR="00B3723A" w:rsidRPr="00804648" w:rsidRDefault="00B3723A" w:rsidP="006F6FE5">
            <w:pPr>
              <w:pStyle w:val="In-tableHeading"/>
              <w:rPr>
                <w:lang w:val="en-AU"/>
              </w:rPr>
            </w:pPr>
          </w:p>
        </w:tc>
        <w:tc>
          <w:tcPr>
            <w:tcW w:w="785" w:type="pct"/>
            <w:gridSpan w:val="3"/>
            <w:vMerge/>
            <w:tcBorders>
              <w:top w:val="single" w:sz="4" w:space="0" w:color="auto"/>
              <w:left w:val="single" w:sz="4" w:space="0" w:color="auto"/>
              <w:bottom w:val="single" w:sz="4" w:space="0" w:color="auto"/>
              <w:right w:val="single" w:sz="4" w:space="0" w:color="auto"/>
            </w:tcBorders>
            <w:vAlign w:val="center"/>
          </w:tcPr>
          <w:p w14:paraId="38A78E67" w14:textId="43DE8465" w:rsidR="00B3723A" w:rsidRPr="00804648" w:rsidRDefault="00B3723A" w:rsidP="006F6FE5">
            <w:pPr>
              <w:pStyle w:val="In-tableHeading"/>
              <w:rPr>
                <w:lang w:val="en-AU"/>
              </w:rPr>
            </w:pP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0F0EE089" w14:textId="29675CDF" w:rsidR="00B3723A" w:rsidRPr="00804648" w:rsidRDefault="00B3723A" w:rsidP="006F6FE5">
            <w:pPr>
              <w:pStyle w:val="In-tableHeading"/>
              <w:jc w:val="center"/>
              <w:rPr>
                <w:lang w:val="en-AU"/>
              </w:rPr>
            </w:pPr>
            <w:r w:rsidRPr="00804648">
              <w:rPr>
                <w:szCs w:val="18"/>
                <w:lang w:val="en-AU"/>
              </w:rPr>
              <w:t>Olipudase alfa</w:t>
            </w:r>
          </w:p>
        </w:tc>
        <w:tc>
          <w:tcPr>
            <w:tcW w:w="534" w:type="pct"/>
            <w:gridSpan w:val="2"/>
            <w:tcBorders>
              <w:top w:val="single" w:sz="4" w:space="0" w:color="auto"/>
              <w:left w:val="single" w:sz="4" w:space="0" w:color="auto"/>
              <w:bottom w:val="single" w:sz="4" w:space="0" w:color="auto"/>
              <w:right w:val="single" w:sz="4" w:space="0" w:color="auto"/>
            </w:tcBorders>
            <w:vAlign w:val="center"/>
          </w:tcPr>
          <w:p w14:paraId="48C89673" w14:textId="4D3037FD" w:rsidR="00B3723A" w:rsidRPr="00804648" w:rsidRDefault="00B3723A" w:rsidP="006F6FE5">
            <w:pPr>
              <w:pStyle w:val="In-tableHeading"/>
              <w:jc w:val="center"/>
              <w:rPr>
                <w:lang w:val="en-AU"/>
              </w:rPr>
            </w:pPr>
            <w:r w:rsidRPr="00804648">
              <w:rPr>
                <w:lang w:val="en-AU"/>
              </w:rPr>
              <w:t>BSC</w:t>
            </w:r>
          </w:p>
        </w:tc>
        <w:tc>
          <w:tcPr>
            <w:tcW w:w="773" w:type="pct"/>
            <w:vMerge/>
            <w:tcBorders>
              <w:top w:val="single" w:sz="4" w:space="0" w:color="auto"/>
              <w:left w:val="single" w:sz="4" w:space="0" w:color="auto"/>
              <w:bottom w:val="single" w:sz="4" w:space="0" w:color="auto"/>
              <w:right w:val="single" w:sz="4" w:space="0" w:color="auto"/>
            </w:tcBorders>
            <w:vAlign w:val="center"/>
          </w:tcPr>
          <w:p w14:paraId="524099D6" w14:textId="4DE0C771" w:rsidR="00B3723A" w:rsidRPr="00804648" w:rsidRDefault="00B3723A" w:rsidP="006F6FE5">
            <w:pPr>
              <w:pStyle w:val="In-tableHeading"/>
              <w:rPr>
                <w:lang w:val="en-AU"/>
              </w:rPr>
            </w:pPr>
          </w:p>
        </w:tc>
      </w:tr>
      <w:tr w:rsidR="00B3723A" w:rsidRPr="00804648" w14:paraId="0EECAD31" w14:textId="643C279D" w:rsidTr="00A9033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113A6EDB" w14:textId="276B4CDF" w:rsidR="00B3723A" w:rsidRPr="00804648" w:rsidRDefault="00B3723A" w:rsidP="00A9033C">
            <w:pPr>
              <w:pStyle w:val="TableText0"/>
            </w:pPr>
            <w:r w:rsidRPr="00804648">
              <w:t>Any serious TEAEs</w:t>
            </w:r>
          </w:p>
        </w:tc>
        <w:tc>
          <w:tcPr>
            <w:tcW w:w="710" w:type="pct"/>
            <w:gridSpan w:val="2"/>
            <w:tcBorders>
              <w:top w:val="single" w:sz="4" w:space="0" w:color="auto"/>
              <w:left w:val="single" w:sz="4" w:space="0" w:color="auto"/>
              <w:bottom w:val="single" w:sz="4" w:space="0" w:color="auto"/>
              <w:right w:val="single" w:sz="4" w:space="0" w:color="auto"/>
            </w:tcBorders>
          </w:tcPr>
          <w:p w14:paraId="09BB8E85" w14:textId="3757DDE7" w:rsidR="00B3723A" w:rsidRPr="00804648" w:rsidRDefault="00B3723A" w:rsidP="006F6FE5">
            <w:pPr>
              <w:pStyle w:val="TableText0"/>
              <w:jc w:val="center"/>
            </w:pPr>
            <w:r w:rsidRPr="00804648">
              <w:t xml:space="preserve">3/18 </w:t>
            </w:r>
          </w:p>
          <w:p w14:paraId="7B573850" w14:textId="3B576E3D" w:rsidR="00B3723A" w:rsidRPr="00804648" w:rsidRDefault="00B3723A" w:rsidP="006F6FE5">
            <w:pPr>
              <w:pStyle w:val="TableText0"/>
              <w:jc w:val="center"/>
            </w:pPr>
            <w:r w:rsidRPr="00804648">
              <w:t>(16.7%)</w:t>
            </w:r>
          </w:p>
        </w:tc>
        <w:tc>
          <w:tcPr>
            <w:tcW w:w="708" w:type="pct"/>
            <w:gridSpan w:val="2"/>
            <w:tcBorders>
              <w:top w:val="single" w:sz="4" w:space="0" w:color="auto"/>
              <w:left w:val="single" w:sz="4" w:space="0" w:color="auto"/>
              <w:bottom w:val="single" w:sz="4" w:space="0" w:color="auto"/>
              <w:right w:val="single" w:sz="4" w:space="0" w:color="auto"/>
            </w:tcBorders>
          </w:tcPr>
          <w:p w14:paraId="5C185783" w14:textId="67F61F92" w:rsidR="00B3723A" w:rsidRPr="00804648" w:rsidRDefault="00B3723A" w:rsidP="006F6FE5">
            <w:pPr>
              <w:pStyle w:val="TableText0"/>
              <w:jc w:val="center"/>
            </w:pPr>
            <w:r w:rsidRPr="00804648">
              <w:t xml:space="preserve">4/18 </w:t>
            </w:r>
          </w:p>
          <w:p w14:paraId="2CE21F92" w14:textId="19187DE8" w:rsidR="00B3723A" w:rsidRPr="00804648" w:rsidRDefault="00B3723A" w:rsidP="006F6FE5">
            <w:pPr>
              <w:pStyle w:val="TableText0"/>
              <w:jc w:val="center"/>
            </w:pPr>
            <w:r w:rsidRPr="00804648">
              <w:t>(22.2%)</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79E1FBDA" w14:textId="14BD2B52" w:rsidR="00B3723A" w:rsidRPr="00804648" w:rsidRDefault="00B3723A" w:rsidP="006F6FE5">
            <w:pPr>
              <w:pStyle w:val="TableText0"/>
              <w:jc w:val="center"/>
            </w:pPr>
            <w:r w:rsidRPr="00804648">
              <w:t>0.75 (0.20, 2.88)</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D87D5E6" w14:textId="31155652" w:rsidR="00B3723A" w:rsidRPr="00804648" w:rsidRDefault="00B3723A" w:rsidP="006F6FE5">
            <w:pPr>
              <w:pStyle w:val="TableText0"/>
              <w:jc w:val="center"/>
            </w:pPr>
            <w:r w:rsidRPr="00804648">
              <w:t>17</w:t>
            </w:r>
          </w:p>
        </w:tc>
        <w:tc>
          <w:tcPr>
            <w:tcW w:w="534" w:type="pct"/>
            <w:gridSpan w:val="2"/>
            <w:tcBorders>
              <w:top w:val="single" w:sz="4" w:space="0" w:color="auto"/>
              <w:left w:val="single" w:sz="4" w:space="0" w:color="auto"/>
              <w:bottom w:val="single" w:sz="4" w:space="0" w:color="auto"/>
              <w:right w:val="single" w:sz="4" w:space="0" w:color="auto"/>
            </w:tcBorders>
            <w:vAlign w:val="center"/>
          </w:tcPr>
          <w:p w14:paraId="0F25D490" w14:textId="22C2AEA5" w:rsidR="00B3723A" w:rsidRPr="00804648" w:rsidRDefault="00B3723A" w:rsidP="006F6FE5">
            <w:pPr>
              <w:pStyle w:val="TableText0"/>
              <w:jc w:val="center"/>
            </w:pPr>
            <w:r w:rsidRPr="00804648">
              <w:t>22</w:t>
            </w:r>
          </w:p>
        </w:tc>
        <w:tc>
          <w:tcPr>
            <w:tcW w:w="773" w:type="pct"/>
            <w:tcBorders>
              <w:top w:val="single" w:sz="4" w:space="0" w:color="auto"/>
              <w:left w:val="single" w:sz="4" w:space="0" w:color="auto"/>
              <w:bottom w:val="single" w:sz="4" w:space="0" w:color="auto"/>
              <w:right w:val="single" w:sz="4" w:space="0" w:color="auto"/>
            </w:tcBorders>
            <w:vAlign w:val="center"/>
          </w:tcPr>
          <w:p w14:paraId="39586377" w14:textId="606A2C8E" w:rsidR="00B3723A" w:rsidRPr="00804648" w:rsidRDefault="00B3723A" w:rsidP="006F6FE5">
            <w:pPr>
              <w:pStyle w:val="TableText0"/>
              <w:jc w:val="center"/>
            </w:pPr>
            <w:r w:rsidRPr="00804648">
              <w:noBreakHyphen/>
              <w:t>0.06 (</w:t>
            </w:r>
            <w:r w:rsidRPr="00804648">
              <w:noBreakHyphen/>
              <w:t>0.31, 0.20)</w:t>
            </w:r>
          </w:p>
        </w:tc>
      </w:tr>
      <w:tr w:rsidR="00B3723A" w:rsidRPr="00804648" w14:paraId="6C30603B" w14:textId="5695DCC8" w:rsidTr="003F09E1">
        <w:tc>
          <w:tcPr>
            <w:tcW w:w="939" w:type="pct"/>
            <w:tcBorders>
              <w:top w:val="single" w:sz="4" w:space="0" w:color="auto"/>
              <w:left w:val="single" w:sz="4" w:space="0" w:color="auto"/>
              <w:bottom w:val="single" w:sz="4" w:space="0" w:color="auto"/>
              <w:right w:val="single" w:sz="4" w:space="0" w:color="auto"/>
            </w:tcBorders>
            <w:shd w:val="clear" w:color="auto" w:fill="auto"/>
          </w:tcPr>
          <w:p w14:paraId="28BCE5ED" w14:textId="157C6197" w:rsidR="00B3723A" w:rsidRPr="00804648" w:rsidRDefault="00B3723A" w:rsidP="006F6FE5">
            <w:pPr>
              <w:pStyle w:val="TableText0"/>
            </w:pPr>
            <w:r w:rsidRPr="00804648">
              <w:t>Any TEAEs potentially related to study drug</w:t>
            </w:r>
          </w:p>
        </w:tc>
        <w:tc>
          <w:tcPr>
            <w:tcW w:w="710" w:type="pct"/>
            <w:gridSpan w:val="2"/>
            <w:tcBorders>
              <w:top w:val="single" w:sz="4" w:space="0" w:color="auto"/>
              <w:left w:val="single" w:sz="4" w:space="0" w:color="auto"/>
              <w:bottom w:val="single" w:sz="4" w:space="0" w:color="auto"/>
              <w:right w:val="single" w:sz="4" w:space="0" w:color="auto"/>
            </w:tcBorders>
          </w:tcPr>
          <w:p w14:paraId="71CD869E" w14:textId="46D479BD" w:rsidR="00B3723A" w:rsidRPr="00804648" w:rsidRDefault="00B3723A" w:rsidP="006F6FE5">
            <w:pPr>
              <w:pStyle w:val="TableText0"/>
              <w:jc w:val="center"/>
            </w:pPr>
            <w:r w:rsidRPr="00804648">
              <w:t xml:space="preserve">12/18 </w:t>
            </w:r>
          </w:p>
          <w:p w14:paraId="74B24D36" w14:textId="598DDD19" w:rsidR="00B3723A" w:rsidRPr="00804648" w:rsidRDefault="00B3723A" w:rsidP="006F6FE5">
            <w:pPr>
              <w:pStyle w:val="TableText0"/>
              <w:jc w:val="center"/>
            </w:pPr>
            <w:r w:rsidRPr="00804648">
              <w:t>(66.7%)</w:t>
            </w:r>
          </w:p>
        </w:tc>
        <w:tc>
          <w:tcPr>
            <w:tcW w:w="708" w:type="pct"/>
            <w:gridSpan w:val="2"/>
            <w:tcBorders>
              <w:top w:val="single" w:sz="4" w:space="0" w:color="auto"/>
              <w:left w:val="single" w:sz="4" w:space="0" w:color="auto"/>
              <w:bottom w:val="single" w:sz="4" w:space="0" w:color="auto"/>
              <w:right w:val="single" w:sz="4" w:space="0" w:color="auto"/>
            </w:tcBorders>
          </w:tcPr>
          <w:p w14:paraId="77490D85" w14:textId="58529563" w:rsidR="00B3723A" w:rsidRPr="00804648" w:rsidRDefault="00B3723A" w:rsidP="006F6FE5">
            <w:pPr>
              <w:pStyle w:val="TableText0"/>
              <w:jc w:val="center"/>
            </w:pPr>
            <w:r w:rsidRPr="00804648">
              <w:t xml:space="preserve">6/18 </w:t>
            </w:r>
          </w:p>
          <w:p w14:paraId="48989FBA" w14:textId="0B48C94E" w:rsidR="00B3723A" w:rsidRPr="00804648" w:rsidRDefault="00B3723A" w:rsidP="006F6FE5">
            <w:pPr>
              <w:pStyle w:val="TableText0"/>
              <w:jc w:val="center"/>
            </w:pPr>
            <w:r w:rsidRPr="00804648">
              <w:t>(33.3%)</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22347884" w14:textId="22F9B194" w:rsidR="00B3723A" w:rsidRPr="00804648" w:rsidRDefault="00B3723A" w:rsidP="006F6FE5">
            <w:pPr>
              <w:pStyle w:val="TableText0"/>
              <w:jc w:val="center"/>
            </w:pPr>
            <w:r w:rsidRPr="00804648">
              <w:t>2.00 (0.96, 4.15)</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5200208A" w14:textId="04AC7D7D" w:rsidR="00B3723A" w:rsidRPr="00804648" w:rsidRDefault="00B3723A" w:rsidP="006F6FE5">
            <w:pPr>
              <w:pStyle w:val="TableText0"/>
              <w:jc w:val="center"/>
            </w:pPr>
            <w:r w:rsidRPr="00804648">
              <w:t>67</w:t>
            </w:r>
          </w:p>
        </w:tc>
        <w:tc>
          <w:tcPr>
            <w:tcW w:w="534" w:type="pct"/>
            <w:gridSpan w:val="2"/>
            <w:tcBorders>
              <w:top w:val="single" w:sz="4" w:space="0" w:color="auto"/>
              <w:left w:val="single" w:sz="4" w:space="0" w:color="auto"/>
              <w:bottom w:val="single" w:sz="4" w:space="0" w:color="auto"/>
              <w:right w:val="single" w:sz="4" w:space="0" w:color="auto"/>
            </w:tcBorders>
            <w:vAlign w:val="center"/>
          </w:tcPr>
          <w:p w14:paraId="69ED3E00" w14:textId="693173C7" w:rsidR="00B3723A" w:rsidRPr="00804648" w:rsidRDefault="00B3723A" w:rsidP="006F6FE5">
            <w:pPr>
              <w:pStyle w:val="TableText0"/>
              <w:jc w:val="center"/>
            </w:pPr>
            <w:r w:rsidRPr="00804648">
              <w:t>33</w:t>
            </w:r>
          </w:p>
        </w:tc>
        <w:tc>
          <w:tcPr>
            <w:tcW w:w="773" w:type="pct"/>
            <w:tcBorders>
              <w:top w:val="single" w:sz="4" w:space="0" w:color="auto"/>
              <w:left w:val="single" w:sz="4" w:space="0" w:color="auto"/>
              <w:bottom w:val="single" w:sz="4" w:space="0" w:color="auto"/>
              <w:right w:val="single" w:sz="4" w:space="0" w:color="auto"/>
            </w:tcBorders>
            <w:vAlign w:val="center"/>
          </w:tcPr>
          <w:p w14:paraId="4D70671B" w14:textId="394CE910" w:rsidR="00B3723A" w:rsidRPr="00804648" w:rsidRDefault="00B3723A" w:rsidP="006F6FE5">
            <w:pPr>
              <w:pStyle w:val="TableText0"/>
              <w:jc w:val="center"/>
            </w:pPr>
            <w:r w:rsidRPr="00804648">
              <w:t>0.33 (0.03, 0.64)</w:t>
            </w:r>
          </w:p>
        </w:tc>
      </w:tr>
      <w:tr w:rsidR="00B3723A" w:rsidRPr="00804648" w14:paraId="262D8E1B" w14:textId="22CDBF9A" w:rsidTr="003F09E1">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16E8A714" w14:textId="1C0BF07A" w:rsidR="00B3723A" w:rsidRPr="00804648" w:rsidRDefault="00B3723A" w:rsidP="006F6FE5">
            <w:pPr>
              <w:pStyle w:val="TableText0"/>
            </w:pPr>
            <w:r w:rsidRPr="00804648">
              <w:t>TEAEs considered infusion associated reactions</w:t>
            </w: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765E769D" w14:textId="781AD64A" w:rsidR="00B3723A" w:rsidRPr="00804648" w:rsidRDefault="00B3723A" w:rsidP="006F6FE5">
            <w:pPr>
              <w:pStyle w:val="TableText0"/>
              <w:jc w:val="center"/>
            </w:pPr>
            <w:r w:rsidRPr="00804648">
              <w:t>8/18</w:t>
            </w:r>
          </w:p>
          <w:p w14:paraId="20F968C3" w14:textId="4D7E3C69" w:rsidR="00B3723A" w:rsidRPr="00804648" w:rsidRDefault="00B3723A" w:rsidP="006F6FE5">
            <w:pPr>
              <w:pStyle w:val="TableText0"/>
              <w:jc w:val="center"/>
            </w:pPr>
            <w:r w:rsidRPr="00804648">
              <w:t>(44.4%)</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1B34C0E8" w14:textId="42A49494" w:rsidR="00B3723A" w:rsidRPr="00804648" w:rsidRDefault="00B3723A" w:rsidP="006F6FE5">
            <w:pPr>
              <w:pStyle w:val="TableText0"/>
              <w:jc w:val="center"/>
            </w:pPr>
            <w:r w:rsidRPr="00804648">
              <w:t>5/18</w:t>
            </w:r>
          </w:p>
          <w:p w14:paraId="51D9435F" w14:textId="0926005A" w:rsidR="00B3723A" w:rsidRPr="00804648" w:rsidRDefault="00B3723A" w:rsidP="006F6FE5">
            <w:pPr>
              <w:pStyle w:val="TableText0"/>
              <w:jc w:val="center"/>
            </w:pPr>
            <w:r w:rsidRPr="00804648">
              <w:t>(27.8%)</w:t>
            </w:r>
          </w:p>
        </w:tc>
        <w:tc>
          <w:tcPr>
            <w:tcW w:w="785" w:type="pct"/>
            <w:gridSpan w:val="3"/>
            <w:tcBorders>
              <w:top w:val="single" w:sz="4" w:space="0" w:color="auto"/>
              <w:left w:val="single" w:sz="4" w:space="0" w:color="auto"/>
              <w:bottom w:val="single" w:sz="4" w:space="0" w:color="auto"/>
              <w:right w:val="single" w:sz="4" w:space="0" w:color="auto"/>
            </w:tcBorders>
            <w:vAlign w:val="center"/>
          </w:tcPr>
          <w:p w14:paraId="16FA6B1B" w14:textId="125667A0" w:rsidR="00B3723A" w:rsidRPr="00804648" w:rsidRDefault="00B3723A" w:rsidP="006F6FE5">
            <w:pPr>
              <w:pStyle w:val="TableText0"/>
              <w:jc w:val="center"/>
            </w:pPr>
            <w:r w:rsidRPr="00804648">
              <w:t>1.60 (0.65; 3.96)</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1FEBAB40" w14:textId="756AB68F" w:rsidR="00B3723A" w:rsidRPr="00804648" w:rsidRDefault="00B3723A" w:rsidP="006F6FE5">
            <w:pPr>
              <w:pStyle w:val="TableText0"/>
              <w:jc w:val="center"/>
            </w:pPr>
            <w:r w:rsidRPr="00804648">
              <w:t>44</w:t>
            </w:r>
          </w:p>
        </w:tc>
        <w:tc>
          <w:tcPr>
            <w:tcW w:w="534" w:type="pct"/>
            <w:gridSpan w:val="2"/>
            <w:tcBorders>
              <w:top w:val="single" w:sz="4" w:space="0" w:color="auto"/>
              <w:left w:val="single" w:sz="4" w:space="0" w:color="auto"/>
              <w:bottom w:val="single" w:sz="4" w:space="0" w:color="auto"/>
              <w:right w:val="single" w:sz="4" w:space="0" w:color="auto"/>
            </w:tcBorders>
            <w:vAlign w:val="center"/>
          </w:tcPr>
          <w:p w14:paraId="2F1571D2" w14:textId="5374A3EB" w:rsidR="00B3723A" w:rsidRPr="00804648" w:rsidRDefault="00B3723A" w:rsidP="006F6FE5">
            <w:pPr>
              <w:pStyle w:val="TableText0"/>
              <w:jc w:val="center"/>
            </w:pPr>
            <w:r w:rsidRPr="00804648">
              <w:t>28</w:t>
            </w:r>
          </w:p>
        </w:tc>
        <w:tc>
          <w:tcPr>
            <w:tcW w:w="773" w:type="pct"/>
            <w:tcBorders>
              <w:top w:val="single" w:sz="4" w:space="0" w:color="auto"/>
              <w:left w:val="single" w:sz="4" w:space="0" w:color="auto"/>
              <w:bottom w:val="single" w:sz="4" w:space="0" w:color="auto"/>
              <w:right w:val="single" w:sz="4" w:space="0" w:color="auto"/>
            </w:tcBorders>
            <w:vAlign w:val="center"/>
          </w:tcPr>
          <w:p w14:paraId="64BC4846" w14:textId="67758720" w:rsidR="00B3723A" w:rsidRPr="00804648" w:rsidRDefault="00B3723A" w:rsidP="006F6FE5">
            <w:pPr>
              <w:pStyle w:val="TableText0"/>
              <w:jc w:val="center"/>
            </w:pPr>
            <w:r w:rsidRPr="00804648">
              <w:t>0.17 (</w:t>
            </w:r>
            <w:r w:rsidR="00091C7A" w:rsidRPr="00804648">
              <w:t>-</w:t>
            </w:r>
            <w:r w:rsidRPr="00804648">
              <w:t>0.14; 0.48)</w:t>
            </w:r>
          </w:p>
        </w:tc>
      </w:tr>
    </w:tbl>
    <w:p w14:paraId="72BFF777" w14:textId="595EC987" w:rsidR="00676A18" w:rsidRPr="00804648" w:rsidRDefault="00D55A97" w:rsidP="00D55A97">
      <w:pPr>
        <w:pStyle w:val="FooterTableFigure"/>
      </w:pPr>
      <w:r w:rsidRPr="00804648">
        <w:t>BSC</w:t>
      </w:r>
      <w:r w:rsidR="00F66E14" w:rsidRPr="00804648">
        <w:t xml:space="preserve"> = best supportive care, CI = confidence interval, DLco = diffusing capacity of the lung for carbon monoxide, LS = least squares, MN = multiples of normal, </w:t>
      </w:r>
      <w:r w:rsidR="00F66E14" w:rsidRPr="00804648">
        <w:rPr>
          <w:rFonts w:eastAsia="Calibri"/>
        </w:rPr>
        <w:t>n = number of participants reporting data, N = total participants in group, RD = risk difference, RR = relative risk, SE = standard error, TEAE = treatment emergent adverse event.</w:t>
      </w:r>
    </w:p>
    <w:p w14:paraId="4C157990" w14:textId="77777777" w:rsidR="00676A18" w:rsidRPr="00804648" w:rsidRDefault="00676A18" w:rsidP="00676A18">
      <w:pPr>
        <w:pStyle w:val="3-BodyText"/>
      </w:pPr>
      <w:r w:rsidRPr="00804648">
        <w:t>On the basis of direct evidence presented by the submission for the adult population, the comparison of olipudase alfa and BSC resulted in:</w:t>
      </w:r>
    </w:p>
    <w:p w14:paraId="054AA5C5" w14:textId="22F8B7AA" w:rsidR="00E23208" w:rsidRPr="00804648" w:rsidRDefault="00676A18" w:rsidP="00973855">
      <w:pPr>
        <w:pStyle w:val="ListParagraph"/>
        <w:numPr>
          <w:ilvl w:val="0"/>
          <w:numId w:val="9"/>
        </w:numPr>
        <w:ind w:left="1080"/>
        <w:rPr>
          <w:snapToGrid/>
        </w:rPr>
      </w:pPr>
      <w:r w:rsidRPr="00804648">
        <w:rPr>
          <w:snapToGrid/>
        </w:rPr>
        <w:t>Approximately 39.9% reduction in spleen volume (MN). The submission stated that a reduction of ≥30% is clinically significant.</w:t>
      </w:r>
      <w:r w:rsidRPr="00804648">
        <w:rPr>
          <w:i/>
          <w:iCs/>
          <w:snapToGrid/>
        </w:rPr>
        <w:t xml:space="preserve"> </w:t>
      </w:r>
      <w:r w:rsidRPr="00804648">
        <w:rPr>
          <w:snapToGrid/>
        </w:rPr>
        <w:t>However, this</w:t>
      </w:r>
      <w:r w:rsidR="00AB421F" w:rsidRPr="00804648">
        <w:rPr>
          <w:snapToGrid/>
        </w:rPr>
        <w:t xml:space="preserve"> threshold</w:t>
      </w:r>
      <w:r w:rsidRPr="00804648">
        <w:rPr>
          <w:snapToGrid/>
        </w:rPr>
        <w:t xml:space="preserve"> was based on patients with Gaucher disease and may not</w:t>
      </w:r>
      <w:r w:rsidR="00AB421F" w:rsidRPr="00804648">
        <w:rPr>
          <w:snapToGrid/>
        </w:rPr>
        <w:t xml:space="preserve"> be applicable to</w:t>
      </w:r>
      <w:r w:rsidRPr="00804648">
        <w:rPr>
          <w:snapToGrid/>
        </w:rPr>
        <w:t xml:space="preserve"> ASMD</w:t>
      </w:r>
      <w:r w:rsidR="00A308C6" w:rsidRPr="00804648">
        <w:rPr>
          <w:snapToGrid/>
        </w:rPr>
        <w:t xml:space="preserve"> patients</w:t>
      </w:r>
      <w:r w:rsidRPr="00804648">
        <w:rPr>
          <w:snapToGrid/>
        </w:rPr>
        <w:t>.</w:t>
      </w:r>
    </w:p>
    <w:p w14:paraId="2BEC3605" w14:textId="26062A1B" w:rsidR="00E23208" w:rsidRPr="00804648" w:rsidRDefault="00676A18" w:rsidP="00973855">
      <w:pPr>
        <w:pStyle w:val="ListParagraph"/>
        <w:numPr>
          <w:ilvl w:val="0"/>
          <w:numId w:val="9"/>
        </w:numPr>
        <w:ind w:left="1080"/>
        <w:rPr>
          <w:i/>
          <w:iCs/>
          <w:snapToGrid/>
        </w:rPr>
      </w:pPr>
      <w:r w:rsidRPr="00804648">
        <w:rPr>
          <w:snapToGrid/>
        </w:rPr>
        <w:t>Approximately 19.0% improvement in percent predicted DLco (MN). The submission stated that a reduction of ≥15% is clinically significant.</w:t>
      </w:r>
      <w:r w:rsidRPr="00804648">
        <w:rPr>
          <w:i/>
          <w:iCs/>
          <w:snapToGrid/>
        </w:rPr>
        <w:t xml:space="preserve"> </w:t>
      </w:r>
      <w:r w:rsidRPr="00804648">
        <w:rPr>
          <w:snapToGrid/>
        </w:rPr>
        <w:t xml:space="preserve">However, this </w:t>
      </w:r>
      <w:r w:rsidR="00AB421F" w:rsidRPr="00804648">
        <w:rPr>
          <w:snapToGrid/>
        </w:rPr>
        <w:t xml:space="preserve">threshold </w:t>
      </w:r>
      <w:r w:rsidRPr="00804648">
        <w:rPr>
          <w:snapToGrid/>
        </w:rPr>
        <w:t>was based on patients with interstitial lung disease (ILD) and may not</w:t>
      </w:r>
      <w:r w:rsidR="00AB421F" w:rsidRPr="00804648">
        <w:rPr>
          <w:snapToGrid/>
        </w:rPr>
        <w:t xml:space="preserve"> be applicable to</w:t>
      </w:r>
      <w:r w:rsidRPr="00804648">
        <w:rPr>
          <w:snapToGrid/>
        </w:rPr>
        <w:t xml:space="preserve"> ASMD</w:t>
      </w:r>
      <w:r w:rsidR="00A308C6" w:rsidRPr="00804648">
        <w:rPr>
          <w:snapToGrid/>
        </w:rPr>
        <w:t xml:space="preserve"> patients</w:t>
      </w:r>
      <w:r w:rsidR="008C2C2E" w:rsidRPr="00804648">
        <w:rPr>
          <w:snapToGrid/>
        </w:rPr>
        <w:t>.</w:t>
      </w:r>
    </w:p>
    <w:p w14:paraId="376D8392" w14:textId="302C3B50" w:rsidR="00676A18" w:rsidRPr="00804648" w:rsidRDefault="00676A18" w:rsidP="00676A18">
      <w:pPr>
        <w:pStyle w:val="3-BodyText"/>
      </w:pPr>
      <w:r w:rsidRPr="00804648">
        <w:lastRenderedPageBreak/>
        <w:t>On the basis of direct evidence presented by the submission, for every 100 adult patients treated with olipudase alfa in comparison with BSC over a median duration of treatment of 54 weeks:</w:t>
      </w:r>
    </w:p>
    <w:p w14:paraId="7F5D492F" w14:textId="77777777" w:rsidR="00676A18" w:rsidRPr="00804648" w:rsidRDefault="00676A18" w:rsidP="00A9033C">
      <w:pPr>
        <w:pStyle w:val="ListParagraph"/>
        <w:ind w:left="1080"/>
      </w:pPr>
      <w:r w:rsidRPr="00804648">
        <w:t>Approximately 33 additional patients would have TEAEs potentially related to olipudase alfa.</w:t>
      </w:r>
    </w:p>
    <w:p w14:paraId="38CD856A" w14:textId="77777777" w:rsidR="00676A18" w:rsidRPr="00804648" w:rsidRDefault="00676A18" w:rsidP="00A9033C">
      <w:pPr>
        <w:pStyle w:val="ListParagraph"/>
        <w:ind w:left="1080"/>
      </w:pPr>
      <w:r w:rsidRPr="00804648">
        <w:t>Approximately 17 additional patients would have infusion-associated reactions.</w:t>
      </w:r>
    </w:p>
    <w:p w14:paraId="12229C18" w14:textId="558A05B4" w:rsidR="00676A18" w:rsidRPr="00804648" w:rsidRDefault="00676A18" w:rsidP="00676A18">
      <w:pPr>
        <w:pStyle w:val="3-BodyText"/>
      </w:pPr>
      <w:r w:rsidRPr="00804648">
        <w:rPr>
          <w:snapToGrid/>
        </w:rPr>
        <w:t>The</w:t>
      </w:r>
      <w:r w:rsidR="006E429B" w:rsidRPr="00804648">
        <w:rPr>
          <w:snapToGrid/>
        </w:rPr>
        <w:t xml:space="preserve"> partially</w:t>
      </w:r>
      <w:r w:rsidRPr="00804648">
        <w:rPr>
          <w:snapToGrid/>
        </w:rPr>
        <w:t xml:space="preserve"> adjusted, una</w:t>
      </w:r>
      <w:r w:rsidR="00522570" w:rsidRPr="00804648">
        <w:rPr>
          <w:snapToGrid/>
        </w:rPr>
        <w:t>n</w:t>
      </w:r>
      <w:r w:rsidRPr="00804648">
        <w:rPr>
          <w:snapToGrid/>
        </w:rPr>
        <w:t>chored comparison presented for the paediatric population in the submission did not allow for a quantitative comparison of the benefits and harms of olipudase alfa and BSC. Accordingly, a benefits/harms table has not been presented for the paediatric population.</w:t>
      </w:r>
    </w:p>
    <w:p w14:paraId="7A1772B6" w14:textId="23BB3145" w:rsidR="00B60939" w:rsidRPr="00804648" w:rsidRDefault="00B60939" w:rsidP="00E9094A">
      <w:pPr>
        <w:pStyle w:val="4-SubsectionHeading"/>
      </w:pPr>
      <w:bookmarkStart w:id="55" w:name="_Toc22897644"/>
      <w:bookmarkStart w:id="56" w:name="_Toc135224899"/>
      <w:r w:rsidRPr="00804648">
        <w:t>Clinical claim</w:t>
      </w:r>
      <w:bookmarkEnd w:id="55"/>
      <w:bookmarkEnd w:id="56"/>
    </w:p>
    <w:p w14:paraId="42C3D1C9" w14:textId="0EB8E333" w:rsidR="00A9033C" w:rsidRPr="00804648" w:rsidRDefault="00EC06E8" w:rsidP="00A9033C">
      <w:pPr>
        <w:pStyle w:val="3-BodyText"/>
        <w:rPr>
          <w:rFonts w:eastAsia="Calibri"/>
        </w:rPr>
      </w:pPr>
      <w:bookmarkStart w:id="57" w:name="_Toc22897645"/>
      <w:r w:rsidRPr="00804648">
        <w:rPr>
          <w:rFonts w:eastAsia="Calibri"/>
        </w:rPr>
        <w:t xml:space="preserve">The submission described olipudase alfa as superior in terms of effectiveness compared to BSC. This claim was adequately supported </w:t>
      </w:r>
      <w:r w:rsidR="00EC3C97" w:rsidRPr="00804648">
        <w:rPr>
          <w:rFonts w:eastAsia="Calibri"/>
        </w:rPr>
        <w:t xml:space="preserve">by evidence, </w:t>
      </w:r>
      <w:r w:rsidRPr="00804648">
        <w:rPr>
          <w:rFonts w:eastAsia="Calibri"/>
        </w:rPr>
        <w:t>but the following issues need to be considered:</w:t>
      </w:r>
    </w:p>
    <w:p w14:paraId="63BC4535" w14:textId="590E0FA6" w:rsidR="00CB0C8F" w:rsidRPr="00804648" w:rsidRDefault="00A23076" w:rsidP="00973855">
      <w:pPr>
        <w:pStyle w:val="3-BodyText"/>
        <w:numPr>
          <w:ilvl w:val="1"/>
          <w:numId w:val="12"/>
        </w:numPr>
        <w:ind w:left="1080" w:hanging="360"/>
        <w:rPr>
          <w:rFonts w:eastAsia="Calibri"/>
        </w:rPr>
      </w:pPr>
      <w:r w:rsidRPr="00804648">
        <w:rPr>
          <w:rFonts w:eastAsia="Calibri"/>
        </w:rPr>
        <w:t xml:space="preserve">The </w:t>
      </w:r>
      <w:r w:rsidR="00DD6744" w:rsidRPr="00804648">
        <w:rPr>
          <w:rFonts w:eastAsia="Calibri"/>
        </w:rPr>
        <w:t xml:space="preserve">PBAC </w:t>
      </w:r>
      <w:r w:rsidRPr="00804648">
        <w:rPr>
          <w:rFonts w:eastAsia="Calibri"/>
        </w:rPr>
        <w:t>agreed</w:t>
      </w:r>
      <w:r w:rsidR="00DD6744" w:rsidRPr="00804648">
        <w:rPr>
          <w:rFonts w:eastAsia="Calibri"/>
        </w:rPr>
        <w:t xml:space="preserve"> with the ESC</w:t>
      </w:r>
      <w:r w:rsidRPr="00804648">
        <w:rPr>
          <w:rFonts w:eastAsia="Calibri"/>
        </w:rPr>
        <w:t xml:space="preserve"> </w:t>
      </w:r>
      <w:r w:rsidR="00DD6744" w:rsidRPr="00804648">
        <w:rPr>
          <w:rFonts w:eastAsia="Calibri"/>
        </w:rPr>
        <w:t xml:space="preserve">and </w:t>
      </w:r>
      <w:r w:rsidRPr="00804648">
        <w:rPr>
          <w:rFonts w:eastAsia="Calibri"/>
        </w:rPr>
        <w:t>the evaluation</w:t>
      </w:r>
      <w:r w:rsidR="00B30086" w:rsidRPr="00804648">
        <w:rPr>
          <w:rFonts w:eastAsia="Calibri"/>
        </w:rPr>
        <w:t>,</w:t>
      </w:r>
      <w:r w:rsidRPr="00804648">
        <w:rPr>
          <w:rFonts w:eastAsia="Calibri"/>
        </w:rPr>
        <w:t xml:space="preserve"> that o</w:t>
      </w:r>
      <w:r w:rsidR="00CB0C8F" w:rsidRPr="00804648">
        <w:rPr>
          <w:rFonts w:eastAsia="Calibri"/>
        </w:rPr>
        <w:t xml:space="preserve">lipudase alfa has superior effectiveness compared to BSC in terms of </w:t>
      </w:r>
      <w:r w:rsidR="00617198" w:rsidRPr="00804648">
        <w:rPr>
          <w:rFonts w:eastAsia="Calibri"/>
        </w:rPr>
        <w:t xml:space="preserve">the change </w:t>
      </w:r>
      <w:r w:rsidR="00CB0C8F" w:rsidRPr="00804648">
        <w:rPr>
          <w:rFonts w:eastAsia="Calibri"/>
        </w:rPr>
        <w:t xml:space="preserve">spleen volume and </w:t>
      </w:r>
      <w:r w:rsidR="00BD6F49" w:rsidRPr="00804648">
        <w:rPr>
          <w:rFonts w:eastAsia="Calibri"/>
        </w:rPr>
        <w:t>DLco</w:t>
      </w:r>
      <w:r w:rsidR="007647FC" w:rsidRPr="00804648">
        <w:rPr>
          <w:rFonts w:eastAsia="Calibri"/>
        </w:rPr>
        <w:t>, which are both clinically relevant to ASMD</w:t>
      </w:r>
      <w:r w:rsidR="00CB0C8F" w:rsidRPr="00804648">
        <w:rPr>
          <w:rFonts w:eastAsia="Calibri"/>
        </w:rPr>
        <w:t>; however, it is uncertain whether it would translate into a</w:t>
      </w:r>
      <w:r w:rsidR="00676A18" w:rsidRPr="00804648">
        <w:rPr>
          <w:rFonts w:eastAsia="Calibri"/>
        </w:rPr>
        <w:t xml:space="preserve">n </w:t>
      </w:r>
      <w:r w:rsidR="00CB0C8F" w:rsidRPr="00804648">
        <w:rPr>
          <w:rFonts w:eastAsia="Calibri"/>
        </w:rPr>
        <w:t xml:space="preserve">overall survival (OS) benefit over the long-term. </w:t>
      </w:r>
      <w:r w:rsidR="009C19FD" w:rsidRPr="00804648">
        <w:rPr>
          <w:rFonts w:eastAsia="Calibri"/>
        </w:rPr>
        <w:t>With reference to this, t</w:t>
      </w:r>
      <w:r w:rsidR="00F86383" w:rsidRPr="00804648">
        <w:rPr>
          <w:rFonts w:eastAsia="Calibri"/>
        </w:rPr>
        <w:t>he PSCR stated the following:</w:t>
      </w:r>
    </w:p>
    <w:p w14:paraId="112F020C" w14:textId="27FB5B7C" w:rsidR="00F86383" w:rsidRPr="00804648" w:rsidRDefault="00F86383" w:rsidP="00973855">
      <w:pPr>
        <w:pStyle w:val="ListBullet"/>
        <w:numPr>
          <w:ilvl w:val="1"/>
          <w:numId w:val="5"/>
        </w:numPr>
        <w:spacing w:after="120"/>
        <w:ind w:left="1440"/>
        <w:contextualSpacing w:val="0"/>
        <w:rPr>
          <w:rFonts w:eastAsia="Calibri"/>
        </w:rPr>
      </w:pPr>
      <w:r w:rsidRPr="00804648">
        <w:t>It was necessary to use surrogate outcomes for ASMD given that it is an ultra-rare disease and patients receiving ERT in a clinical trial setting are expected to survive the duration of study period;</w:t>
      </w:r>
    </w:p>
    <w:p w14:paraId="6FD2F173" w14:textId="05399FEC" w:rsidR="00F86383" w:rsidRPr="00804648" w:rsidRDefault="00AE0224" w:rsidP="00973855">
      <w:pPr>
        <w:pStyle w:val="ListBullet"/>
        <w:numPr>
          <w:ilvl w:val="1"/>
          <w:numId w:val="5"/>
        </w:numPr>
        <w:spacing w:after="120"/>
        <w:ind w:left="1440"/>
        <w:contextualSpacing w:val="0"/>
        <w:rPr>
          <w:rFonts w:eastAsia="Calibri"/>
        </w:rPr>
      </w:pPr>
      <w:r w:rsidRPr="00804648">
        <w:rPr>
          <w:rFonts w:eastAsia="Calibri"/>
        </w:rPr>
        <w:t>Patients from the SPHINGO-100 study with severe splenomegaly (≥15 MN) were at a higher risk of death than those without (&lt;15 MN) with a hazard ratio of 10.0 (95% CI: 1.0, 97.2), and splenomegaly is associated with more severe multi-organ disease (McGovern et al. 2008)</w:t>
      </w:r>
      <w:r w:rsidR="00DD6744" w:rsidRPr="00804648">
        <w:rPr>
          <w:rFonts w:eastAsia="Calibri"/>
        </w:rPr>
        <w:t>. Splenomegaly</w:t>
      </w:r>
      <w:r w:rsidRPr="00804648">
        <w:rPr>
          <w:rFonts w:eastAsia="Calibri"/>
        </w:rPr>
        <w:t xml:space="preserve"> correlates with liver fibrosis (Jones et al. 2020</w:t>
      </w:r>
      <w:r w:rsidR="006F1E17" w:rsidRPr="00804648">
        <w:rPr>
          <w:rStyle w:val="FootnoteReference"/>
          <w:rFonts w:eastAsia="Calibri"/>
        </w:rPr>
        <w:footnoteReference w:id="8"/>
      </w:r>
      <w:r w:rsidRPr="00804648">
        <w:rPr>
          <w:rFonts w:eastAsia="Calibri"/>
        </w:rPr>
        <w:t>), with liver disease being on</w:t>
      </w:r>
      <w:r w:rsidR="00366EAE" w:rsidRPr="00804648">
        <w:rPr>
          <w:rFonts w:eastAsia="Calibri"/>
        </w:rPr>
        <w:t>e</w:t>
      </w:r>
      <w:r w:rsidRPr="00804648">
        <w:rPr>
          <w:rFonts w:eastAsia="Calibri"/>
        </w:rPr>
        <w:t xml:space="preserve"> the of primary causes of death in patients with ASMD (Cassiman et al. 2016, p210).</w:t>
      </w:r>
    </w:p>
    <w:p w14:paraId="42059481" w14:textId="5DECFCB6" w:rsidR="005319B0" w:rsidRPr="00804648" w:rsidRDefault="009C19FD" w:rsidP="00973855">
      <w:pPr>
        <w:pStyle w:val="ListBullet"/>
        <w:numPr>
          <w:ilvl w:val="1"/>
          <w:numId w:val="5"/>
        </w:numPr>
        <w:spacing w:after="120"/>
        <w:ind w:left="1440"/>
        <w:rPr>
          <w:rFonts w:eastAsia="Calibri"/>
        </w:rPr>
      </w:pPr>
      <w:r w:rsidRPr="00804648">
        <w:rPr>
          <w:rFonts w:eastAsia="Calibri"/>
        </w:rPr>
        <w:t xml:space="preserve">Patients from the SPHINGO-100 study with </w:t>
      </w:r>
      <w:r w:rsidR="00F86383" w:rsidRPr="00804648">
        <w:rPr>
          <w:rFonts w:eastAsia="Calibri"/>
        </w:rPr>
        <w:t>DLco</w:t>
      </w:r>
      <w:r w:rsidRPr="00804648">
        <w:rPr>
          <w:rFonts w:eastAsia="Calibri"/>
        </w:rPr>
        <w:t xml:space="preserve"> &lt;40% (i.e., severe decrease) or a DLco 40-80% (mild to moderate decrease) had</w:t>
      </w:r>
      <w:r w:rsidR="00A5682B" w:rsidRPr="00804648">
        <w:rPr>
          <w:rFonts w:eastAsia="Calibri"/>
        </w:rPr>
        <w:t xml:space="preserve"> a</w:t>
      </w:r>
      <w:r w:rsidRPr="00804648">
        <w:rPr>
          <w:rFonts w:eastAsia="Calibri"/>
        </w:rPr>
        <w:t xml:space="preserve"> 3.1 times and 2.4 times</w:t>
      </w:r>
      <w:r w:rsidR="00A5682B" w:rsidRPr="00804648">
        <w:rPr>
          <w:rFonts w:eastAsia="Calibri"/>
        </w:rPr>
        <w:t>, respectively,</w:t>
      </w:r>
      <w:r w:rsidRPr="00804648">
        <w:rPr>
          <w:rFonts w:eastAsia="Calibri"/>
        </w:rPr>
        <w:t xml:space="preserve"> higher risk of a respiratory event compared with patients with a DLco ≥80% (normal)</w:t>
      </w:r>
      <w:r w:rsidR="00A5682B" w:rsidRPr="00804648">
        <w:rPr>
          <w:rFonts w:eastAsia="Calibri"/>
        </w:rPr>
        <w:t xml:space="preserve"> </w:t>
      </w:r>
      <w:r w:rsidRPr="00804648">
        <w:rPr>
          <w:rFonts w:eastAsia="Calibri"/>
        </w:rPr>
        <w:t>(Mengel et al. 2022</w:t>
      </w:r>
      <w:r w:rsidR="00E164AC" w:rsidRPr="00804648">
        <w:rPr>
          <w:rStyle w:val="FootnoteReference"/>
          <w:rFonts w:eastAsia="Calibri"/>
        </w:rPr>
        <w:footnoteReference w:id="9"/>
      </w:r>
      <w:r w:rsidR="00A5682B" w:rsidRPr="00804648">
        <w:rPr>
          <w:rFonts w:eastAsia="Calibri"/>
        </w:rPr>
        <w:t>, post hoc analysis</w:t>
      </w:r>
      <w:r w:rsidRPr="00804648">
        <w:rPr>
          <w:rFonts w:eastAsia="Calibri"/>
        </w:rPr>
        <w:t>)</w:t>
      </w:r>
      <w:r w:rsidR="00A5682B" w:rsidRPr="00804648">
        <w:rPr>
          <w:rFonts w:eastAsia="Calibri"/>
        </w:rPr>
        <w:t>, noting that</w:t>
      </w:r>
      <w:r w:rsidR="00F86383" w:rsidRPr="00804648">
        <w:rPr>
          <w:rFonts w:eastAsia="Calibri"/>
        </w:rPr>
        <w:t xml:space="preserve"> </w:t>
      </w:r>
      <w:r w:rsidRPr="00804648">
        <w:lastRenderedPageBreak/>
        <w:t>respiratory failure, including pneumonia, is another leading cause of death in ASMD (</w:t>
      </w:r>
      <w:r w:rsidR="00A5682B" w:rsidRPr="00804648">
        <w:rPr>
          <w:rFonts w:eastAsia="Calibri"/>
        </w:rPr>
        <w:t>Cassiman et al. 2016, p210</w:t>
      </w:r>
      <w:r w:rsidRPr="00804648">
        <w:t>).</w:t>
      </w:r>
    </w:p>
    <w:p w14:paraId="08641346" w14:textId="12CCD018" w:rsidR="00BB1CD1" w:rsidRPr="00804648" w:rsidRDefault="00BB1CD1" w:rsidP="00973855">
      <w:pPr>
        <w:pStyle w:val="ListParagraph"/>
        <w:numPr>
          <w:ilvl w:val="0"/>
          <w:numId w:val="5"/>
        </w:numPr>
        <w:ind w:left="1080"/>
        <w:rPr>
          <w:rFonts w:eastAsia="Calibri"/>
        </w:rPr>
      </w:pPr>
      <w:r w:rsidRPr="00804648">
        <w:rPr>
          <w:rFonts w:eastAsia="Calibri"/>
        </w:rPr>
        <w:t>In the adult population, there was no difference in the health-related quality of life (HRQoL)</w:t>
      </w:r>
      <w:r w:rsidR="00156106" w:rsidRPr="00804648">
        <w:rPr>
          <w:rFonts w:eastAsia="Calibri"/>
        </w:rPr>
        <w:t>,</w:t>
      </w:r>
      <w:r w:rsidRPr="00804648">
        <w:rPr>
          <w:rFonts w:eastAsia="Calibri"/>
        </w:rPr>
        <w:t xml:space="preserve"> </w:t>
      </w:r>
      <w:r w:rsidR="00CB0C8F" w:rsidRPr="00804648">
        <w:rPr>
          <w:rFonts w:eastAsia="Calibri"/>
        </w:rPr>
        <w:t xml:space="preserve">based on EQ-5D and SF-36, </w:t>
      </w:r>
      <w:r w:rsidRPr="00804648">
        <w:rPr>
          <w:rFonts w:eastAsia="Calibri"/>
        </w:rPr>
        <w:t xml:space="preserve">between the two arms in the ASCEND trial. </w:t>
      </w:r>
      <w:r w:rsidR="00A5682B" w:rsidRPr="00804648">
        <w:rPr>
          <w:rFonts w:eastAsia="Calibri"/>
        </w:rPr>
        <w:t xml:space="preserve">The PSCR stated that the generic questionnaires, which are not </w:t>
      </w:r>
      <w:r w:rsidR="00A5682B" w:rsidRPr="00804648">
        <w:t>specific, sensitive, nor validated for ASMD,</w:t>
      </w:r>
      <w:r w:rsidR="00A5682B" w:rsidRPr="00804648">
        <w:rPr>
          <w:rFonts w:eastAsia="Calibri"/>
        </w:rPr>
        <w:t xml:space="preserve"> </w:t>
      </w:r>
      <w:r w:rsidR="00A5682B" w:rsidRPr="00804648">
        <w:t>do not fully assess the impact or severity of ASMD and that other significant impacts of ASMD such as deterioration in pulmonary function, bleeding and bruising, sleep disturbances and the impact of respiratory infections were not adequately accounted for.</w:t>
      </w:r>
      <w:r w:rsidR="0033135E" w:rsidRPr="00804648">
        <w:t xml:space="preserve"> Further, the pre-PBAC response noted that anecdotal evidence from consumers and clinicians (see Consumer comments, paragraphs </w:t>
      </w:r>
      <w:r w:rsidR="0033135E" w:rsidRPr="00804648">
        <w:fldChar w:fldCharType="begin" w:fldLock="1"/>
      </w:r>
      <w:r w:rsidR="0033135E" w:rsidRPr="00804648">
        <w:instrText xml:space="preserve"> REF _Ref142041243 \r \h </w:instrText>
      </w:r>
      <w:r w:rsidR="0033135E" w:rsidRPr="00804648">
        <w:fldChar w:fldCharType="separate"/>
      </w:r>
      <w:r w:rsidR="005D02DA" w:rsidRPr="00804648">
        <w:t>6.2</w:t>
      </w:r>
      <w:r w:rsidR="0033135E" w:rsidRPr="00804648">
        <w:fldChar w:fldCharType="end"/>
      </w:r>
      <w:r w:rsidR="0033135E" w:rsidRPr="00804648">
        <w:t xml:space="preserve"> to </w:t>
      </w:r>
      <w:r w:rsidR="0033135E" w:rsidRPr="00804648">
        <w:fldChar w:fldCharType="begin" w:fldLock="1"/>
      </w:r>
      <w:r w:rsidR="0033135E" w:rsidRPr="00804648">
        <w:instrText xml:space="preserve"> REF _Ref142041260 \r \h </w:instrText>
      </w:r>
      <w:r w:rsidR="0033135E" w:rsidRPr="00804648">
        <w:fldChar w:fldCharType="separate"/>
      </w:r>
      <w:r w:rsidR="005D02DA" w:rsidRPr="00804648">
        <w:t>6.4</w:t>
      </w:r>
      <w:r w:rsidR="0033135E" w:rsidRPr="00804648">
        <w:fldChar w:fldCharType="end"/>
      </w:r>
      <w:r w:rsidR="0033135E" w:rsidRPr="00804648">
        <w:t>) indicate that</w:t>
      </w:r>
      <w:r w:rsidR="005A57BD" w:rsidRPr="00804648">
        <w:t xml:space="preserve"> it is reasonable to assume that patients treated with olipudase alfa experience improved QoL.</w:t>
      </w:r>
    </w:p>
    <w:p w14:paraId="02441942" w14:textId="5657EBC7" w:rsidR="00BB1CD1" w:rsidRPr="00804648" w:rsidRDefault="00BB1CD1" w:rsidP="00973855">
      <w:pPr>
        <w:pStyle w:val="ListParagraph"/>
        <w:numPr>
          <w:ilvl w:val="0"/>
          <w:numId w:val="5"/>
        </w:numPr>
        <w:ind w:left="1080"/>
        <w:rPr>
          <w:rFonts w:eastAsia="Calibri"/>
        </w:rPr>
      </w:pPr>
      <w:r w:rsidRPr="00804648">
        <w:rPr>
          <w:rFonts w:eastAsia="Calibri"/>
        </w:rPr>
        <w:t>In the paediatric population, the claim of superiority was based on a</w:t>
      </w:r>
      <w:r w:rsidR="006D301F" w:rsidRPr="00804648">
        <w:rPr>
          <w:rFonts w:eastAsia="Calibri"/>
        </w:rPr>
        <w:t>n</w:t>
      </w:r>
      <w:r w:rsidRPr="00804648">
        <w:rPr>
          <w:rFonts w:eastAsia="Calibri"/>
        </w:rPr>
        <w:t xml:space="preserve"> </w:t>
      </w:r>
      <w:r w:rsidR="006D301F" w:rsidRPr="00804648">
        <w:rPr>
          <w:rFonts w:eastAsia="Calibri"/>
        </w:rPr>
        <w:t>unanchored and</w:t>
      </w:r>
      <w:r w:rsidR="007547EF" w:rsidRPr="00804648">
        <w:rPr>
          <w:rFonts w:eastAsia="Calibri"/>
        </w:rPr>
        <w:t xml:space="preserve"> partially</w:t>
      </w:r>
      <w:r w:rsidR="006D301F" w:rsidRPr="00804648">
        <w:rPr>
          <w:rFonts w:eastAsia="Calibri"/>
        </w:rPr>
        <w:t xml:space="preserve"> adjusted</w:t>
      </w:r>
      <w:r w:rsidRPr="00804648">
        <w:rPr>
          <w:rFonts w:eastAsia="Calibri"/>
        </w:rPr>
        <w:t xml:space="preserve"> comparison of the results of ASCEND-Peds trial and SPHINGO-100 natural history study. </w:t>
      </w:r>
      <w:r w:rsidR="007547EF" w:rsidRPr="00804648">
        <w:rPr>
          <w:rFonts w:eastAsia="Calibri"/>
        </w:rPr>
        <w:t xml:space="preserve">The PSCR noted that </w:t>
      </w:r>
      <w:r w:rsidR="007547EF" w:rsidRPr="00804648">
        <w:t>paediatric patients were selected from SPHINGO</w:t>
      </w:r>
      <w:r w:rsidR="007547EF" w:rsidRPr="00804648">
        <w:noBreakHyphen/>
        <w:t xml:space="preserve">100 to derive a relevant subgroup for the comparison (paragraph </w:t>
      </w:r>
      <w:r w:rsidR="007547EF" w:rsidRPr="00804648">
        <w:fldChar w:fldCharType="begin" w:fldLock="1"/>
      </w:r>
      <w:r w:rsidR="007547EF" w:rsidRPr="00804648">
        <w:instrText xml:space="preserve"> REF _Ref137117022 \r \h </w:instrText>
      </w:r>
      <w:r w:rsidR="003615B0" w:rsidRPr="00804648">
        <w:instrText xml:space="preserve"> \* MERGEFORMAT </w:instrText>
      </w:r>
      <w:r w:rsidR="007547EF" w:rsidRPr="00804648">
        <w:fldChar w:fldCharType="separate"/>
      </w:r>
      <w:r w:rsidR="005D02DA" w:rsidRPr="00804648">
        <w:t>6.28</w:t>
      </w:r>
      <w:r w:rsidR="007547EF" w:rsidRPr="00804648">
        <w:fldChar w:fldCharType="end"/>
      </w:r>
      <w:r w:rsidR="007547EF" w:rsidRPr="00804648">
        <w:t>).</w:t>
      </w:r>
    </w:p>
    <w:p w14:paraId="2C069139" w14:textId="7D80DF6D" w:rsidR="006E536D" w:rsidRPr="00804648" w:rsidRDefault="00616B7B" w:rsidP="00973855">
      <w:pPr>
        <w:pStyle w:val="ListBullet"/>
        <w:numPr>
          <w:ilvl w:val="0"/>
          <w:numId w:val="5"/>
        </w:numPr>
        <w:spacing w:after="120"/>
        <w:ind w:left="1077" w:hanging="357"/>
        <w:rPr>
          <w:rFonts w:eastAsia="Calibri"/>
        </w:rPr>
      </w:pPr>
      <w:r w:rsidRPr="00804648">
        <w:rPr>
          <w:rFonts w:eastAsia="Calibri"/>
        </w:rPr>
        <w:t>The clinical evidence beyond one year was based on (i) a long-term study of olipudase alfa in adults and paediatric patients (LTS13632); and (ii) the extended treatment period of the ASCEND trial, neither of which provided comparative evidence versus BSC.</w:t>
      </w:r>
      <w:r w:rsidR="00946488" w:rsidRPr="00804648">
        <w:rPr>
          <w:rFonts w:eastAsia="Calibri"/>
        </w:rPr>
        <w:t xml:space="preserve"> The PSCR noted that ASCEND trial patients in the BSC arm were switched to olipudase alfa after 1 year because it was deemed unethical to withhold an effective treatment from patients with a disease that is known to be associated with a reduced life expectancy. </w:t>
      </w:r>
      <w:r w:rsidRPr="00804648">
        <w:rPr>
          <w:rFonts w:eastAsia="Calibri"/>
        </w:rPr>
        <w:t>Limited evidence was available for olipudase alfa in the extended treatment period of the ASCEND trial as only four patients received treatment for more than 208 weeks (4 years).</w:t>
      </w:r>
      <w:r w:rsidR="00946488" w:rsidRPr="00804648">
        <w:rPr>
          <w:rFonts w:eastAsia="Calibri"/>
        </w:rPr>
        <w:t xml:space="preserve"> The PSCR noted that t</w:t>
      </w:r>
      <w:r w:rsidR="00946488" w:rsidRPr="00804648">
        <w:t>he long</w:t>
      </w:r>
      <w:r w:rsidR="00946488" w:rsidRPr="00804648">
        <w:noBreakHyphen/>
        <w:t>term data showed that the treatment effect of olipudase alfa was maintained or improved</w:t>
      </w:r>
      <w:r w:rsidR="008F0C20" w:rsidRPr="00804648">
        <w:t xml:space="preserve"> [for adults]</w:t>
      </w:r>
      <w:r w:rsidR="00946488" w:rsidRPr="00804648">
        <w:t xml:space="preserve"> up to the last follow</w:t>
      </w:r>
      <w:r w:rsidR="00946488" w:rsidRPr="00804648">
        <w:noBreakHyphen/>
        <w:t>up point</w:t>
      </w:r>
      <w:r w:rsidR="008F0C20" w:rsidRPr="00804648">
        <w:t xml:space="preserve"> of the LTS13632 study</w:t>
      </w:r>
      <w:r w:rsidR="00946488" w:rsidRPr="00804648">
        <w:t xml:space="preserve"> at 6.5 years.</w:t>
      </w:r>
    </w:p>
    <w:p w14:paraId="505D6E72" w14:textId="5B388AB3" w:rsidR="00A47568" w:rsidRPr="00804648" w:rsidRDefault="00A47568" w:rsidP="00EC06E8">
      <w:pPr>
        <w:pStyle w:val="3-BodyText"/>
        <w:rPr>
          <w:rFonts w:eastAsia="Calibri"/>
        </w:rPr>
      </w:pPr>
      <w:r w:rsidRPr="00804648">
        <w:rPr>
          <w:rFonts w:eastAsia="Calibri"/>
        </w:rPr>
        <w:t>The ESC noted the following information from McGovern et al. (2017)</w:t>
      </w:r>
      <w:r w:rsidR="008509A1" w:rsidRPr="00804648">
        <w:rPr>
          <w:rStyle w:val="FootnoteReference"/>
          <w:rFonts w:eastAsia="Calibri"/>
        </w:rPr>
        <w:footnoteReference w:id="10"/>
      </w:r>
      <w:r w:rsidRPr="00804648">
        <w:rPr>
          <w:rFonts w:eastAsia="Calibri"/>
        </w:rPr>
        <w:t>:</w:t>
      </w:r>
    </w:p>
    <w:p w14:paraId="00927E24" w14:textId="26C1E656" w:rsidR="00A47568" w:rsidRPr="00804648" w:rsidRDefault="008509A1" w:rsidP="00F26ED8">
      <w:pPr>
        <w:pStyle w:val="3-BodyText"/>
        <w:numPr>
          <w:ilvl w:val="0"/>
          <w:numId w:val="0"/>
        </w:numPr>
        <w:ind w:left="1134"/>
        <w:rPr>
          <w:rFonts w:eastAsia="Calibri"/>
        </w:rPr>
      </w:pPr>
      <w:r w:rsidRPr="00804648">
        <w:rPr>
          <w:rFonts w:eastAsia="Calibri"/>
        </w:rPr>
        <w:t>… m</w:t>
      </w:r>
      <w:r w:rsidR="00A47568" w:rsidRPr="00804648">
        <w:rPr>
          <w:rFonts w:eastAsia="Calibri"/>
        </w:rPr>
        <w:t>ortality data for NPD [Niemann-Pick Disease] B are too heterogeneous and limited to allow for the construction of survival curves. Available evidence suggests that survival among patients with NPD B varies significantly, consistent with their phenotypic heterogeneity. Although many patients do not survive into adulthood, some have reached their fifth or sixth decade of life.</w:t>
      </w:r>
    </w:p>
    <w:p w14:paraId="17F4EB5D" w14:textId="28320449" w:rsidR="00EC06E8" w:rsidRPr="00804648" w:rsidRDefault="00EC06E8" w:rsidP="00EC06E8">
      <w:pPr>
        <w:pStyle w:val="3-BodyText"/>
        <w:rPr>
          <w:rFonts w:eastAsia="Calibri"/>
          <w:iCs/>
        </w:rPr>
      </w:pPr>
      <w:r w:rsidRPr="00804648">
        <w:rPr>
          <w:rFonts w:eastAsia="Calibri"/>
        </w:rPr>
        <w:lastRenderedPageBreak/>
        <w:t xml:space="preserve">The submission described olipudase alfa as non-inferior in terms of safety compared to BSC. </w:t>
      </w:r>
      <w:r w:rsidRPr="00804648">
        <w:rPr>
          <w:rFonts w:eastAsia="Calibri"/>
          <w:iCs/>
        </w:rPr>
        <w:t>Th</w:t>
      </w:r>
      <w:r w:rsidR="00BB776B" w:rsidRPr="00804648">
        <w:rPr>
          <w:rFonts w:eastAsia="Calibri"/>
          <w:iCs/>
        </w:rPr>
        <w:t>e PBAC agreed with the evaluation and the ESC that th</w:t>
      </w:r>
      <w:r w:rsidRPr="00804648">
        <w:rPr>
          <w:rFonts w:eastAsia="Calibri"/>
          <w:iCs/>
        </w:rPr>
        <w:t>is claim was not adequately supported because:</w:t>
      </w:r>
    </w:p>
    <w:p w14:paraId="11A1FAEA" w14:textId="2D22C2C1" w:rsidR="00BB1CD1" w:rsidRPr="00804648" w:rsidRDefault="00BB1CD1" w:rsidP="00973855">
      <w:pPr>
        <w:pStyle w:val="ListParagraph"/>
        <w:numPr>
          <w:ilvl w:val="0"/>
          <w:numId w:val="5"/>
        </w:numPr>
        <w:ind w:left="1080"/>
        <w:rPr>
          <w:rFonts w:eastAsia="Calibri"/>
        </w:rPr>
      </w:pPr>
      <w:bookmarkStart w:id="58" w:name="_Hlk134452237"/>
      <w:r w:rsidRPr="00804648">
        <w:rPr>
          <w:rFonts w:eastAsia="Calibri"/>
        </w:rPr>
        <w:t>In the ASCEND</w:t>
      </w:r>
      <w:r w:rsidR="00BB776B" w:rsidRPr="00804648">
        <w:rPr>
          <w:rFonts w:eastAsia="Calibri"/>
        </w:rPr>
        <w:t xml:space="preserve"> randomised</w:t>
      </w:r>
      <w:r w:rsidRPr="00804648">
        <w:rPr>
          <w:rFonts w:eastAsia="Calibri"/>
        </w:rPr>
        <w:t xml:space="preserve"> trial</w:t>
      </w:r>
      <w:r w:rsidR="00C51B08" w:rsidRPr="00804648">
        <w:rPr>
          <w:rFonts w:eastAsia="Calibri"/>
        </w:rPr>
        <w:t xml:space="preserve"> in the </w:t>
      </w:r>
      <w:r w:rsidR="00250F32" w:rsidRPr="00804648">
        <w:rPr>
          <w:rFonts w:eastAsia="Calibri"/>
        </w:rPr>
        <w:t>adult</w:t>
      </w:r>
      <w:r w:rsidR="00C51B08" w:rsidRPr="00804648">
        <w:rPr>
          <w:rFonts w:eastAsia="Calibri"/>
        </w:rPr>
        <w:t xml:space="preserve"> population</w:t>
      </w:r>
      <w:r w:rsidRPr="00804648">
        <w:rPr>
          <w:rFonts w:eastAsia="Calibri"/>
        </w:rPr>
        <w:t xml:space="preserve">, a greater proportion of patients in olipudase alfa arm compared with BSC arm experienced treatment emergent adverse events (TEAEs) potentially related to study drug (66.7% versus 33.3%) and infusion related reactions (44.4% versus 27.8%). </w:t>
      </w:r>
      <w:r w:rsidR="00397165" w:rsidRPr="00804648">
        <w:rPr>
          <w:rFonts w:eastAsia="Calibri"/>
        </w:rPr>
        <w:t>While the PSCR stated that there were no</w:t>
      </w:r>
      <w:r w:rsidR="00397165" w:rsidRPr="00804648">
        <w:t xml:space="preserve"> statistically significant differences between olipudase alfa and BSC for any TEAEs, the ESC agreed with the evaluation that the </w:t>
      </w:r>
      <w:r w:rsidR="003615B0" w:rsidRPr="00804648">
        <w:t>“</w:t>
      </w:r>
      <w:r w:rsidR="00397165" w:rsidRPr="00804648">
        <w:t>events</w:t>
      </w:r>
      <w:r w:rsidR="003615B0" w:rsidRPr="00804648">
        <w:t xml:space="preserve"> potentially</w:t>
      </w:r>
      <w:r w:rsidR="00397165" w:rsidRPr="00804648">
        <w:t xml:space="preserve"> related to study drug</w:t>
      </w:r>
      <w:r w:rsidR="003615B0" w:rsidRPr="00804648">
        <w:t>”</w:t>
      </w:r>
      <w:r w:rsidR="00397165" w:rsidRPr="00804648">
        <w:t xml:space="preserve"> </w:t>
      </w:r>
      <w:r w:rsidR="00A23076" w:rsidRPr="00804648">
        <w:t>is</w:t>
      </w:r>
      <w:r w:rsidR="00397165" w:rsidRPr="00804648">
        <w:t xml:space="preserve"> the relevant measure</w:t>
      </w:r>
      <w:r w:rsidR="00A23076" w:rsidRPr="00804648">
        <w:t xml:space="preserve"> </w:t>
      </w:r>
      <w:r w:rsidR="00707A8E" w:rsidRPr="00804648">
        <w:t>and</w:t>
      </w:r>
      <w:r w:rsidR="00A23076" w:rsidRPr="00804648">
        <w:t xml:space="preserve"> noted</w:t>
      </w:r>
      <w:r w:rsidR="00707A8E" w:rsidRPr="00804648">
        <w:t xml:space="preserve"> there is an FDA boxed warning for hypersensitivity reactions </w:t>
      </w:r>
      <w:r w:rsidR="00220365" w:rsidRPr="00804648">
        <w:t>with</w:t>
      </w:r>
      <w:r w:rsidR="00707A8E" w:rsidRPr="00804648">
        <w:t xml:space="preserve"> olipudase alfa (paragraph </w:t>
      </w:r>
      <w:r w:rsidR="00707A8E" w:rsidRPr="00804648">
        <w:fldChar w:fldCharType="begin" w:fldLock="1"/>
      </w:r>
      <w:r w:rsidR="00707A8E" w:rsidRPr="00804648">
        <w:instrText xml:space="preserve"> REF _Ref137120482 \r \h </w:instrText>
      </w:r>
      <w:r w:rsidR="003615B0" w:rsidRPr="00804648">
        <w:instrText xml:space="preserve"> \* MERGEFORMAT </w:instrText>
      </w:r>
      <w:r w:rsidR="00707A8E" w:rsidRPr="00804648">
        <w:fldChar w:fldCharType="separate"/>
      </w:r>
      <w:r w:rsidR="005D02DA" w:rsidRPr="00804648">
        <w:t>6.53</w:t>
      </w:r>
      <w:r w:rsidR="00707A8E" w:rsidRPr="00804648">
        <w:fldChar w:fldCharType="end"/>
      </w:r>
      <w:r w:rsidR="00707A8E" w:rsidRPr="00804648">
        <w:t>).</w:t>
      </w:r>
    </w:p>
    <w:p w14:paraId="0E23A1F3" w14:textId="4584F74D" w:rsidR="00BB1CD1" w:rsidRPr="00804648" w:rsidRDefault="00BB1CD1" w:rsidP="00973855">
      <w:pPr>
        <w:pStyle w:val="ListParagraph"/>
        <w:numPr>
          <w:ilvl w:val="0"/>
          <w:numId w:val="5"/>
        </w:numPr>
        <w:ind w:left="1080"/>
        <w:rPr>
          <w:rFonts w:eastAsia="Calibri"/>
        </w:rPr>
      </w:pPr>
      <w:r w:rsidRPr="00804648">
        <w:rPr>
          <w:rFonts w:eastAsia="Calibri"/>
        </w:rPr>
        <w:t>In the paediatric population, no</w:t>
      </w:r>
      <w:r w:rsidR="00BB776B" w:rsidRPr="00804648">
        <w:rPr>
          <w:rFonts w:eastAsia="Calibri"/>
        </w:rPr>
        <w:t xml:space="preserve"> randomised</w:t>
      </w:r>
      <w:r w:rsidRPr="00804648">
        <w:rPr>
          <w:rFonts w:eastAsia="Calibri"/>
        </w:rPr>
        <w:t xml:space="preserve"> data was available for comparison</w:t>
      </w:r>
      <w:r w:rsidR="00BB776B" w:rsidRPr="00804648">
        <w:rPr>
          <w:rFonts w:eastAsia="Calibri"/>
        </w:rPr>
        <w:t xml:space="preserve"> of olipudase alfa</w:t>
      </w:r>
      <w:r w:rsidRPr="00804648">
        <w:rPr>
          <w:rFonts w:eastAsia="Calibri"/>
        </w:rPr>
        <w:t xml:space="preserve"> with BSC. </w:t>
      </w:r>
    </w:p>
    <w:p w14:paraId="46742769" w14:textId="43781C14" w:rsidR="000223A4" w:rsidRPr="00804648" w:rsidRDefault="000223A4" w:rsidP="002C1F8B">
      <w:pPr>
        <w:widowControl w:val="0"/>
        <w:numPr>
          <w:ilvl w:val="1"/>
          <w:numId w:val="1"/>
        </w:numPr>
        <w:spacing w:after="120"/>
        <w:rPr>
          <w:rFonts w:asciiTheme="minorHAnsi" w:hAnsiTheme="minorHAnsi"/>
          <w:snapToGrid w:val="0"/>
          <w:szCs w:val="20"/>
        </w:rPr>
      </w:pPr>
      <w:bookmarkStart w:id="59" w:name="_Hlk76376200"/>
      <w:r w:rsidRPr="00804648">
        <w:rPr>
          <w:rFonts w:asciiTheme="minorHAnsi" w:hAnsiTheme="minorHAnsi"/>
          <w:snapToGrid w:val="0"/>
          <w:szCs w:val="20"/>
        </w:rPr>
        <w:t xml:space="preserve">The PBAC considered that the claim of superior comparative effectiveness of olipudase alfa compared to BSC was reasonable </w:t>
      </w:r>
      <w:r w:rsidRPr="00804648">
        <w:rPr>
          <w:rFonts w:eastAsia="Calibri"/>
        </w:rPr>
        <w:t xml:space="preserve">in terms of the change </w:t>
      </w:r>
      <w:r w:rsidR="00C3042A" w:rsidRPr="00804648">
        <w:rPr>
          <w:rFonts w:eastAsia="Calibri"/>
        </w:rPr>
        <w:t xml:space="preserve">in </w:t>
      </w:r>
      <w:r w:rsidRPr="00804648">
        <w:rPr>
          <w:rFonts w:eastAsia="Calibri"/>
        </w:rPr>
        <w:t xml:space="preserve">spleen volume and DLco. </w:t>
      </w:r>
      <w:r w:rsidR="005B1E64" w:rsidRPr="00804648">
        <w:rPr>
          <w:rFonts w:eastAsia="Calibri"/>
        </w:rPr>
        <w:t>T</w:t>
      </w:r>
      <w:r w:rsidRPr="00804648">
        <w:rPr>
          <w:rFonts w:eastAsia="Calibri"/>
        </w:rPr>
        <w:t xml:space="preserve">he PBAC acknowledged </w:t>
      </w:r>
      <w:r w:rsidR="005B1E64" w:rsidRPr="00804648">
        <w:rPr>
          <w:rFonts w:eastAsia="Calibri"/>
        </w:rPr>
        <w:t>the difficulty in obtaining</w:t>
      </w:r>
      <w:r w:rsidR="00C3042A" w:rsidRPr="00804648">
        <w:rPr>
          <w:rFonts w:eastAsia="Calibri"/>
        </w:rPr>
        <w:t xml:space="preserve"> </w:t>
      </w:r>
      <w:r w:rsidR="00DF1B15" w:rsidRPr="00804648">
        <w:rPr>
          <w:rFonts w:eastAsia="Calibri"/>
        </w:rPr>
        <w:t>high-level</w:t>
      </w:r>
      <w:r w:rsidR="005B1E64" w:rsidRPr="00804648">
        <w:rPr>
          <w:rFonts w:eastAsia="Calibri"/>
        </w:rPr>
        <w:t xml:space="preserve"> evidence-based data</w:t>
      </w:r>
      <w:r w:rsidR="00DF1B15" w:rsidRPr="00804648">
        <w:rPr>
          <w:rFonts w:eastAsia="Calibri"/>
        </w:rPr>
        <w:t xml:space="preserve"> due to: (i)</w:t>
      </w:r>
      <w:r w:rsidR="00DF1B15" w:rsidRPr="00804648">
        <w:t xml:space="preserve"> the lack of randomised trial data with reasonable patient numbers, (ii)</w:t>
      </w:r>
      <w:r w:rsidR="00DF1B15" w:rsidRPr="00804648">
        <w:rPr>
          <w:rFonts w:eastAsia="Calibri"/>
        </w:rPr>
        <w:t xml:space="preserve"> </w:t>
      </w:r>
      <w:r w:rsidR="00257AA6" w:rsidRPr="00804648">
        <w:rPr>
          <w:rFonts w:eastAsia="Calibri"/>
        </w:rPr>
        <w:t xml:space="preserve">the lack of </w:t>
      </w:r>
      <w:r w:rsidR="00844D93" w:rsidRPr="00804648">
        <w:rPr>
          <w:rFonts w:eastAsia="Calibri"/>
        </w:rPr>
        <w:t>long-term</w:t>
      </w:r>
      <w:r w:rsidR="00257AA6" w:rsidRPr="00804648">
        <w:rPr>
          <w:rFonts w:eastAsia="Calibri"/>
        </w:rPr>
        <w:t xml:space="preserve"> data due to ethical concerns,</w:t>
      </w:r>
      <w:r w:rsidR="00C51B08" w:rsidRPr="00804648">
        <w:rPr>
          <w:rFonts w:eastAsia="Calibri"/>
        </w:rPr>
        <w:t xml:space="preserve"> and</w:t>
      </w:r>
      <w:r w:rsidR="00257AA6" w:rsidRPr="00804648">
        <w:rPr>
          <w:rFonts w:eastAsia="Calibri"/>
        </w:rPr>
        <w:t xml:space="preserve"> (iii) the lack of </w:t>
      </w:r>
      <w:r w:rsidR="00257AA6" w:rsidRPr="00804648">
        <w:t>specific, sensitive, validated HRQoL questionnaires for ASMD</w:t>
      </w:r>
      <w:r w:rsidR="005B1E64" w:rsidRPr="00804648">
        <w:rPr>
          <w:rFonts w:eastAsia="Calibri"/>
        </w:rPr>
        <w:t>.</w:t>
      </w:r>
      <w:r w:rsidR="00DF1B15" w:rsidRPr="00804648">
        <w:rPr>
          <w:rFonts w:eastAsia="Calibri"/>
        </w:rPr>
        <w:t xml:space="preserve"> The PBAC acknowledged that </w:t>
      </w:r>
      <w:r w:rsidR="00C51B08" w:rsidRPr="00804648">
        <w:rPr>
          <w:rFonts w:eastAsia="Calibri"/>
        </w:rPr>
        <w:t>the therapeutic area</w:t>
      </w:r>
      <w:r w:rsidR="00DF1B15" w:rsidRPr="00804648">
        <w:rPr>
          <w:rFonts w:eastAsia="Calibri"/>
        </w:rPr>
        <w:t xml:space="preserve"> necessitated the use of surrogate outcomes</w:t>
      </w:r>
      <w:r w:rsidR="00C51B08" w:rsidRPr="00804648">
        <w:rPr>
          <w:rFonts w:eastAsia="Calibri"/>
        </w:rPr>
        <w:t xml:space="preserve"> (</w:t>
      </w:r>
      <w:r w:rsidR="00DF1B15" w:rsidRPr="00804648">
        <w:rPr>
          <w:rFonts w:eastAsia="Calibri"/>
        </w:rPr>
        <w:t xml:space="preserve">splenomegaly and </w:t>
      </w:r>
      <w:r w:rsidR="00C51B08" w:rsidRPr="00804648">
        <w:rPr>
          <w:rFonts w:eastAsia="Calibri"/>
        </w:rPr>
        <w:t>lung diffusion testing)</w:t>
      </w:r>
      <w:r w:rsidR="00DF1B15" w:rsidRPr="00804648">
        <w:rPr>
          <w:rFonts w:eastAsia="Calibri"/>
        </w:rPr>
        <w:t xml:space="preserve"> in small trials involving both randomised and single arm data. </w:t>
      </w:r>
      <w:r w:rsidR="00C51B08" w:rsidRPr="00804648">
        <w:rPr>
          <w:rFonts w:eastAsia="Calibri"/>
        </w:rPr>
        <w:t>Nevertheless</w:t>
      </w:r>
      <w:r w:rsidR="005B1E64" w:rsidRPr="00804648">
        <w:rPr>
          <w:rFonts w:eastAsia="Calibri"/>
        </w:rPr>
        <w:t>,</w:t>
      </w:r>
      <w:r w:rsidR="00257AA6" w:rsidRPr="00804648">
        <w:rPr>
          <w:rFonts w:eastAsia="Calibri"/>
        </w:rPr>
        <w:t xml:space="preserve"> </w:t>
      </w:r>
      <w:r w:rsidR="005B1E64" w:rsidRPr="00804648">
        <w:rPr>
          <w:rFonts w:eastAsia="Calibri"/>
        </w:rPr>
        <w:t>the PBAC</w:t>
      </w:r>
      <w:r w:rsidR="00257AA6" w:rsidRPr="00804648">
        <w:rPr>
          <w:rFonts w:asciiTheme="minorHAnsi" w:hAnsiTheme="minorHAnsi"/>
          <w:snapToGrid w:val="0"/>
          <w:szCs w:val="20"/>
        </w:rPr>
        <w:t xml:space="preserve"> </w:t>
      </w:r>
      <w:r w:rsidR="00DF1B15" w:rsidRPr="00804648">
        <w:rPr>
          <w:rFonts w:asciiTheme="minorHAnsi" w:hAnsiTheme="minorHAnsi"/>
          <w:snapToGrid w:val="0"/>
          <w:szCs w:val="20"/>
        </w:rPr>
        <w:t>considered that</w:t>
      </w:r>
      <w:r w:rsidR="00257AA6" w:rsidRPr="00804648">
        <w:rPr>
          <w:rFonts w:asciiTheme="minorHAnsi" w:hAnsiTheme="minorHAnsi"/>
          <w:snapToGrid w:val="0"/>
          <w:szCs w:val="20"/>
        </w:rPr>
        <w:t xml:space="preserve"> extending </w:t>
      </w:r>
      <w:r w:rsidR="005B1E64" w:rsidRPr="00804648">
        <w:rPr>
          <w:rFonts w:asciiTheme="minorHAnsi" w:hAnsiTheme="minorHAnsi"/>
          <w:snapToGrid w:val="0"/>
          <w:szCs w:val="20"/>
        </w:rPr>
        <w:t>the superior findings for spleen volume and DLco</w:t>
      </w:r>
      <w:r w:rsidR="00257AA6" w:rsidRPr="00804648">
        <w:rPr>
          <w:rFonts w:asciiTheme="minorHAnsi" w:hAnsiTheme="minorHAnsi"/>
          <w:snapToGrid w:val="0"/>
          <w:szCs w:val="20"/>
        </w:rPr>
        <w:t xml:space="preserve"> to a survival benefit</w:t>
      </w:r>
      <w:r w:rsidR="00DF1B15" w:rsidRPr="00804648">
        <w:rPr>
          <w:rFonts w:asciiTheme="minorHAnsi" w:hAnsiTheme="minorHAnsi"/>
          <w:snapToGrid w:val="0"/>
          <w:szCs w:val="20"/>
        </w:rPr>
        <w:t xml:space="preserve"> was uncertain</w:t>
      </w:r>
      <w:r w:rsidR="00257AA6" w:rsidRPr="00804648">
        <w:rPr>
          <w:rFonts w:eastAsia="Calibri"/>
        </w:rPr>
        <w:t>.</w:t>
      </w:r>
    </w:p>
    <w:p w14:paraId="74A1172E" w14:textId="128C170E" w:rsidR="00B60939" w:rsidRPr="00804648" w:rsidRDefault="00B60939" w:rsidP="00E9094A">
      <w:pPr>
        <w:pStyle w:val="4-SubsectionHeading"/>
      </w:pPr>
      <w:bookmarkStart w:id="60" w:name="_Toc135224900"/>
      <w:bookmarkEnd w:id="58"/>
      <w:bookmarkEnd w:id="59"/>
      <w:r w:rsidRPr="00804648">
        <w:t>Economic analysis</w:t>
      </w:r>
      <w:bookmarkEnd w:id="57"/>
      <w:bookmarkEnd w:id="60"/>
      <w:r w:rsidR="00491B3A" w:rsidRPr="00804648">
        <w:t xml:space="preserve"> </w:t>
      </w:r>
    </w:p>
    <w:p w14:paraId="4A64C30D" w14:textId="5E912CFC" w:rsidR="00652BFF" w:rsidRPr="00804648" w:rsidRDefault="00652BFF" w:rsidP="00652BFF">
      <w:pPr>
        <w:pStyle w:val="3-BodyText"/>
        <w:rPr>
          <w:b/>
          <w:bCs/>
        </w:rPr>
      </w:pPr>
      <w:r w:rsidRPr="00804648">
        <w:t>The submission presented two separate cost-utility analys</w:t>
      </w:r>
      <w:r w:rsidR="00EC3C97" w:rsidRPr="00804648">
        <w:t>e</w:t>
      </w:r>
      <w:r w:rsidRPr="00804648">
        <w:t>s comparing olipudase alfa and BSC for the treatment of ASMD type A/B or</w:t>
      </w:r>
      <w:r w:rsidR="002D54F8" w:rsidRPr="00804648">
        <w:t xml:space="preserve"> type</w:t>
      </w:r>
      <w:r w:rsidRPr="00804648">
        <w:t xml:space="preserve"> B in</w:t>
      </w:r>
      <w:r w:rsidR="00A92417" w:rsidRPr="00804648">
        <w:t xml:space="preserve"> (i)</w:t>
      </w:r>
      <w:r w:rsidRPr="00804648">
        <w:t xml:space="preserve"> adult and </w:t>
      </w:r>
      <w:r w:rsidR="00A92417" w:rsidRPr="00804648">
        <w:t xml:space="preserve">(ii) </w:t>
      </w:r>
      <w:r w:rsidRPr="00804648">
        <w:t>paediatric population</w:t>
      </w:r>
      <w:r w:rsidR="0078065A" w:rsidRPr="00804648">
        <w:t>s</w:t>
      </w:r>
      <w:r w:rsidRPr="00804648">
        <w:t xml:space="preserve">. A summary of the model structure in the submission’s economic evaluation is presented in </w:t>
      </w:r>
      <w:r w:rsidR="00281579" w:rsidRPr="00804648">
        <w:fldChar w:fldCharType="begin" w:fldLock="1"/>
      </w:r>
      <w:r w:rsidR="00281579" w:rsidRPr="00804648">
        <w:instrText xml:space="preserve"> REF _Ref133773786 \h </w:instrText>
      </w:r>
      <w:r w:rsidR="00281579" w:rsidRPr="00804648">
        <w:fldChar w:fldCharType="separate"/>
      </w:r>
      <w:r w:rsidR="005D02DA" w:rsidRPr="00804648">
        <w:t>Table 13</w:t>
      </w:r>
      <w:r w:rsidR="00281579" w:rsidRPr="00804648">
        <w:fldChar w:fldCharType="end"/>
      </w:r>
      <w:r w:rsidR="00281579" w:rsidRPr="00804648">
        <w:t>.</w:t>
      </w:r>
    </w:p>
    <w:p w14:paraId="15A9AFA4" w14:textId="37F8881A" w:rsidR="00275C5A" w:rsidRPr="00804648" w:rsidRDefault="00E16AD8" w:rsidP="00281579">
      <w:pPr>
        <w:pStyle w:val="TableFigureHeading"/>
        <w:rPr>
          <w:rStyle w:val="TableFigureHeadingChar"/>
          <w:b/>
          <w:bCs/>
        </w:rPr>
      </w:pPr>
      <w:bookmarkStart w:id="61" w:name="_Ref133773786"/>
      <w:r w:rsidRPr="00804648">
        <w:lastRenderedPageBreak/>
        <w:t xml:space="preserve">Table </w:t>
      </w:r>
      <w:fldSimple w:instr=" SEQ Table \* ARABIC " w:fldLock="1">
        <w:r w:rsidR="005D02DA" w:rsidRPr="00804648">
          <w:t>13</w:t>
        </w:r>
      </w:fldSimple>
      <w:bookmarkEnd w:id="61"/>
      <w:r w:rsidRPr="00804648">
        <w:t>:</w:t>
      </w:r>
      <w:r w:rsidR="00275C5A" w:rsidRPr="00804648">
        <w:rPr>
          <w:rStyle w:val="TableFigureHeadingChar"/>
          <w:b/>
          <w:bCs/>
        </w:rPr>
        <w:t xml:space="preserve"> Summary of model structure</w:t>
      </w:r>
      <w:r w:rsidR="00184B0E" w:rsidRPr="00804648">
        <w:rPr>
          <w:rStyle w:val="TableFigureHeadingChar"/>
          <w:b/>
          <w:bCs/>
        </w:rPr>
        <w:t>, key inputs</w:t>
      </w:r>
      <w:r w:rsidR="00275C5A" w:rsidRPr="00804648">
        <w:rPr>
          <w:rStyle w:val="TableFigureHeadingChar"/>
          <w:b/>
          <w:bCs/>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8"/>
        <w:gridCol w:w="7179"/>
      </w:tblGrid>
      <w:tr w:rsidR="00E135D7" w:rsidRPr="00804648" w14:paraId="4639A1BB" w14:textId="77777777" w:rsidTr="008C351B">
        <w:trPr>
          <w:tblHeader/>
        </w:trPr>
        <w:tc>
          <w:tcPr>
            <w:tcW w:w="1019" w:type="pct"/>
            <w:shd w:val="clear" w:color="auto" w:fill="auto"/>
            <w:vAlign w:val="center"/>
          </w:tcPr>
          <w:p w14:paraId="5CAFE56D" w14:textId="77777777" w:rsidR="00E135D7" w:rsidRPr="00804648" w:rsidRDefault="00E135D7" w:rsidP="006F6FE5">
            <w:pPr>
              <w:pStyle w:val="In-tableHeading"/>
              <w:rPr>
                <w:lang w:val="en-AU"/>
              </w:rPr>
            </w:pPr>
            <w:r w:rsidRPr="00804648">
              <w:rPr>
                <w:lang w:val="en-AU"/>
              </w:rPr>
              <w:t>Component</w:t>
            </w:r>
          </w:p>
        </w:tc>
        <w:tc>
          <w:tcPr>
            <w:tcW w:w="3981" w:type="pct"/>
            <w:shd w:val="clear" w:color="auto" w:fill="auto"/>
            <w:vAlign w:val="center"/>
          </w:tcPr>
          <w:p w14:paraId="63015C2A" w14:textId="77777777" w:rsidR="00E135D7" w:rsidRPr="00804648" w:rsidRDefault="00E135D7" w:rsidP="006F6FE5">
            <w:pPr>
              <w:pStyle w:val="In-tableHeading"/>
              <w:rPr>
                <w:lang w:val="en-AU"/>
              </w:rPr>
            </w:pPr>
            <w:r w:rsidRPr="00804648">
              <w:rPr>
                <w:lang w:val="en-AU"/>
              </w:rPr>
              <w:t>Summary</w:t>
            </w:r>
          </w:p>
        </w:tc>
      </w:tr>
      <w:tr w:rsidR="00E135D7" w:rsidRPr="00804648" w14:paraId="4E71261A" w14:textId="77777777" w:rsidTr="008C351B">
        <w:tc>
          <w:tcPr>
            <w:tcW w:w="1019" w:type="pct"/>
            <w:shd w:val="clear" w:color="auto" w:fill="auto"/>
            <w:vAlign w:val="center"/>
          </w:tcPr>
          <w:p w14:paraId="2BFE610C" w14:textId="77777777" w:rsidR="00E135D7" w:rsidRPr="00804648" w:rsidRDefault="00E135D7" w:rsidP="0060058F">
            <w:pPr>
              <w:pStyle w:val="TableText0"/>
            </w:pPr>
            <w:r w:rsidRPr="00804648">
              <w:t>Treatments</w:t>
            </w:r>
          </w:p>
        </w:tc>
        <w:tc>
          <w:tcPr>
            <w:tcW w:w="3981" w:type="pct"/>
            <w:shd w:val="clear" w:color="auto" w:fill="auto"/>
            <w:vAlign w:val="center"/>
          </w:tcPr>
          <w:p w14:paraId="58DDC23B" w14:textId="77777777" w:rsidR="00E135D7" w:rsidRPr="00804648" w:rsidRDefault="00E135D7" w:rsidP="0060058F">
            <w:pPr>
              <w:pStyle w:val="TableText0"/>
            </w:pPr>
            <w:r w:rsidRPr="00804648">
              <w:t>Olipudase alfa versus BSC</w:t>
            </w:r>
          </w:p>
        </w:tc>
      </w:tr>
      <w:tr w:rsidR="00E135D7" w:rsidRPr="00804648" w14:paraId="575225FA" w14:textId="77777777" w:rsidTr="008C351B">
        <w:tc>
          <w:tcPr>
            <w:tcW w:w="1019" w:type="pct"/>
            <w:shd w:val="clear" w:color="auto" w:fill="auto"/>
            <w:vAlign w:val="center"/>
          </w:tcPr>
          <w:p w14:paraId="65CF9706" w14:textId="77777777" w:rsidR="00E135D7" w:rsidRPr="00804648" w:rsidRDefault="00E135D7" w:rsidP="0060058F">
            <w:pPr>
              <w:pStyle w:val="TableText0"/>
            </w:pPr>
            <w:r w:rsidRPr="00804648">
              <w:t>Time horizon</w:t>
            </w:r>
          </w:p>
        </w:tc>
        <w:tc>
          <w:tcPr>
            <w:tcW w:w="3981" w:type="pct"/>
            <w:shd w:val="clear" w:color="auto" w:fill="auto"/>
            <w:vAlign w:val="center"/>
          </w:tcPr>
          <w:p w14:paraId="67E1AA60" w14:textId="77777777" w:rsidR="00E135D7" w:rsidRPr="00804648" w:rsidRDefault="00E135D7" w:rsidP="0060058F">
            <w:pPr>
              <w:pStyle w:val="TableText0"/>
            </w:pPr>
            <w:r w:rsidRPr="00804648">
              <w:t>Lifetime in the model base case versus two years in the ASCEND and ASCEND-peds trial</w:t>
            </w:r>
          </w:p>
        </w:tc>
      </w:tr>
      <w:tr w:rsidR="00E135D7" w:rsidRPr="00804648" w14:paraId="5ECF576C" w14:textId="77777777" w:rsidTr="008C351B">
        <w:tc>
          <w:tcPr>
            <w:tcW w:w="1019" w:type="pct"/>
            <w:shd w:val="clear" w:color="auto" w:fill="auto"/>
            <w:vAlign w:val="center"/>
          </w:tcPr>
          <w:p w14:paraId="0587C064" w14:textId="77777777" w:rsidR="00E135D7" w:rsidRPr="00804648" w:rsidRDefault="00E135D7" w:rsidP="0060058F">
            <w:pPr>
              <w:pStyle w:val="TableText0"/>
            </w:pPr>
            <w:r w:rsidRPr="00804648">
              <w:t>Outcomes</w:t>
            </w:r>
          </w:p>
        </w:tc>
        <w:tc>
          <w:tcPr>
            <w:tcW w:w="3981" w:type="pct"/>
            <w:shd w:val="clear" w:color="auto" w:fill="auto"/>
            <w:vAlign w:val="center"/>
          </w:tcPr>
          <w:p w14:paraId="43EC6444" w14:textId="77777777" w:rsidR="00E135D7" w:rsidRPr="00804648" w:rsidRDefault="00E135D7" w:rsidP="0060058F">
            <w:pPr>
              <w:pStyle w:val="TableText0"/>
            </w:pPr>
            <w:r w:rsidRPr="00804648">
              <w:t>LYs and QALYs gained</w:t>
            </w:r>
          </w:p>
        </w:tc>
      </w:tr>
      <w:tr w:rsidR="00E135D7" w:rsidRPr="00804648" w14:paraId="6955E90D" w14:textId="77777777" w:rsidTr="008C351B">
        <w:tc>
          <w:tcPr>
            <w:tcW w:w="1019" w:type="pct"/>
            <w:shd w:val="clear" w:color="auto" w:fill="auto"/>
            <w:vAlign w:val="center"/>
          </w:tcPr>
          <w:p w14:paraId="5359B874" w14:textId="77777777" w:rsidR="00E135D7" w:rsidRPr="00804648" w:rsidRDefault="00E135D7" w:rsidP="0060058F">
            <w:pPr>
              <w:pStyle w:val="TableText0"/>
            </w:pPr>
            <w:r w:rsidRPr="00804648">
              <w:t>Methods used to generate results</w:t>
            </w:r>
          </w:p>
        </w:tc>
        <w:tc>
          <w:tcPr>
            <w:tcW w:w="3981" w:type="pct"/>
            <w:shd w:val="clear" w:color="auto" w:fill="auto"/>
            <w:vAlign w:val="center"/>
          </w:tcPr>
          <w:p w14:paraId="34061B66" w14:textId="77777777" w:rsidR="00E135D7" w:rsidRPr="00804648" w:rsidRDefault="00E135D7" w:rsidP="0060058F">
            <w:pPr>
              <w:pStyle w:val="TableText0"/>
            </w:pPr>
            <w:r w:rsidRPr="00804648">
              <w:t>Markov model</w:t>
            </w:r>
          </w:p>
        </w:tc>
      </w:tr>
      <w:tr w:rsidR="00E135D7" w:rsidRPr="00804648" w14:paraId="2067E526" w14:textId="77777777" w:rsidTr="00607022">
        <w:trPr>
          <w:trHeight w:val="508"/>
        </w:trPr>
        <w:tc>
          <w:tcPr>
            <w:tcW w:w="1019" w:type="pct"/>
            <w:shd w:val="clear" w:color="auto" w:fill="auto"/>
            <w:vAlign w:val="center"/>
          </w:tcPr>
          <w:p w14:paraId="1FDA7F20" w14:textId="77777777" w:rsidR="00E135D7" w:rsidRPr="00804648" w:rsidRDefault="00E135D7" w:rsidP="0060058F">
            <w:pPr>
              <w:pStyle w:val="TableText0"/>
            </w:pPr>
            <w:r w:rsidRPr="00804648">
              <w:t>Health states</w:t>
            </w:r>
          </w:p>
        </w:tc>
        <w:tc>
          <w:tcPr>
            <w:tcW w:w="3981" w:type="pct"/>
            <w:shd w:val="clear" w:color="auto" w:fill="auto"/>
            <w:vAlign w:val="center"/>
          </w:tcPr>
          <w:p w14:paraId="1C4BBB94" w14:textId="32B79CA2" w:rsidR="00E135D7" w:rsidRPr="00804648" w:rsidRDefault="00E135D7" w:rsidP="0060058F">
            <w:pPr>
              <w:pStyle w:val="TableText0"/>
            </w:pPr>
            <w:r w:rsidRPr="00804648">
              <w:t xml:space="preserve">Nine health states defined by severity of splenomegaly as measured by spleen volume (&lt;6 MN, 6-15 MN and ≥15 MN) and the severity of lung function impairment as measured by </w:t>
            </w:r>
            <w:r w:rsidR="00BD6F49" w:rsidRPr="00804648">
              <w:t>DLco</w:t>
            </w:r>
            <w:r w:rsidRPr="00804648">
              <w:t xml:space="preserve"> (&gt;80%, 40-80% and ≤40%), and death</w:t>
            </w:r>
          </w:p>
        </w:tc>
      </w:tr>
      <w:tr w:rsidR="00E135D7" w:rsidRPr="00804648" w14:paraId="362A2562" w14:textId="77777777" w:rsidTr="008C351B">
        <w:tc>
          <w:tcPr>
            <w:tcW w:w="1019" w:type="pct"/>
            <w:shd w:val="clear" w:color="auto" w:fill="auto"/>
            <w:vAlign w:val="center"/>
          </w:tcPr>
          <w:p w14:paraId="4CCEA81D" w14:textId="77777777" w:rsidR="00E135D7" w:rsidRPr="00804648" w:rsidRDefault="00E135D7" w:rsidP="0060058F">
            <w:pPr>
              <w:pStyle w:val="TableText0"/>
            </w:pPr>
            <w:r w:rsidRPr="00804648">
              <w:t>Cycle length</w:t>
            </w:r>
          </w:p>
        </w:tc>
        <w:tc>
          <w:tcPr>
            <w:tcW w:w="3981" w:type="pct"/>
            <w:shd w:val="clear" w:color="auto" w:fill="auto"/>
            <w:vAlign w:val="center"/>
          </w:tcPr>
          <w:p w14:paraId="2F143B0D" w14:textId="77777777" w:rsidR="00E135D7" w:rsidRPr="00804648" w:rsidRDefault="00E135D7" w:rsidP="0060058F">
            <w:pPr>
              <w:pStyle w:val="TableText0"/>
            </w:pPr>
            <w:r w:rsidRPr="00804648">
              <w:t>6 months in first year and yearly from Year 2 onwards</w:t>
            </w:r>
          </w:p>
        </w:tc>
      </w:tr>
      <w:tr w:rsidR="00E135D7" w:rsidRPr="00804648" w14:paraId="5BD57D16" w14:textId="77777777" w:rsidTr="008C351B">
        <w:tc>
          <w:tcPr>
            <w:tcW w:w="1019" w:type="pct"/>
            <w:shd w:val="clear" w:color="auto" w:fill="auto"/>
            <w:vAlign w:val="center"/>
          </w:tcPr>
          <w:p w14:paraId="09E8FB45" w14:textId="77777777" w:rsidR="00E135D7" w:rsidRPr="00804648" w:rsidRDefault="00E135D7" w:rsidP="0060058F">
            <w:pPr>
              <w:pStyle w:val="TableText0"/>
            </w:pPr>
            <w:r w:rsidRPr="00804648">
              <w:t xml:space="preserve">Transition probabilities </w:t>
            </w:r>
          </w:p>
          <w:p w14:paraId="49FC314D" w14:textId="77777777" w:rsidR="00E135D7" w:rsidRPr="00804648" w:rsidRDefault="00E135D7" w:rsidP="0060058F">
            <w:pPr>
              <w:pStyle w:val="TableText0"/>
            </w:pPr>
            <w:r w:rsidRPr="00804648">
              <w:t>(Adult population)</w:t>
            </w:r>
          </w:p>
          <w:p w14:paraId="6AFC2964" w14:textId="77777777" w:rsidR="00E135D7" w:rsidRPr="00804648" w:rsidRDefault="00E135D7" w:rsidP="0060058F">
            <w:pPr>
              <w:pStyle w:val="TableText0"/>
            </w:pPr>
          </w:p>
        </w:tc>
        <w:tc>
          <w:tcPr>
            <w:tcW w:w="3981" w:type="pct"/>
            <w:shd w:val="clear" w:color="auto" w:fill="auto"/>
          </w:tcPr>
          <w:p w14:paraId="66CCDA09" w14:textId="0E32BFEC" w:rsidR="00E135D7" w:rsidRPr="00804648" w:rsidRDefault="00E135D7" w:rsidP="0060058F">
            <w:pPr>
              <w:pStyle w:val="TableText0"/>
            </w:pPr>
            <w:r w:rsidRPr="00804648">
              <w:t xml:space="preserve">Transition probabilities for adults in the first year were calculated using ASCEND and the Phase Ib trial (DF13412) for olipudase alfa and ASCEND and SPHINGO-100 for BSC. In subsequent years, probabilities for </w:t>
            </w:r>
            <w:r w:rsidR="00DE5AC9" w:rsidRPr="00804648">
              <w:t xml:space="preserve">the </w:t>
            </w:r>
            <w:r w:rsidRPr="00804648">
              <w:t xml:space="preserve">olipudase alfa arm were calculated using a combination of ASCEND and Phase Ib extended treatment period, while SPHINGO-100 was used for BSC. Survival was based on SMRs specific for spleen volume (&lt;15 MN or ≥15 MN) derived from SPHINGO-100 data and applied to Australian general population mortality. </w:t>
            </w:r>
          </w:p>
        </w:tc>
      </w:tr>
      <w:tr w:rsidR="00E135D7" w:rsidRPr="00804648" w14:paraId="6D06C1FC" w14:textId="77777777" w:rsidTr="008C351B">
        <w:tc>
          <w:tcPr>
            <w:tcW w:w="1019" w:type="pct"/>
            <w:shd w:val="clear" w:color="auto" w:fill="auto"/>
            <w:vAlign w:val="center"/>
          </w:tcPr>
          <w:p w14:paraId="282C8B76" w14:textId="77777777" w:rsidR="00E135D7" w:rsidRPr="00804648" w:rsidRDefault="00E135D7" w:rsidP="0060058F">
            <w:pPr>
              <w:pStyle w:val="TableText0"/>
            </w:pPr>
            <w:r w:rsidRPr="00804648">
              <w:t xml:space="preserve">Transition probabilities </w:t>
            </w:r>
          </w:p>
          <w:p w14:paraId="4FEEF8DF" w14:textId="77777777" w:rsidR="00E135D7" w:rsidRPr="00804648" w:rsidRDefault="00E135D7" w:rsidP="0060058F">
            <w:pPr>
              <w:pStyle w:val="TableText0"/>
            </w:pPr>
            <w:r w:rsidRPr="00804648">
              <w:t>(Paediatric population)</w:t>
            </w:r>
          </w:p>
          <w:p w14:paraId="1DCE5609" w14:textId="77777777" w:rsidR="00E135D7" w:rsidRPr="00804648" w:rsidRDefault="00E135D7" w:rsidP="0060058F">
            <w:pPr>
              <w:pStyle w:val="TableText0"/>
            </w:pPr>
          </w:p>
        </w:tc>
        <w:tc>
          <w:tcPr>
            <w:tcW w:w="3981" w:type="pct"/>
            <w:shd w:val="clear" w:color="auto" w:fill="auto"/>
            <w:vAlign w:val="center"/>
          </w:tcPr>
          <w:p w14:paraId="0FC754A4" w14:textId="2D6BD337" w:rsidR="00E135D7" w:rsidRPr="00804648" w:rsidRDefault="00E135D7" w:rsidP="0060058F">
            <w:pPr>
              <w:pStyle w:val="TableText0"/>
            </w:pPr>
            <w:r w:rsidRPr="00804648">
              <w:t xml:space="preserve">Transition probabilities for paediatric patients were calculated using ASCEND-peds for olipudase alfa and SPHINGO-100 to for BSC. In subsequent years, probabilities for olipudase alfa arm were calculated using a combination of patients from ASCEND-peds who transitioned to the </w:t>
            </w:r>
            <w:r w:rsidR="0078065A" w:rsidRPr="00804648">
              <w:t>long-term</w:t>
            </w:r>
            <w:r w:rsidRPr="00804648">
              <w:t xml:space="preserve"> study, while SPHINGO-100 was used for BSC. Survival was based on SMRs specific for spleen volume (&lt;15 MN or ≥15 MN) derived from SPHINGO-100 data and</w:t>
            </w:r>
            <w:r w:rsidR="005F4B2B" w:rsidRPr="00804648">
              <w:t xml:space="preserve"> US life table 2017</w:t>
            </w:r>
            <w:r w:rsidRPr="00804648">
              <w:t xml:space="preserve"> applied to Australian general population mortality.</w:t>
            </w:r>
            <w:r w:rsidR="001C36DA" w:rsidRPr="00804648">
              <w:t xml:space="preserve"> </w:t>
            </w:r>
            <w:r w:rsidR="00607022" w:rsidRPr="00804648">
              <w:t>T</w:t>
            </w:r>
            <w:r w:rsidRPr="00804648">
              <w:t>ransition probabilities switch to those for adult patients once the average age of patients in the model reaches 18 years.</w:t>
            </w:r>
          </w:p>
        </w:tc>
      </w:tr>
      <w:tr w:rsidR="00E135D7" w:rsidRPr="00804648" w14:paraId="3B6D1A36" w14:textId="77777777" w:rsidTr="008C351B">
        <w:tc>
          <w:tcPr>
            <w:tcW w:w="1019" w:type="pct"/>
            <w:shd w:val="clear" w:color="auto" w:fill="auto"/>
            <w:vAlign w:val="center"/>
          </w:tcPr>
          <w:p w14:paraId="374CD968" w14:textId="77777777" w:rsidR="00E135D7" w:rsidRPr="00804648" w:rsidRDefault="00E135D7" w:rsidP="0060058F">
            <w:pPr>
              <w:pStyle w:val="TableText0"/>
            </w:pPr>
            <w:r w:rsidRPr="00804648">
              <w:t>Health related quality of life</w:t>
            </w:r>
          </w:p>
        </w:tc>
        <w:tc>
          <w:tcPr>
            <w:tcW w:w="3981" w:type="pct"/>
            <w:shd w:val="clear" w:color="auto" w:fill="auto"/>
            <w:vAlign w:val="center"/>
          </w:tcPr>
          <w:p w14:paraId="7748B7D1" w14:textId="77777777" w:rsidR="00E135D7" w:rsidRPr="00804648" w:rsidRDefault="00E135D7" w:rsidP="0060058F">
            <w:pPr>
              <w:pStyle w:val="TableText0"/>
            </w:pPr>
            <w:r w:rsidRPr="00804648">
              <w:t>TTO study to determine ASMD specific health state utilities</w:t>
            </w:r>
            <w:r w:rsidR="001A7387" w:rsidRPr="00804648">
              <w:t>.</w:t>
            </w:r>
          </w:p>
          <w:p w14:paraId="1A3D442C" w14:textId="0361853E" w:rsidR="001A7387" w:rsidRPr="00804648" w:rsidRDefault="001A7387" w:rsidP="0060058F">
            <w:pPr>
              <w:pStyle w:val="TableText0"/>
            </w:pPr>
            <w:r w:rsidRPr="00804648">
              <w:t>The submission also applied caregiver disutility in the base case analysis for paediatric patients with ASMD.</w:t>
            </w:r>
          </w:p>
        </w:tc>
      </w:tr>
    </w:tbl>
    <w:p w14:paraId="6393555E" w14:textId="77777777" w:rsidR="00E135D7" w:rsidRPr="00804648" w:rsidRDefault="00E135D7" w:rsidP="00E135D7">
      <w:pPr>
        <w:pStyle w:val="FooterTableFigure"/>
      </w:pPr>
      <w:r w:rsidRPr="00804648">
        <w:t>Source: Table 2.2.1, p113 and Table 2.2.37, p161 of the submission.</w:t>
      </w:r>
    </w:p>
    <w:p w14:paraId="263EE97E" w14:textId="3B2D1CD7" w:rsidR="00E135D7" w:rsidRPr="00804648" w:rsidRDefault="00E135D7" w:rsidP="00E135D7">
      <w:pPr>
        <w:pStyle w:val="FooterTableFigure"/>
        <w:rPr>
          <w:color w:val="0066FF"/>
        </w:rPr>
      </w:pPr>
      <w:r w:rsidRPr="00804648">
        <w:t xml:space="preserve">ASMD = acid sphingomyelinase deficiency, BSC = best supportive care, </w:t>
      </w:r>
      <w:r w:rsidR="00BD6F49" w:rsidRPr="00804648">
        <w:t>DLco</w:t>
      </w:r>
      <w:r w:rsidRPr="00804648">
        <w:t xml:space="preserve"> = diffusing capacity for carbon monoxide, LY = life-years, MN = multiples of normal, QALY = quality-adjusted life-years, SMR = standardised mortality rate, TTO = time trade-off.</w:t>
      </w:r>
      <w:r w:rsidRPr="00804648">
        <w:rPr>
          <w:color w:val="0066FF"/>
        </w:rPr>
        <w:t xml:space="preserve"> </w:t>
      </w:r>
    </w:p>
    <w:p w14:paraId="44E1AF11" w14:textId="7A02823D" w:rsidR="000F3A2F" w:rsidRPr="00804648" w:rsidRDefault="000F3A2F" w:rsidP="00B505D3">
      <w:pPr>
        <w:pStyle w:val="5-SubsectionSubheading"/>
      </w:pPr>
      <w:r w:rsidRPr="00804648">
        <w:t>Model structure and health states</w:t>
      </w:r>
    </w:p>
    <w:p w14:paraId="414ED440" w14:textId="05AC7A6F" w:rsidR="008235BD" w:rsidRPr="00804648" w:rsidRDefault="008235BD" w:rsidP="008235BD">
      <w:pPr>
        <w:pStyle w:val="3-BodyText"/>
      </w:pPr>
      <w:r w:rsidRPr="00804648">
        <w:t>The submission presented a multi-state Markov model to analyse the progression of patients through different health states defined by severity of splenomegaly and lung functions as follows:</w:t>
      </w:r>
    </w:p>
    <w:p w14:paraId="08317BB0" w14:textId="77777777" w:rsidR="008235BD" w:rsidRPr="00804648" w:rsidRDefault="008235BD" w:rsidP="00A9033C">
      <w:pPr>
        <w:pStyle w:val="ListParagraph"/>
        <w:ind w:left="1080"/>
      </w:pPr>
      <w:r w:rsidRPr="00804648">
        <w:t xml:space="preserve">Three categories of splenomegaly were defined based on the spleen volume deviation from normal; mild &lt;6 MN, moderate 6-15 MN, severe ≥15 MN. </w:t>
      </w:r>
    </w:p>
    <w:p w14:paraId="6D62B9A5" w14:textId="52CB82FB" w:rsidR="008235BD" w:rsidRPr="00804648" w:rsidRDefault="008235BD" w:rsidP="00A9033C">
      <w:pPr>
        <w:pStyle w:val="ListParagraph"/>
        <w:ind w:left="1080"/>
        <w:rPr>
          <w:i/>
          <w:iCs/>
        </w:rPr>
      </w:pPr>
      <w:r w:rsidRPr="00804648">
        <w:t xml:space="preserve">Three categories of lung function impairment were defined using percent predicted </w:t>
      </w:r>
      <w:r w:rsidR="00BD6F49" w:rsidRPr="00804648">
        <w:t>DLco</w:t>
      </w:r>
      <w:r w:rsidRPr="00804648">
        <w:t xml:space="preserve">; mild ≥80%, moderate 40-80%, and severe &lt;40%. </w:t>
      </w:r>
    </w:p>
    <w:p w14:paraId="630A8B70" w14:textId="29962E45" w:rsidR="00C6673E" w:rsidRPr="00804648" w:rsidRDefault="00163384" w:rsidP="005E7B65">
      <w:pPr>
        <w:pStyle w:val="3-BodyText"/>
      </w:pPr>
      <w:bookmarkStart w:id="62" w:name="_Ref137219221"/>
      <w:r w:rsidRPr="00804648">
        <w:t xml:space="preserve">While the evaluation considered the complex model structure with multiple health states defined by splenomegaly and lung function was not well justified, the PSCR maintained that the model structure was designed to reflect clinically meaningful outcomes for patients with ASMD and the available clinical evidence. Further to the evaluation’s comments, the </w:t>
      </w:r>
      <w:r w:rsidR="00C6673E" w:rsidRPr="00804648">
        <w:t xml:space="preserve">ESC </w:t>
      </w:r>
      <w:r w:rsidR="0028282D" w:rsidRPr="00804648">
        <w:t>noted</w:t>
      </w:r>
      <w:r w:rsidR="00C6673E" w:rsidRPr="00804648">
        <w:t xml:space="preserve"> the complex nature of the model was </w:t>
      </w:r>
      <w:r w:rsidRPr="00804648">
        <w:t>problematic</w:t>
      </w:r>
      <w:r w:rsidR="00C6673E" w:rsidRPr="00804648">
        <w:t xml:space="preserve"> given the small patient numbers and limited evidence available to populate health states and transition probabilities</w:t>
      </w:r>
      <w:r w:rsidR="0028282D" w:rsidRPr="00804648">
        <w:t>; it considered a</w:t>
      </w:r>
      <w:r w:rsidR="00C6673E" w:rsidRPr="00804648">
        <w:t xml:space="preserve"> simplified model structure may be more appropriate.</w:t>
      </w:r>
      <w:bookmarkEnd w:id="62"/>
    </w:p>
    <w:p w14:paraId="7F78DD4F" w14:textId="4D39331A" w:rsidR="008235BD" w:rsidRPr="00804648" w:rsidRDefault="008235BD" w:rsidP="005E7B65">
      <w:pPr>
        <w:pStyle w:val="3-BodyText"/>
      </w:pPr>
      <w:r w:rsidRPr="00804648">
        <w:lastRenderedPageBreak/>
        <w:t xml:space="preserve">Health states in the model defined by the severity of lung function impairment, as measured by </w:t>
      </w:r>
      <w:r w:rsidR="00BD6F49" w:rsidRPr="00804648">
        <w:t>DLco</w:t>
      </w:r>
      <w:r w:rsidRPr="00804648">
        <w:t xml:space="preserve"> may not be accurate</w:t>
      </w:r>
      <w:r w:rsidR="00B94830" w:rsidRPr="00804648">
        <w:t>,</w:t>
      </w:r>
      <w:r w:rsidRPr="00804648">
        <w:t xml:space="preserve"> especially for </w:t>
      </w:r>
      <w:r w:rsidR="00DE5AC9" w:rsidRPr="00804648">
        <w:t xml:space="preserve">the </w:t>
      </w:r>
      <w:r w:rsidRPr="00804648">
        <w:t xml:space="preserve">paediatric population. </w:t>
      </w:r>
      <w:r w:rsidR="00E93C76" w:rsidRPr="00804648">
        <w:t>The ESC noted that o</w:t>
      </w:r>
      <w:r w:rsidRPr="00804648">
        <w:t>nly</w:t>
      </w:r>
      <w:r w:rsidR="005E7B65" w:rsidRPr="00804648">
        <w:rPr>
          <w:i/>
          <w:iCs/>
        </w:rPr>
        <w:t xml:space="preserve"> </w:t>
      </w:r>
      <w:r w:rsidR="005E7B65" w:rsidRPr="00804648">
        <w:t xml:space="preserve">nine patients (60.0%) in ASCEND-peds and eight patients (57.1%) in SPHINGO-100 had </w:t>
      </w:r>
      <w:r w:rsidR="00BD6F49" w:rsidRPr="00804648">
        <w:t>DLco</w:t>
      </w:r>
      <w:r w:rsidR="005E7B65" w:rsidRPr="00804648">
        <w:t xml:space="preserve"> values at baseline and </w:t>
      </w:r>
      <w:r w:rsidR="00644B30" w:rsidRPr="00804648">
        <w:t>W</w:t>
      </w:r>
      <w:r w:rsidR="005E7B65" w:rsidRPr="00804648">
        <w:t>eek 52.</w:t>
      </w:r>
    </w:p>
    <w:p w14:paraId="1B744DA1" w14:textId="77AFA230" w:rsidR="000F3A2F" w:rsidRPr="00804648" w:rsidRDefault="000F3A2F" w:rsidP="00B505D3">
      <w:pPr>
        <w:pStyle w:val="5-SubsectionSubheading"/>
      </w:pPr>
      <w:r w:rsidRPr="00804648">
        <w:t>Transition probabilities</w:t>
      </w:r>
    </w:p>
    <w:p w14:paraId="34E6E3DC" w14:textId="4564AAEC" w:rsidR="00907634" w:rsidRPr="00804648" w:rsidRDefault="00907634" w:rsidP="00907634">
      <w:pPr>
        <w:pStyle w:val="3-BodyText"/>
      </w:pPr>
      <w:r w:rsidRPr="00804648">
        <w:t>Transition probabilities were informed by pooled data</w:t>
      </w:r>
      <w:r w:rsidR="00607022" w:rsidRPr="00804648">
        <w:t xml:space="preserve"> from </w:t>
      </w:r>
      <w:r w:rsidRPr="00804648">
        <w:t xml:space="preserve">four clinical trials and one natural history study, to increase the sample size. </w:t>
      </w:r>
      <w:r w:rsidRPr="00804648">
        <w:fldChar w:fldCharType="begin" w:fldLock="1"/>
      </w:r>
      <w:r w:rsidRPr="00804648">
        <w:instrText xml:space="preserve"> REF _Ref134189886 \h </w:instrText>
      </w:r>
      <w:r w:rsidRPr="00804648">
        <w:fldChar w:fldCharType="separate"/>
      </w:r>
      <w:r w:rsidR="005D02DA" w:rsidRPr="00804648">
        <w:t>Table 14</w:t>
      </w:r>
      <w:r w:rsidRPr="00804648">
        <w:fldChar w:fldCharType="end"/>
      </w:r>
      <w:r w:rsidRPr="00804648">
        <w:t xml:space="preserve"> summarises the data sources pooled for the analyses on the adult and paediatric populations:</w:t>
      </w:r>
    </w:p>
    <w:p w14:paraId="14983C6A" w14:textId="79E51131" w:rsidR="00907634" w:rsidRPr="00804648" w:rsidRDefault="00907634" w:rsidP="00907634">
      <w:pPr>
        <w:pStyle w:val="Caption"/>
      </w:pPr>
      <w:bookmarkStart w:id="63" w:name="_Ref134189886"/>
      <w:r w:rsidRPr="00804648">
        <w:t xml:space="preserve">Table </w:t>
      </w:r>
      <w:fldSimple w:instr=" SEQ Table \* ARABIC " w:fldLock="1">
        <w:r w:rsidR="005D02DA" w:rsidRPr="00804648">
          <w:t>14</w:t>
        </w:r>
      </w:fldSimple>
      <w:bookmarkEnd w:id="63"/>
      <w:r w:rsidRPr="00804648">
        <w:t>: Summary of clinical evidence for transition probabilities</w:t>
      </w:r>
    </w:p>
    <w:tbl>
      <w:tblPr>
        <w:tblStyle w:val="TableGrid"/>
        <w:tblW w:w="5000" w:type="pct"/>
        <w:tblLook w:val="04A0" w:firstRow="1" w:lastRow="0" w:firstColumn="1" w:lastColumn="0" w:noHBand="0" w:noVBand="1"/>
      </w:tblPr>
      <w:tblGrid>
        <w:gridCol w:w="2405"/>
        <w:gridCol w:w="1322"/>
        <w:gridCol w:w="1322"/>
        <w:gridCol w:w="1466"/>
        <w:gridCol w:w="1178"/>
        <w:gridCol w:w="1324"/>
      </w:tblGrid>
      <w:tr w:rsidR="00907634" w:rsidRPr="00804648" w14:paraId="3324E996" w14:textId="77777777" w:rsidTr="008C351B">
        <w:tc>
          <w:tcPr>
            <w:tcW w:w="1334" w:type="pct"/>
          </w:tcPr>
          <w:p w14:paraId="18C03488" w14:textId="77777777" w:rsidR="00907634" w:rsidRPr="00804648" w:rsidRDefault="00907634" w:rsidP="006F6FE5">
            <w:pPr>
              <w:keepNext/>
            </w:pPr>
          </w:p>
        </w:tc>
        <w:tc>
          <w:tcPr>
            <w:tcW w:w="733" w:type="pct"/>
          </w:tcPr>
          <w:p w14:paraId="20AC156F" w14:textId="77777777" w:rsidR="00907634" w:rsidRPr="00804648" w:rsidRDefault="00907634" w:rsidP="006F6FE5">
            <w:pPr>
              <w:pStyle w:val="TableText0"/>
              <w:jc w:val="center"/>
              <w:rPr>
                <w:b/>
                <w:bCs w:val="0"/>
              </w:rPr>
            </w:pPr>
            <w:r w:rsidRPr="00804648">
              <w:rPr>
                <w:b/>
                <w:bCs w:val="0"/>
              </w:rPr>
              <w:t>ASCEND</w:t>
            </w:r>
          </w:p>
        </w:tc>
        <w:tc>
          <w:tcPr>
            <w:tcW w:w="733" w:type="pct"/>
          </w:tcPr>
          <w:p w14:paraId="04BEF681" w14:textId="77777777" w:rsidR="00907634" w:rsidRPr="00804648" w:rsidRDefault="00907634" w:rsidP="006F6FE5">
            <w:pPr>
              <w:pStyle w:val="TableText0"/>
              <w:jc w:val="center"/>
              <w:rPr>
                <w:b/>
                <w:bCs w:val="0"/>
              </w:rPr>
            </w:pPr>
            <w:r w:rsidRPr="00804648">
              <w:rPr>
                <w:b/>
                <w:bCs w:val="0"/>
              </w:rPr>
              <w:t>DFI13412</w:t>
            </w:r>
          </w:p>
        </w:tc>
        <w:tc>
          <w:tcPr>
            <w:tcW w:w="813" w:type="pct"/>
          </w:tcPr>
          <w:p w14:paraId="2D0368AA" w14:textId="77777777" w:rsidR="00907634" w:rsidRPr="00804648" w:rsidRDefault="00907634" w:rsidP="006F6FE5">
            <w:pPr>
              <w:pStyle w:val="TableText0"/>
              <w:jc w:val="center"/>
              <w:rPr>
                <w:b/>
                <w:bCs w:val="0"/>
              </w:rPr>
            </w:pPr>
            <w:r w:rsidRPr="00804648">
              <w:rPr>
                <w:b/>
                <w:bCs w:val="0"/>
              </w:rPr>
              <w:t>ASCEND-Peds</w:t>
            </w:r>
          </w:p>
        </w:tc>
        <w:tc>
          <w:tcPr>
            <w:tcW w:w="653" w:type="pct"/>
          </w:tcPr>
          <w:p w14:paraId="76D30544" w14:textId="77777777" w:rsidR="00907634" w:rsidRPr="00804648" w:rsidRDefault="00907634" w:rsidP="006F6FE5">
            <w:pPr>
              <w:pStyle w:val="TableText0"/>
              <w:jc w:val="center"/>
              <w:rPr>
                <w:b/>
                <w:bCs w:val="0"/>
              </w:rPr>
            </w:pPr>
            <w:r w:rsidRPr="00804648">
              <w:rPr>
                <w:b/>
                <w:bCs w:val="0"/>
              </w:rPr>
              <w:t>LTS13532</w:t>
            </w:r>
          </w:p>
        </w:tc>
        <w:tc>
          <w:tcPr>
            <w:tcW w:w="734" w:type="pct"/>
          </w:tcPr>
          <w:p w14:paraId="187DF4CC" w14:textId="77777777" w:rsidR="00907634" w:rsidRPr="00804648" w:rsidRDefault="00907634" w:rsidP="006F6FE5">
            <w:pPr>
              <w:pStyle w:val="TableText0"/>
              <w:jc w:val="center"/>
              <w:rPr>
                <w:b/>
                <w:bCs w:val="0"/>
              </w:rPr>
            </w:pPr>
            <w:r w:rsidRPr="00804648">
              <w:rPr>
                <w:b/>
                <w:bCs w:val="0"/>
              </w:rPr>
              <w:t>SPHINGO-100</w:t>
            </w:r>
          </w:p>
        </w:tc>
      </w:tr>
      <w:tr w:rsidR="00907634" w:rsidRPr="00804648" w14:paraId="732DB1A5" w14:textId="77777777" w:rsidTr="008C351B">
        <w:tc>
          <w:tcPr>
            <w:tcW w:w="5000" w:type="pct"/>
            <w:gridSpan w:val="6"/>
          </w:tcPr>
          <w:p w14:paraId="2A21F12A" w14:textId="77777777" w:rsidR="00907634" w:rsidRPr="00804648" w:rsidRDefault="00907634" w:rsidP="006F6FE5">
            <w:pPr>
              <w:pStyle w:val="TableText0"/>
              <w:rPr>
                <w:b/>
                <w:bCs w:val="0"/>
              </w:rPr>
            </w:pPr>
            <w:r w:rsidRPr="00804648">
              <w:rPr>
                <w:b/>
                <w:bCs w:val="0"/>
              </w:rPr>
              <w:t>Adult population</w:t>
            </w:r>
          </w:p>
        </w:tc>
      </w:tr>
      <w:tr w:rsidR="00907634" w:rsidRPr="00804648" w14:paraId="31C772EB" w14:textId="77777777" w:rsidTr="008C351B">
        <w:tc>
          <w:tcPr>
            <w:tcW w:w="1334" w:type="pct"/>
          </w:tcPr>
          <w:p w14:paraId="3B04FB88" w14:textId="67E42508" w:rsidR="00907634" w:rsidRPr="00804648" w:rsidRDefault="00907634" w:rsidP="006F6FE5">
            <w:pPr>
              <w:pStyle w:val="TableText0"/>
            </w:pPr>
            <w:r w:rsidRPr="00804648">
              <w:t xml:space="preserve">Olipudase </w:t>
            </w:r>
            <w:r w:rsidR="001D43A8" w:rsidRPr="00804648">
              <w:t xml:space="preserve">alfa </w:t>
            </w:r>
            <w:r w:rsidRPr="00804648">
              <w:t>(Year 1)</w:t>
            </w:r>
          </w:p>
        </w:tc>
        <w:tc>
          <w:tcPr>
            <w:tcW w:w="733" w:type="pct"/>
          </w:tcPr>
          <w:p w14:paraId="49325C29" w14:textId="77777777" w:rsidR="00907634" w:rsidRPr="00804648" w:rsidRDefault="00907634" w:rsidP="006F6FE5">
            <w:pPr>
              <w:pStyle w:val="TableText0"/>
              <w:jc w:val="center"/>
            </w:pPr>
            <w:r w:rsidRPr="00804648">
              <w:sym w:font="Wingdings" w:char="F0FC"/>
            </w:r>
          </w:p>
        </w:tc>
        <w:tc>
          <w:tcPr>
            <w:tcW w:w="733" w:type="pct"/>
          </w:tcPr>
          <w:p w14:paraId="2C065CE0" w14:textId="77777777" w:rsidR="00907634" w:rsidRPr="00804648" w:rsidRDefault="00907634" w:rsidP="006F6FE5">
            <w:pPr>
              <w:pStyle w:val="TableText0"/>
              <w:jc w:val="center"/>
            </w:pPr>
            <w:r w:rsidRPr="00804648">
              <w:sym w:font="Wingdings" w:char="F0FC"/>
            </w:r>
          </w:p>
        </w:tc>
        <w:tc>
          <w:tcPr>
            <w:tcW w:w="813" w:type="pct"/>
          </w:tcPr>
          <w:p w14:paraId="0B25B7E6" w14:textId="77777777" w:rsidR="00907634" w:rsidRPr="00804648" w:rsidRDefault="00907634" w:rsidP="006F6FE5">
            <w:pPr>
              <w:pStyle w:val="TableText0"/>
            </w:pPr>
          </w:p>
        </w:tc>
        <w:tc>
          <w:tcPr>
            <w:tcW w:w="653" w:type="pct"/>
          </w:tcPr>
          <w:p w14:paraId="410CA0B6" w14:textId="77777777" w:rsidR="00907634" w:rsidRPr="00804648" w:rsidRDefault="00907634" w:rsidP="006F6FE5">
            <w:pPr>
              <w:pStyle w:val="TableText0"/>
            </w:pPr>
          </w:p>
        </w:tc>
        <w:tc>
          <w:tcPr>
            <w:tcW w:w="734" w:type="pct"/>
          </w:tcPr>
          <w:p w14:paraId="1C7E3BC3" w14:textId="77777777" w:rsidR="00907634" w:rsidRPr="00804648" w:rsidRDefault="00907634" w:rsidP="006F6FE5">
            <w:pPr>
              <w:pStyle w:val="TableText0"/>
            </w:pPr>
          </w:p>
        </w:tc>
      </w:tr>
      <w:tr w:rsidR="00907634" w:rsidRPr="00804648" w14:paraId="117C5EFC" w14:textId="77777777" w:rsidTr="008C351B">
        <w:tc>
          <w:tcPr>
            <w:tcW w:w="1334" w:type="pct"/>
          </w:tcPr>
          <w:p w14:paraId="4B907B5C" w14:textId="61EADA55" w:rsidR="00907634" w:rsidRPr="00804648" w:rsidRDefault="00907634" w:rsidP="006F6FE5">
            <w:pPr>
              <w:pStyle w:val="TableText0"/>
            </w:pPr>
            <w:r w:rsidRPr="00804648">
              <w:t xml:space="preserve">Olipudase </w:t>
            </w:r>
            <w:r w:rsidR="001D43A8" w:rsidRPr="00804648">
              <w:t xml:space="preserve">alfa </w:t>
            </w:r>
            <w:r w:rsidRPr="00804648">
              <w:t>(Year 2+)</w:t>
            </w:r>
          </w:p>
        </w:tc>
        <w:tc>
          <w:tcPr>
            <w:tcW w:w="733" w:type="pct"/>
          </w:tcPr>
          <w:p w14:paraId="00D95809" w14:textId="77777777" w:rsidR="00907634" w:rsidRPr="00804648" w:rsidRDefault="00907634" w:rsidP="006F6FE5">
            <w:pPr>
              <w:pStyle w:val="TableText0"/>
              <w:jc w:val="center"/>
            </w:pPr>
            <w:r w:rsidRPr="00804648">
              <w:sym w:font="Wingdings" w:char="F0FC"/>
            </w:r>
          </w:p>
        </w:tc>
        <w:tc>
          <w:tcPr>
            <w:tcW w:w="733" w:type="pct"/>
          </w:tcPr>
          <w:p w14:paraId="2D12FC0E" w14:textId="77777777" w:rsidR="00907634" w:rsidRPr="00804648" w:rsidRDefault="00907634" w:rsidP="006F6FE5">
            <w:pPr>
              <w:pStyle w:val="TableText0"/>
            </w:pPr>
          </w:p>
        </w:tc>
        <w:tc>
          <w:tcPr>
            <w:tcW w:w="813" w:type="pct"/>
          </w:tcPr>
          <w:p w14:paraId="4C5C7410" w14:textId="77777777" w:rsidR="00907634" w:rsidRPr="00804648" w:rsidRDefault="00907634" w:rsidP="006F6FE5">
            <w:pPr>
              <w:pStyle w:val="TableText0"/>
            </w:pPr>
          </w:p>
        </w:tc>
        <w:tc>
          <w:tcPr>
            <w:tcW w:w="653" w:type="pct"/>
          </w:tcPr>
          <w:p w14:paraId="11DD5A07" w14:textId="77777777" w:rsidR="00907634" w:rsidRPr="00804648" w:rsidRDefault="00907634" w:rsidP="006F6FE5">
            <w:pPr>
              <w:pStyle w:val="TableText0"/>
              <w:jc w:val="center"/>
            </w:pPr>
            <w:r w:rsidRPr="00804648">
              <w:sym w:font="Wingdings" w:char="F0FC"/>
            </w:r>
          </w:p>
        </w:tc>
        <w:tc>
          <w:tcPr>
            <w:tcW w:w="734" w:type="pct"/>
          </w:tcPr>
          <w:p w14:paraId="73D36FFE" w14:textId="77777777" w:rsidR="00907634" w:rsidRPr="00804648" w:rsidRDefault="00907634" w:rsidP="006F6FE5">
            <w:pPr>
              <w:pStyle w:val="TableText0"/>
            </w:pPr>
          </w:p>
        </w:tc>
      </w:tr>
      <w:tr w:rsidR="00907634" w:rsidRPr="00804648" w14:paraId="6380E3EB" w14:textId="77777777" w:rsidTr="008C351B">
        <w:tc>
          <w:tcPr>
            <w:tcW w:w="1334" w:type="pct"/>
          </w:tcPr>
          <w:p w14:paraId="6B5498D3" w14:textId="77777777" w:rsidR="00907634" w:rsidRPr="00804648" w:rsidRDefault="00907634" w:rsidP="006F6FE5">
            <w:pPr>
              <w:pStyle w:val="TableText0"/>
            </w:pPr>
            <w:r w:rsidRPr="00804648">
              <w:t>BSC (Year 1)</w:t>
            </w:r>
          </w:p>
        </w:tc>
        <w:tc>
          <w:tcPr>
            <w:tcW w:w="733" w:type="pct"/>
          </w:tcPr>
          <w:p w14:paraId="2777C818" w14:textId="77777777" w:rsidR="00907634" w:rsidRPr="00804648" w:rsidRDefault="00907634" w:rsidP="006F6FE5">
            <w:pPr>
              <w:pStyle w:val="TableText0"/>
              <w:jc w:val="center"/>
            </w:pPr>
            <w:r w:rsidRPr="00804648">
              <w:sym w:font="Wingdings" w:char="F0FC"/>
            </w:r>
          </w:p>
        </w:tc>
        <w:tc>
          <w:tcPr>
            <w:tcW w:w="733" w:type="pct"/>
          </w:tcPr>
          <w:p w14:paraId="39441ADC" w14:textId="77777777" w:rsidR="00907634" w:rsidRPr="00804648" w:rsidRDefault="00907634" w:rsidP="006F6FE5">
            <w:pPr>
              <w:pStyle w:val="TableText0"/>
            </w:pPr>
          </w:p>
        </w:tc>
        <w:tc>
          <w:tcPr>
            <w:tcW w:w="813" w:type="pct"/>
          </w:tcPr>
          <w:p w14:paraId="04C7311C" w14:textId="77777777" w:rsidR="00907634" w:rsidRPr="00804648" w:rsidRDefault="00907634" w:rsidP="006F6FE5">
            <w:pPr>
              <w:pStyle w:val="TableText0"/>
            </w:pPr>
          </w:p>
        </w:tc>
        <w:tc>
          <w:tcPr>
            <w:tcW w:w="653" w:type="pct"/>
          </w:tcPr>
          <w:p w14:paraId="68B3A1B6" w14:textId="77777777" w:rsidR="00907634" w:rsidRPr="00804648" w:rsidRDefault="00907634" w:rsidP="006F6FE5">
            <w:pPr>
              <w:pStyle w:val="TableText0"/>
            </w:pPr>
          </w:p>
        </w:tc>
        <w:tc>
          <w:tcPr>
            <w:tcW w:w="734" w:type="pct"/>
          </w:tcPr>
          <w:p w14:paraId="4E4FB934" w14:textId="77777777" w:rsidR="00907634" w:rsidRPr="00804648" w:rsidRDefault="00907634" w:rsidP="006F6FE5">
            <w:pPr>
              <w:pStyle w:val="TableText0"/>
              <w:jc w:val="center"/>
            </w:pPr>
            <w:r w:rsidRPr="00804648">
              <w:sym w:font="Wingdings" w:char="F0FC"/>
            </w:r>
          </w:p>
        </w:tc>
      </w:tr>
      <w:tr w:rsidR="00907634" w:rsidRPr="00804648" w14:paraId="65CD062D" w14:textId="77777777" w:rsidTr="008C351B">
        <w:tc>
          <w:tcPr>
            <w:tcW w:w="1334" w:type="pct"/>
          </w:tcPr>
          <w:p w14:paraId="62B49B04" w14:textId="77777777" w:rsidR="00907634" w:rsidRPr="00804648" w:rsidRDefault="00907634" w:rsidP="006F6FE5">
            <w:pPr>
              <w:pStyle w:val="TableText0"/>
            </w:pPr>
            <w:r w:rsidRPr="00804648">
              <w:t>BSC (Year 2+)</w:t>
            </w:r>
          </w:p>
        </w:tc>
        <w:tc>
          <w:tcPr>
            <w:tcW w:w="733" w:type="pct"/>
          </w:tcPr>
          <w:p w14:paraId="45ABD0D4" w14:textId="77777777" w:rsidR="00907634" w:rsidRPr="00804648" w:rsidRDefault="00907634" w:rsidP="006F6FE5">
            <w:pPr>
              <w:pStyle w:val="TableText0"/>
            </w:pPr>
          </w:p>
        </w:tc>
        <w:tc>
          <w:tcPr>
            <w:tcW w:w="733" w:type="pct"/>
          </w:tcPr>
          <w:p w14:paraId="6B772FD4" w14:textId="77777777" w:rsidR="00907634" w:rsidRPr="00804648" w:rsidRDefault="00907634" w:rsidP="006F6FE5">
            <w:pPr>
              <w:pStyle w:val="TableText0"/>
            </w:pPr>
          </w:p>
        </w:tc>
        <w:tc>
          <w:tcPr>
            <w:tcW w:w="813" w:type="pct"/>
          </w:tcPr>
          <w:p w14:paraId="5672B78C" w14:textId="77777777" w:rsidR="00907634" w:rsidRPr="00804648" w:rsidRDefault="00907634" w:rsidP="006F6FE5">
            <w:pPr>
              <w:pStyle w:val="TableText0"/>
            </w:pPr>
          </w:p>
        </w:tc>
        <w:tc>
          <w:tcPr>
            <w:tcW w:w="653" w:type="pct"/>
          </w:tcPr>
          <w:p w14:paraId="09F8667B" w14:textId="77777777" w:rsidR="00907634" w:rsidRPr="00804648" w:rsidRDefault="00907634" w:rsidP="006F6FE5">
            <w:pPr>
              <w:pStyle w:val="TableText0"/>
            </w:pPr>
          </w:p>
        </w:tc>
        <w:tc>
          <w:tcPr>
            <w:tcW w:w="734" w:type="pct"/>
          </w:tcPr>
          <w:p w14:paraId="19803063" w14:textId="77777777" w:rsidR="00907634" w:rsidRPr="00804648" w:rsidRDefault="00907634" w:rsidP="006F6FE5">
            <w:pPr>
              <w:pStyle w:val="TableText0"/>
              <w:jc w:val="center"/>
            </w:pPr>
            <w:r w:rsidRPr="00804648">
              <w:sym w:font="Wingdings" w:char="F0FC"/>
            </w:r>
          </w:p>
        </w:tc>
      </w:tr>
      <w:tr w:rsidR="00907634" w:rsidRPr="00804648" w14:paraId="22FE2503" w14:textId="77777777" w:rsidTr="008C351B">
        <w:tc>
          <w:tcPr>
            <w:tcW w:w="5000" w:type="pct"/>
            <w:gridSpan w:val="6"/>
          </w:tcPr>
          <w:p w14:paraId="0572DFBE" w14:textId="77777777" w:rsidR="00907634" w:rsidRPr="00804648" w:rsidRDefault="00907634" w:rsidP="006F6FE5">
            <w:pPr>
              <w:pStyle w:val="TableText0"/>
              <w:rPr>
                <w:b/>
                <w:bCs w:val="0"/>
              </w:rPr>
            </w:pPr>
            <w:r w:rsidRPr="00804648">
              <w:rPr>
                <w:b/>
                <w:bCs w:val="0"/>
              </w:rPr>
              <w:t>Paediatric population</w:t>
            </w:r>
          </w:p>
        </w:tc>
      </w:tr>
      <w:tr w:rsidR="00907634" w:rsidRPr="00804648" w14:paraId="4B266B90" w14:textId="77777777" w:rsidTr="008C351B">
        <w:tc>
          <w:tcPr>
            <w:tcW w:w="1334" w:type="pct"/>
          </w:tcPr>
          <w:p w14:paraId="0ADEA548" w14:textId="4F16368A" w:rsidR="00907634" w:rsidRPr="00804648" w:rsidRDefault="00907634" w:rsidP="006F6FE5">
            <w:pPr>
              <w:pStyle w:val="TableText0"/>
            </w:pPr>
            <w:r w:rsidRPr="00804648">
              <w:t>Olipudase</w:t>
            </w:r>
            <w:r w:rsidR="001D43A8" w:rsidRPr="00804648">
              <w:t xml:space="preserve"> alfa</w:t>
            </w:r>
            <w:r w:rsidRPr="00804648">
              <w:t xml:space="preserve"> (Year 1)</w:t>
            </w:r>
          </w:p>
        </w:tc>
        <w:tc>
          <w:tcPr>
            <w:tcW w:w="733" w:type="pct"/>
          </w:tcPr>
          <w:p w14:paraId="1A776FAF" w14:textId="77777777" w:rsidR="00907634" w:rsidRPr="00804648" w:rsidRDefault="00907634" w:rsidP="006F6FE5">
            <w:pPr>
              <w:pStyle w:val="TableText0"/>
            </w:pPr>
          </w:p>
        </w:tc>
        <w:tc>
          <w:tcPr>
            <w:tcW w:w="733" w:type="pct"/>
          </w:tcPr>
          <w:p w14:paraId="73044CB6" w14:textId="77777777" w:rsidR="00907634" w:rsidRPr="00804648" w:rsidRDefault="00907634" w:rsidP="006F6FE5">
            <w:pPr>
              <w:pStyle w:val="TableText0"/>
            </w:pPr>
          </w:p>
        </w:tc>
        <w:tc>
          <w:tcPr>
            <w:tcW w:w="813" w:type="pct"/>
          </w:tcPr>
          <w:p w14:paraId="06FFCE8B" w14:textId="77777777" w:rsidR="00907634" w:rsidRPr="00804648" w:rsidRDefault="00907634" w:rsidP="006F6FE5">
            <w:pPr>
              <w:pStyle w:val="TableText0"/>
              <w:jc w:val="center"/>
            </w:pPr>
            <w:r w:rsidRPr="00804648">
              <w:sym w:font="Wingdings" w:char="F0FC"/>
            </w:r>
          </w:p>
        </w:tc>
        <w:tc>
          <w:tcPr>
            <w:tcW w:w="653" w:type="pct"/>
          </w:tcPr>
          <w:p w14:paraId="1EA357AE" w14:textId="77777777" w:rsidR="00907634" w:rsidRPr="00804648" w:rsidRDefault="00907634" w:rsidP="006F6FE5">
            <w:pPr>
              <w:pStyle w:val="TableText0"/>
            </w:pPr>
          </w:p>
        </w:tc>
        <w:tc>
          <w:tcPr>
            <w:tcW w:w="734" w:type="pct"/>
          </w:tcPr>
          <w:p w14:paraId="7B6775FD" w14:textId="77777777" w:rsidR="00907634" w:rsidRPr="00804648" w:rsidRDefault="00907634" w:rsidP="006F6FE5">
            <w:pPr>
              <w:pStyle w:val="TableText0"/>
            </w:pPr>
          </w:p>
        </w:tc>
      </w:tr>
      <w:tr w:rsidR="00907634" w:rsidRPr="00804648" w14:paraId="2CA48B43" w14:textId="77777777" w:rsidTr="008C351B">
        <w:tc>
          <w:tcPr>
            <w:tcW w:w="1334" w:type="pct"/>
          </w:tcPr>
          <w:p w14:paraId="1BF94882" w14:textId="32C3B37D" w:rsidR="00907634" w:rsidRPr="00804648" w:rsidRDefault="00907634" w:rsidP="006F6FE5">
            <w:pPr>
              <w:pStyle w:val="TableText0"/>
            </w:pPr>
            <w:r w:rsidRPr="00804648">
              <w:t>Olipudase</w:t>
            </w:r>
            <w:r w:rsidR="001D43A8" w:rsidRPr="00804648">
              <w:t xml:space="preserve"> alfa</w:t>
            </w:r>
            <w:r w:rsidRPr="00804648">
              <w:t xml:space="preserve"> (Year 2+)</w:t>
            </w:r>
          </w:p>
        </w:tc>
        <w:tc>
          <w:tcPr>
            <w:tcW w:w="733" w:type="pct"/>
          </w:tcPr>
          <w:p w14:paraId="455F6ADC" w14:textId="77777777" w:rsidR="00907634" w:rsidRPr="00804648" w:rsidRDefault="00907634" w:rsidP="006F6FE5">
            <w:pPr>
              <w:pStyle w:val="TableText0"/>
            </w:pPr>
          </w:p>
        </w:tc>
        <w:tc>
          <w:tcPr>
            <w:tcW w:w="733" w:type="pct"/>
          </w:tcPr>
          <w:p w14:paraId="78934645" w14:textId="77777777" w:rsidR="00907634" w:rsidRPr="00804648" w:rsidRDefault="00907634" w:rsidP="006F6FE5">
            <w:pPr>
              <w:pStyle w:val="TableText0"/>
            </w:pPr>
          </w:p>
        </w:tc>
        <w:tc>
          <w:tcPr>
            <w:tcW w:w="813" w:type="pct"/>
          </w:tcPr>
          <w:p w14:paraId="44FBC8CA" w14:textId="77777777" w:rsidR="00907634" w:rsidRPr="00804648" w:rsidRDefault="00907634" w:rsidP="006F6FE5">
            <w:pPr>
              <w:pStyle w:val="TableText0"/>
              <w:jc w:val="center"/>
            </w:pPr>
            <w:r w:rsidRPr="00804648">
              <w:sym w:font="Wingdings" w:char="F0FC"/>
            </w:r>
          </w:p>
        </w:tc>
        <w:tc>
          <w:tcPr>
            <w:tcW w:w="653" w:type="pct"/>
          </w:tcPr>
          <w:p w14:paraId="0A52D3D0" w14:textId="77777777" w:rsidR="00907634" w:rsidRPr="00804648" w:rsidRDefault="00907634" w:rsidP="006F6FE5">
            <w:pPr>
              <w:pStyle w:val="TableText0"/>
              <w:jc w:val="center"/>
            </w:pPr>
            <w:r w:rsidRPr="00804648">
              <w:sym w:font="Wingdings" w:char="F0FC"/>
            </w:r>
          </w:p>
        </w:tc>
        <w:tc>
          <w:tcPr>
            <w:tcW w:w="734" w:type="pct"/>
          </w:tcPr>
          <w:p w14:paraId="269491A7" w14:textId="77777777" w:rsidR="00907634" w:rsidRPr="00804648" w:rsidRDefault="00907634" w:rsidP="006F6FE5">
            <w:pPr>
              <w:pStyle w:val="TableText0"/>
            </w:pPr>
          </w:p>
        </w:tc>
      </w:tr>
      <w:tr w:rsidR="00907634" w:rsidRPr="00804648" w14:paraId="1244A361" w14:textId="77777777" w:rsidTr="008C351B">
        <w:tc>
          <w:tcPr>
            <w:tcW w:w="1334" w:type="pct"/>
          </w:tcPr>
          <w:p w14:paraId="3F7F49C7" w14:textId="77777777" w:rsidR="00907634" w:rsidRPr="00804648" w:rsidRDefault="00907634" w:rsidP="006F6FE5">
            <w:pPr>
              <w:pStyle w:val="TableText0"/>
            </w:pPr>
            <w:r w:rsidRPr="00804648">
              <w:t>BSC (Year 1)</w:t>
            </w:r>
          </w:p>
        </w:tc>
        <w:tc>
          <w:tcPr>
            <w:tcW w:w="733" w:type="pct"/>
          </w:tcPr>
          <w:p w14:paraId="113E393A" w14:textId="77777777" w:rsidR="00907634" w:rsidRPr="00804648" w:rsidRDefault="00907634" w:rsidP="006F6FE5">
            <w:pPr>
              <w:pStyle w:val="TableText0"/>
            </w:pPr>
          </w:p>
        </w:tc>
        <w:tc>
          <w:tcPr>
            <w:tcW w:w="733" w:type="pct"/>
          </w:tcPr>
          <w:p w14:paraId="1B26290F" w14:textId="77777777" w:rsidR="00907634" w:rsidRPr="00804648" w:rsidRDefault="00907634" w:rsidP="006F6FE5">
            <w:pPr>
              <w:pStyle w:val="TableText0"/>
            </w:pPr>
          </w:p>
        </w:tc>
        <w:tc>
          <w:tcPr>
            <w:tcW w:w="813" w:type="pct"/>
          </w:tcPr>
          <w:p w14:paraId="2201E6C3" w14:textId="77777777" w:rsidR="00907634" w:rsidRPr="00804648" w:rsidRDefault="00907634" w:rsidP="006F6FE5">
            <w:pPr>
              <w:pStyle w:val="TableText0"/>
            </w:pPr>
          </w:p>
        </w:tc>
        <w:tc>
          <w:tcPr>
            <w:tcW w:w="653" w:type="pct"/>
          </w:tcPr>
          <w:p w14:paraId="3DFE972A" w14:textId="77777777" w:rsidR="00907634" w:rsidRPr="00804648" w:rsidRDefault="00907634" w:rsidP="006F6FE5">
            <w:pPr>
              <w:pStyle w:val="TableText0"/>
            </w:pPr>
          </w:p>
        </w:tc>
        <w:tc>
          <w:tcPr>
            <w:tcW w:w="734" w:type="pct"/>
          </w:tcPr>
          <w:p w14:paraId="6AF9F54E" w14:textId="77777777" w:rsidR="00907634" w:rsidRPr="00804648" w:rsidRDefault="00907634" w:rsidP="006F6FE5">
            <w:pPr>
              <w:pStyle w:val="TableText0"/>
              <w:jc w:val="center"/>
            </w:pPr>
            <w:r w:rsidRPr="00804648">
              <w:sym w:font="Wingdings" w:char="F0FC"/>
            </w:r>
          </w:p>
        </w:tc>
      </w:tr>
      <w:tr w:rsidR="00907634" w:rsidRPr="00804648" w14:paraId="0434D84F" w14:textId="77777777" w:rsidTr="008C351B">
        <w:tc>
          <w:tcPr>
            <w:tcW w:w="1334" w:type="pct"/>
          </w:tcPr>
          <w:p w14:paraId="6E3C8565" w14:textId="77777777" w:rsidR="00907634" w:rsidRPr="00804648" w:rsidRDefault="00907634" w:rsidP="006F6FE5">
            <w:pPr>
              <w:pStyle w:val="TableText0"/>
            </w:pPr>
            <w:r w:rsidRPr="00804648">
              <w:t>BSC (Year 2+)</w:t>
            </w:r>
          </w:p>
        </w:tc>
        <w:tc>
          <w:tcPr>
            <w:tcW w:w="733" w:type="pct"/>
          </w:tcPr>
          <w:p w14:paraId="22D666A2" w14:textId="77777777" w:rsidR="00907634" w:rsidRPr="00804648" w:rsidRDefault="00907634" w:rsidP="006F6FE5">
            <w:pPr>
              <w:pStyle w:val="TableText0"/>
            </w:pPr>
          </w:p>
        </w:tc>
        <w:tc>
          <w:tcPr>
            <w:tcW w:w="733" w:type="pct"/>
          </w:tcPr>
          <w:p w14:paraId="162C20E8" w14:textId="77777777" w:rsidR="00907634" w:rsidRPr="00804648" w:rsidRDefault="00907634" w:rsidP="006F6FE5">
            <w:pPr>
              <w:pStyle w:val="TableText0"/>
            </w:pPr>
          </w:p>
        </w:tc>
        <w:tc>
          <w:tcPr>
            <w:tcW w:w="813" w:type="pct"/>
          </w:tcPr>
          <w:p w14:paraId="35F725C5" w14:textId="77777777" w:rsidR="00907634" w:rsidRPr="00804648" w:rsidRDefault="00907634" w:rsidP="006F6FE5">
            <w:pPr>
              <w:pStyle w:val="TableText0"/>
            </w:pPr>
          </w:p>
        </w:tc>
        <w:tc>
          <w:tcPr>
            <w:tcW w:w="653" w:type="pct"/>
          </w:tcPr>
          <w:p w14:paraId="6570C6F6" w14:textId="77777777" w:rsidR="00907634" w:rsidRPr="00804648" w:rsidRDefault="00907634" w:rsidP="006F6FE5">
            <w:pPr>
              <w:pStyle w:val="TableText0"/>
            </w:pPr>
          </w:p>
        </w:tc>
        <w:tc>
          <w:tcPr>
            <w:tcW w:w="734" w:type="pct"/>
          </w:tcPr>
          <w:p w14:paraId="328DC7C0" w14:textId="77777777" w:rsidR="00907634" w:rsidRPr="00804648" w:rsidRDefault="00907634" w:rsidP="006F6FE5">
            <w:pPr>
              <w:pStyle w:val="TableText0"/>
              <w:jc w:val="center"/>
            </w:pPr>
            <w:r w:rsidRPr="00804648">
              <w:sym w:font="Wingdings" w:char="F0FC"/>
            </w:r>
          </w:p>
        </w:tc>
      </w:tr>
    </w:tbl>
    <w:p w14:paraId="7A5B1414" w14:textId="77777777" w:rsidR="00907634" w:rsidRPr="00804648" w:rsidRDefault="00907634" w:rsidP="00907634">
      <w:pPr>
        <w:pStyle w:val="FooterTableFigure"/>
      </w:pPr>
      <w:r w:rsidRPr="00804648">
        <w:t>Source: Slide 12,’Transition probability analysis’ presentation, Appendix 15 of the submission.</w:t>
      </w:r>
    </w:p>
    <w:p w14:paraId="710BA3A3" w14:textId="45ABC094" w:rsidR="00907634" w:rsidRPr="00804648" w:rsidRDefault="00907634" w:rsidP="00907634">
      <w:pPr>
        <w:pStyle w:val="FooterTableFigure"/>
      </w:pPr>
      <w:r w:rsidRPr="00804648">
        <w:t>BSC = best supportive care.</w:t>
      </w:r>
    </w:p>
    <w:p w14:paraId="547E0FE4" w14:textId="77777777" w:rsidR="008235BD" w:rsidRPr="00804648" w:rsidRDefault="008235BD" w:rsidP="008235BD">
      <w:pPr>
        <w:pStyle w:val="3-BodyText"/>
      </w:pPr>
      <w:bookmarkStart w:id="64" w:name="_Hlk133930882"/>
      <w:r w:rsidRPr="00804648">
        <w:t>There remains uncertainty in the estimation of the transition probabilities because:</w:t>
      </w:r>
    </w:p>
    <w:p w14:paraId="31621DB4" w14:textId="49668ECB" w:rsidR="00E72E57" w:rsidRPr="00804648" w:rsidRDefault="008235BD" w:rsidP="00A9033C">
      <w:pPr>
        <w:pStyle w:val="ListParagraph"/>
        <w:ind w:left="1080"/>
      </w:pPr>
      <w:r w:rsidRPr="00804648">
        <w:t xml:space="preserve">The sample size remained small </w:t>
      </w:r>
      <w:r w:rsidR="00E1699E" w:rsidRPr="00804648">
        <w:t xml:space="preserve">even </w:t>
      </w:r>
      <w:r w:rsidRPr="00804648">
        <w:t>after pooling data from multiple studies.</w:t>
      </w:r>
      <w:r w:rsidR="00E72E57" w:rsidRPr="00804648">
        <w:t xml:space="preserve"> Furthermore, pooling data from different studies involved several </w:t>
      </w:r>
      <w:r w:rsidR="0078065A" w:rsidRPr="00804648">
        <w:t>assumptions</w:t>
      </w:r>
      <w:r w:rsidR="00607022" w:rsidRPr="00804648">
        <w:t xml:space="preserve"> regarding similarities of patients within trials (i.e., patients switching from BSC to olipudase alfa in ASCEND</w:t>
      </w:r>
      <w:r w:rsidR="00EA791A" w:rsidRPr="00804648">
        <w:t>)</w:t>
      </w:r>
      <w:r w:rsidR="00983C30" w:rsidRPr="00804648">
        <w:t xml:space="preserve"> and across trials (i.e., </w:t>
      </w:r>
      <w:r w:rsidR="00EA791A" w:rsidRPr="00804648">
        <w:t xml:space="preserve">patients in DFI13412 were assumed to be similar to </w:t>
      </w:r>
      <w:r w:rsidR="00983C30" w:rsidRPr="00804648">
        <w:t xml:space="preserve">olipudase alfa </w:t>
      </w:r>
      <w:r w:rsidR="00EA791A" w:rsidRPr="00804648">
        <w:t>patients in the ASCEND trial</w:t>
      </w:r>
      <w:r w:rsidR="00983C30" w:rsidRPr="00804648">
        <w:t xml:space="preserve"> </w:t>
      </w:r>
      <w:r w:rsidR="00EA791A" w:rsidRPr="00804648">
        <w:t>and patients in SPHINGO-100 were assumed to be similar to the BSC arm of ASCEND trial</w:t>
      </w:r>
      <w:r w:rsidR="00983C30" w:rsidRPr="00804648">
        <w:t>)</w:t>
      </w:r>
      <w:r w:rsidR="00EA791A" w:rsidRPr="00804648">
        <w:t>.</w:t>
      </w:r>
    </w:p>
    <w:p w14:paraId="5AF17A19" w14:textId="3809869D" w:rsidR="008235BD" w:rsidRPr="00804648" w:rsidRDefault="008235BD" w:rsidP="00A9033C">
      <w:pPr>
        <w:pStyle w:val="ListParagraph"/>
        <w:ind w:left="1080"/>
      </w:pPr>
      <w:r w:rsidRPr="00804648">
        <w:t xml:space="preserve">The transitions between the spleen volume and </w:t>
      </w:r>
      <w:r w:rsidR="00BD6F49" w:rsidRPr="00804648">
        <w:t>DLco</w:t>
      </w:r>
      <w:r w:rsidRPr="00804648">
        <w:t xml:space="preserve"> health states were assumed to be independent and were estimated separately to reduce the number of </w:t>
      </w:r>
      <w:r w:rsidR="00A9033C" w:rsidRPr="00804648">
        <w:t>parameters required</w:t>
      </w:r>
      <w:r w:rsidRPr="00804648">
        <w:t>. This assumption was inappropriate; based on</w:t>
      </w:r>
      <w:r w:rsidR="00AE3E6D" w:rsidRPr="00804648">
        <w:t xml:space="preserve"> the data from the </w:t>
      </w:r>
      <w:r w:rsidR="00676A18" w:rsidRPr="00804648">
        <w:t>n</w:t>
      </w:r>
      <w:r w:rsidR="00AE3E6D" w:rsidRPr="00804648">
        <w:t>atural history study by</w:t>
      </w:r>
      <w:r w:rsidRPr="00804648">
        <w:t xml:space="preserve"> McGovern et al. (2008), </w:t>
      </w:r>
      <w:r w:rsidR="00AE3E6D" w:rsidRPr="00804648">
        <w:t>splenic volume was negatively correlated with</w:t>
      </w:r>
      <w:r w:rsidRPr="00804648">
        <w:t xml:space="preserve"> </w:t>
      </w:r>
      <w:r w:rsidR="00AE3E6D" w:rsidRPr="00804648">
        <w:t xml:space="preserve">percentage of predicted </w:t>
      </w:r>
      <w:r w:rsidR="00BD6F49" w:rsidRPr="00804648">
        <w:t>DL</w:t>
      </w:r>
      <w:r w:rsidR="00644B30" w:rsidRPr="00804648">
        <w:t>co</w:t>
      </w:r>
      <w:r w:rsidR="00AE3E6D" w:rsidRPr="00804648">
        <w:t xml:space="preserve"> (r= -0.306, p = 0.052) and percentage of predicted forced vital capacity (FVC), a measure of pulmonary dysfunction (r= -0.346, p= 0.015).</w:t>
      </w:r>
      <w:r w:rsidR="00E93C76" w:rsidRPr="00804648">
        <w:t xml:space="preserve"> The ESC agreed with the evaluation that this </w:t>
      </w:r>
      <w:r w:rsidR="009777DA" w:rsidRPr="00804648">
        <w:t>approach was inconsistent with available evidence</w:t>
      </w:r>
      <w:r w:rsidR="00E93C76" w:rsidRPr="00804648">
        <w:t>.</w:t>
      </w:r>
    </w:p>
    <w:p w14:paraId="7CE5FF60" w14:textId="62C39C47" w:rsidR="008235BD" w:rsidRPr="00804648" w:rsidRDefault="008235BD" w:rsidP="00A9033C">
      <w:pPr>
        <w:pStyle w:val="ListParagraph"/>
        <w:ind w:left="1080"/>
      </w:pPr>
      <w:r w:rsidRPr="00804648">
        <w:t xml:space="preserve">The model assumed that patients in </w:t>
      </w:r>
      <w:r w:rsidR="00D705B6" w:rsidRPr="00804648">
        <w:t xml:space="preserve">the </w:t>
      </w:r>
      <w:r w:rsidRPr="00804648">
        <w:t>olipudase</w:t>
      </w:r>
      <w:r w:rsidR="008A192B" w:rsidRPr="00804648">
        <w:t xml:space="preserve"> alfa</w:t>
      </w:r>
      <w:r w:rsidRPr="00804648">
        <w:t xml:space="preserve"> arm will remain in the same health state and cannot transition to a new health state from year nine </w:t>
      </w:r>
      <w:r w:rsidR="00607022" w:rsidRPr="00804648">
        <w:t>for</w:t>
      </w:r>
      <w:r w:rsidRPr="00804648">
        <w:t xml:space="preserve"> the remainder of the lifetime time horizon. </w:t>
      </w:r>
      <w:r w:rsidR="00E93C76" w:rsidRPr="00804648">
        <w:t>The ESC agreed with the evaluation that t</w:t>
      </w:r>
      <w:r w:rsidRPr="00804648">
        <w:t xml:space="preserve">his was not reasonable and could favour olipudase </w:t>
      </w:r>
      <w:r w:rsidR="008A192B" w:rsidRPr="00804648">
        <w:t xml:space="preserve">alfa </w:t>
      </w:r>
      <w:r w:rsidRPr="00804648">
        <w:t>w</w:t>
      </w:r>
      <w:r w:rsidR="00D705B6" w:rsidRPr="00804648">
        <w:t>hen</w:t>
      </w:r>
      <w:r w:rsidRPr="00804648">
        <w:t xml:space="preserve"> the</w:t>
      </w:r>
      <w:r w:rsidR="00E23208" w:rsidRPr="00804648">
        <w:t xml:space="preserve"> benefits observed </w:t>
      </w:r>
      <w:r w:rsidR="008F1069" w:rsidRPr="00804648">
        <w:t xml:space="preserve">within the trial period </w:t>
      </w:r>
      <w:r w:rsidRPr="00804648">
        <w:t>are carried over the time horizon. Furthermore, this was inconsistent with the approach for the BSC arm</w:t>
      </w:r>
      <w:r w:rsidR="00B5304F" w:rsidRPr="00804648">
        <w:t>. P</w:t>
      </w:r>
      <w:r w:rsidRPr="00804648">
        <w:t>atients</w:t>
      </w:r>
      <w:r w:rsidR="00B5304F" w:rsidRPr="00804648">
        <w:t xml:space="preserve"> in the BSC arm</w:t>
      </w:r>
      <w:r w:rsidRPr="00804648">
        <w:t xml:space="preserve"> </w:t>
      </w:r>
      <w:r w:rsidRPr="00804648">
        <w:lastRenderedPageBreak/>
        <w:t>were allowed to continue in the same health state or transition to a new health state in every model cycle until the end of the time horizon or death.</w:t>
      </w:r>
      <w:r w:rsidR="00EA791A" w:rsidRPr="00804648">
        <w:t xml:space="preserve"> </w:t>
      </w:r>
    </w:p>
    <w:p w14:paraId="7928532A" w14:textId="6FAF5ABD" w:rsidR="009C2BFC" w:rsidRPr="00804648" w:rsidRDefault="0044619E" w:rsidP="00A9033C">
      <w:pPr>
        <w:pStyle w:val="ListParagraph"/>
        <w:ind w:left="1080"/>
      </w:pPr>
      <w:r w:rsidRPr="00804648">
        <w:t xml:space="preserve">There were some discrepancies between the state matrix for observed transition for olipudase </w:t>
      </w:r>
      <w:r w:rsidR="008A192B" w:rsidRPr="00804648">
        <w:t xml:space="preserve">alfa </w:t>
      </w:r>
      <w:r w:rsidRPr="00804648">
        <w:t>in 26 weeks</w:t>
      </w:r>
      <w:r w:rsidR="00153EB6" w:rsidRPr="00804648">
        <w:t xml:space="preserve"> (adult patients)</w:t>
      </w:r>
      <w:r w:rsidRPr="00804648">
        <w:t xml:space="preserve"> and the patient-level data provided by the submission.</w:t>
      </w:r>
      <w:r w:rsidR="002212B6" w:rsidRPr="00804648">
        <w:t xml:space="preserve"> This may impact the transition probabilities used for olipudase alfa in adults at six months. </w:t>
      </w:r>
    </w:p>
    <w:bookmarkEnd w:id="64"/>
    <w:p w14:paraId="40C0318A" w14:textId="4F30D858" w:rsidR="000F3A2F" w:rsidRPr="00804648" w:rsidRDefault="000F3A2F" w:rsidP="00B505D3">
      <w:pPr>
        <w:pStyle w:val="5-SubsectionSubheading"/>
      </w:pPr>
      <w:r w:rsidRPr="00804648">
        <w:t>Surrogate to final outcome framework</w:t>
      </w:r>
    </w:p>
    <w:p w14:paraId="699E60CB" w14:textId="2435BD29" w:rsidR="00542D10" w:rsidRPr="00804648" w:rsidRDefault="00542D10" w:rsidP="0034009B">
      <w:pPr>
        <w:pStyle w:val="3-BodyText"/>
      </w:pPr>
      <w:bookmarkStart w:id="65" w:name="_Ref141952896"/>
      <w:r w:rsidRPr="00804648">
        <w:t>The</w:t>
      </w:r>
      <w:r w:rsidR="00E13830" w:rsidRPr="00804648">
        <w:t xml:space="preserve"> submission utilised </w:t>
      </w:r>
      <w:r w:rsidR="00102B76" w:rsidRPr="00804648">
        <w:t xml:space="preserve">a surrogate to final outcome framework </w:t>
      </w:r>
      <w:r w:rsidR="00E13830" w:rsidRPr="00804648">
        <w:t>to assess OS of olipudase alfa compared with BSC</w:t>
      </w:r>
      <w:r w:rsidR="00102B76" w:rsidRPr="00804648">
        <w:t xml:space="preserve">. </w:t>
      </w:r>
      <w:r w:rsidRPr="00804648">
        <w:t>It</w:t>
      </w:r>
      <w:r w:rsidR="00B92865" w:rsidRPr="00804648">
        <w:t xml:space="preserve"> made an attempt to link OS with </w:t>
      </w:r>
      <w:r w:rsidRPr="00804648">
        <w:t xml:space="preserve">changes to </w:t>
      </w:r>
      <w:r w:rsidR="00B92865" w:rsidRPr="00804648">
        <w:t>spleen volume, liver volume, DLco and</w:t>
      </w:r>
      <w:r w:rsidR="00C819B5" w:rsidRPr="00804648">
        <w:t xml:space="preserve"> alanine aminotransferase</w:t>
      </w:r>
      <w:r w:rsidR="00B92865" w:rsidRPr="00804648">
        <w:t xml:space="preserve"> </w:t>
      </w:r>
      <w:r w:rsidR="00C819B5" w:rsidRPr="00804648">
        <w:t>(</w:t>
      </w:r>
      <w:r w:rsidR="00B92865" w:rsidRPr="00804648">
        <w:t>ALT</w:t>
      </w:r>
      <w:r w:rsidR="00C819B5" w:rsidRPr="00804648">
        <w:t>)</w:t>
      </w:r>
      <w:r w:rsidRPr="00804648">
        <w:t>.</w:t>
      </w:r>
      <w:r w:rsidR="00B92865" w:rsidRPr="00804648">
        <w:t xml:space="preserve"> </w:t>
      </w:r>
      <w:r w:rsidRPr="00804648">
        <w:t>The submission stated that the hazard ratios (HR) of OS associated with liver volume, DLco and ALT were either not statistically significant or clinically meaningful</w:t>
      </w:r>
      <w:r w:rsidR="00C819B5" w:rsidRPr="00804648">
        <w:t>.</w:t>
      </w:r>
      <w:bookmarkEnd w:id="65"/>
    </w:p>
    <w:p w14:paraId="39D2F45A" w14:textId="3151C855" w:rsidR="00A56297" w:rsidRPr="00804648" w:rsidRDefault="004B1F9E" w:rsidP="004B1F9E">
      <w:pPr>
        <w:pStyle w:val="3-BodyText"/>
      </w:pPr>
      <w:bookmarkStart w:id="66" w:name="_Ref142310348"/>
      <w:r w:rsidRPr="00804648">
        <w:t>The submission stated that there was a significant impact of spleen volume on mortality given that OS for patients in SPHINGO-100 who had severe splenomegaly, versus those who did not, generated a hazard ratio (HR) of (9.99; 95% CI: 1.03, 97.14) using a Cox Proportional model.</w:t>
      </w:r>
      <w:bookmarkEnd w:id="66"/>
    </w:p>
    <w:p w14:paraId="44917930" w14:textId="173BEB10" w:rsidR="00343AC1" w:rsidRPr="00804648" w:rsidRDefault="007B2B0B" w:rsidP="008235BD">
      <w:pPr>
        <w:pStyle w:val="3-BodyText"/>
      </w:pPr>
      <w:r w:rsidRPr="00804648">
        <w:t>In light</w:t>
      </w:r>
      <w:r w:rsidR="00343AC1" w:rsidRPr="00804648">
        <w:t xml:space="preserve"> of the </w:t>
      </w:r>
      <w:r w:rsidR="003F0281" w:rsidRPr="00804648">
        <w:t>discussion</w:t>
      </w:r>
      <w:r w:rsidR="00343AC1" w:rsidRPr="00804648">
        <w:t xml:space="preserve"> in paragraphs </w:t>
      </w:r>
      <w:r w:rsidR="00343AC1" w:rsidRPr="00804648">
        <w:fldChar w:fldCharType="begin" w:fldLock="1"/>
      </w:r>
      <w:r w:rsidR="00343AC1" w:rsidRPr="00804648">
        <w:instrText xml:space="preserve"> REF _Ref141952896 \r \h  \* MERGEFORMAT </w:instrText>
      </w:r>
      <w:r w:rsidR="00343AC1" w:rsidRPr="00804648">
        <w:fldChar w:fldCharType="separate"/>
      </w:r>
      <w:r w:rsidR="005D02DA" w:rsidRPr="00804648">
        <w:t>6.69</w:t>
      </w:r>
      <w:r w:rsidR="00343AC1" w:rsidRPr="00804648">
        <w:fldChar w:fldCharType="end"/>
      </w:r>
      <w:r w:rsidR="00343AC1" w:rsidRPr="00804648">
        <w:t xml:space="preserve"> to</w:t>
      </w:r>
      <w:r w:rsidR="004B1F9E" w:rsidRPr="00804648">
        <w:t xml:space="preserve"> </w:t>
      </w:r>
      <w:r w:rsidR="004B1F9E" w:rsidRPr="00804648">
        <w:fldChar w:fldCharType="begin" w:fldLock="1"/>
      </w:r>
      <w:r w:rsidR="004B1F9E" w:rsidRPr="00804648">
        <w:instrText xml:space="preserve"> REF _Ref142310348 \r \h </w:instrText>
      </w:r>
      <w:r w:rsidR="004B1F9E" w:rsidRPr="00804648">
        <w:fldChar w:fldCharType="separate"/>
      </w:r>
      <w:r w:rsidR="004B1F9E" w:rsidRPr="00804648">
        <w:t>6.70</w:t>
      </w:r>
      <w:r w:rsidR="004B1F9E" w:rsidRPr="00804648">
        <w:fldChar w:fldCharType="end"/>
      </w:r>
      <w:r w:rsidR="00343AC1" w:rsidRPr="00804648">
        <w:t>, the submission considered that only the change in spleen volume would result in a clinically meaningful effect on survival</w:t>
      </w:r>
      <w:r w:rsidR="003F0281" w:rsidRPr="00804648">
        <w:t xml:space="preserve"> and therefore used spleen volume as a single clinical endpoint to estimate mortality</w:t>
      </w:r>
      <w:r w:rsidR="00343AC1" w:rsidRPr="00804648">
        <w:t xml:space="preserve">. </w:t>
      </w:r>
      <w:r w:rsidR="003F0281" w:rsidRPr="00804648">
        <w:t xml:space="preserve">The evaluation and the ESC considered that this approach was not reasonably justified. There may be some correlation between splenomegaly and OS, but the evaluation and ESC considered that it is uncertain whether it would translate into a clinically meaningful OS benefit. Patients with ASMD type B experience multiple morbidities, potentially leading to early mortality (Pulikottil-Jacob et al., 2023). Composite endpoints should be explored to estimate the mortality of patients with ASMD. Of note, Cassiman et al. (2016) reported that respiratory and liver failure (27.7% each) were the leading cause of death among 85 ASMD patients, irrespective of age. </w:t>
      </w:r>
    </w:p>
    <w:p w14:paraId="22B12D2E" w14:textId="301ED7FF" w:rsidR="004B1F9E" w:rsidRPr="00804648" w:rsidRDefault="004B1F9E" w:rsidP="008235BD">
      <w:pPr>
        <w:pStyle w:val="3-BodyText"/>
      </w:pPr>
      <w:r w:rsidRPr="00804648">
        <w:t>The submission used a Standardised Mortality Ratio (SMR) to calibrate general population mortality to match the OS expected for ASMD patients. The overall SMR (12.5; 95% CI: 4.3, 20.7) was estimated by comparing the observed mortality in SPHINGO-100 to the expected mortality based on the life table of the general US population in 2017.</w:t>
      </w:r>
      <w:r w:rsidRPr="00804648">
        <w:rPr>
          <w:i/>
          <w:iCs/>
        </w:rPr>
        <w:t xml:space="preserve"> </w:t>
      </w:r>
      <w:r w:rsidRPr="00804648">
        <w:t>The submission did not separate the SMRs based on gender or age. The ESC agreed with the evaluation that this was not appropriate given that SMR was higher for paediatric patients (36.23; 95% CI: 4.47, 67.98) compared to the adult population (6.88; 95% CI: 0.14, 13.61).</w:t>
      </w:r>
    </w:p>
    <w:p w14:paraId="1FF52866" w14:textId="328572CA" w:rsidR="008235BD" w:rsidRPr="00804648" w:rsidRDefault="008235BD" w:rsidP="008235BD">
      <w:pPr>
        <w:pStyle w:val="3-BodyText"/>
      </w:pPr>
      <w:r w:rsidRPr="00804648">
        <w:t>To link OS with the olipudase</w:t>
      </w:r>
      <w:r w:rsidR="008A192B" w:rsidRPr="00804648">
        <w:t xml:space="preserve"> alfa</w:t>
      </w:r>
      <w:r w:rsidRPr="00804648">
        <w:t xml:space="preserve"> treatment effect on spleen volume, the overall SMR calculated from SPHINGO-100 was expressed as a weighted average of two SMRs; SMR1 for patients with severe splenomegaly (≥15 MN) and SMR2 for patients without severe splenomegaly (&lt;15 MN) at baseline. Using the proportion of patients with </w:t>
      </w:r>
      <w:r w:rsidRPr="00804648">
        <w:lastRenderedPageBreak/>
        <w:t xml:space="preserve">severe splenomegaly (21%) and </w:t>
      </w:r>
      <w:r w:rsidR="00D705B6" w:rsidRPr="00804648">
        <w:t xml:space="preserve">those </w:t>
      </w:r>
      <w:r w:rsidRPr="00804648">
        <w:t xml:space="preserve">without severe splenomegaly (79%) at baseline in SPHINGO-100, the resulting SMR of 43.1 and 4.3 was calculated for patients with severe splenomegaly and </w:t>
      </w:r>
      <w:r w:rsidR="00D705B6" w:rsidRPr="00804648">
        <w:t xml:space="preserve">those </w:t>
      </w:r>
      <w:r w:rsidRPr="00804648">
        <w:t xml:space="preserve">without severe splenomegaly, respectively. Of note, these results were uncertain due to the small sample size as well as the imputation approach </w:t>
      </w:r>
      <w:r w:rsidR="00907634" w:rsidRPr="00804648">
        <w:t xml:space="preserve">used </w:t>
      </w:r>
      <w:r w:rsidRPr="00804648">
        <w:t>by the submission</w:t>
      </w:r>
      <w:r w:rsidR="00907634" w:rsidRPr="00804648">
        <w:t xml:space="preserve"> whereby the missing baseline spleen volume was imputed from measurements at later time points</w:t>
      </w:r>
      <w:r w:rsidRPr="00804648">
        <w:t>.</w:t>
      </w:r>
    </w:p>
    <w:p w14:paraId="288DC481" w14:textId="403B044B" w:rsidR="008D109D" w:rsidRPr="00804648" w:rsidRDefault="005832F0" w:rsidP="005832F0">
      <w:pPr>
        <w:pStyle w:val="3-BodyText"/>
        <w:rPr>
          <w:i/>
          <w:iCs/>
        </w:rPr>
      </w:pPr>
      <w:r w:rsidRPr="00804648">
        <w:fldChar w:fldCharType="begin" w:fldLock="1"/>
      </w:r>
      <w:r w:rsidRPr="00804648">
        <w:rPr>
          <w:i/>
          <w:iCs/>
        </w:rPr>
        <w:instrText xml:space="preserve"> REF _Ref133847017 \h </w:instrText>
      </w:r>
      <w:r w:rsidRPr="00804648">
        <w:fldChar w:fldCharType="separate"/>
      </w:r>
      <w:r w:rsidR="005D02DA" w:rsidRPr="00804648">
        <w:t>Figure 10</w:t>
      </w:r>
      <w:r w:rsidRPr="00804648">
        <w:fldChar w:fldCharType="end"/>
      </w:r>
      <w:r w:rsidRPr="00804648">
        <w:t xml:space="preserve"> and </w:t>
      </w:r>
      <w:r w:rsidRPr="00804648">
        <w:fldChar w:fldCharType="begin" w:fldLock="1"/>
      </w:r>
      <w:r w:rsidRPr="00804648">
        <w:instrText xml:space="preserve"> REF _Ref133847020 \h </w:instrText>
      </w:r>
      <w:r w:rsidRPr="00804648">
        <w:fldChar w:fldCharType="separate"/>
      </w:r>
      <w:r w:rsidR="005D02DA" w:rsidRPr="00804648">
        <w:t>Figure 11</w:t>
      </w:r>
      <w:r w:rsidRPr="00804648">
        <w:fldChar w:fldCharType="end"/>
      </w:r>
      <w:r w:rsidR="008D109D" w:rsidRPr="00804648">
        <w:t xml:space="preserve"> present a comparison of the modelled OS curves for olipudase, BSC and the Australian general population for </w:t>
      </w:r>
      <w:r w:rsidR="00D705B6" w:rsidRPr="00804648">
        <w:t xml:space="preserve">the </w:t>
      </w:r>
      <w:r w:rsidR="008D109D" w:rsidRPr="00804648">
        <w:t>adult and paediatric population</w:t>
      </w:r>
      <w:r w:rsidR="00D705B6" w:rsidRPr="00804648">
        <w:t>s</w:t>
      </w:r>
      <w:r w:rsidR="008D109D" w:rsidRPr="00804648">
        <w:t xml:space="preserve">, respectively. </w:t>
      </w:r>
    </w:p>
    <w:p w14:paraId="1F89D7C8" w14:textId="1E9920D9" w:rsidR="005832F0" w:rsidRPr="00804648" w:rsidRDefault="005832F0" w:rsidP="005832F0">
      <w:pPr>
        <w:pStyle w:val="Caption"/>
      </w:pPr>
      <w:bookmarkStart w:id="67" w:name="_Ref133847017"/>
      <w:r w:rsidRPr="00804648">
        <w:t xml:space="preserve">Figure </w:t>
      </w:r>
      <w:fldSimple w:instr=" SEQ Figure \* ARABIC " w:fldLock="1">
        <w:r w:rsidR="005D02DA" w:rsidRPr="00804648">
          <w:t>10</w:t>
        </w:r>
      </w:fldSimple>
      <w:bookmarkEnd w:id="67"/>
      <w:r w:rsidRPr="00804648">
        <w:t>: Kaplan Meier for modelled overall survival for adult patients</w:t>
      </w:r>
    </w:p>
    <w:p w14:paraId="00A17616" w14:textId="5B81371F" w:rsidR="008D109D" w:rsidRPr="00804648" w:rsidRDefault="00615DDA" w:rsidP="008D109D">
      <w:r w:rsidRPr="00804648">
        <w:rPr>
          <w:noProof/>
        </w:rPr>
        <w:drawing>
          <wp:inline distT="0" distB="0" distL="0" distR="0" wp14:anchorId="18BDA4A7" wp14:editId="4D779C9C">
            <wp:extent cx="4812665" cy="2990850"/>
            <wp:effectExtent l="0" t="0" r="6985" b="0"/>
            <wp:docPr id="3" name="Picture 3" descr="Figure 10: Kaplan Meier for modelled overall survival for adult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0: Kaplan Meier for modelled overall survival for adult patients"/>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4832178" cy="3002976"/>
                    </a:xfrm>
                    <a:prstGeom prst="rect">
                      <a:avLst/>
                    </a:prstGeom>
                    <a:noFill/>
                    <a:ln>
                      <a:noFill/>
                    </a:ln>
                    <a:extLst>
                      <a:ext uri="{53640926-AAD7-44D8-BBD7-CCE9431645EC}">
                        <a14:shadowObscured xmlns:a14="http://schemas.microsoft.com/office/drawing/2010/main"/>
                      </a:ext>
                    </a:extLst>
                  </pic:spPr>
                </pic:pic>
              </a:graphicData>
            </a:graphic>
          </wp:inline>
        </w:drawing>
      </w:r>
    </w:p>
    <w:p w14:paraId="4D3BE58F" w14:textId="77777777" w:rsidR="008D109D" w:rsidRPr="00804648" w:rsidRDefault="008D109D" w:rsidP="008D109D">
      <w:pPr>
        <w:pStyle w:val="FooterTableFigure"/>
      </w:pPr>
      <w:r w:rsidRPr="00804648">
        <w:t>Source: ‘Base Case Result’ worksheet in ‘Olipudase_ASMD CEA’</w:t>
      </w:r>
    </w:p>
    <w:p w14:paraId="2D2FF10F" w14:textId="599F1798" w:rsidR="008D109D" w:rsidRPr="00804648" w:rsidRDefault="008D109D" w:rsidP="005832F0">
      <w:pPr>
        <w:pStyle w:val="FooterTableFigure"/>
      </w:pPr>
      <w:r w:rsidRPr="00804648">
        <w:t>BSC = best supportive care</w:t>
      </w:r>
    </w:p>
    <w:p w14:paraId="7DBBABE9" w14:textId="00BFFCD8" w:rsidR="005832F0" w:rsidRPr="00804648" w:rsidRDefault="003F09E1" w:rsidP="005832F0">
      <w:pPr>
        <w:pStyle w:val="FooterTableFigure"/>
      </w:pPr>
      <w:r w:rsidRPr="00804648">
        <w:t>X axis represents the age of patient entering the model.</w:t>
      </w:r>
    </w:p>
    <w:p w14:paraId="1A70C08A" w14:textId="1EC1F35C" w:rsidR="005832F0" w:rsidRPr="00804648" w:rsidRDefault="005832F0" w:rsidP="005832F0">
      <w:pPr>
        <w:pStyle w:val="Caption"/>
      </w:pPr>
      <w:bookmarkStart w:id="68" w:name="_Ref133847020"/>
      <w:r w:rsidRPr="00804648">
        <w:lastRenderedPageBreak/>
        <w:t xml:space="preserve">Figure </w:t>
      </w:r>
      <w:fldSimple w:instr=" SEQ Figure \* ARABIC " w:fldLock="1">
        <w:r w:rsidR="005D02DA" w:rsidRPr="00804648">
          <w:t>11</w:t>
        </w:r>
      </w:fldSimple>
      <w:bookmarkEnd w:id="68"/>
      <w:r w:rsidRPr="00804648">
        <w:t>: Kaplan Meier for modelled overall survival for paediatric patients</w:t>
      </w:r>
    </w:p>
    <w:p w14:paraId="47B9F897" w14:textId="77777777" w:rsidR="002B1171" w:rsidRPr="00804648" w:rsidRDefault="008D109D" w:rsidP="008D109D">
      <w:pPr>
        <w:pStyle w:val="FooterTableFigure"/>
      </w:pPr>
      <w:r w:rsidRPr="00804648">
        <w:rPr>
          <w:noProof/>
        </w:rPr>
        <w:drawing>
          <wp:inline distT="0" distB="0" distL="0" distR="0" wp14:anchorId="60DE16C4" wp14:editId="3ED17C0C">
            <wp:extent cx="4881245" cy="2752564"/>
            <wp:effectExtent l="0" t="0" r="0" b="0"/>
            <wp:docPr id="14" name="Picture 14" descr="Figure 11: Kaplan Meier for modelled overall survival for paediatric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1: Kaplan Meier for modelled overall survival for paediatric patients"/>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4921132" cy="2775056"/>
                    </a:xfrm>
                    <a:prstGeom prst="rect">
                      <a:avLst/>
                    </a:prstGeom>
                    <a:noFill/>
                    <a:ln>
                      <a:noFill/>
                    </a:ln>
                    <a:extLst>
                      <a:ext uri="{53640926-AAD7-44D8-BBD7-CCE9431645EC}">
                        <a14:shadowObscured xmlns:a14="http://schemas.microsoft.com/office/drawing/2010/main"/>
                      </a:ext>
                    </a:extLst>
                  </pic:spPr>
                </pic:pic>
              </a:graphicData>
            </a:graphic>
          </wp:inline>
        </w:drawing>
      </w:r>
    </w:p>
    <w:p w14:paraId="233F8ACB" w14:textId="695A4946" w:rsidR="008D109D" w:rsidRPr="00804648" w:rsidRDefault="008D109D" w:rsidP="008D109D">
      <w:pPr>
        <w:pStyle w:val="FooterTableFigure"/>
      </w:pPr>
      <w:r w:rsidRPr="00804648">
        <w:t>Source: ‘Base Case Result’ worksheet in ‘Olipudase_ASMD CEA’</w:t>
      </w:r>
    </w:p>
    <w:p w14:paraId="57BC4604" w14:textId="723E6F17" w:rsidR="008D109D" w:rsidRPr="00804648" w:rsidRDefault="008D109D" w:rsidP="008D109D">
      <w:pPr>
        <w:pStyle w:val="FooterTableFigure"/>
      </w:pPr>
      <w:r w:rsidRPr="00804648">
        <w:t>BSC = best supportive care</w:t>
      </w:r>
    </w:p>
    <w:p w14:paraId="2DCD5967" w14:textId="0590B4D4" w:rsidR="003F09E1" w:rsidRPr="00B505D3" w:rsidRDefault="003F09E1" w:rsidP="003F09E1">
      <w:pPr>
        <w:pStyle w:val="FooterTableFigure"/>
      </w:pPr>
      <w:r w:rsidRPr="00804648">
        <w:t>X axis represents the age of patient entering the model.</w:t>
      </w:r>
    </w:p>
    <w:p w14:paraId="67E06347" w14:textId="2A123EEC" w:rsidR="005832F0" w:rsidRPr="00804648" w:rsidRDefault="005832F0" w:rsidP="008235BD">
      <w:pPr>
        <w:pStyle w:val="3-BodyText"/>
      </w:pPr>
      <w:bookmarkStart w:id="69" w:name="_Ref137219335"/>
      <w:r w:rsidRPr="00804648">
        <w:t xml:space="preserve">The modelled OS appears to be overestimated for both adult and paediatric patients with approximately </w:t>
      </w:r>
      <w:r w:rsidR="008F1069" w:rsidRPr="00804648">
        <w:rPr>
          <w:i/>
          <w:iCs/>
        </w:rPr>
        <w:t>22</w:t>
      </w:r>
      <w:r w:rsidRPr="00804648">
        <w:t xml:space="preserve">% patients alive </w:t>
      </w:r>
      <w:r w:rsidR="006F01D8" w:rsidRPr="00804648">
        <w:t xml:space="preserve">in the olipudase alfa arm </w:t>
      </w:r>
      <w:r w:rsidRPr="00804648">
        <w:t>at the age of 80 years.</w:t>
      </w:r>
      <w:r w:rsidR="00907634" w:rsidRPr="00804648">
        <w:t xml:space="preserve"> As stated in paragraph </w:t>
      </w:r>
      <w:r w:rsidR="00907634" w:rsidRPr="00804648">
        <w:fldChar w:fldCharType="begin" w:fldLock="1"/>
      </w:r>
      <w:r w:rsidR="00907634" w:rsidRPr="00804648">
        <w:instrText xml:space="preserve"> REF _Ref134190401 \w \h </w:instrText>
      </w:r>
      <w:r w:rsidR="008C2C2E" w:rsidRPr="00804648">
        <w:instrText xml:space="preserve"> \* MERGEFORMAT </w:instrText>
      </w:r>
      <w:r w:rsidR="00907634" w:rsidRPr="00804648">
        <w:fldChar w:fldCharType="separate"/>
      </w:r>
      <w:r w:rsidR="005D02DA" w:rsidRPr="00804648">
        <w:t>4.6</w:t>
      </w:r>
      <w:r w:rsidR="00907634" w:rsidRPr="00804648">
        <w:fldChar w:fldCharType="end"/>
      </w:r>
      <w:r w:rsidR="00907634" w:rsidRPr="00804648">
        <w:t xml:space="preserve">, </w:t>
      </w:r>
      <w:r w:rsidR="005E7B65" w:rsidRPr="00804648">
        <w:t xml:space="preserve">median age at death was </w:t>
      </w:r>
      <w:r w:rsidR="00907634" w:rsidRPr="00804648">
        <w:t>15.5 years (range: 1,</w:t>
      </w:r>
      <w:r w:rsidR="000C2AAE" w:rsidRPr="00804648">
        <w:t xml:space="preserve"> </w:t>
      </w:r>
      <w:r w:rsidR="00907634" w:rsidRPr="00804648">
        <w:t>72) for patients with ASM</w:t>
      </w:r>
      <w:r w:rsidR="00607022" w:rsidRPr="00804648">
        <w:t>D</w:t>
      </w:r>
      <w:r w:rsidR="00907634" w:rsidRPr="00804648">
        <w:t xml:space="preserve"> type B</w:t>
      </w:r>
      <w:r w:rsidR="005E7B65" w:rsidRPr="00804648">
        <w:t xml:space="preserve"> </w:t>
      </w:r>
      <w:r w:rsidR="00DA15EB" w:rsidRPr="00804648">
        <w:t>(</w:t>
      </w:r>
      <w:r w:rsidR="005E7B65" w:rsidRPr="00804648">
        <w:t xml:space="preserve">McGovern et al. 2013). According to </w:t>
      </w:r>
      <w:r w:rsidR="00907634" w:rsidRPr="00804648">
        <w:t>Cassiman et al. (2017)</w:t>
      </w:r>
      <w:r w:rsidR="005E7B65" w:rsidRPr="00804648">
        <w:t>,</w:t>
      </w:r>
      <w:r w:rsidR="00907634" w:rsidRPr="00804648">
        <w:t xml:space="preserve"> </w:t>
      </w:r>
      <w:r w:rsidR="005E7B65" w:rsidRPr="00804648">
        <w:t>median age at death was</w:t>
      </w:r>
      <w:r w:rsidR="00907634" w:rsidRPr="00804648">
        <w:t xml:space="preserve"> 23.5 years for ASMD type B and 8.5 years for ASMD type A/B.</w:t>
      </w:r>
      <w:r w:rsidR="008F1069" w:rsidRPr="00804648">
        <w:t xml:space="preserve"> The ESC considered modelled survival estimates to be clinically implausible and recommended these be validated against best available evidence.</w:t>
      </w:r>
      <w:bookmarkEnd w:id="69"/>
    </w:p>
    <w:p w14:paraId="05A9C20E" w14:textId="3874EEA8" w:rsidR="000F3A2F" w:rsidRPr="00804648" w:rsidRDefault="000F3A2F" w:rsidP="00B526B7">
      <w:pPr>
        <w:pStyle w:val="5-SubsectionSubheading"/>
      </w:pPr>
      <w:r w:rsidRPr="00804648">
        <w:t>Utilities</w:t>
      </w:r>
    </w:p>
    <w:p w14:paraId="470BBF3A" w14:textId="13EF65F9" w:rsidR="008553E1" w:rsidRPr="00804648" w:rsidRDefault="008553E1" w:rsidP="008235BD">
      <w:pPr>
        <w:pStyle w:val="3-BodyText"/>
      </w:pPr>
      <w:r w:rsidRPr="00804648">
        <w:t xml:space="preserve">A time trade off (TTO) study with a 10-year time horizon was undertaken by the submission to estimate utilities for patients with ASMD. The TTO was conducted amongst 200 members of the general public of the United Kingdom. The economic model estimated the utilities for all patients who remain alive by multiplying the relevant health state utility values by the proportion of patients in each health state in the cycle. </w:t>
      </w:r>
      <w:r w:rsidR="00F12F28" w:rsidRPr="00804648">
        <w:fldChar w:fldCharType="begin" w:fldLock="1"/>
      </w:r>
      <w:r w:rsidR="00F12F28" w:rsidRPr="00804648">
        <w:instrText xml:space="preserve"> REF _Ref134888321 \h </w:instrText>
      </w:r>
      <w:r w:rsidR="00F12F28" w:rsidRPr="00804648">
        <w:fldChar w:fldCharType="separate"/>
      </w:r>
      <w:r w:rsidR="005D02DA" w:rsidRPr="00804648">
        <w:t>Table 15</w:t>
      </w:r>
      <w:r w:rsidR="00F12F28" w:rsidRPr="00804648">
        <w:fldChar w:fldCharType="end"/>
      </w:r>
      <w:r w:rsidR="00F12F28" w:rsidRPr="00804648">
        <w:t xml:space="preserve"> and </w:t>
      </w:r>
      <w:r w:rsidR="00F12F28" w:rsidRPr="00804648">
        <w:fldChar w:fldCharType="begin" w:fldLock="1"/>
      </w:r>
      <w:r w:rsidR="00F12F28" w:rsidRPr="00804648">
        <w:instrText xml:space="preserve"> REF _Ref134888326 \h </w:instrText>
      </w:r>
      <w:r w:rsidR="00F12F28" w:rsidRPr="00804648">
        <w:fldChar w:fldCharType="separate"/>
      </w:r>
      <w:r w:rsidR="005D02DA" w:rsidRPr="00804648">
        <w:t>Table 16</w:t>
      </w:r>
      <w:r w:rsidR="00F12F28" w:rsidRPr="00804648">
        <w:fldChar w:fldCharType="end"/>
      </w:r>
      <w:r w:rsidR="00F12F28" w:rsidRPr="00804648">
        <w:t xml:space="preserve"> summarises the utility values used for adult and paediatric patients in the economic evaluation.</w:t>
      </w:r>
    </w:p>
    <w:p w14:paraId="009B0166" w14:textId="2956D726" w:rsidR="00F12F28" w:rsidRPr="00804648" w:rsidRDefault="00F12F28" w:rsidP="00F12F28">
      <w:pPr>
        <w:pStyle w:val="Caption"/>
      </w:pPr>
      <w:bookmarkStart w:id="70" w:name="_Ref134888321"/>
      <w:r w:rsidRPr="00804648">
        <w:t xml:space="preserve">Table </w:t>
      </w:r>
      <w:fldSimple w:instr=" SEQ Table \* ARABIC " w:fldLock="1">
        <w:r w:rsidR="005D02DA" w:rsidRPr="00804648">
          <w:t>15</w:t>
        </w:r>
      </w:fldSimple>
      <w:bookmarkEnd w:id="70"/>
      <w:r w:rsidRPr="00804648">
        <w:t>: Utility values used in the economic evaluation for adult population</w:t>
      </w:r>
    </w:p>
    <w:tbl>
      <w:tblPr>
        <w:tblStyle w:val="TableGrid"/>
        <w:tblW w:w="5000" w:type="pct"/>
        <w:tblLook w:val="04A0" w:firstRow="1" w:lastRow="0" w:firstColumn="1" w:lastColumn="0" w:noHBand="0" w:noVBand="1"/>
      </w:tblPr>
      <w:tblGrid>
        <w:gridCol w:w="2255"/>
        <w:gridCol w:w="2254"/>
        <w:gridCol w:w="2254"/>
        <w:gridCol w:w="2254"/>
      </w:tblGrid>
      <w:tr w:rsidR="00F12F28" w:rsidRPr="00804648" w14:paraId="0061F242" w14:textId="77777777" w:rsidTr="00D6560C">
        <w:tc>
          <w:tcPr>
            <w:tcW w:w="1250" w:type="pct"/>
            <w:vMerge w:val="restart"/>
            <w:tcBorders>
              <w:top w:val="single" w:sz="4" w:space="0" w:color="auto"/>
              <w:left w:val="single" w:sz="4" w:space="0" w:color="auto"/>
              <w:bottom w:val="single" w:sz="4" w:space="0" w:color="auto"/>
              <w:right w:val="single" w:sz="4" w:space="0" w:color="auto"/>
            </w:tcBorders>
            <w:hideMark/>
          </w:tcPr>
          <w:p w14:paraId="4088441D" w14:textId="4F660C17" w:rsidR="00F12F28" w:rsidRPr="00804648" w:rsidRDefault="00BD6F49">
            <w:pPr>
              <w:pStyle w:val="TableText0"/>
              <w:jc w:val="center"/>
              <w:rPr>
                <w:b/>
                <w:bCs w:val="0"/>
                <w:color w:val="3366FF"/>
              </w:rPr>
            </w:pPr>
            <w:r w:rsidRPr="00804648">
              <w:rPr>
                <w:b/>
                <w:bCs w:val="0"/>
              </w:rPr>
              <w:t>DLco</w:t>
            </w:r>
          </w:p>
        </w:tc>
        <w:tc>
          <w:tcPr>
            <w:tcW w:w="3750" w:type="pct"/>
            <w:gridSpan w:val="3"/>
            <w:tcBorders>
              <w:top w:val="single" w:sz="4" w:space="0" w:color="auto"/>
              <w:left w:val="single" w:sz="4" w:space="0" w:color="auto"/>
              <w:bottom w:val="single" w:sz="4" w:space="0" w:color="auto"/>
              <w:right w:val="single" w:sz="4" w:space="0" w:color="auto"/>
            </w:tcBorders>
            <w:hideMark/>
          </w:tcPr>
          <w:p w14:paraId="46A9EFD1" w14:textId="77777777" w:rsidR="00F12F28" w:rsidRPr="00804648" w:rsidRDefault="00F12F28">
            <w:pPr>
              <w:pStyle w:val="TableText0"/>
              <w:jc w:val="center"/>
              <w:rPr>
                <w:b/>
                <w:bCs w:val="0"/>
                <w:color w:val="3366FF"/>
              </w:rPr>
            </w:pPr>
            <w:r w:rsidRPr="00804648">
              <w:rPr>
                <w:b/>
                <w:bCs w:val="0"/>
              </w:rPr>
              <w:t>Spleen volume (MN)</w:t>
            </w:r>
          </w:p>
        </w:tc>
      </w:tr>
      <w:tr w:rsidR="00F12F28" w:rsidRPr="00804648" w14:paraId="1681660A" w14:textId="77777777" w:rsidTr="00D6560C">
        <w:tc>
          <w:tcPr>
            <w:tcW w:w="1250" w:type="pct"/>
            <w:vMerge/>
            <w:tcBorders>
              <w:top w:val="single" w:sz="4" w:space="0" w:color="auto"/>
              <w:left w:val="single" w:sz="4" w:space="0" w:color="auto"/>
              <w:bottom w:val="single" w:sz="4" w:space="0" w:color="auto"/>
              <w:right w:val="single" w:sz="4" w:space="0" w:color="auto"/>
            </w:tcBorders>
            <w:vAlign w:val="center"/>
            <w:hideMark/>
          </w:tcPr>
          <w:p w14:paraId="48976C79" w14:textId="77777777" w:rsidR="00F12F28" w:rsidRPr="00804648" w:rsidRDefault="00F12F28">
            <w:pPr>
              <w:jc w:val="left"/>
              <w:rPr>
                <w:rFonts w:ascii="Arial Narrow" w:eastAsiaTheme="majorEastAsia" w:hAnsi="Arial Narrow" w:cstheme="majorBidi"/>
                <w:b/>
                <w:color w:val="3366FF"/>
                <w:sz w:val="20"/>
              </w:rPr>
            </w:pPr>
          </w:p>
        </w:tc>
        <w:tc>
          <w:tcPr>
            <w:tcW w:w="1250" w:type="pct"/>
            <w:tcBorders>
              <w:top w:val="single" w:sz="4" w:space="0" w:color="auto"/>
              <w:left w:val="single" w:sz="4" w:space="0" w:color="auto"/>
              <w:bottom w:val="single" w:sz="4" w:space="0" w:color="auto"/>
              <w:right w:val="single" w:sz="4" w:space="0" w:color="auto"/>
            </w:tcBorders>
            <w:hideMark/>
          </w:tcPr>
          <w:p w14:paraId="74293506" w14:textId="77777777" w:rsidR="00F12F28" w:rsidRPr="00804648" w:rsidRDefault="00F12F28">
            <w:pPr>
              <w:pStyle w:val="TableText0"/>
              <w:jc w:val="center"/>
              <w:rPr>
                <w:b/>
                <w:bCs w:val="0"/>
                <w:color w:val="3366FF"/>
              </w:rPr>
            </w:pPr>
            <w:r w:rsidRPr="00804648">
              <w:rPr>
                <w:b/>
                <w:bCs w:val="0"/>
              </w:rPr>
              <w:t>&lt;6 MN</w:t>
            </w:r>
          </w:p>
        </w:tc>
        <w:tc>
          <w:tcPr>
            <w:tcW w:w="1250" w:type="pct"/>
            <w:tcBorders>
              <w:top w:val="single" w:sz="4" w:space="0" w:color="auto"/>
              <w:left w:val="single" w:sz="4" w:space="0" w:color="auto"/>
              <w:bottom w:val="single" w:sz="4" w:space="0" w:color="auto"/>
              <w:right w:val="single" w:sz="4" w:space="0" w:color="auto"/>
            </w:tcBorders>
            <w:hideMark/>
          </w:tcPr>
          <w:p w14:paraId="6BE411F3" w14:textId="77777777" w:rsidR="00F12F28" w:rsidRPr="00804648" w:rsidRDefault="00F12F28">
            <w:pPr>
              <w:pStyle w:val="TableText0"/>
              <w:jc w:val="center"/>
              <w:rPr>
                <w:b/>
                <w:bCs w:val="0"/>
                <w:color w:val="3366FF"/>
              </w:rPr>
            </w:pPr>
            <w:r w:rsidRPr="00804648">
              <w:rPr>
                <w:b/>
                <w:bCs w:val="0"/>
              </w:rPr>
              <w:t>6–15 MN</w:t>
            </w:r>
          </w:p>
        </w:tc>
        <w:tc>
          <w:tcPr>
            <w:tcW w:w="1250" w:type="pct"/>
            <w:tcBorders>
              <w:top w:val="single" w:sz="4" w:space="0" w:color="auto"/>
              <w:left w:val="single" w:sz="4" w:space="0" w:color="auto"/>
              <w:bottom w:val="single" w:sz="4" w:space="0" w:color="auto"/>
              <w:right w:val="single" w:sz="4" w:space="0" w:color="auto"/>
            </w:tcBorders>
            <w:hideMark/>
          </w:tcPr>
          <w:p w14:paraId="27919156" w14:textId="77777777" w:rsidR="00F12F28" w:rsidRPr="00804648" w:rsidRDefault="00F12F28">
            <w:pPr>
              <w:pStyle w:val="TableText0"/>
              <w:jc w:val="center"/>
              <w:rPr>
                <w:b/>
                <w:bCs w:val="0"/>
                <w:color w:val="3366FF"/>
              </w:rPr>
            </w:pPr>
            <w:r w:rsidRPr="00804648">
              <w:rPr>
                <w:b/>
                <w:bCs w:val="0"/>
              </w:rPr>
              <w:t>&gt;15 MN</w:t>
            </w:r>
          </w:p>
        </w:tc>
      </w:tr>
      <w:tr w:rsidR="00F12F28" w:rsidRPr="00804648" w14:paraId="550CE363" w14:textId="77777777" w:rsidTr="00D6560C">
        <w:tc>
          <w:tcPr>
            <w:tcW w:w="1250" w:type="pct"/>
            <w:tcBorders>
              <w:top w:val="single" w:sz="4" w:space="0" w:color="auto"/>
              <w:left w:val="single" w:sz="4" w:space="0" w:color="auto"/>
              <w:bottom w:val="single" w:sz="4" w:space="0" w:color="auto"/>
              <w:right w:val="single" w:sz="4" w:space="0" w:color="auto"/>
            </w:tcBorders>
            <w:hideMark/>
          </w:tcPr>
          <w:p w14:paraId="7D344048" w14:textId="77777777" w:rsidR="00F12F28" w:rsidRPr="00804648" w:rsidRDefault="00F12F28">
            <w:pPr>
              <w:pStyle w:val="TableText0"/>
              <w:jc w:val="center"/>
              <w:rPr>
                <w:color w:val="3366FF"/>
              </w:rPr>
            </w:pPr>
            <w:r w:rsidRPr="00804648">
              <w:t>100–80</w:t>
            </w:r>
          </w:p>
        </w:tc>
        <w:tc>
          <w:tcPr>
            <w:tcW w:w="1250" w:type="pct"/>
            <w:tcBorders>
              <w:top w:val="single" w:sz="4" w:space="0" w:color="auto"/>
              <w:left w:val="single" w:sz="4" w:space="0" w:color="auto"/>
              <w:bottom w:val="single" w:sz="4" w:space="0" w:color="auto"/>
              <w:right w:val="single" w:sz="4" w:space="0" w:color="auto"/>
            </w:tcBorders>
            <w:hideMark/>
          </w:tcPr>
          <w:p w14:paraId="58930244" w14:textId="77777777" w:rsidR="00F12F28" w:rsidRPr="00804648" w:rsidRDefault="00F12F28">
            <w:pPr>
              <w:pStyle w:val="TableText0"/>
              <w:jc w:val="center"/>
              <w:rPr>
                <w:color w:val="3366FF"/>
              </w:rPr>
            </w:pPr>
            <w:r w:rsidRPr="00804648">
              <w:t>0.918</w:t>
            </w:r>
          </w:p>
        </w:tc>
        <w:tc>
          <w:tcPr>
            <w:tcW w:w="1250" w:type="pct"/>
            <w:tcBorders>
              <w:top w:val="single" w:sz="4" w:space="0" w:color="auto"/>
              <w:left w:val="single" w:sz="4" w:space="0" w:color="auto"/>
              <w:bottom w:val="single" w:sz="4" w:space="0" w:color="auto"/>
              <w:right w:val="single" w:sz="4" w:space="0" w:color="auto"/>
            </w:tcBorders>
            <w:hideMark/>
          </w:tcPr>
          <w:p w14:paraId="1ACACB23" w14:textId="77777777" w:rsidR="00F12F28" w:rsidRPr="00804648" w:rsidRDefault="00F12F28">
            <w:pPr>
              <w:pStyle w:val="TableText0"/>
              <w:jc w:val="center"/>
              <w:rPr>
                <w:color w:val="3366FF"/>
              </w:rPr>
            </w:pPr>
            <w:r w:rsidRPr="00804648">
              <w:t>0.837</w:t>
            </w:r>
          </w:p>
        </w:tc>
        <w:tc>
          <w:tcPr>
            <w:tcW w:w="1250" w:type="pct"/>
            <w:tcBorders>
              <w:top w:val="single" w:sz="4" w:space="0" w:color="auto"/>
              <w:left w:val="single" w:sz="4" w:space="0" w:color="auto"/>
              <w:bottom w:val="single" w:sz="4" w:space="0" w:color="auto"/>
              <w:right w:val="single" w:sz="4" w:space="0" w:color="auto"/>
            </w:tcBorders>
            <w:hideMark/>
          </w:tcPr>
          <w:p w14:paraId="70DFCEC9" w14:textId="77777777" w:rsidR="00F12F28" w:rsidRPr="00804648" w:rsidRDefault="00F12F28">
            <w:pPr>
              <w:pStyle w:val="TableText0"/>
              <w:jc w:val="center"/>
              <w:rPr>
                <w:color w:val="3366FF"/>
              </w:rPr>
            </w:pPr>
            <w:r w:rsidRPr="00804648">
              <w:t>0.636</w:t>
            </w:r>
          </w:p>
        </w:tc>
      </w:tr>
      <w:tr w:rsidR="00F12F28" w:rsidRPr="00804648" w14:paraId="7BBD7A68" w14:textId="77777777" w:rsidTr="00D6560C">
        <w:tc>
          <w:tcPr>
            <w:tcW w:w="1250" w:type="pct"/>
            <w:tcBorders>
              <w:top w:val="single" w:sz="4" w:space="0" w:color="auto"/>
              <w:left w:val="single" w:sz="4" w:space="0" w:color="auto"/>
              <w:bottom w:val="single" w:sz="4" w:space="0" w:color="auto"/>
              <w:right w:val="single" w:sz="4" w:space="0" w:color="auto"/>
            </w:tcBorders>
            <w:hideMark/>
          </w:tcPr>
          <w:p w14:paraId="6A7C3C3B" w14:textId="77777777" w:rsidR="00F12F28" w:rsidRPr="00804648" w:rsidRDefault="00F12F28">
            <w:pPr>
              <w:pStyle w:val="TableText0"/>
              <w:jc w:val="center"/>
              <w:rPr>
                <w:color w:val="3366FF"/>
              </w:rPr>
            </w:pPr>
            <w:r w:rsidRPr="00804648">
              <w:t>80 40</w:t>
            </w:r>
          </w:p>
        </w:tc>
        <w:tc>
          <w:tcPr>
            <w:tcW w:w="1250" w:type="pct"/>
            <w:tcBorders>
              <w:top w:val="single" w:sz="4" w:space="0" w:color="auto"/>
              <w:left w:val="single" w:sz="4" w:space="0" w:color="auto"/>
              <w:bottom w:val="single" w:sz="4" w:space="0" w:color="auto"/>
              <w:right w:val="single" w:sz="4" w:space="0" w:color="auto"/>
            </w:tcBorders>
            <w:hideMark/>
          </w:tcPr>
          <w:p w14:paraId="3B1F9985" w14:textId="77777777" w:rsidR="00F12F28" w:rsidRPr="00804648" w:rsidRDefault="00F12F28">
            <w:pPr>
              <w:pStyle w:val="TableText0"/>
              <w:jc w:val="center"/>
              <w:rPr>
                <w:color w:val="3366FF"/>
              </w:rPr>
            </w:pPr>
            <w:r w:rsidRPr="00804648">
              <w:t>0.847</w:t>
            </w:r>
          </w:p>
        </w:tc>
        <w:tc>
          <w:tcPr>
            <w:tcW w:w="1250" w:type="pct"/>
            <w:tcBorders>
              <w:top w:val="single" w:sz="4" w:space="0" w:color="auto"/>
              <w:left w:val="single" w:sz="4" w:space="0" w:color="auto"/>
              <w:bottom w:val="single" w:sz="4" w:space="0" w:color="auto"/>
              <w:right w:val="single" w:sz="4" w:space="0" w:color="auto"/>
            </w:tcBorders>
            <w:hideMark/>
          </w:tcPr>
          <w:p w14:paraId="46516758" w14:textId="77777777" w:rsidR="00F12F28" w:rsidRPr="00804648" w:rsidRDefault="00F12F28">
            <w:pPr>
              <w:pStyle w:val="TableText0"/>
              <w:jc w:val="center"/>
              <w:rPr>
                <w:color w:val="3366FF"/>
              </w:rPr>
            </w:pPr>
            <w:r w:rsidRPr="00804648">
              <w:t>0.770</w:t>
            </w:r>
          </w:p>
        </w:tc>
        <w:tc>
          <w:tcPr>
            <w:tcW w:w="1250" w:type="pct"/>
            <w:tcBorders>
              <w:top w:val="single" w:sz="4" w:space="0" w:color="auto"/>
              <w:left w:val="single" w:sz="4" w:space="0" w:color="auto"/>
              <w:bottom w:val="single" w:sz="4" w:space="0" w:color="auto"/>
              <w:right w:val="single" w:sz="4" w:space="0" w:color="auto"/>
            </w:tcBorders>
            <w:hideMark/>
          </w:tcPr>
          <w:p w14:paraId="3BF6879E" w14:textId="77777777" w:rsidR="00F12F28" w:rsidRPr="00804648" w:rsidRDefault="00F12F28">
            <w:pPr>
              <w:pStyle w:val="TableText0"/>
              <w:jc w:val="center"/>
              <w:rPr>
                <w:color w:val="3366FF"/>
              </w:rPr>
            </w:pPr>
            <w:r w:rsidRPr="00804648">
              <w:t>0.532</w:t>
            </w:r>
          </w:p>
        </w:tc>
      </w:tr>
      <w:tr w:rsidR="00F12F28" w:rsidRPr="00804648" w14:paraId="16B0073B" w14:textId="77777777" w:rsidTr="00D6560C">
        <w:tc>
          <w:tcPr>
            <w:tcW w:w="1250" w:type="pct"/>
            <w:tcBorders>
              <w:top w:val="single" w:sz="4" w:space="0" w:color="auto"/>
              <w:left w:val="single" w:sz="4" w:space="0" w:color="auto"/>
              <w:bottom w:val="single" w:sz="4" w:space="0" w:color="auto"/>
              <w:right w:val="single" w:sz="4" w:space="0" w:color="auto"/>
            </w:tcBorders>
            <w:hideMark/>
          </w:tcPr>
          <w:p w14:paraId="2F0DE8F5" w14:textId="77777777" w:rsidR="00F12F28" w:rsidRPr="00804648" w:rsidRDefault="00F12F28">
            <w:pPr>
              <w:pStyle w:val="TableText0"/>
              <w:jc w:val="center"/>
              <w:rPr>
                <w:color w:val="3366FF"/>
              </w:rPr>
            </w:pPr>
            <w:r w:rsidRPr="00804648">
              <w:t>&lt;40</w:t>
            </w:r>
          </w:p>
        </w:tc>
        <w:tc>
          <w:tcPr>
            <w:tcW w:w="1250" w:type="pct"/>
            <w:tcBorders>
              <w:top w:val="single" w:sz="4" w:space="0" w:color="auto"/>
              <w:left w:val="single" w:sz="4" w:space="0" w:color="auto"/>
              <w:bottom w:val="single" w:sz="4" w:space="0" w:color="auto"/>
              <w:right w:val="single" w:sz="4" w:space="0" w:color="auto"/>
            </w:tcBorders>
            <w:hideMark/>
          </w:tcPr>
          <w:p w14:paraId="43AEDE8A" w14:textId="77777777" w:rsidR="00F12F28" w:rsidRPr="00804648" w:rsidRDefault="00F12F28">
            <w:pPr>
              <w:pStyle w:val="TableText0"/>
              <w:jc w:val="center"/>
              <w:rPr>
                <w:color w:val="3366FF"/>
              </w:rPr>
            </w:pPr>
            <w:r w:rsidRPr="00804648">
              <w:t>0.622</w:t>
            </w:r>
          </w:p>
        </w:tc>
        <w:tc>
          <w:tcPr>
            <w:tcW w:w="1250" w:type="pct"/>
            <w:tcBorders>
              <w:top w:val="single" w:sz="4" w:space="0" w:color="auto"/>
              <w:left w:val="single" w:sz="4" w:space="0" w:color="auto"/>
              <w:bottom w:val="single" w:sz="4" w:space="0" w:color="auto"/>
              <w:right w:val="single" w:sz="4" w:space="0" w:color="auto"/>
            </w:tcBorders>
            <w:hideMark/>
          </w:tcPr>
          <w:p w14:paraId="269C1E50" w14:textId="77777777" w:rsidR="00F12F28" w:rsidRPr="00804648" w:rsidRDefault="00F12F28">
            <w:pPr>
              <w:pStyle w:val="TableText0"/>
              <w:jc w:val="center"/>
              <w:rPr>
                <w:color w:val="3366FF"/>
              </w:rPr>
            </w:pPr>
            <w:r w:rsidRPr="00804648">
              <w:t>0.527</w:t>
            </w:r>
          </w:p>
        </w:tc>
        <w:tc>
          <w:tcPr>
            <w:tcW w:w="1250" w:type="pct"/>
            <w:tcBorders>
              <w:top w:val="single" w:sz="4" w:space="0" w:color="auto"/>
              <w:left w:val="single" w:sz="4" w:space="0" w:color="auto"/>
              <w:bottom w:val="single" w:sz="4" w:space="0" w:color="auto"/>
              <w:right w:val="single" w:sz="4" w:space="0" w:color="auto"/>
            </w:tcBorders>
            <w:hideMark/>
          </w:tcPr>
          <w:p w14:paraId="4E43B628" w14:textId="77777777" w:rsidR="00F12F28" w:rsidRPr="00804648" w:rsidRDefault="00F12F28">
            <w:pPr>
              <w:pStyle w:val="TableText0"/>
              <w:jc w:val="center"/>
              <w:rPr>
                <w:color w:val="3366FF"/>
              </w:rPr>
            </w:pPr>
            <w:r w:rsidRPr="00804648">
              <w:t>0.333</w:t>
            </w:r>
          </w:p>
        </w:tc>
      </w:tr>
    </w:tbl>
    <w:p w14:paraId="7A122F15" w14:textId="77777777" w:rsidR="00F12F28" w:rsidRPr="00804648" w:rsidRDefault="00F12F28" w:rsidP="00F12F28">
      <w:pPr>
        <w:pStyle w:val="FooterTableFigure"/>
      </w:pPr>
      <w:r w:rsidRPr="00804648">
        <w:t>Source: Table 2.2.11, p129 of the submission</w:t>
      </w:r>
    </w:p>
    <w:p w14:paraId="2A76C13B" w14:textId="33A1F1C2" w:rsidR="00F12F28" w:rsidRPr="00804648" w:rsidRDefault="00BD6F49" w:rsidP="00F12F28">
      <w:pPr>
        <w:pStyle w:val="FooterTableFigure"/>
      </w:pPr>
      <w:r w:rsidRPr="00804648">
        <w:t>DLco</w:t>
      </w:r>
      <w:r w:rsidR="00F12F28" w:rsidRPr="00804648">
        <w:t xml:space="preserve"> = diffusion capacity of the lung for carbon dioxide, MN = multiple of normal.</w:t>
      </w:r>
    </w:p>
    <w:p w14:paraId="52A3555B" w14:textId="38BE7188" w:rsidR="00F12F28" w:rsidRPr="00804648" w:rsidRDefault="00F12F28" w:rsidP="00F12F28">
      <w:pPr>
        <w:pStyle w:val="Caption"/>
      </w:pPr>
      <w:bookmarkStart w:id="71" w:name="_Ref134888326"/>
      <w:r w:rsidRPr="00804648">
        <w:lastRenderedPageBreak/>
        <w:t xml:space="preserve">Table </w:t>
      </w:r>
      <w:fldSimple w:instr=" SEQ Table \* ARABIC " w:fldLock="1">
        <w:r w:rsidR="005D02DA" w:rsidRPr="00804648">
          <w:t>16</w:t>
        </w:r>
      </w:fldSimple>
      <w:bookmarkEnd w:id="71"/>
      <w:r w:rsidRPr="00804648">
        <w:t>: Utility values used in the economic evaluation for paediatric population</w:t>
      </w:r>
    </w:p>
    <w:tbl>
      <w:tblPr>
        <w:tblStyle w:val="TableGrid"/>
        <w:tblW w:w="5000" w:type="pct"/>
        <w:tblLook w:val="04A0" w:firstRow="1" w:lastRow="0" w:firstColumn="1" w:lastColumn="0" w:noHBand="0" w:noVBand="1"/>
      </w:tblPr>
      <w:tblGrid>
        <w:gridCol w:w="2255"/>
        <w:gridCol w:w="2254"/>
        <w:gridCol w:w="2254"/>
        <w:gridCol w:w="2254"/>
      </w:tblGrid>
      <w:tr w:rsidR="00F12F28" w:rsidRPr="00804648" w14:paraId="6FEF5EA2" w14:textId="77777777" w:rsidTr="00D6560C">
        <w:tc>
          <w:tcPr>
            <w:tcW w:w="1250" w:type="pct"/>
            <w:vMerge w:val="restart"/>
            <w:tcBorders>
              <w:top w:val="single" w:sz="4" w:space="0" w:color="auto"/>
              <w:left w:val="single" w:sz="4" w:space="0" w:color="auto"/>
              <w:bottom w:val="single" w:sz="4" w:space="0" w:color="auto"/>
              <w:right w:val="single" w:sz="4" w:space="0" w:color="auto"/>
            </w:tcBorders>
            <w:hideMark/>
          </w:tcPr>
          <w:p w14:paraId="293070B0" w14:textId="27AE7357" w:rsidR="00F12F28" w:rsidRPr="00804648" w:rsidRDefault="00BD6F49" w:rsidP="00F12F28">
            <w:pPr>
              <w:pStyle w:val="TableText0"/>
              <w:jc w:val="center"/>
              <w:rPr>
                <w:b/>
                <w:bCs w:val="0"/>
                <w:color w:val="3366FF"/>
              </w:rPr>
            </w:pPr>
            <w:r w:rsidRPr="00804648">
              <w:rPr>
                <w:b/>
                <w:bCs w:val="0"/>
              </w:rPr>
              <w:t>DLco</w:t>
            </w:r>
          </w:p>
        </w:tc>
        <w:tc>
          <w:tcPr>
            <w:tcW w:w="3750" w:type="pct"/>
            <w:gridSpan w:val="3"/>
            <w:tcBorders>
              <w:top w:val="single" w:sz="4" w:space="0" w:color="auto"/>
              <w:left w:val="single" w:sz="4" w:space="0" w:color="auto"/>
              <w:bottom w:val="single" w:sz="4" w:space="0" w:color="auto"/>
              <w:right w:val="single" w:sz="4" w:space="0" w:color="auto"/>
            </w:tcBorders>
            <w:hideMark/>
          </w:tcPr>
          <w:p w14:paraId="425FCAAE" w14:textId="77777777" w:rsidR="00F12F28" w:rsidRPr="00804648" w:rsidRDefault="00F12F28" w:rsidP="00F12F28">
            <w:pPr>
              <w:pStyle w:val="TableText0"/>
              <w:jc w:val="center"/>
              <w:rPr>
                <w:b/>
                <w:bCs w:val="0"/>
                <w:color w:val="3366FF"/>
              </w:rPr>
            </w:pPr>
            <w:r w:rsidRPr="00804648">
              <w:rPr>
                <w:b/>
                <w:bCs w:val="0"/>
              </w:rPr>
              <w:t>Spleen volume (MN)</w:t>
            </w:r>
          </w:p>
        </w:tc>
      </w:tr>
      <w:tr w:rsidR="00F12F28" w:rsidRPr="00804648" w14:paraId="1D7AAD10" w14:textId="77777777" w:rsidTr="00D6560C">
        <w:tc>
          <w:tcPr>
            <w:tcW w:w="1250" w:type="pct"/>
            <w:vMerge/>
            <w:tcBorders>
              <w:top w:val="single" w:sz="4" w:space="0" w:color="auto"/>
              <w:left w:val="single" w:sz="4" w:space="0" w:color="auto"/>
              <w:bottom w:val="single" w:sz="4" w:space="0" w:color="auto"/>
              <w:right w:val="single" w:sz="4" w:space="0" w:color="auto"/>
            </w:tcBorders>
            <w:vAlign w:val="center"/>
            <w:hideMark/>
          </w:tcPr>
          <w:p w14:paraId="4D0E5C7F" w14:textId="77777777" w:rsidR="00F12F28" w:rsidRPr="00804648" w:rsidRDefault="00F12F28" w:rsidP="00F12F28">
            <w:pPr>
              <w:keepNext/>
              <w:jc w:val="left"/>
              <w:rPr>
                <w:rFonts w:ascii="Arial Narrow" w:eastAsiaTheme="majorEastAsia" w:hAnsi="Arial Narrow" w:cstheme="majorBidi"/>
                <w:b/>
                <w:color w:val="3366FF"/>
                <w:sz w:val="20"/>
              </w:rPr>
            </w:pPr>
          </w:p>
        </w:tc>
        <w:tc>
          <w:tcPr>
            <w:tcW w:w="1250" w:type="pct"/>
            <w:tcBorders>
              <w:top w:val="single" w:sz="4" w:space="0" w:color="auto"/>
              <w:left w:val="single" w:sz="4" w:space="0" w:color="auto"/>
              <w:bottom w:val="single" w:sz="4" w:space="0" w:color="auto"/>
              <w:right w:val="single" w:sz="4" w:space="0" w:color="auto"/>
            </w:tcBorders>
            <w:hideMark/>
          </w:tcPr>
          <w:p w14:paraId="3AFF407D" w14:textId="77777777" w:rsidR="00F12F28" w:rsidRPr="00804648" w:rsidRDefault="00F12F28" w:rsidP="00F12F28">
            <w:pPr>
              <w:pStyle w:val="TableText0"/>
              <w:jc w:val="center"/>
              <w:rPr>
                <w:b/>
                <w:bCs w:val="0"/>
                <w:color w:val="3366FF"/>
              </w:rPr>
            </w:pPr>
            <w:r w:rsidRPr="00804648">
              <w:rPr>
                <w:b/>
                <w:bCs w:val="0"/>
              </w:rPr>
              <w:t>&lt;6 MN</w:t>
            </w:r>
          </w:p>
        </w:tc>
        <w:tc>
          <w:tcPr>
            <w:tcW w:w="1250" w:type="pct"/>
            <w:tcBorders>
              <w:top w:val="single" w:sz="4" w:space="0" w:color="auto"/>
              <w:left w:val="single" w:sz="4" w:space="0" w:color="auto"/>
              <w:bottom w:val="single" w:sz="4" w:space="0" w:color="auto"/>
              <w:right w:val="single" w:sz="4" w:space="0" w:color="auto"/>
            </w:tcBorders>
            <w:hideMark/>
          </w:tcPr>
          <w:p w14:paraId="6D59D8C5" w14:textId="77777777" w:rsidR="00F12F28" w:rsidRPr="00804648" w:rsidRDefault="00F12F28" w:rsidP="00F12F28">
            <w:pPr>
              <w:pStyle w:val="TableText0"/>
              <w:jc w:val="center"/>
              <w:rPr>
                <w:b/>
                <w:bCs w:val="0"/>
                <w:color w:val="3366FF"/>
              </w:rPr>
            </w:pPr>
            <w:r w:rsidRPr="00804648">
              <w:rPr>
                <w:b/>
                <w:bCs w:val="0"/>
              </w:rPr>
              <w:t>6–15 MN</w:t>
            </w:r>
          </w:p>
        </w:tc>
        <w:tc>
          <w:tcPr>
            <w:tcW w:w="1250" w:type="pct"/>
            <w:tcBorders>
              <w:top w:val="single" w:sz="4" w:space="0" w:color="auto"/>
              <w:left w:val="single" w:sz="4" w:space="0" w:color="auto"/>
              <w:bottom w:val="single" w:sz="4" w:space="0" w:color="auto"/>
              <w:right w:val="single" w:sz="4" w:space="0" w:color="auto"/>
            </w:tcBorders>
            <w:hideMark/>
          </w:tcPr>
          <w:p w14:paraId="2ADDE3D8" w14:textId="77777777" w:rsidR="00F12F28" w:rsidRPr="00804648" w:rsidRDefault="00F12F28" w:rsidP="00F12F28">
            <w:pPr>
              <w:pStyle w:val="TableText0"/>
              <w:jc w:val="center"/>
              <w:rPr>
                <w:b/>
                <w:bCs w:val="0"/>
                <w:color w:val="3366FF"/>
              </w:rPr>
            </w:pPr>
            <w:r w:rsidRPr="00804648">
              <w:rPr>
                <w:b/>
                <w:bCs w:val="0"/>
              </w:rPr>
              <w:t>&gt;15 MN</w:t>
            </w:r>
          </w:p>
        </w:tc>
      </w:tr>
      <w:tr w:rsidR="00F12F28" w:rsidRPr="00804648" w14:paraId="7B6A2DB0" w14:textId="77777777" w:rsidTr="00D6560C">
        <w:tc>
          <w:tcPr>
            <w:tcW w:w="1250" w:type="pct"/>
            <w:tcBorders>
              <w:top w:val="single" w:sz="4" w:space="0" w:color="auto"/>
              <w:left w:val="single" w:sz="4" w:space="0" w:color="auto"/>
              <w:bottom w:val="single" w:sz="4" w:space="0" w:color="auto"/>
              <w:right w:val="single" w:sz="4" w:space="0" w:color="auto"/>
            </w:tcBorders>
            <w:hideMark/>
          </w:tcPr>
          <w:p w14:paraId="064DFF41" w14:textId="77777777" w:rsidR="00F12F28" w:rsidRPr="00804648" w:rsidRDefault="00F12F28" w:rsidP="00F12F28">
            <w:pPr>
              <w:pStyle w:val="TableText0"/>
              <w:jc w:val="center"/>
              <w:rPr>
                <w:color w:val="3366FF"/>
              </w:rPr>
            </w:pPr>
            <w:r w:rsidRPr="00804648">
              <w:t>100–80</w:t>
            </w:r>
          </w:p>
        </w:tc>
        <w:tc>
          <w:tcPr>
            <w:tcW w:w="1250" w:type="pct"/>
            <w:tcBorders>
              <w:top w:val="single" w:sz="4" w:space="0" w:color="auto"/>
              <w:left w:val="single" w:sz="4" w:space="0" w:color="auto"/>
              <w:bottom w:val="single" w:sz="4" w:space="0" w:color="auto"/>
              <w:right w:val="single" w:sz="4" w:space="0" w:color="auto"/>
            </w:tcBorders>
            <w:hideMark/>
          </w:tcPr>
          <w:p w14:paraId="79461C2E" w14:textId="77777777" w:rsidR="00F12F28" w:rsidRPr="00804648" w:rsidRDefault="00F12F28" w:rsidP="00F12F28">
            <w:pPr>
              <w:pStyle w:val="TableText0"/>
              <w:jc w:val="center"/>
              <w:rPr>
                <w:color w:val="3366FF"/>
              </w:rPr>
            </w:pPr>
            <w:r w:rsidRPr="00804648">
              <w:t>0.939</w:t>
            </w:r>
          </w:p>
        </w:tc>
        <w:tc>
          <w:tcPr>
            <w:tcW w:w="1250" w:type="pct"/>
            <w:tcBorders>
              <w:top w:val="single" w:sz="4" w:space="0" w:color="auto"/>
              <w:left w:val="single" w:sz="4" w:space="0" w:color="auto"/>
              <w:bottom w:val="single" w:sz="4" w:space="0" w:color="auto"/>
              <w:right w:val="single" w:sz="4" w:space="0" w:color="auto"/>
            </w:tcBorders>
            <w:hideMark/>
          </w:tcPr>
          <w:p w14:paraId="11B3FA10" w14:textId="77777777" w:rsidR="00F12F28" w:rsidRPr="00804648" w:rsidRDefault="00F12F28" w:rsidP="00F12F28">
            <w:pPr>
              <w:pStyle w:val="TableText0"/>
              <w:jc w:val="center"/>
              <w:rPr>
                <w:color w:val="3366FF"/>
              </w:rPr>
            </w:pPr>
            <w:r w:rsidRPr="00804648">
              <w:t>0.867</w:t>
            </w:r>
          </w:p>
        </w:tc>
        <w:tc>
          <w:tcPr>
            <w:tcW w:w="1250" w:type="pct"/>
            <w:tcBorders>
              <w:top w:val="single" w:sz="4" w:space="0" w:color="auto"/>
              <w:left w:val="single" w:sz="4" w:space="0" w:color="auto"/>
              <w:bottom w:val="single" w:sz="4" w:space="0" w:color="auto"/>
              <w:right w:val="single" w:sz="4" w:space="0" w:color="auto"/>
            </w:tcBorders>
            <w:hideMark/>
          </w:tcPr>
          <w:p w14:paraId="408CFA46" w14:textId="77777777" w:rsidR="00F12F28" w:rsidRPr="00804648" w:rsidRDefault="00F12F28" w:rsidP="00F12F28">
            <w:pPr>
              <w:pStyle w:val="TableText0"/>
              <w:jc w:val="center"/>
              <w:rPr>
                <w:color w:val="3366FF"/>
              </w:rPr>
            </w:pPr>
            <w:r w:rsidRPr="00804648">
              <w:t>0.685</w:t>
            </w:r>
          </w:p>
        </w:tc>
      </w:tr>
      <w:tr w:rsidR="00F12F28" w:rsidRPr="00804648" w14:paraId="59B69191" w14:textId="77777777" w:rsidTr="00D6560C">
        <w:tc>
          <w:tcPr>
            <w:tcW w:w="1250" w:type="pct"/>
            <w:tcBorders>
              <w:top w:val="single" w:sz="4" w:space="0" w:color="auto"/>
              <w:left w:val="single" w:sz="4" w:space="0" w:color="auto"/>
              <w:bottom w:val="single" w:sz="4" w:space="0" w:color="auto"/>
              <w:right w:val="single" w:sz="4" w:space="0" w:color="auto"/>
            </w:tcBorders>
            <w:hideMark/>
          </w:tcPr>
          <w:p w14:paraId="3367A61C" w14:textId="77777777" w:rsidR="00F12F28" w:rsidRPr="00804648" w:rsidRDefault="00F12F28" w:rsidP="00F12F28">
            <w:pPr>
              <w:pStyle w:val="TableText0"/>
              <w:jc w:val="center"/>
              <w:rPr>
                <w:color w:val="3366FF"/>
              </w:rPr>
            </w:pPr>
            <w:r w:rsidRPr="00804648">
              <w:t>80 40</w:t>
            </w:r>
          </w:p>
        </w:tc>
        <w:tc>
          <w:tcPr>
            <w:tcW w:w="1250" w:type="pct"/>
            <w:tcBorders>
              <w:top w:val="single" w:sz="4" w:space="0" w:color="auto"/>
              <w:left w:val="single" w:sz="4" w:space="0" w:color="auto"/>
              <w:bottom w:val="single" w:sz="4" w:space="0" w:color="auto"/>
              <w:right w:val="single" w:sz="4" w:space="0" w:color="auto"/>
            </w:tcBorders>
            <w:hideMark/>
          </w:tcPr>
          <w:p w14:paraId="2A5C4CAD" w14:textId="77777777" w:rsidR="00F12F28" w:rsidRPr="00804648" w:rsidRDefault="00F12F28" w:rsidP="00F12F28">
            <w:pPr>
              <w:pStyle w:val="TableText0"/>
              <w:jc w:val="center"/>
              <w:rPr>
                <w:color w:val="3366FF"/>
              </w:rPr>
            </w:pPr>
            <w:r w:rsidRPr="00804648">
              <w:t>0.882</w:t>
            </w:r>
          </w:p>
        </w:tc>
        <w:tc>
          <w:tcPr>
            <w:tcW w:w="1250" w:type="pct"/>
            <w:tcBorders>
              <w:top w:val="single" w:sz="4" w:space="0" w:color="auto"/>
              <w:left w:val="single" w:sz="4" w:space="0" w:color="auto"/>
              <w:bottom w:val="single" w:sz="4" w:space="0" w:color="auto"/>
              <w:right w:val="single" w:sz="4" w:space="0" w:color="auto"/>
            </w:tcBorders>
            <w:hideMark/>
          </w:tcPr>
          <w:p w14:paraId="31F64DC8" w14:textId="77777777" w:rsidR="00F12F28" w:rsidRPr="00804648" w:rsidRDefault="00F12F28" w:rsidP="00F12F28">
            <w:pPr>
              <w:pStyle w:val="TableText0"/>
              <w:jc w:val="center"/>
              <w:rPr>
                <w:color w:val="3366FF"/>
              </w:rPr>
            </w:pPr>
            <w:r w:rsidRPr="00804648">
              <w:t>0.809</w:t>
            </w:r>
          </w:p>
        </w:tc>
        <w:tc>
          <w:tcPr>
            <w:tcW w:w="1250" w:type="pct"/>
            <w:tcBorders>
              <w:top w:val="single" w:sz="4" w:space="0" w:color="auto"/>
              <w:left w:val="single" w:sz="4" w:space="0" w:color="auto"/>
              <w:bottom w:val="single" w:sz="4" w:space="0" w:color="auto"/>
              <w:right w:val="single" w:sz="4" w:space="0" w:color="auto"/>
            </w:tcBorders>
            <w:hideMark/>
          </w:tcPr>
          <w:p w14:paraId="5112CFB1" w14:textId="77777777" w:rsidR="00F12F28" w:rsidRPr="00804648" w:rsidRDefault="00F12F28" w:rsidP="00F12F28">
            <w:pPr>
              <w:pStyle w:val="TableText0"/>
              <w:jc w:val="center"/>
              <w:rPr>
                <w:color w:val="3366FF"/>
              </w:rPr>
            </w:pPr>
            <w:r w:rsidRPr="00804648">
              <w:t>0.594</w:t>
            </w:r>
          </w:p>
        </w:tc>
      </w:tr>
      <w:tr w:rsidR="00F12F28" w:rsidRPr="00804648" w14:paraId="35852BD6" w14:textId="77777777" w:rsidTr="00D6560C">
        <w:tc>
          <w:tcPr>
            <w:tcW w:w="1250" w:type="pct"/>
            <w:tcBorders>
              <w:top w:val="single" w:sz="4" w:space="0" w:color="auto"/>
              <w:left w:val="single" w:sz="4" w:space="0" w:color="auto"/>
              <w:bottom w:val="single" w:sz="4" w:space="0" w:color="auto"/>
              <w:right w:val="single" w:sz="4" w:space="0" w:color="auto"/>
            </w:tcBorders>
            <w:hideMark/>
          </w:tcPr>
          <w:p w14:paraId="4BFB4077" w14:textId="77777777" w:rsidR="00F12F28" w:rsidRPr="00804648" w:rsidRDefault="00F12F28" w:rsidP="00F12F28">
            <w:pPr>
              <w:pStyle w:val="TableText0"/>
              <w:jc w:val="center"/>
              <w:rPr>
                <w:color w:val="3366FF"/>
              </w:rPr>
            </w:pPr>
            <w:r w:rsidRPr="00804648">
              <w:t>&lt;40</w:t>
            </w:r>
          </w:p>
        </w:tc>
        <w:tc>
          <w:tcPr>
            <w:tcW w:w="1250" w:type="pct"/>
            <w:tcBorders>
              <w:top w:val="single" w:sz="4" w:space="0" w:color="auto"/>
              <w:left w:val="single" w:sz="4" w:space="0" w:color="auto"/>
              <w:bottom w:val="single" w:sz="4" w:space="0" w:color="auto"/>
              <w:right w:val="single" w:sz="4" w:space="0" w:color="auto"/>
            </w:tcBorders>
            <w:hideMark/>
          </w:tcPr>
          <w:p w14:paraId="00E4F871" w14:textId="77777777" w:rsidR="00F12F28" w:rsidRPr="00804648" w:rsidRDefault="00F12F28" w:rsidP="00F12F28">
            <w:pPr>
              <w:pStyle w:val="TableText0"/>
              <w:jc w:val="center"/>
              <w:rPr>
                <w:color w:val="3366FF"/>
              </w:rPr>
            </w:pPr>
            <w:r w:rsidRPr="00804648">
              <w:t>0.741</w:t>
            </w:r>
          </w:p>
        </w:tc>
        <w:tc>
          <w:tcPr>
            <w:tcW w:w="1250" w:type="pct"/>
            <w:tcBorders>
              <w:top w:val="single" w:sz="4" w:space="0" w:color="auto"/>
              <w:left w:val="single" w:sz="4" w:space="0" w:color="auto"/>
              <w:bottom w:val="single" w:sz="4" w:space="0" w:color="auto"/>
              <w:right w:val="single" w:sz="4" w:space="0" w:color="auto"/>
            </w:tcBorders>
            <w:hideMark/>
          </w:tcPr>
          <w:p w14:paraId="6B1BA70B" w14:textId="77777777" w:rsidR="00F12F28" w:rsidRPr="00804648" w:rsidRDefault="00F12F28" w:rsidP="00F12F28">
            <w:pPr>
              <w:pStyle w:val="TableText0"/>
              <w:jc w:val="center"/>
              <w:rPr>
                <w:color w:val="3366FF"/>
              </w:rPr>
            </w:pPr>
            <w:r w:rsidRPr="00804648">
              <w:t>0.654</w:t>
            </w:r>
          </w:p>
        </w:tc>
        <w:tc>
          <w:tcPr>
            <w:tcW w:w="1250" w:type="pct"/>
            <w:tcBorders>
              <w:top w:val="single" w:sz="4" w:space="0" w:color="auto"/>
              <w:left w:val="single" w:sz="4" w:space="0" w:color="auto"/>
              <w:bottom w:val="single" w:sz="4" w:space="0" w:color="auto"/>
              <w:right w:val="single" w:sz="4" w:space="0" w:color="auto"/>
            </w:tcBorders>
            <w:hideMark/>
          </w:tcPr>
          <w:p w14:paraId="1EE44058" w14:textId="77777777" w:rsidR="00F12F28" w:rsidRPr="00804648" w:rsidRDefault="00F12F28" w:rsidP="00F12F28">
            <w:pPr>
              <w:pStyle w:val="TableText0"/>
              <w:jc w:val="center"/>
              <w:rPr>
                <w:color w:val="3366FF"/>
              </w:rPr>
            </w:pPr>
            <w:r w:rsidRPr="00804648">
              <w:t>0.450</w:t>
            </w:r>
          </w:p>
        </w:tc>
      </w:tr>
    </w:tbl>
    <w:p w14:paraId="50EF8F9A" w14:textId="77777777" w:rsidR="00F12F28" w:rsidRPr="00804648" w:rsidRDefault="00F12F28" w:rsidP="00F12F28">
      <w:pPr>
        <w:pStyle w:val="FooterTableFigure"/>
      </w:pPr>
      <w:r w:rsidRPr="00804648">
        <w:t>Source: Table 2.2.45, p174 of the submission</w:t>
      </w:r>
    </w:p>
    <w:p w14:paraId="7549B55E" w14:textId="328252BF" w:rsidR="00F12F28" w:rsidRPr="00804648" w:rsidRDefault="00BD6F49" w:rsidP="00F12F28">
      <w:pPr>
        <w:pStyle w:val="FooterTableFigure"/>
      </w:pPr>
      <w:r w:rsidRPr="00804648">
        <w:t>DLco</w:t>
      </w:r>
      <w:r w:rsidR="00F12F28" w:rsidRPr="00804648">
        <w:t xml:space="preserve"> </w:t>
      </w:r>
      <w:r w:rsidRPr="00804648">
        <w:t xml:space="preserve">= </w:t>
      </w:r>
      <w:r w:rsidR="00F12F28" w:rsidRPr="00804648">
        <w:t>diffusion capacity of the lung for carbon dioxide, MN = multiple of normal.</w:t>
      </w:r>
    </w:p>
    <w:p w14:paraId="0CDA2300" w14:textId="59CE5D7F" w:rsidR="008235BD" w:rsidRPr="00804648" w:rsidRDefault="000C2AAE" w:rsidP="008235BD">
      <w:pPr>
        <w:pStyle w:val="3-BodyText"/>
      </w:pPr>
      <w:bookmarkStart w:id="72" w:name="_Ref134002193"/>
      <w:r w:rsidRPr="00804648">
        <w:t>T</w:t>
      </w:r>
      <w:r w:rsidR="008235BD" w:rsidRPr="00804648">
        <w:t xml:space="preserve">he estimation of the utility values </w:t>
      </w:r>
      <w:r w:rsidR="000D7D59" w:rsidRPr="00804648">
        <w:t xml:space="preserve">was uncertain </w:t>
      </w:r>
      <w:r w:rsidR="008235BD" w:rsidRPr="00804648">
        <w:t>because:</w:t>
      </w:r>
      <w:bookmarkEnd w:id="72"/>
    </w:p>
    <w:p w14:paraId="277D6B27" w14:textId="7071E691" w:rsidR="008235BD" w:rsidRPr="00804648" w:rsidRDefault="008553E1" w:rsidP="00A9033C">
      <w:pPr>
        <w:pStyle w:val="ListParagraph"/>
        <w:ind w:left="1080"/>
      </w:pPr>
      <w:bookmarkStart w:id="73" w:name="_Hlk135037482"/>
      <w:r w:rsidRPr="00804648">
        <w:t xml:space="preserve">The submission did not use HRQoL from the ASCEND trial to estimate utilities in the economic model. </w:t>
      </w:r>
      <w:bookmarkEnd w:id="73"/>
    </w:p>
    <w:p w14:paraId="11847AD5" w14:textId="0B373ED7" w:rsidR="008235BD" w:rsidRPr="00804648" w:rsidRDefault="008235BD" w:rsidP="00A9033C">
      <w:pPr>
        <w:pStyle w:val="ListParagraph"/>
        <w:ind w:left="1080"/>
      </w:pPr>
      <w:r w:rsidRPr="00804648">
        <w:t xml:space="preserve">In </w:t>
      </w:r>
      <w:r w:rsidR="00D705B6" w:rsidRPr="00804648">
        <w:t xml:space="preserve">the </w:t>
      </w:r>
      <w:r w:rsidRPr="00804648">
        <w:t xml:space="preserve">ASCEND trial, changes from baseline in HRQoL were not different between the arms as measured by </w:t>
      </w:r>
      <w:r w:rsidR="00D705B6" w:rsidRPr="00804648">
        <w:t xml:space="preserve">the </w:t>
      </w:r>
      <w:r w:rsidRPr="00804648">
        <w:t xml:space="preserve">EuroQol five-dimension scale questionnaire (EQ-5D-5L) and </w:t>
      </w:r>
      <w:r w:rsidR="00D705B6" w:rsidRPr="00804648">
        <w:t xml:space="preserve">the </w:t>
      </w:r>
      <w:r w:rsidRPr="00804648">
        <w:t>Short-Form Six-Dimension (SF-6D)</w:t>
      </w:r>
      <w:r w:rsidR="008F1069" w:rsidRPr="00804648">
        <w:t>.</w:t>
      </w:r>
    </w:p>
    <w:p w14:paraId="13AE859C" w14:textId="5FA55BDD" w:rsidR="008F1069" w:rsidRPr="00804648" w:rsidRDefault="008F1069" w:rsidP="00A9033C">
      <w:pPr>
        <w:pStyle w:val="ListParagraph"/>
        <w:ind w:left="1080"/>
      </w:pPr>
      <w:r w:rsidRPr="00804648">
        <w:t>TTO utility values did not account for treatment-related AEs, which ESC considered was not reasonable and favoured olipudase alfa given its inferior safety profile.</w:t>
      </w:r>
    </w:p>
    <w:p w14:paraId="2268F1AE" w14:textId="348F9666" w:rsidR="008235BD" w:rsidRPr="00804648" w:rsidRDefault="008235BD" w:rsidP="00A9033C">
      <w:pPr>
        <w:pStyle w:val="ListParagraph"/>
        <w:ind w:left="1080"/>
      </w:pPr>
      <w:r w:rsidRPr="00804648">
        <w:t xml:space="preserve">TTO utility values were not based on the experience of people with ASMD and their </w:t>
      </w:r>
      <w:proofErr w:type="spellStart"/>
      <w:r w:rsidRPr="00804648">
        <w:t>carers</w:t>
      </w:r>
      <w:proofErr w:type="spellEnd"/>
      <w:r w:rsidRPr="00804648">
        <w:t xml:space="preserve"> and may not reflect accurate utility values. It was unclear how accurately members of the general population </w:t>
      </w:r>
      <w:r w:rsidR="004A715A" w:rsidRPr="00804648">
        <w:t xml:space="preserve">of the UK </w:t>
      </w:r>
      <w:r w:rsidRPr="00804648">
        <w:t>were able to imagine a health state of a rare disease and its impact on various aspects of HRQoL.</w:t>
      </w:r>
    </w:p>
    <w:p w14:paraId="48146044" w14:textId="41374763" w:rsidR="000F3A2F" w:rsidRPr="00804648" w:rsidRDefault="000F3A2F" w:rsidP="00B526B7">
      <w:pPr>
        <w:pStyle w:val="5-SubsectionSubheading"/>
      </w:pPr>
      <w:r w:rsidRPr="00804648">
        <w:t>Key drivers of the model and stepped economic evaluation</w:t>
      </w:r>
    </w:p>
    <w:p w14:paraId="37B4237B" w14:textId="76C50E0F" w:rsidR="00275C5A" w:rsidRPr="00804648" w:rsidRDefault="00F51327" w:rsidP="006F6FE5">
      <w:pPr>
        <w:pStyle w:val="3-BodyText"/>
      </w:pPr>
      <w:r w:rsidRPr="00804648">
        <w:t xml:space="preserve">A summary of the key drivers of the model are presented in </w:t>
      </w:r>
      <w:r w:rsidR="00E16AD8" w:rsidRPr="00804648">
        <w:fldChar w:fldCharType="begin" w:fldLock="1"/>
      </w:r>
      <w:r w:rsidR="00E16AD8" w:rsidRPr="00804648">
        <w:instrText xml:space="preserve"> REF _Ref104805122 \h  \* MERGEFORMAT </w:instrText>
      </w:r>
      <w:r w:rsidR="00E16AD8" w:rsidRPr="00804648">
        <w:fldChar w:fldCharType="separate"/>
      </w:r>
      <w:r w:rsidR="005D02DA" w:rsidRPr="00804648">
        <w:t>Table 17</w:t>
      </w:r>
      <w:r w:rsidR="00E16AD8" w:rsidRPr="00804648">
        <w:fldChar w:fldCharType="end"/>
      </w:r>
      <w:r w:rsidRPr="00804648">
        <w:t>.</w:t>
      </w:r>
      <w:r w:rsidR="0099451E" w:rsidRPr="00804648">
        <w:rPr>
          <w:color w:val="0066FF"/>
        </w:rPr>
        <w:t xml:space="preserve"> </w:t>
      </w:r>
    </w:p>
    <w:p w14:paraId="774D46B7" w14:textId="6BB658B3" w:rsidR="00D110BD" w:rsidRPr="00804648" w:rsidRDefault="00E16AD8" w:rsidP="0060058F">
      <w:pPr>
        <w:pStyle w:val="TableFigureHeading"/>
        <w:rPr>
          <w:rStyle w:val="TableFigureHeadingChar"/>
          <w:b/>
          <w:bCs/>
        </w:rPr>
      </w:pPr>
      <w:bookmarkStart w:id="74" w:name="_Ref104805122"/>
      <w:r w:rsidRPr="00804648">
        <w:lastRenderedPageBreak/>
        <w:t xml:space="preserve">Table </w:t>
      </w:r>
      <w:fldSimple w:instr=" SEQ Table \* ARABIC " w:fldLock="1">
        <w:r w:rsidR="005D02DA" w:rsidRPr="00804648">
          <w:t>17</w:t>
        </w:r>
      </w:fldSimple>
      <w:bookmarkEnd w:id="74"/>
      <w:r w:rsidRPr="00804648">
        <w:t>:</w:t>
      </w:r>
      <w:r w:rsidR="00D110BD" w:rsidRPr="00804648">
        <w:rPr>
          <w:rStyle w:val="TableFigureHeadingChar"/>
          <w:b/>
          <w:bCs/>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4112"/>
        <w:gridCol w:w="3776"/>
      </w:tblGrid>
      <w:tr w:rsidR="00537182" w:rsidRPr="00804648" w14:paraId="4DD8026E" w14:textId="77777777" w:rsidTr="008C351B">
        <w:trPr>
          <w:tblHeader/>
        </w:trPr>
        <w:tc>
          <w:tcPr>
            <w:tcW w:w="626" w:type="pct"/>
            <w:shd w:val="clear" w:color="auto" w:fill="auto"/>
            <w:vAlign w:val="center"/>
          </w:tcPr>
          <w:p w14:paraId="6A9EC2DA" w14:textId="77777777" w:rsidR="00D110BD" w:rsidRPr="00804648" w:rsidRDefault="00D110BD" w:rsidP="00827B95">
            <w:pPr>
              <w:pStyle w:val="In-tableHeading"/>
              <w:rPr>
                <w:lang w:val="en-AU"/>
              </w:rPr>
            </w:pPr>
            <w:bookmarkStart w:id="75" w:name="_Hlk133929483"/>
            <w:r w:rsidRPr="00804648">
              <w:rPr>
                <w:lang w:val="en-AU"/>
              </w:rPr>
              <w:t>Description</w:t>
            </w:r>
          </w:p>
        </w:tc>
        <w:tc>
          <w:tcPr>
            <w:tcW w:w="2280" w:type="pct"/>
            <w:shd w:val="clear" w:color="auto" w:fill="auto"/>
            <w:vAlign w:val="center"/>
          </w:tcPr>
          <w:p w14:paraId="67A62672" w14:textId="77777777" w:rsidR="00D110BD" w:rsidRPr="00804648" w:rsidRDefault="00D110BD" w:rsidP="00827B95">
            <w:pPr>
              <w:pStyle w:val="In-tableHeading"/>
              <w:rPr>
                <w:lang w:val="en-AU"/>
              </w:rPr>
            </w:pPr>
            <w:r w:rsidRPr="00804648">
              <w:rPr>
                <w:lang w:val="en-AU"/>
              </w:rPr>
              <w:t>Method/Value</w:t>
            </w:r>
          </w:p>
        </w:tc>
        <w:tc>
          <w:tcPr>
            <w:tcW w:w="2094" w:type="pct"/>
            <w:shd w:val="clear" w:color="auto" w:fill="auto"/>
            <w:vAlign w:val="center"/>
          </w:tcPr>
          <w:p w14:paraId="64D7FB28" w14:textId="77777777" w:rsidR="00274479" w:rsidRPr="00804648" w:rsidRDefault="00274479" w:rsidP="00274479">
            <w:pPr>
              <w:pStyle w:val="In-tableHeading"/>
              <w:rPr>
                <w:lang w:val="en-AU"/>
              </w:rPr>
            </w:pPr>
            <w:r w:rsidRPr="00804648">
              <w:rPr>
                <w:lang w:val="en-AU"/>
              </w:rPr>
              <w:t>Impact</w:t>
            </w:r>
          </w:p>
          <w:p w14:paraId="4CCB2C3C" w14:textId="77777777" w:rsidR="00274479" w:rsidRPr="00804648" w:rsidRDefault="00274479" w:rsidP="00274479">
            <w:pPr>
              <w:pStyle w:val="In-tableHeading"/>
              <w:rPr>
                <w:rFonts w:cs="Arial"/>
                <w:szCs w:val="20"/>
                <w:lang w:val="en-AU"/>
              </w:rPr>
            </w:pPr>
            <w:r w:rsidRPr="00804648">
              <w:rPr>
                <w:rFonts w:cs="Arial"/>
                <w:szCs w:val="20"/>
                <w:lang w:val="en-AU"/>
              </w:rPr>
              <w:t xml:space="preserve">Base case (adult population): </w:t>
            </w:r>
          </w:p>
          <w:p w14:paraId="6C1DC9EA" w14:textId="0949F81E" w:rsidR="00490B17" w:rsidRPr="00804648" w:rsidRDefault="00274479" w:rsidP="00274479">
            <w:pPr>
              <w:pStyle w:val="In-tableHeading"/>
              <w:rPr>
                <w:lang w:val="en-AU"/>
              </w:rPr>
            </w:pPr>
            <w:r w:rsidRPr="00804648">
              <w:rPr>
                <w:rFonts w:cs="Arial"/>
                <w:szCs w:val="20"/>
                <w:lang w:val="en-AU"/>
              </w:rPr>
              <w:t>$</w:t>
            </w:r>
            <w:r w:rsidR="00D265E5" w:rsidRPr="00D265E5">
              <w:rPr>
                <w:rFonts w:cs="Arial"/>
                <w:color w:val="000000"/>
                <w:spacing w:val="58"/>
                <w:szCs w:val="20"/>
                <w:shd w:val="solid" w:color="000000" w:fill="000000"/>
                <w:fitText w:val="360" w:id="-1168461824"/>
                <w:lang w:val="en-AU"/>
                <w14:textFill>
                  <w14:solidFill>
                    <w14:srgbClr w14:val="000000">
                      <w14:alpha w14:val="100000"/>
                    </w14:srgbClr>
                  </w14:solidFill>
                </w14:textFill>
              </w:rPr>
              <w:t>|||</w:t>
            </w:r>
            <w:r w:rsidR="00D265E5" w:rsidRPr="00D265E5">
              <w:rPr>
                <w:rFonts w:cs="Arial"/>
                <w:color w:val="000000"/>
                <w:spacing w:val="3"/>
                <w:szCs w:val="20"/>
                <w:shd w:val="solid" w:color="000000" w:fill="000000"/>
                <w:fitText w:val="360" w:id="-1168461824"/>
                <w:lang w:val="en-AU"/>
                <w14:textFill>
                  <w14:solidFill>
                    <w14:srgbClr w14:val="000000">
                      <w14:alpha w14:val="100000"/>
                    </w14:srgbClr>
                  </w14:solidFill>
                </w14:textFill>
              </w:rPr>
              <w:t>|</w:t>
            </w:r>
            <w:r w:rsidR="000508C9" w:rsidRPr="000508C9">
              <w:rPr>
                <w:rFonts w:cs="Arial"/>
                <w:b w:val="0"/>
                <w:bCs/>
                <w:szCs w:val="20"/>
                <w:vertAlign w:val="superscript"/>
                <w:lang w:val="en-AU"/>
              </w:rPr>
              <w:t>1</w:t>
            </w:r>
            <w:r w:rsidRPr="00804648">
              <w:rPr>
                <w:rFonts w:cs="Arial"/>
                <w:szCs w:val="20"/>
                <w:lang w:val="en-AU"/>
              </w:rPr>
              <w:t>/QALY gained</w:t>
            </w:r>
          </w:p>
        </w:tc>
      </w:tr>
      <w:tr w:rsidR="00537182" w:rsidRPr="00804648" w14:paraId="3DE22150" w14:textId="77777777" w:rsidTr="008C351B">
        <w:tc>
          <w:tcPr>
            <w:tcW w:w="626" w:type="pct"/>
            <w:shd w:val="clear" w:color="auto" w:fill="auto"/>
            <w:vAlign w:val="center"/>
          </w:tcPr>
          <w:p w14:paraId="72E20981" w14:textId="260C00BA" w:rsidR="00D110BD" w:rsidRPr="00804648" w:rsidRDefault="009836A1" w:rsidP="00C127B9">
            <w:pPr>
              <w:pStyle w:val="TableText0"/>
            </w:pPr>
            <w:r w:rsidRPr="00804648">
              <w:t>Overall survival</w:t>
            </w:r>
          </w:p>
        </w:tc>
        <w:tc>
          <w:tcPr>
            <w:tcW w:w="2280" w:type="pct"/>
            <w:shd w:val="clear" w:color="auto" w:fill="auto"/>
            <w:vAlign w:val="center"/>
          </w:tcPr>
          <w:p w14:paraId="64938802" w14:textId="1DD1D536" w:rsidR="00106B80" w:rsidRPr="00804648" w:rsidRDefault="009836A1" w:rsidP="00CB48F1">
            <w:pPr>
              <w:pStyle w:val="TableText0"/>
            </w:pPr>
            <w:r w:rsidRPr="00804648">
              <w:t xml:space="preserve">Survival was derived from SPHINGO-100 data </w:t>
            </w:r>
            <w:r w:rsidR="00CB48F1" w:rsidRPr="00804648">
              <w:t xml:space="preserve">(12.5, 95% CI: 4.3, 20.7) </w:t>
            </w:r>
            <w:r w:rsidRPr="00804648">
              <w:t>and US life tables for the year 2017</w:t>
            </w:r>
            <w:r w:rsidR="00CB48F1" w:rsidRPr="00804648">
              <w:t xml:space="preserve">. The overall SMR calculated from SPHINGO-100 was expressed as a weighted average of two SMRs; SMR1 (43.1) for patients with severe splenomegaly (≥15 MN) and SMR2 (4.3) for patients without severe splenomegaly (&lt;15 MN) at baseline.  </w:t>
            </w:r>
          </w:p>
        </w:tc>
        <w:tc>
          <w:tcPr>
            <w:tcW w:w="2094" w:type="pct"/>
            <w:shd w:val="clear" w:color="auto" w:fill="auto"/>
            <w:vAlign w:val="center"/>
          </w:tcPr>
          <w:p w14:paraId="2F82510C" w14:textId="77777777" w:rsidR="00CB48F1" w:rsidRPr="00804648" w:rsidRDefault="00CB48F1" w:rsidP="00CB48F1">
            <w:pPr>
              <w:pStyle w:val="TableText0"/>
            </w:pPr>
            <w:r w:rsidRPr="00804648">
              <w:t>High, favours olipudase.</w:t>
            </w:r>
          </w:p>
          <w:p w14:paraId="0AD58F2B" w14:textId="1BE35EAC" w:rsidR="009836A1" w:rsidRPr="00804648" w:rsidRDefault="00CB48F1" w:rsidP="00CB48F1">
            <w:pPr>
              <w:pStyle w:val="TableText0"/>
            </w:pPr>
            <w:r w:rsidRPr="00804648">
              <w:t xml:space="preserve">Assuming an overall SMR of </w:t>
            </w:r>
            <w:r w:rsidR="00BF5BB2" w:rsidRPr="00804648">
              <w:t xml:space="preserve">12.5 irrespective of severity of splenomegaly, </w:t>
            </w:r>
            <w:r w:rsidRPr="00804648">
              <w:t xml:space="preserve">increased the ICER by </w:t>
            </w:r>
            <w:r w:rsidR="00BF5BB2" w:rsidRPr="00804648">
              <w:t>44.</w:t>
            </w:r>
            <w:r w:rsidR="004C6CB9" w:rsidRPr="00804648">
              <w:t>49</w:t>
            </w:r>
            <w:r w:rsidRPr="00804648">
              <w:t>% to $</w:t>
            </w:r>
            <w:r w:rsidR="00D265E5" w:rsidRPr="00D265E5">
              <w:rPr>
                <w:color w:val="000000"/>
                <w:spacing w:val="45"/>
                <w:shd w:val="solid" w:color="000000" w:fill="000000"/>
                <w:fitText w:val="330" w:id="-1168461823"/>
                <w14:textFill>
                  <w14:solidFill>
                    <w14:srgbClr w14:val="000000">
                      <w14:alpha w14:val="100000"/>
                    </w14:srgbClr>
                  </w14:solidFill>
                </w14:textFill>
              </w:rPr>
              <w:t>|||</w:t>
            </w:r>
            <w:r w:rsidR="00D265E5" w:rsidRPr="00D265E5">
              <w:rPr>
                <w:color w:val="000000"/>
                <w:spacing w:val="15"/>
                <w:shd w:val="solid" w:color="000000" w:fill="000000"/>
                <w:fitText w:val="330" w:id="-1168461823"/>
                <w14:textFill>
                  <w14:solidFill>
                    <w14:srgbClr w14:val="000000">
                      <w14:alpha w14:val="100000"/>
                    </w14:srgbClr>
                  </w14:solidFill>
                </w14:textFill>
              </w:rPr>
              <w:t>|</w:t>
            </w:r>
            <w:r w:rsidR="000508C9" w:rsidRPr="000508C9">
              <w:rPr>
                <w:rFonts w:cs="Arial"/>
                <w:szCs w:val="20"/>
                <w:vertAlign w:val="superscript"/>
              </w:rPr>
              <w:t>1</w:t>
            </w:r>
            <w:r w:rsidRPr="000508C9">
              <w:rPr>
                <w:b/>
                <w:bCs w:val="0"/>
              </w:rPr>
              <w:t>/</w:t>
            </w:r>
            <w:r w:rsidRPr="00804648">
              <w:t>QALY gained.</w:t>
            </w:r>
          </w:p>
        </w:tc>
      </w:tr>
      <w:tr w:rsidR="00537182" w:rsidRPr="00804648" w14:paraId="3483847F" w14:textId="77777777" w:rsidTr="008C351B">
        <w:tc>
          <w:tcPr>
            <w:tcW w:w="626" w:type="pct"/>
            <w:shd w:val="clear" w:color="auto" w:fill="auto"/>
            <w:vAlign w:val="center"/>
          </w:tcPr>
          <w:p w14:paraId="2724D8D9" w14:textId="37AE8167" w:rsidR="00D110BD" w:rsidRPr="00804648" w:rsidRDefault="0009391A" w:rsidP="00C127B9">
            <w:pPr>
              <w:pStyle w:val="TableText0"/>
            </w:pPr>
            <w:r w:rsidRPr="00804648">
              <w:t>Time horizon</w:t>
            </w:r>
          </w:p>
        </w:tc>
        <w:tc>
          <w:tcPr>
            <w:tcW w:w="2280" w:type="pct"/>
            <w:shd w:val="clear" w:color="auto" w:fill="auto"/>
            <w:vAlign w:val="center"/>
          </w:tcPr>
          <w:p w14:paraId="4B9FCE0E" w14:textId="20A75888" w:rsidR="00D110BD" w:rsidRPr="00804648" w:rsidRDefault="0009391A" w:rsidP="00BB00B3">
            <w:pPr>
              <w:pStyle w:val="TableText0"/>
            </w:pPr>
            <w:r w:rsidRPr="00804648">
              <w:t>The time horizon in the base case (lifetime) was longer than the maximum follow-up period of the ASCEND trial (5 years; primary analysis and extended treatment period),</w:t>
            </w:r>
          </w:p>
        </w:tc>
        <w:tc>
          <w:tcPr>
            <w:tcW w:w="2094" w:type="pct"/>
            <w:shd w:val="clear" w:color="auto" w:fill="auto"/>
            <w:vAlign w:val="center"/>
          </w:tcPr>
          <w:p w14:paraId="72F7EC7C" w14:textId="77777777" w:rsidR="0009391A" w:rsidRPr="00804648" w:rsidRDefault="0009391A" w:rsidP="0009391A">
            <w:pPr>
              <w:pStyle w:val="TableText0"/>
            </w:pPr>
            <w:r w:rsidRPr="00804648">
              <w:t>High, favours olipudase.</w:t>
            </w:r>
          </w:p>
          <w:p w14:paraId="4CB0C507" w14:textId="22BC1F6C" w:rsidR="00D110BD" w:rsidRPr="00804648" w:rsidRDefault="0009391A" w:rsidP="008D743C">
            <w:pPr>
              <w:pStyle w:val="TableText0"/>
            </w:pPr>
            <w:r w:rsidRPr="00804648">
              <w:t>Assuming a time horizon of 20 years increased the ICER by 21.28% to $</w:t>
            </w:r>
            <w:r w:rsidR="00D265E5" w:rsidRPr="00D265E5">
              <w:rPr>
                <w:color w:val="000000"/>
                <w:spacing w:val="45"/>
                <w:shd w:val="solid" w:color="000000" w:fill="000000"/>
                <w:fitText w:val="330" w:id="-1168461822"/>
                <w14:textFill>
                  <w14:solidFill>
                    <w14:srgbClr w14:val="000000">
                      <w14:alpha w14:val="100000"/>
                    </w14:srgbClr>
                  </w14:solidFill>
                </w14:textFill>
              </w:rPr>
              <w:t>|||</w:t>
            </w:r>
            <w:r w:rsidR="00D265E5" w:rsidRPr="00D265E5">
              <w:rPr>
                <w:color w:val="000000"/>
                <w:spacing w:val="15"/>
                <w:shd w:val="solid" w:color="000000" w:fill="000000"/>
                <w:fitText w:val="330" w:id="-1168461822"/>
                <w14:textFill>
                  <w14:solidFill>
                    <w14:srgbClr w14:val="000000">
                      <w14:alpha w14:val="100000"/>
                    </w14:srgbClr>
                  </w14:solidFill>
                </w14:textFill>
              </w:rPr>
              <w:t>|</w:t>
            </w:r>
            <w:r w:rsidR="000508C9" w:rsidRPr="000508C9">
              <w:rPr>
                <w:rFonts w:cs="Arial"/>
                <w:szCs w:val="20"/>
                <w:vertAlign w:val="superscript"/>
              </w:rPr>
              <w:t>1</w:t>
            </w:r>
            <w:r w:rsidRPr="00804648">
              <w:t>/QALY gained.</w:t>
            </w:r>
          </w:p>
        </w:tc>
      </w:tr>
      <w:tr w:rsidR="0009391A" w:rsidRPr="00804648" w14:paraId="6695512E" w14:textId="77777777" w:rsidTr="008C351B">
        <w:tc>
          <w:tcPr>
            <w:tcW w:w="626" w:type="pct"/>
            <w:shd w:val="clear" w:color="auto" w:fill="auto"/>
            <w:vAlign w:val="center"/>
          </w:tcPr>
          <w:p w14:paraId="3880A6DB" w14:textId="630D7288" w:rsidR="0009391A" w:rsidRPr="00804648" w:rsidRDefault="0009391A" w:rsidP="00C127B9">
            <w:pPr>
              <w:pStyle w:val="TableText0"/>
            </w:pPr>
            <w:r w:rsidRPr="00804648">
              <w:t>Treatment benefit</w:t>
            </w:r>
          </w:p>
        </w:tc>
        <w:tc>
          <w:tcPr>
            <w:tcW w:w="2280" w:type="pct"/>
            <w:shd w:val="clear" w:color="auto" w:fill="auto"/>
            <w:vAlign w:val="center"/>
          </w:tcPr>
          <w:p w14:paraId="3A8DFE0B" w14:textId="7611AFFD" w:rsidR="0009391A" w:rsidRPr="00804648" w:rsidRDefault="0009391A" w:rsidP="00BB00B3">
            <w:pPr>
              <w:pStyle w:val="TableText0"/>
            </w:pPr>
            <w:r w:rsidRPr="00804648">
              <w:t xml:space="preserve">Olipudase alfa patients can remain in </w:t>
            </w:r>
            <w:r w:rsidR="00774F25" w:rsidRPr="00804648">
              <w:t xml:space="preserve">the </w:t>
            </w:r>
            <w:r w:rsidRPr="00804648">
              <w:t>same health state from nine years onwards</w:t>
            </w:r>
          </w:p>
        </w:tc>
        <w:tc>
          <w:tcPr>
            <w:tcW w:w="2094" w:type="pct"/>
            <w:shd w:val="clear" w:color="auto" w:fill="auto"/>
            <w:vAlign w:val="center"/>
          </w:tcPr>
          <w:p w14:paraId="4EAF4973" w14:textId="131A380F" w:rsidR="0009391A" w:rsidRPr="00804648" w:rsidRDefault="0009391A" w:rsidP="0009391A">
            <w:pPr>
              <w:pStyle w:val="TableText0"/>
            </w:pPr>
            <w:r w:rsidRPr="00804648">
              <w:t>Moderate, favours olipudase</w:t>
            </w:r>
          </w:p>
          <w:p w14:paraId="7457C7B5" w14:textId="4541A884" w:rsidR="0009391A" w:rsidRPr="00804648" w:rsidRDefault="0009391A" w:rsidP="0009391A">
            <w:pPr>
              <w:pStyle w:val="TableText0"/>
            </w:pPr>
            <w:r w:rsidRPr="00804648">
              <w:t>Assuming, olipudase alfa patients can remain in their current health state or transition to a worse health state from nine years onwards increased the ICER by 5.81% to $</w:t>
            </w:r>
            <w:r w:rsidR="00D265E5" w:rsidRPr="00D265E5">
              <w:rPr>
                <w:color w:val="000000"/>
                <w:spacing w:val="45"/>
                <w:shd w:val="solid" w:color="000000" w:fill="000000"/>
                <w:fitText w:val="330" w:id="-1168461821"/>
                <w14:textFill>
                  <w14:solidFill>
                    <w14:srgbClr w14:val="000000">
                      <w14:alpha w14:val="100000"/>
                    </w14:srgbClr>
                  </w14:solidFill>
                </w14:textFill>
              </w:rPr>
              <w:t>|||</w:t>
            </w:r>
            <w:r w:rsidR="00D265E5" w:rsidRPr="00D265E5">
              <w:rPr>
                <w:color w:val="000000"/>
                <w:spacing w:val="15"/>
                <w:shd w:val="solid" w:color="000000" w:fill="000000"/>
                <w:fitText w:val="330" w:id="-1168461821"/>
                <w14:textFill>
                  <w14:solidFill>
                    <w14:srgbClr w14:val="000000">
                      <w14:alpha w14:val="100000"/>
                    </w14:srgbClr>
                  </w14:solidFill>
                </w14:textFill>
              </w:rPr>
              <w:t>|</w:t>
            </w:r>
            <w:r w:rsidR="000508C9" w:rsidRPr="000508C9">
              <w:rPr>
                <w:rFonts w:cs="Arial"/>
                <w:szCs w:val="20"/>
                <w:vertAlign w:val="superscript"/>
              </w:rPr>
              <w:t>1</w:t>
            </w:r>
            <w:r w:rsidRPr="00804648">
              <w:t>/QALY gained.</w:t>
            </w:r>
          </w:p>
        </w:tc>
      </w:tr>
      <w:tr w:rsidR="009836A1" w:rsidRPr="00804648" w14:paraId="39E46D5B" w14:textId="77777777" w:rsidTr="008C351B">
        <w:tc>
          <w:tcPr>
            <w:tcW w:w="626" w:type="pct"/>
            <w:shd w:val="clear" w:color="auto" w:fill="auto"/>
            <w:vAlign w:val="center"/>
          </w:tcPr>
          <w:p w14:paraId="347EC5A4" w14:textId="1584A651" w:rsidR="009836A1" w:rsidRPr="00804648" w:rsidRDefault="009836A1" w:rsidP="009836A1">
            <w:pPr>
              <w:pStyle w:val="TableText0"/>
              <w:rPr>
                <w:b/>
                <w:bCs w:val="0"/>
              </w:rPr>
            </w:pPr>
            <w:r w:rsidRPr="00804648">
              <w:rPr>
                <w:b/>
                <w:bCs w:val="0"/>
              </w:rPr>
              <w:t>Description</w:t>
            </w:r>
          </w:p>
        </w:tc>
        <w:tc>
          <w:tcPr>
            <w:tcW w:w="2280" w:type="pct"/>
            <w:shd w:val="clear" w:color="auto" w:fill="auto"/>
            <w:vAlign w:val="center"/>
          </w:tcPr>
          <w:p w14:paraId="7E7105AF" w14:textId="1CED219B" w:rsidR="009836A1" w:rsidRPr="00804648" w:rsidRDefault="009836A1" w:rsidP="009836A1">
            <w:pPr>
              <w:pStyle w:val="TableText0"/>
              <w:rPr>
                <w:b/>
                <w:bCs w:val="0"/>
              </w:rPr>
            </w:pPr>
            <w:r w:rsidRPr="00804648">
              <w:rPr>
                <w:b/>
                <w:bCs w:val="0"/>
              </w:rPr>
              <w:t>Method/Value</w:t>
            </w:r>
          </w:p>
        </w:tc>
        <w:tc>
          <w:tcPr>
            <w:tcW w:w="2094" w:type="pct"/>
            <w:shd w:val="clear" w:color="auto" w:fill="auto"/>
            <w:vAlign w:val="center"/>
          </w:tcPr>
          <w:p w14:paraId="502F0948" w14:textId="77777777" w:rsidR="009836A1" w:rsidRPr="00804648" w:rsidRDefault="009836A1" w:rsidP="009836A1">
            <w:pPr>
              <w:pStyle w:val="In-tableHeading"/>
              <w:rPr>
                <w:lang w:val="en-AU"/>
              </w:rPr>
            </w:pPr>
            <w:r w:rsidRPr="00804648">
              <w:rPr>
                <w:lang w:val="en-AU"/>
              </w:rPr>
              <w:t>Impact</w:t>
            </w:r>
          </w:p>
          <w:p w14:paraId="3783DE0E" w14:textId="18856A99" w:rsidR="009836A1" w:rsidRPr="00804648" w:rsidRDefault="009836A1" w:rsidP="009836A1">
            <w:pPr>
              <w:pStyle w:val="In-tableHeading"/>
              <w:rPr>
                <w:rFonts w:cs="Arial"/>
                <w:szCs w:val="20"/>
                <w:lang w:val="en-AU"/>
              </w:rPr>
            </w:pPr>
            <w:r w:rsidRPr="00804648">
              <w:rPr>
                <w:rFonts w:cs="Arial"/>
                <w:szCs w:val="20"/>
                <w:lang w:val="en-AU"/>
              </w:rPr>
              <w:t>Base case (</w:t>
            </w:r>
            <w:r w:rsidR="00C5719E" w:rsidRPr="00804648">
              <w:rPr>
                <w:rFonts w:cs="Arial"/>
                <w:szCs w:val="20"/>
                <w:lang w:val="en-AU"/>
              </w:rPr>
              <w:t>paediatric</w:t>
            </w:r>
            <w:r w:rsidRPr="00804648">
              <w:rPr>
                <w:rFonts w:cs="Arial"/>
                <w:szCs w:val="20"/>
                <w:lang w:val="en-AU"/>
              </w:rPr>
              <w:t xml:space="preserve"> population): </w:t>
            </w:r>
          </w:p>
          <w:p w14:paraId="50F3F3FF" w14:textId="6B4AE1E3" w:rsidR="009836A1" w:rsidRPr="00804648" w:rsidRDefault="009836A1" w:rsidP="009836A1">
            <w:pPr>
              <w:pStyle w:val="TableText0"/>
              <w:rPr>
                <w:b/>
                <w:bCs w:val="0"/>
              </w:rPr>
            </w:pPr>
            <w:r w:rsidRPr="00804648">
              <w:rPr>
                <w:rFonts w:cs="Arial"/>
                <w:b/>
                <w:bCs w:val="0"/>
                <w:szCs w:val="20"/>
              </w:rPr>
              <w:t>$</w:t>
            </w:r>
            <w:r w:rsidR="00D265E5" w:rsidRPr="00D265E5">
              <w:rPr>
                <w:rFonts w:cs="Arial"/>
                <w:b/>
                <w:bCs w:val="0"/>
                <w:color w:val="000000"/>
                <w:spacing w:val="58"/>
                <w:szCs w:val="20"/>
                <w:shd w:val="solid" w:color="000000" w:fill="000000"/>
                <w:fitText w:val="360" w:id="-1168461820"/>
                <w14:textFill>
                  <w14:solidFill>
                    <w14:srgbClr w14:val="000000">
                      <w14:alpha w14:val="100000"/>
                    </w14:srgbClr>
                  </w14:solidFill>
                </w14:textFill>
              </w:rPr>
              <w:t>|||</w:t>
            </w:r>
            <w:r w:rsidR="00D265E5" w:rsidRPr="00D265E5">
              <w:rPr>
                <w:rFonts w:cs="Arial"/>
                <w:b/>
                <w:bCs w:val="0"/>
                <w:color w:val="000000"/>
                <w:spacing w:val="3"/>
                <w:szCs w:val="20"/>
                <w:shd w:val="solid" w:color="000000" w:fill="000000"/>
                <w:fitText w:val="360" w:id="-1168461820"/>
                <w14:textFill>
                  <w14:solidFill>
                    <w14:srgbClr w14:val="000000">
                      <w14:alpha w14:val="100000"/>
                    </w14:srgbClr>
                  </w14:solidFill>
                </w14:textFill>
              </w:rPr>
              <w:t>|</w:t>
            </w:r>
            <w:r w:rsidR="000508C9" w:rsidRPr="000508C9">
              <w:rPr>
                <w:rFonts w:cs="Arial"/>
                <w:szCs w:val="20"/>
                <w:vertAlign w:val="superscript"/>
              </w:rPr>
              <w:t>1</w:t>
            </w:r>
            <w:r w:rsidRPr="00804648">
              <w:rPr>
                <w:rFonts w:cs="Arial"/>
                <w:b/>
                <w:bCs w:val="0"/>
                <w:szCs w:val="20"/>
              </w:rPr>
              <w:t>/QALY gained</w:t>
            </w:r>
          </w:p>
        </w:tc>
      </w:tr>
      <w:tr w:rsidR="009836A1" w:rsidRPr="00804648" w14:paraId="3B2CAF39" w14:textId="77777777" w:rsidTr="008C351B">
        <w:tc>
          <w:tcPr>
            <w:tcW w:w="626" w:type="pct"/>
            <w:shd w:val="clear" w:color="auto" w:fill="auto"/>
            <w:vAlign w:val="center"/>
          </w:tcPr>
          <w:p w14:paraId="13EE1655" w14:textId="724D6A4A" w:rsidR="009836A1" w:rsidRPr="00804648" w:rsidRDefault="009836A1" w:rsidP="009836A1">
            <w:pPr>
              <w:pStyle w:val="TableText0"/>
              <w:rPr>
                <w:b/>
                <w:bCs w:val="0"/>
              </w:rPr>
            </w:pPr>
            <w:r w:rsidRPr="00804648">
              <w:t>Overall survival</w:t>
            </w:r>
          </w:p>
        </w:tc>
        <w:tc>
          <w:tcPr>
            <w:tcW w:w="2280" w:type="pct"/>
            <w:shd w:val="clear" w:color="auto" w:fill="auto"/>
            <w:vAlign w:val="center"/>
          </w:tcPr>
          <w:p w14:paraId="2FDB819D" w14:textId="06642621" w:rsidR="009836A1" w:rsidRPr="00804648" w:rsidRDefault="00CB48F1" w:rsidP="009836A1">
            <w:pPr>
              <w:pStyle w:val="TableText0"/>
              <w:rPr>
                <w:b/>
                <w:bCs w:val="0"/>
              </w:rPr>
            </w:pPr>
            <w:r w:rsidRPr="00804648">
              <w:t xml:space="preserve">Survival was derived from SPHINGO-100 data (12.5, 95% CI: 4.3, 20.7) and US life tables for the year 2017. The overall SMR calculated from SPHINGO-100 was expressed as a weighted average of two SMRs; SMR1 (4.3) for patients with severe splenomegaly (≥15 MN) and SMR2 (43.1) for patients without severe splenomegaly (&lt;15 MN) at baseline.  </w:t>
            </w:r>
          </w:p>
        </w:tc>
        <w:tc>
          <w:tcPr>
            <w:tcW w:w="2094" w:type="pct"/>
            <w:shd w:val="clear" w:color="auto" w:fill="auto"/>
            <w:vAlign w:val="center"/>
          </w:tcPr>
          <w:p w14:paraId="05E8F4E9" w14:textId="77777777" w:rsidR="00CB48F1" w:rsidRPr="00804648" w:rsidRDefault="00CB48F1" w:rsidP="00CB48F1">
            <w:pPr>
              <w:pStyle w:val="TableText0"/>
            </w:pPr>
            <w:r w:rsidRPr="00804648">
              <w:t>High, favours olipudase.</w:t>
            </w:r>
          </w:p>
          <w:p w14:paraId="1308297F" w14:textId="0773FAD1" w:rsidR="009836A1" w:rsidRPr="00804648" w:rsidRDefault="00BF5BB2" w:rsidP="00CB48F1">
            <w:pPr>
              <w:pStyle w:val="In-tableHeading"/>
              <w:rPr>
                <w:b w:val="0"/>
                <w:bCs/>
                <w:lang w:val="en-AU"/>
              </w:rPr>
            </w:pPr>
            <w:r w:rsidRPr="00804648">
              <w:rPr>
                <w:b w:val="0"/>
                <w:bCs/>
                <w:lang w:val="en-AU"/>
              </w:rPr>
              <w:t xml:space="preserve">Assuming an overall SMR of 12.5 irrespective of severity of splenomegaly, increased the ICER by </w:t>
            </w:r>
            <w:r w:rsidR="004C6CB9" w:rsidRPr="00804648">
              <w:rPr>
                <w:b w:val="0"/>
                <w:bCs/>
                <w:lang w:val="en-AU"/>
              </w:rPr>
              <w:t>18.9</w:t>
            </w:r>
            <w:r w:rsidR="005D7F35" w:rsidRPr="00804648">
              <w:rPr>
                <w:b w:val="0"/>
                <w:bCs/>
                <w:lang w:val="en-AU"/>
              </w:rPr>
              <w:t>2</w:t>
            </w:r>
            <w:r w:rsidRPr="00804648">
              <w:rPr>
                <w:b w:val="0"/>
                <w:bCs/>
                <w:lang w:val="en-AU"/>
              </w:rPr>
              <w:t>% to $</w:t>
            </w:r>
            <w:r w:rsidR="00D265E5" w:rsidRPr="00D265E5">
              <w:rPr>
                <w:b w:val="0"/>
                <w:bCs/>
                <w:color w:val="000000"/>
                <w:spacing w:val="45"/>
                <w:shd w:val="solid" w:color="000000" w:fill="000000"/>
                <w:fitText w:val="330" w:id="-1168461819"/>
                <w:lang w:val="en-AU"/>
                <w14:textFill>
                  <w14:solidFill>
                    <w14:srgbClr w14:val="000000">
                      <w14:alpha w14:val="100000"/>
                    </w14:srgbClr>
                  </w14:solidFill>
                </w14:textFill>
              </w:rPr>
              <w:t>|||</w:t>
            </w:r>
            <w:r w:rsidR="00D265E5" w:rsidRPr="00D265E5">
              <w:rPr>
                <w:b w:val="0"/>
                <w:bCs/>
                <w:color w:val="000000"/>
                <w:spacing w:val="15"/>
                <w:shd w:val="solid" w:color="000000" w:fill="000000"/>
                <w:fitText w:val="330" w:id="-1168461819"/>
                <w:lang w:val="en-AU"/>
                <w14:textFill>
                  <w14:solidFill>
                    <w14:srgbClr w14:val="000000">
                      <w14:alpha w14:val="100000"/>
                    </w14:srgbClr>
                  </w14:solidFill>
                </w14:textFill>
              </w:rPr>
              <w:t>|</w:t>
            </w:r>
            <w:r w:rsidR="000508C9" w:rsidRPr="000508C9">
              <w:rPr>
                <w:rFonts w:cs="Arial"/>
                <w:szCs w:val="20"/>
                <w:vertAlign w:val="superscript"/>
                <w:lang w:val="en-AU"/>
              </w:rPr>
              <w:t>1</w:t>
            </w:r>
            <w:r w:rsidRPr="00804648">
              <w:rPr>
                <w:b w:val="0"/>
                <w:bCs/>
                <w:lang w:val="en-AU"/>
              </w:rPr>
              <w:t>/QALY gained.</w:t>
            </w:r>
          </w:p>
        </w:tc>
      </w:tr>
      <w:tr w:rsidR="00C5719E" w:rsidRPr="00804648" w14:paraId="1DC355DC" w14:textId="77777777" w:rsidTr="008C351B">
        <w:tc>
          <w:tcPr>
            <w:tcW w:w="626" w:type="pct"/>
            <w:shd w:val="clear" w:color="auto" w:fill="auto"/>
          </w:tcPr>
          <w:p w14:paraId="2C14E143" w14:textId="22B1DCD7" w:rsidR="00C5719E" w:rsidRPr="00804648" w:rsidRDefault="00C5719E" w:rsidP="00C5719E">
            <w:pPr>
              <w:pStyle w:val="TableText0"/>
            </w:pPr>
            <w:r w:rsidRPr="00804648">
              <w:t>Treatment benefit</w:t>
            </w:r>
          </w:p>
        </w:tc>
        <w:tc>
          <w:tcPr>
            <w:tcW w:w="2280" w:type="pct"/>
            <w:shd w:val="clear" w:color="auto" w:fill="auto"/>
          </w:tcPr>
          <w:p w14:paraId="38129232" w14:textId="6643206B" w:rsidR="00C5719E" w:rsidRPr="00804648" w:rsidRDefault="00C5719E" w:rsidP="00C5719E">
            <w:pPr>
              <w:pStyle w:val="TableText0"/>
            </w:pPr>
            <w:r w:rsidRPr="00804648">
              <w:t xml:space="preserve">Olipudase alfa patients can remain in </w:t>
            </w:r>
            <w:r w:rsidR="00774F25" w:rsidRPr="00804648">
              <w:t xml:space="preserve">the </w:t>
            </w:r>
            <w:r w:rsidRPr="00804648">
              <w:t>same health state from nine years onwards</w:t>
            </w:r>
          </w:p>
        </w:tc>
        <w:tc>
          <w:tcPr>
            <w:tcW w:w="2094" w:type="pct"/>
            <w:shd w:val="clear" w:color="auto" w:fill="auto"/>
          </w:tcPr>
          <w:p w14:paraId="64F17025" w14:textId="1B5177B8" w:rsidR="00C5719E" w:rsidRPr="00804648" w:rsidRDefault="001C752D" w:rsidP="00C5719E">
            <w:pPr>
              <w:pStyle w:val="TableText0"/>
            </w:pPr>
            <w:r w:rsidRPr="00804648">
              <w:t>High</w:t>
            </w:r>
            <w:r w:rsidR="00C5719E" w:rsidRPr="00804648">
              <w:t>, favours olipudase</w:t>
            </w:r>
          </w:p>
          <w:p w14:paraId="3B7F4D40" w14:textId="0D0A1A26" w:rsidR="00C5719E" w:rsidRPr="00804648" w:rsidRDefault="00C5719E" w:rsidP="00C5719E">
            <w:pPr>
              <w:pStyle w:val="TableText0"/>
            </w:pPr>
            <w:r w:rsidRPr="00804648">
              <w:t>Assuming olipudase alfa patients can remain in their current health state or transition to a worse health state from nine years onwards increased the ICER by 12.11% to $</w:t>
            </w:r>
            <w:r w:rsidR="00D265E5" w:rsidRPr="00D265E5">
              <w:rPr>
                <w:color w:val="000000"/>
                <w:spacing w:val="45"/>
                <w:shd w:val="solid" w:color="000000" w:fill="000000"/>
                <w:fitText w:val="330" w:id="-1168461818"/>
                <w14:textFill>
                  <w14:solidFill>
                    <w14:srgbClr w14:val="000000">
                      <w14:alpha w14:val="100000"/>
                    </w14:srgbClr>
                  </w14:solidFill>
                </w14:textFill>
              </w:rPr>
              <w:t>|||</w:t>
            </w:r>
            <w:r w:rsidR="00D265E5" w:rsidRPr="00D265E5">
              <w:rPr>
                <w:color w:val="000000"/>
                <w:spacing w:val="15"/>
                <w:shd w:val="solid" w:color="000000" w:fill="000000"/>
                <w:fitText w:val="330" w:id="-1168461818"/>
                <w14:textFill>
                  <w14:solidFill>
                    <w14:srgbClr w14:val="000000">
                      <w14:alpha w14:val="100000"/>
                    </w14:srgbClr>
                  </w14:solidFill>
                </w14:textFill>
              </w:rPr>
              <w:t>|</w:t>
            </w:r>
            <w:r w:rsidR="000508C9" w:rsidRPr="000508C9">
              <w:rPr>
                <w:rFonts w:cs="Arial"/>
                <w:szCs w:val="20"/>
                <w:vertAlign w:val="superscript"/>
              </w:rPr>
              <w:t>1</w:t>
            </w:r>
            <w:r w:rsidRPr="00804648">
              <w:t>/QALY gained.</w:t>
            </w:r>
          </w:p>
        </w:tc>
      </w:tr>
    </w:tbl>
    <w:p w14:paraId="30E97087" w14:textId="1D1AA3CE" w:rsidR="00D110BD" w:rsidRPr="00804648" w:rsidRDefault="009D792E" w:rsidP="00BB00B3">
      <w:pPr>
        <w:pStyle w:val="FooterTableFigure"/>
      </w:pPr>
      <w:r w:rsidRPr="00804648">
        <w:t xml:space="preserve">Source: </w:t>
      </w:r>
      <w:r w:rsidR="009F2387" w:rsidRPr="00804648">
        <w:t>Olipudase_ASMD CEA worksheet</w:t>
      </w:r>
    </w:p>
    <w:p w14:paraId="220ACD23" w14:textId="75E48F99" w:rsidR="009F2387" w:rsidRPr="00804648" w:rsidRDefault="009F2387" w:rsidP="00BB00B3">
      <w:pPr>
        <w:pStyle w:val="FooterTableFigure"/>
      </w:pPr>
      <w:r w:rsidRPr="00804648">
        <w:t>ICER = incremental cost-effectiveness ratio,</w:t>
      </w:r>
      <w:r w:rsidR="00263A4C" w:rsidRPr="00804648">
        <w:t xml:space="preserve"> MN = multiple of normal,</w:t>
      </w:r>
      <w:r w:rsidRPr="00804648">
        <w:t xml:space="preserve"> QALY = quality-adjusted life-years, SMR = standardised mortality rate</w:t>
      </w:r>
      <w:r w:rsidR="00263A4C" w:rsidRPr="00804648">
        <w:t>.</w:t>
      </w:r>
    </w:p>
    <w:p w14:paraId="5C65E414" w14:textId="1100DDE7" w:rsidR="000C260D" w:rsidRDefault="00F31DC4" w:rsidP="00BB00B3">
      <w:pPr>
        <w:pStyle w:val="FooterTableFigure"/>
      </w:pPr>
      <w:r w:rsidRPr="00804648">
        <w:t>C</w:t>
      </w:r>
      <w:r w:rsidR="000C260D" w:rsidRPr="00804648">
        <w:t>orrected during evaluation to reflect only 20 mg vial of olipudase alfa. Recalculated by changing 62 vials to 63 vials of 20 mg and 3 vials to 0 vials of 4 mg in cell G46 and 236 vials to 237 vials of 20 mg and 2 vials to 0 vials of 4 mg in cell G50 of ‘treatment cost’ worksheet in ‘Olipudase_ASMD CEA’ workbook.</w:t>
      </w:r>
    </w:p>
    <w:p w14:paraId="694DAC39" w14:textId="58BACDAE" w:rsidR="000508C9" w:rsidRPr="000508C9" w:rsidRDefault="000508C9" w:rsidP="00BB00B3">
      <w:pPr>
        <w:pStyle w:val="FooterTableFigure"/>
        <w:rPr>
          <w:i/>
          <w:iCs/>
        </w:rPr>
      </w:pPr>
      <w:r w:rsidRPr="000508C9">
        <w:rPr>
          <w:i/>
          <w:iCs/>
        </w:rPr>
        <w:t>The redacted values correspond to the following ranges:</w:t>
      </w:r>
    </w:p>
    <w:p w14:paraId="1171818D" w14:textId="3BFF2CF6" w:rsidR="000508C9" w:rsidRPr="000508C9" w:rsidRDefault="000508C9" w:rsidP="00BB00B3">
      <w:pPr>
        <w:pStyle w:val="FooterTableFigure"/>
        <w:rPr>
          <w:i/>
          <w:iCs/>
        </w:rPr>
      </w:pPr>
      <w:r w:rsidRPr="000508C9">
        <w:rPr>
          <w:i/>
          <w:iCs/>
          <w:vertAlign w:val="superscript"/>
        </w:rPr>
        <w:t>1</w:t>
      </w:r>
      <w:r w:rsidRPr="000508C9">
        <w:rPr>
          <w:i/>
          <w:iCs/>
        </w:rPr>
        <w:t xml:space="preserve"> </w:t>
      </w:r>
      <w:r w:rsidR="00EB4409">
        <w:rPr>
          <w:i/>
          <w:iCs/>
        </w:rPr>
        <w:t>&gt; </w:t>
      </w:r>
      <w:r w:rsidRPr="000508C9">
        <w:rPr>
          <w:i/>
          <w:iCs/>
        </w:rPr>
        <w:t>$1,055,000</w:t>
      </w:r>
    </w:p>
    <w:bookmarkStart w:id="76" w:name="_Ref104805160"/>
    <w:bookmarkEnd w:id="75"/>
    <w:p w14:paraId="23E50C8F" w14:textId="52E240A3" w:rsidR="00462D36" w:rsidRPr="00804648" w:rsidRDefault="00462D36" w:rsidP="00A01FCA">
      <w:pPr>
        <w:pStyle w:val="3-BodyText"/>
      </w:pPr>
      <w:r w:rsidRPr="00804648">
        <w:fldChar w:fldCharType="begin" w:fldLock="1"/>
      </w:r>
      <w:r w:rsidRPr="00804648">
        <w:instrText xml:space="preserve"> REF _Ref133497582 \h  \* MERGEFORMAT </w:instrText>
      </w:r>
      <w:r w:rsidRPr="00804648">
        <w:fldChar w:fldCharType="separate"/>
      </w:r>
      <w:r w:rsidR="005D02DA" w:rsidRPr="00804648">
        <w:t>Table 18</w:t>
      </w:r>
      <w:r w:rsidRPr="00804648">
        <w:fldChar w:fldCharType="end"/>
      </w:r>
      <w:r w:rsidRPr="00804648">
        <w:t xml:space="preserve"> and </w:t>
      </w:r>
      <w:r w:rsidRPr="00804648">
        <w:fldChar w:fldCharType="begin" w:fldLock="1"/>
      </w:r>
      <w:r w:rsidRPr="00804648">
        <w:instrText xml:space="preserve"> REF _Ref133497591 \h  \* MERGEFORMAT </w:instrText>
      </w:r>
      <w:r w:rsidRPr="00804648">
        <w:fldChar w:fldCharType="separate"/>
      </w:r>
      <w:r w:rsidR="005D02DA" w:rsidRPr="00804648">
        <w:t>Table 19</w:t>
      </w:r>
      <w:r w:rsidRPr="00804648">
        <w:fldChar w:fldCharType="end"/>
      </w:r>
      <w:r w:rsidRPr="00804648">
        <w:t xml:space="preserve"> present the results of the stepped economic evaluation for </w:t>
      </w:r>
      <w:r w:rsidR="00774F25" w:rsidRPr="00804648">
        <w:t xml:space="preserve">the </w:t>
      </w:r>
      <w:r w:rsidRPr="00804648">
        <w:t>adult and paediatric population</w:t>
      </w:r>
      <w:r w:rsidR="00774F25" w:rsidRPr="00804648">
        <w:t>s</w:t>
      </w:r>
      <w:r w:rsidRPr="00804648">
        <w:t>, respectively.</w:t>
      </w:r>
    </w:p>
    <w:p w14:paraId="2F96F35C" w14:textId="77777777" w:rsidR="001831F3" w:rsidRPr="00804648" w:rsidRDefault="001831F3" w:rsidP="001831F3"/>
    <w:p w14:paraId="5392AF2E" w14:textId="247B8F36" w:rsidR="001831F3" w:rsidRPr="00804648" w:rsidRDefault="001831F3" w:rsidP="001831F3">
      <w:pPr>
        <w:pStyle w:val="Caption"/>
        <w:rPr>
          <w:b w:val="0"/>
          <w:bCs w:val="0"/>
        </w:rPr>
      </w:pPr>
      <w:bookmarkStart w:id="77" w:name="_Ref133497582"/>
      <w:bookmarkEnd w:id="76"/>
      <w:r w:rsidRPr="00804648">
        <w:lastRenderedPageBreak/>
        <w:t xml:space="preserve">Table </w:t>
      </w:r>
      <w:fldSimple w:instr=" SEQ Table \* ARABIC " w:fldLock="1">
        <w:r w:rsidR="005D02DA" w:rsidRPr="00804648">
          <w:t>18</w:t>
        </w:r>
      </w:fldSimple>
      <w:bookmarkEnd w:id="77"/>
      <w:r w:rsidRPr="00804648">
        <w:t>:</w:t>
      </w:r>
      <w:r w:rsidRPr="00804648">
        <w:rPr>
          <w:rStyle w:val="CommentReference"/>
          <w:b/>
          <w:bCs w:val="0"/>
          <w:szCs w:val="24"/>
        </w:rPr>
        <w:t xml:space="preserve"> Results of the stepped economic evaluation </w:t>
      </w:r>
      <w:r w:rsidR="004B241E" w:rsidRPr="00804648">
        <w:rPr>
          <w:rStyle w:val="CommentReference"/>
          <w:b/>
          <w:bCs w:val="0"/>
          <w:szCs w:val="24"/>
        </w:rPr>
        <w:t xml:space="preserve">for the </w:t>
      </w:r>
      <w:r w:rsidRPr="00804648">
        <w:rPr>
          <w:rStyle w:val="CommentReference"/>
          <w:b/>
          <w:bCs w:val="0"/>
          <w:szCs w:val="24"/>
        </w:rPr>
        <w:t>adult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3"/>
        <w:gridCol w:w="1921"/>
        <w:gridCol w:w="1922"/>
        <w:gridCol w:w="1921"/>
      </w:tblGrid>
      <w:tr w:rsidR="001831F3" w:rsidRPr="00804648" w14:paraId="1A7023EC" w14:textId="77777777" w:rsidTr="008C351B">
        <w:trPr>
          <w:tblHeader/>
        </w:trPr>
        <w:tc>
          <w:tcPr>
            <w:tcW w:w="1804" w:type="pct"/>
            <w:vAlign w:val="center"/>
          </w:tcPr>
          <w:p w14:paraId="3D5751C6" w14:textId="77777777" w:rsidR="001831F3" w:rsidRPr="00804648" w:rsidRDefault="001831F3" w:rsidP="006F6FE5">
            <w:pPr>
              <w:pStyle w:val="In-tableHeading"/>
              <w:rPr>
                <w:lang w:val="en-AU"/>
              </w:rPr>
            </w:pPr>
            <w:r w:rsidRPr="00804648">
              <w:rPr>
                <w:lang w:val="en-AU"/>
              </w:rPr>
              <w:t>Step and component</w:t>
            </w:r>
          </w:p>
        </w:tc>
        <w:tc>
          <w:tcPr>
            <w:tcW w:w="1065" w:type="pct"/>
            <w:vAlign w:val="center"/>
          </w:tcPr>
          <w:p w14:paraId="59E8FF81" w14:textId="77777777" w:rsidR="001831F3" w:rsidRPr="00804648" w:rsidRDefault="001831F3" w:rsidP="006F6FE5">
            <w:pPr>
              <w:pStyle w:val="In-tableHeading"/>
              <w:jc w:val="center"/>
              <w:rPr>
                <w:lang w:val="en-AU"/>
              </w:rPr>
            </w:pPr>
            <w:r w:rsidRPr="00804648">
              <w:rPr>
                <w:lang w:val="en-AU"/>
              </w:rPr>
              <w:t>Olipudase alfa</w:t>
            </w:r>
          </w:p>
        </w:tc>
        <w:tc>
          <w:tcPr>
            <w:tcW w:w="1065" w:type="pct"/>
            <w:vAlign w:val="center"/>
          </w:tcPr>
          <w:p w14:paraId="5A9EEB40" w14:textId="77777777" w:rsidR="001831F3" w:rsidRPr="00804648" w:rsidRDefault="001831F3" w:rsidP="006F6FE5">
            <w:pPr>
              <w:pStyle w:val="In-tableHeading"/>
              <w:jc w:val="center"/>
              <w:rPr>
                <w:lang w:val="en-AU"/>
              </w:rPr>
            </w:pPr>
            <w:r w:rsidRPr="00804648">
              <w:rPr>
                <w:lang w:val="en-AU"/>
              </w:rPr>
              <w:t>BSC</w:t>
            </w:r>
          </w:p>
        </w:tc>
        <w:tc>
          <w:tcPr>
            <w:tcW w:w="1065" w:type="pct"/>
            <w:vAlign w:val="center"/>
          </w:tcPr>
          <w:p w14:paraId="1DB3EBF7" w14:textId="77777777" w:rsidR="001831F3" w:rsidRPr="00804648" w:rsidRDefault="001831F3" w:rsidP="006F6FE5">
            <w:pPr>
              <w:pStyle w:val="In-tableHeading"/>
              <w:jc w:val="center"/>
              <w:rPr>
                <w:lang w:val="en-AU"/>
              </w:rPr>
            </w:pPr>
            <w:r w:rsidRPr="00804648">
              <w:rPr>
                <w:lang w:val="en-AU"/>
              </w:rPr>
              <w:t>Increment</w:t>
            </w:r>
          </w:p>
        </w:tc>
      </w:tr>
      <w:tr w:rsidR="001831F3" w:rsidRPr="00804648" w14:paraId="471BCF7A" w14:textId="77777777" w:rsidTr="008C351B">
        <w:tc>
          <w:tcPr>
            <w:tcW w:w="5000" w:type="pct"/>
            <w:gridSpan w:val="4"/>
            <w:vAlign w:val="center"/>
          </w:tcPr>
          <w:p w14:paraId="5B1EC942" w14:textId="1C018B2A" w:rsidR="001831F3" w:rsidRPr="00804648" w:rsidRDefault="001831F3" w:rsidP="006F6FE5">
            <w:pPr>
              <w:pStyle w:val="TableText0"/>
              <w:rPr>
                <w:b/>
                <w:bCs w:val="0"/>
              </w:rPr>
            </w:pPr>
            <w:r w:rsidRPr="00804648">
              <w:rPr>
                <w:b/>
                <w:bCs w:val="0"/>
              </w:rPr>
              <w:t xml:space="preserve">Step 1: </w:t>
            </w:r>
            <w:r w:rsidR="00E74059" w:rsidRPr="00804648">
              <w:rPr>
                <w:b/>
                <w:bCs w:val="0"/>
              </w:rPr>
              <w:t xml:space="preserve">modelled </w:t>
            </w:r>
            <w:r w:rsidRPr="00804648">
              <w:rPr>
                <w:b/>
                <w:bCs w:val="0"/>
              </w:rPr>
              <w:t>trial-based costs and outcomes</w:t>
            </w:r>
            <w:r w:rsidR="00E74059" w:rsidRPr="00804648">
              <w:rPr>
                <w:b/>
                <w:bCs w:val="0"/>
              </w:rPr>
              <w:t xml:space="preserve"> (two years) </w:t>
            </w:r>
            <w:r w:rsidR="00E74059" w:rsidRPr="00804648">
              <w:rPr>
                <w:b/>
                <w:bCs w:val="0"/>
                <w:vertAlign w:val="superscript"/>
              </w:rPr>
              <w:t>a</w:t>
            </w:r>
          </w:p>
        </w:tc>
      </w:tr>
      <w:tr w:rsidR="001831F3" w:rsidRPr="00804648" w14:paraId="5BB0F7AE" w14:textId="77777777" w:rsidTr="00D265E5">
        <w:tc>
          <w:tcPr>
            <w:tcW w:w="1804" w:type="pct"/>
            <w:vAlign w:val="center"/>
          </w:tcPr>
          <w:p w14:paraId="10F367BF" w14:textId="7DCF0B19" w:rsidR="001831F3" w:rsidRPr="00804648" w:rsidRDefault="001831F3" w:rsidP="006F6FE5">
            <w:pPr>
              <w:pStyle w:val="TableText0"/>
              <w:rPr>
                <w:rFonts w:ascii="Times" w:hAnsi="Times"/>
              </w:rPr>
            </w:pPr>
            <w:r w:rsidRPr="00804648">
              <w:t>Costs</w:t>
            </w:r>
            <w:r w:rsidR="00973855">
              <w:t xml:space="preserve"> ($)</w:t>
            </w:r>
          </w:p>
        </w:tc>
        <w:tc>
          <w:tcPr>
            <w:tcW w:w="1065" w:type="pct"/>
            <w:shd w:val="solid" w:color="000000" w:fill="000000"/>
          </w:tcPr>
          <w:p w14:paraId="64DFB77E" w14:textId="5E2B9C9D" w:rsidR="001831F3" w:rsidRPr="00804648" w:rsidRDefault="00D265E5" w:rsidP="006F6FE5">
            <w:pPr>
              <w:pStyle w:val="TableText0"/>
              <w:jc w:val="center"/>
              <w:rPr>
                <w:rFonts w:ascii="Times" w:hAnsi="Times"/>
              </w:rPr>
            </w:pPr>
            <w:r w:rsidRPr="00D265E5">
              <w:rPr>
                <w:color w:val="000000"/>
                <w14:textFill>
                  <w14:solidFill>
                    <w14:srgbClr w14:val="000000">
                      <w14:alpha w14:val="100000"/>
                    </w14:srgbClr>
                  </w14:solidFill>
                </w14:textFill>
              </w:rPr>
              <w:t>|</w:t>
            </w:r>
          </w:p>
        </w:tc>
        <w:tc>
          <w:tcPr>
            <w:tcW w:w="1065" w:type="pct"/>
          </w:tcPr>
          <w:p w14:paraId="758F43F2" w14:textId="77777777" w:rsidR="001831F3" w:rsidRPr="00804648" w:rsidRDefault="001831F3" w:rsidP="006F6FE5">
            <w:pPr>
              <w:pStyle w:val="TableText0"/>
              <w:jc w:val="center"/>
            </w:pPr>
            <w:r w:rsidRPr="00804648">
              <w:t>$0.00</w:t>
            </w:r>
          </w:p>
        </w:tc>
        <w:tc>
          <w:tcPr>
            <w:tcW w:w="1065" w:type="pct"/>
            <w:shd w:val="solid" w:color="000000" w:fill="000000"/>
          </w:tcPr>
          <w:p w14:paraId="142E9FB1" w14:textId="08BB9A0C" w:rsidR="001831F3" w:rsidRPr="00804648" w:rsidRDefault="00D265E5" w:rsidP="006F6FE5">
            <w:pPr>
              <w:pStyle w:val="TableText0"/>
              <w:jc w:val="center"/>
              <w:rPr>
                <w:rFonts w:ascii="Times" w:hAnsi="Times"/>
              </w:rPr>
            </w:pPr>
            <w:r w:rsidRPr="00D265E5">
              <w:rPr>
                <w:color w:val="000000"/>
                <w14:textFill>
                  <w14:solidFill>
                    <w14:srgbClr w14:val="000000">
                      <w14:alpha w14:val="100000"/>
                    </w14:srgbClr>
                  </w14:solidFill>
                </w14:textFill>
              </w:rPr>
              <w:t>|</w:t>
            </w:r>
          </w:p>
        </w:tc>
      </w:tr>
      <w:tr w:rsidR="001831F3" w:rsidRPr="00804648" w14:paraId="54F05799" w14:textId="77777777" w:rsidTr="008C351B">
        <w:tc>
          <w:tcPr>
            <w:tcW w:w="1804" w:type="pct"/>
            <w:vAlign w:val="center"/>
          </w:tcPr>
          <w:p w14:paraId="2F1AB8C3" w14:textId="51317215" w:rsidR="001831F3" w:rsidRPr="00804648" w:rsidRDefault="00E74059" w:rsidP="006F6FE5">
            <w:pPr>
              <w:pStyle w:val="TableText0"/>
              <w:rPr>
                <w:rFonts w:ascii="Times" w:hAnsi="Times"/>
              </w:rPr>
            </w:pPr>
            <w:r w:rsidRPr="00804648">
              <w:t>LYG</w:t>
            </w:r>
          </w:p>
        </w:tc>
        <w:tc>
          <w:tcPr>
            <w:tcW w:w="1065" w:type="pct"/>
          </w:tcPr>
          <w:p w14:paraId="2F2ECF8E" w14:textId="6301AD91" w:rsidR="001831F3" w:rsidRPr="00804648" w:rsidRDefault="001831F3" w:rsidP="006F6FE5">
            <w:pPr>
              <w:pStyle w:val="TableText0"/>
              <w:jc w:val="center"/>
              <w:rPr>
                <w:rFonts w:ascii="Times" w:hAnsi="Times"/>
              </w:rPr>
            </w:pPr>
            <w:r w:rsidRPr="00804648">
              <w:t>1.89</w:t>
            </w:r>
          </w:p>
        </w:tc>
        <w:tc>
          <w:tcPr>
            <w:tcW w:w="1065" w:type="pct"/>
          </w:tcPr>
          <w:p w14:paraId="31DD55B3" w14:textId="7E3F4994" w:rsidR="001831F3" w:rsidRPr="00804648" w:rsidRDefault="001831F3" w:rsidP="006F6FE5">
            <w:pPr>
              <w:pStyle w:val="TableText0"/>
              <w:jc w:val="center"/>
              <w:rPr>
                <w:rFonts w:ascii="Times" w:hAnsi="Times"/>
              </w:rPr>
            </w:pPr>
            <w:r w:rsidRPr="00804648">
              <w:t>1.88</w:t>
            </w:r>
          </w:p>
        </w:tc>
        <w:tc>
          <w:tcPr>
            <w:tcW w:w="1065" w:type="pct"/>
          </w:tcPr>
          <w:p w14:paraId="132D8913" w14:textId="1145E36D" w:rsidR="001831F3" w:rsidRPr="00804648" w:rsidRDefault="001831F3" w:rsidP="006F6FE5">
            <w:pPr>
              <w:pStyle w:val="TableText0"/>
              <w:jc w:val="center"/>
            </w:pPr>
            <w:r w:rsidRPr="00804648">
              <w:t>0.01</w:t>
            </w:r>
          </w:p>
        </w:tc>
      </w:tr>
      <w:tr w:rsidR="001831F3" w:rsidRPr="00804648" w14:paraId="6F239B52" w14:textId="77777777" w:rsidTr="008C351B">
        <w:tc>
          <w:tcPr>
            <w:tcW w:w="3935" w:type="pct"/>
            <w:gridSpan w:val="3"/>
            <w:vAlign w:val="center"/>
          </w:tcPr>
          <w:p w14:paraId="235D5D2E" w14:textId="70816ED6" w:rsidR="001831F3" w:rsidRPr="00804648" w:rsidRDefault="00E74059" w:rsidP="006F6FE5">
            <w:pPr>
              <w:pStyle w:val="TableText0"/>
              <w:rPr>
                <w:rFonts w:ascii="Times" w:hAnsi="Times"/>
              </w:rPr>
            </w:pPr>
            <w:r w:rsidRPr="00804648">
              <w:t>Incremental cost/extra LYG gained</w:t>
            </w:r>
          </w:p>
        </w:tc>
        <w:tc>
          <w:tcPr>
            <w:tcW w:w="1065" w:type="pct"/>
            <w:vAlign w:val="center"/>
          </w:tcPr>
          <w:p w14:paraId="4FCC63F5" w14:textId="703A91E8" w:rsidR="001831F3" w:rsidRPr="00973855" w:rsidRDefault="00D265E5" w:rsidP="006F6FE5">
            <w:pPr>
              <w:pStyle w:val="TableText0"/>
              <w:jc w:val="center"/>
              <w:rPr>
                <w:vertAlign w:val="superscript"/>
              </w:rPr>
            </w:pPr>
            <w:r w:rsidRPr="00D265E5">
              <w:rPr>
                <w:color w:val="000000"/>
                <w:shd w:val="solid" w:color="000000" w:fill="000000"/>
                <w14:textFill>
                  <w14:solidFill>
                    <w14:srgbClr w14:val="000000">
                      <w14:alpha w14:val="100000"/>
                    </w14:srgbClr>
                  </w14:solidFill>
                </w14:textFill>
              </w:rPr>
              <w:t>|</w:t>
            </w:r>
            <w:r w:rsidR="00973855">
              <w:rPr>
                <w:vertAlign w:val="superscript"/>
              </w:rPr>
              <w:t>1</w:t>
            </w:r>
          </w:p>
        </w:tc>
      </w:tr>
      <w:tr w:rsidR="001831F3" w:rsidRPr="00804648" w14:paraId="65B03930" w14:textId="77777777" w:rsidTr="008C351B">
        <w:tc>
          <w:tcPr>
            <w:tcW w:w="5000" w:type="pct"/>
            <w:gridSpan w:val="4"/>
            <w:vAlign w:val="center"/>
          </w:tcPr>
          <w:p w14:paraId="440A9984" w14:textId="77777777" w:rsidR="001831F3" w:rsidRPr="00804648" w:rsidRDefault="001831F3" w:rsidP="006F6FE5">
            <w:pPr>
              <w:pStyle w:val="In-tableHeading"/>
              <w:rPr>
                <w:lang w:val="en-AU"/>
              </w:rPr>
            </w:pPr>
            <w:r w:rsidRPr="00804648">
              <w:rPr>
                <w:lang w:val="en-AU"/>
              </w:rPr>
              <w:t>Step 2: time horizon extended to lifetime</w:t>
            </w:r>
          </w:p>
        </w:tc>
      </w:tr>
      <w:tr w:rsidR="001831F3" w:rsidRPr="00804648" w14:paraId="3F7E1FF2" w14:textId="77777777" w:rsidTr="00D265E5">
        <w:tc>
          <w:tcPr>
            <w:tcW w:w="1804" w:type="pct"/>
            <w:vAlign w:val="center"/>
          </w:tcPr>
          <w:p w14:paraId="348ED748" w14:textId="01081FBC" w:rsidR="001831F3" w:rsidRPr="00804648" w:rsidRDefault="001831F3" w:rsidP="006F6FE5">
            <w:pPr>
              <w:pStyle w:val="TableText0"/>
              <w:rPr>
                <w:rFonts w:ascii="Times" w:hAnsi="Times"/>
              </w:rPr>
            </w:pPr>
            <w:r w:rsidRPr="00804648">
              <w:t>Costs</w:t>
            </w:r>
            <w:r w:rsidR="00973855">
              <w:t xml:space="preserve"> ($)</w:t>
            </w:r>
          </w:p>
        </w:tc>
        <w:tc>
          <w:tcPr>
            <w:tcW w:w="1065" w:type="pct"/>
            <w:shd w:val="solid" w:color="000000" w:fill="000000"/>
          </w:tcPr>
          <w:p w14:paraId="66E5ADC2" w14:textId="12B51AAD" w:rsidR="001831F3" w:rsidRPr="00804648" w:rsidRDefault="00D265E5" w:rsidP="006F6FE5">
            <w:pPr>
              <w:pStyle w:val="TableText0"/>
              <w:jc w:val="center"/>
              <w:rPr>
                <w:rFonts w:ascii="Times" w:hAnsi="Times"/>
              </w:rPr>
            </w:pPr>
            <w:r w:rsidRPr="00D265E5">
              <w:rPr>
                <w:color w:val="000000"/>
                <w14:textFill>
                  <w14:solidFill>
                    <w14:srgbClr w14:val="000000">
                      <w14:alpha w14:val="100000"/>
                    </w14:srgbClr>
                  </w14:solidFill>
                </w14:textFill>
              </w:rPr>
              <w:t>|</w:t>
            </w:r>
          </w:p>
        </w:tc>
        <w:tc>
          <w:tcPr>
            <w:tcW w:w="1065" w:type="pct"/>
          </w:tcPr>
          <w:p w14:paraId="1447EC0E" w14:textId="77777777" w:rsidR="001831F3" w:rsidRPr="00804648" w:rsidRDefault="001831F3" w:rsidP="006F6FE5">
            <w:pPr>
              <w:pStyle w:val="TableText0"/>
              <w:jc w:val="center"/>
              <w:rPr>
                <w:rFonts w:ascii="Times" w:hAnsi="Times"/>
              </w:rPr>
            </w:pPr>
            <w:r w:rsidRPr="00804648">
              <w:t>$0.00</w:t>
            </w:r>
          </w:p>
        </w:tc>
        <w:tc>
          <w:tcPr>
            <w:tcW w:w="1065" w:type="pct"/>
            <w:shd w:val="solid" w:color="000000" w:fill="000000"/>
          </w:tcPr>
          <w:p w14:paraId="2637A33D" w14:textId="55492A89" w:rsidR="001831F3" w:rsidRPr="00804648" w:rsidRDefault="00D265E5" w:rsidP="006F6FE5">
            <w:pPr>
              <w:pStyle w:val="TableText0"/>
              <w:jc w:val="center"/>
              <w:rPr>
                <w:rFonts w:ascii="Times" w:hAnsi="Times"/>
              </w:rPr>
            </w:pPr>
            <w:r w:rsidRPr="00D265E5">
              <w:rPr>
                <w:color w:val="000000"/>
                <w14:textFill>
                  <w14:solidFill>
                    <w14:srgbClr w14:val="000000">
                      <w14:alpha w14:val="100000"/>
                    </w14:srgbClr>
                  </w14:solidFill>
                </w14:textFill>
              </w:rPr>
              <w:t>|</w:t>
            </w:r>
          </w:p>
        </w:tc>
      </w:tr>
      <w:tr w:rsidR="001831F3" w:rsidRPr="00804648" w14:paraId="61DF954B" w14:textId="77777777" w:rsidTr="008C351B">
        <w:tc>
          <w:tcPr>
            <w:tcW w:w="1804" w:type="pct"/>
            <w:vAlign w:val="center"/>
          </w:tcPr>
          <w:p w14:paraId="649C5703" w14:textId="77777777" w:rsidR="001831F3" w:rsidRPr="00804648" w:rsidRDefault="001831F3" w:rsidP="006F6FE5">
            <w:pPr>
              <w:pStyle w:val="TableText0"/>
              <w:rPr>
                <w:rFonts w:ascii="Times" w:hAnsi="Times"/>
              </w:rPr>
            </w:pPr>
            <w:r w:rsidRPr="00804648">
              <w:t>LYG</w:t>
            </w:r>
          </w:p>
        </w:tc>
        <w:tc>
          <w:tcPr>
            <w:tcW w:w="1065" w:type="pct"/>
          </w:tcPr>
          <w:p w14:paraId="5CC2EE99" w14:textId="77777777" w:rsidR="001831F3" w:rsidRPr="00804648" w:rsidRDefault="001831F3" w:rsidP="006F6FE5">
            <w:pPr>
              <w:pStyle w:val="TableText0"/>
              <w:jc w:val="center"/>
              <w:rPr>
                <w:rFonts w:ascii="Times" w:hAnsi="Times"/>
              </w:rPr>
            </w:pPr>
            <w:r w:rsidRPr="00804648">
              <w:t>16.13</w:t>
            </w:r>
          </w:p>
        </w:tc>
        <w:tc>
          <w:tcPr>
            <w:tcW w:w="1065" w:type="pct"/>
          </w:tcPr>
          <w:p w14:paraId="3D483BA0" w14:textId="77777777" w:rsidR="001831F3" w:rsidRPr="00804648" w:rsidRDefault="001831F3" w:rsidP="006F6FE5">
            <w:pPr>
              <w:pStyle w:val="TableText0"/>
              <w:jc w:val="center"/>
              <w:rPr>
                <w:rFonts w:ascii="Times" w:hAnsi="Times"/>
              </w:rPr>
            </w:pPr>
            <w:r w:rsidRPr="00804648">
              <w:t>12.88</w:t>
            </w:r>
          </w:p>
        </w:tc>
        <w:tc>
          <w:tcPr>
            <w:tcW w:w="1065" w:type="pct"/>
          </w:tcPr>
          <w:p w14:paraId="17242D03" w14:textId="77777777" w:rsidR="001831F3" w:rsidRPr="00804648" w:rsidRDefault="001831F3" w:rsidP="006F6FE5">
            <w:pPr>
              <w:pStyle w:val="TableText0"/>
              <w:jc w:val="center"/>
            </w:pPr>
            <w:r w:rsidRPr="00804648">
              <w:t>3.25</w:t>
            </w:r>
          </w:p>
        </w:tc>
      </w:tr>
      <w:tr w:rsidR="001831F3" w:rsidRPr="00804648" w14:paraId="0829DC3D" w14:textId="77777777" w:rsidTr="008C351B">
        <w:tc>
          <w:tcPr>
            <w:tcW w:w="3935" w:type="pct"/>
            <w:gridSpan w:val="3"/>
            <w:vAlign w:val="center"/>
          </w:tcPr>
          <w:p w14:paraId="596F49D8" w14:textId="77777777" w:rsidR="001831F3" w:rsidRPr="00804648" w:rsidRDefault="001831F3" w:rsidP="006F6FE5">
            <w:pPr>
              <w:pStyle w:val="TableText0"/>
              <w:rPr>
                <w:rFonts w:ascii="Times" w:hAnsi="Times"/>
              </w:rPr>
            </w:pPr>
            <w:r w:rsidRPr="00804648">
              <w:t>Incremental cost/extra LYG gained</w:t>
            </w:r>
          </w:p>
        </w:tc>
        <w:tc>
          <w:tcPr>
            <w:tcW w:w="1065" w:type="pct"/>
            <w:vAlign w:val="center"/>
          </w:tcPr>
          <w:p w14:paraId="1D70B704" w14:textId="48415714" w:rsidR="001831F3" w:rsidRPr="00804648" w:rsidRDefault="00D265E5" w:rsidP="006F6FE5">
            <w:pPr>
              <w:pStyle w:val="TableText0"/>
              <w:jc w:val="center"/>
            </w:pPr>
            <w:r w:rsidRPr="00D265E5">
              <w:rPr>
                <w:color w:val="000000"/>
                <w:shd w:val="solid" w:color="000000" w:fill="000000"/>
                <w14:textFill>
                  <w14:solidFill>
                    <w14:srgbClr w14:val="000000">
                      <w14:alpha w14:val="100000"/>
                    </w14:srgbClr>
                  </w14:solidFill>
                </w14:textFill>
              </w:rPr>
              <w:t>|</w:t>
            </w:r>
            <w:r w:rsidR="00973855">
              <w:rPr>
                <w:vertAlign w:val="superscript"/>
              </w:rPr>
              <w:t>1</w:t>
            </w:r>
          </w:p>
        </w:tc>
      </w:tr>
      <w:tr w:rsidR="001831F3" w:rsidRPr="00804648" w14:paraId="2459551D" w14:textId="77777777" w:rsidTr="008C351B">
        <w:tc>
          <w:tcPr>
            <w:tcW w:w="5000" w:type="pct"/>
            <w:gridSpan w:val="4"/>
            <w:vAlign w:val="center"/>
          </w:tcPr>
          <w:p w14:paraId="48F2C416" w14:textId="77777777" w:rsidR="001831F3" w:rsidRPr="00804648" w:rsidRDefault="001831F3" w:rsidP="006F6FE5">
            <w:pPr>
              <w:pStyle w:val="In-tableHeading"/>
              <w:rPr>
                <w:rFonts w:cstheme="majorBidi"/>
                <w:lang w:val="en-AU"/>
              </w:rPr>
            </w:pPr>
            <w:r w:rsidRPr="00804648">
              <w:rPr>
                <w:rFonts w:cstheme="majorBidi"/>
                <w:lang w:val="en-AU"/>
              </w:rPr>
              <w:t>Step 3: incorporation of medical resource costs</w:t>
            </w:r>
          </w:p>
        </w:tc>
      </w:tr>
      <w:tr w:rsidR="001831F3" w:rsidRPr="00804648" w14:paraId="74A81416" w14:textId="77777777" w:rsidTr="00D265E5">
        <w:tc>
          <w:tcPr>
            <w:tcW w:w="1804" w:type="pct"/>
            <w:vAlign w:val="center"/>
          </w:tcPr>
          <w:p w14:paraId="1222FA34" w14:textId="7BEBA3B9" w:rsidR="001831F3" w:rsidRPr="00804648" w:rsidRDefault="001831F3" w:rsidP="006F6FE5">
            <w:pPr>
              <w:pStyle w:val="TableText0"/>
              <w:rPr>
                <w:rFonts w:ascii="Times" w:hAnsi="Times"/>
              </w:rPr>
            </w:pPr>
            <w:r w:rsidRPr="00804648">
              <w:t>Costs</w:t>
            </w:r>
            <w:r w:rsidR="00973855">
              <w:t xml:space="preserve"> ($)</w:t>
            </w:r>
          </w:p>
        </w:tc>
        <w:tc>
          <w:tcPr>
            <w:tcW w:w="1065" w:type="pct"/>
            <w:shd w:val="solid" w:color="000000" w:fill="000000"/>
          </w:tcPr>
          <w:p w14:paraId="62E54700" w14:textId="6EBC464E" w:rsidR="001831F3" w:rsidRPr="00804648" w:rsidRDefault="00D265E5" w:rsidP="006F6FE5">
            <w:pPr>
              <w:pStyle w:val="TableText0"/>
              <w:jc w:val="center"/>
              <w:rPr>
                <w:rFonts w:ascii="Times" w:hAnsi="Times"/>
              </w:rPr>
            </w:pPr>
            <w:r w:rsidRPr="00D265E5">
              <w:rPr>
                <w:color w:val="000000"/>
                <w14:textFill>
                  <w14:solidFill>
                    <w14:srgbClr w14:val="000000">
                      <w14:alpha w14:val="100000"/>
                    </w14:srgbClr>
                  </w14:solidFill>
                </w14:textFill>
              </w:rPr>
              <w:t>|</w:t>
            </w:r>
          </w:p>
        </w:tc>
        <w:tc>
          <w:tcPr>
            <w:tcW w:w="1065" w:type="pct"/>
          </w:tcPr>
          <w:p w14:paraId="10E1A7FD" w14:textId="77777777" w:rsidR="001831F3" w:rsidRPr="00804648" w:rsidRDefault="001831F3" w:rsidP="006F6FE5">
            <w:pPr>
              <w:pStyle w:val="TableText0"/>
              <w:jc w:val="center"/>
              <w:rPr>
                <w:rFonts w:ascii="Times" w:hAnsi="Times"/>
              </w:rPr>
            </w:pPr>
            <w:r w:rsidRPr="00804648">
              <w:t>$32,935</w:t>
            </w:r>
          </w:p>
        </w:tc>
        <w:tc>
          <w:tcPr>
            <w:tcW w:w="1065" w:type="pct"/>
            <w:shd w:val="solid" w:color="000000" w:fill="000000"/>
          </w:tcPr>
          <w:p w14:paraId="3BF65859" w14:textId="3728673A" w:rsidR="001831F3" w:rsidRPr="00804648" w:rsidRDefault="00D265E5" w:rsidP="006F6FE5">
            <w:pPr>
              <w:pStyle w:val="TableText0"/>
              <w:jc w:val="center"/>
            </w:pPr>
            <w:r w:rsidRPr="00D265E5">
              <w:rPr>
                <w:color w:val="000000"/>
                <w14:textFill>
                  <w14:solidFill>
                    <w14:srgbClr w14:val="000000">
                      <w14:alpha w14:val="100000"/>
                    </w14:srgbClr>
                  </w14:solidFill>
                </w14:textFill>
              </w:rPr>
              <w:t>|</w:t>
            </w:r>
          </w:p>
        </w:tc>
      </w:tr>
      <w:tr w:rsidR="001831F3" w:rsidRPr="00804648" w14:paraId="7E4554FA" w14:textId="77777777" w:rsidTr="008C351B">
        <w:tc>
          <w:tcPr>
            <w:tcW w:w="1804" w:type="pct"/>
            <w:vAlign w:val="center"/>
          </w:tcPr>
          <w:p w14:paraId="6F179450" w14:textId="77777777" w:rsidR="001831F3" w:rsidRPr="00804648" w:rsidRDefault="001831F3" w:rsidP="006F6FE5">
            <w:pPr>
              <w:pStyle w:val="TableText0"/>
              <w:rPr>
                <w:rFonts w:ascii="Times" w:hAnsi="Times"/>
              </w:rPr>
            </w:pPr>
            <w:r w:rsidRPr="00804648">
              <w:t>LYG</w:t>
            </w:r>
          </w:p>
        </w:tc>
        <w:tc>
          <w:tcPr>
            <w:tcW w:w="1065" w:type="pct"/>
          </w:tcPr>
          <w:p w14:paraId="76A1B8DF" w14:textId="77777777" w:rsidR="001831F3" w:rsidRPr="00804648" w:rsidRDefault="001831F3" w:rsidP="006F6FE5">
            <w:pPr>
              <w:pStyle w:val="TableText0"/>
              <w:jc w:val="center"/>
              <w:rPr>
                <w:rFonts w:ascii="Times" w:hAnsi="Times"/>
              </w:rPr>
            </w:pPr>
            <w:r w:rsidRPr="00804648">
              <w:t>16.13</w:t>
            </w:r>
          </w:p>
        </w:tc>
        <w:tc>
          <w:tcPr>
            <w:tcW w:w="1065" w:type="pct"/>
          </w:tcPr>
          <w:p w14:paraId="353E2DEF" w14:textId="77777777" w:rsidR="001831F3" w:rsidRPr="00804648" w:rsidRDefault="001831F3" w:rsidP="006F6FE5">
            <w:pPr>
              <w:pStyle w:val="TableText0"/>
              <w:jc w:val="center"/>
              <w:rPr>
                <w:rFonts w:ascii="Times" w:hAnsi="Times"/>
              </w:rPr>
            </w:pPr>
            <w:r w:rsidRPr="00804648">
              <w:t>12.88</w:t>
            </w:r>
          </w:p>
        </w:tc>
        <w:tc>
          <w:tcPr>
            <w:tcW w:w="1065" w:type="pct"/>
          </w:tcPr>
          <w:p w14:paraId="2D750B75" w14:textId="77777777" w:rsidR="001831F3" w:rsidRPr="00804648" w:rsidRDefault="001831F3" w:rsidP="006F6FE5">
            <w:pPr>
              <w:pStyle w:val="TableText0"/>
              <w:jc w:val="center"/>
            </w:pPr>
            <w:r w:rsidRPr="00804648">
              <w:t>3.25</w:t>
            </w:r>
          </w:p>
        </w:tc>
      </w:tr>
      <w:tr w:rsidR="001831F3" w:rsidRPr="00804648" w14:paraId="3CF010BC" w14:textId="77777777" w:rsidTr="008C351B">
        <w:tc>
          <w:tcPr>
            <w:tcW w:w="3935" w:type="pct"/>
            <w:gridSpan w:val="3"/>
            <w:vAlign w:val="center"/>
          </w:tcPr>
          <w:p w14:paraId="44D9F3FB" w14:textId="77777777" w:rsidR="001831F3" w:rsidRPr="00804648" w:rsidRDefault="001831F3" w:rsidP="006F6FE5">
            <w:pPr>
              <w:pStyle w:val="TableText0"/>
              <w:rPr>
                <w:rFonts w:ascii="Times" w:hAnsi="Times"/>
              </w:rPr>
            </w:pPr>
            <w:r w:rsidRPr="00804648">
              <w:t>Incremental cost/extra LYG gained</w:t>
            </w:r>
          </w:p>
        </w:tc>
        <w:tc>
          <w:tcPr>
            <w:tcW w:w="1065" w:type="pct"/>
            <w:vAlign w:val="center"/>
          </w:tcPr>
          <w:p w14:paraId="7871B314" w14:textId="422A6B6A" w:rsidR="001831F3" w:rsidRPr="00804648" w:rsidRDefault="00D265E5" w:rsidP="006F6FE5">
            <w:pPr>
              <w:pStyle w:val="TableText0"/>
              <w:jc w:val="center"/>
            </w:pPr>
            <w:r w:rsidRPr="00D265E5">
              <w:rPr>
                <w:color w:val="000000"/>
                <w:shd w:val="solid" w:color="000000" w:fill="000000"/>
                <w14:textFill>
                  <w14:solidFill>
                    <w14:srgbClr w14:val="000000">
                      <w14:alpha w14:val="100000"/>
                    </w14:srgbClr>
                  </w14:solidFill>
                </w14:textFill>
              </w:rPr>
              <w:t>|</w:t>
            </w:r>
            <w:r w:rsidR="00973855">
              <w:rPr>
                <w:vertAlign w:val="superscript"/>
              </w:rPr>
              <w:t>1</w:t>
            </w:r>
          </w:p>
        </w:tc>
      </w:tr>
      <w:tr w:rsidR="001831F3" w:rsidRPr="00804648" w14:paraId="1246E41E" w14:textId="77777777" w:rsidTr="008C351B">
        <w:tc>
          <w:tcPr>
            <w:tcW w:w="5000" w:type="pct"/>
            <w:gridSpan w:val="4"/>
            <w:vAlign w:val="center"/>
          </w:tcPr>
          <w:p w14:paraId="60BEC98C" w14:textId="77777777" w:rsidR="001831F3" w:rsidRPr="00804648" w:rsidRDefault="001831F3" w:rsidP="006F6FE5">
            <w:pPr>
              <w:pStyle w:val="In-tableHeading"/>
              <w:rPr>
                <w:rFonts w:cstheme="majorBidi"/>
                <w:lang w:val="en-AU"/>
              </w:rPr>
            </w:pPr>
            <w:r w:rsidRPr="00804648">
              <w:rPr>
                <w:rFonts w:cstheme="majorBidi"/>
                <w:lang w:val="en-AU"/>
              </w:rPr>
              <w:t>Step 4: utility weights applied</w:t>
            </w:r>
          </w:p>
        </w:tc>
      </w:tr>
      <w:tr w:rsidR="001831F3" w:rsidRPr="00804648" w14:paraId="0B0347B8" w14:textId="77777777" w:rsidTr="00D265E5">
        <w:tc>
          <w:tcPr>
            <w:tcW w:w="1804" w:type="pct"/>
            <w:vAlign w:val="center"/>
          </w:tcPr>
          <w:p w14:paraId="44AA07B9" w14:textId="12BDA28F" w:rsidR="001831F3" w:rsidRPr="00804648" w:rsidRDefault="001831F3" w:rsidP="006F6FE5">
            <w:pPr>
              <w:pStyle w:val="TableText0"/>
              <w:rPr>
                <w:rFonts w:ascii="Times" w:hAnsi="Times"/>
              </w:rPr>
            </w:pPr>
            <w:r w:rsidRPr="00804648">
              <w:t>Costs</w:t>
            </w:r>
            <w:r w:rsidR="00973855">
              <w:t xml:space="preserve"> ($)</w:t>
            </w:r>
          </w:p>
        </w:tc>
        <w:tc>
          <w:tcPr>
            <w:tcW w:w="1065" w:type="pct"/>
            <w:shd w:val="solid" w:color="000000" w:fill="000000"/>
          </w:tcPr>
          <w:p w14:paraId="49F72038" w14:textId="750C9EB8" w:rsidR="001831F3" w:rsidRPr="00804648" w:rsidRDefault="00D265E5" w:rsidP="006F6FE5">
            <w:pPr>
              <w:pStyle w:val="TableText0"/>
              <w:jc w:val="center"/>
              <w:rPr>
                <w:rFonts w:ascii="Times" w:hAnsi="Times"/>
              </w:rPr>
            </w:pPr>
            <w:r w:rsidRPr="00D265E5">
              <w:rPr>
                <w:color w:val="000000"/>
                <w14:textFill>
                  <w14:solidFill>
                    <w14:srgbClr w14:val="000000">
                      <w14:alpha w14:val="100000"/>
                    </w14:srgbClr>
                  </w14:solidFill>
                </w14:textFill>
              </w:rPr>
              <w:t>|</w:t>
            </w:r>
          </w:p>
        </w:tc>
        <w:tc>
          <w:tcPr>
            <w:tcW w:w="1065" w:type="pct"/>
          </w:tcPr>
          <w:p w14:paraId="289BE048" w14:textId="77777777" w:rsidR="001831F3" w:rsidRPr="00804648" w:rsidRDefault="001831F3" w:rsidP="006F6FE5">
            <w:pPr>
              <w:pStyle w:val="TableText0"/>
              <w:jc w:val="center"/>
              <w:rPr>
                <w:rFonts w:ascii="Times" w:hAnsi="Times"/>
              </w:rPr>
            </w:pPr>
            <w:r w:rsidRPr="00804648">
              <w:t>$32,935</w:t>
            </w:r>
          </w:p>
        </w:tc>
        <w:tc>
          <w:tcPr>
            <w:tcW w:w="1065" w:type="pct"/>
            <w:shd w:val="solid" w:color="000000" w:fill="000000"/>
          </w:tcPr>
          <w:p w14:paraId="7EF7FF1F" w14:textId="50809D80" w:rsidR="001831F3" w:rsidRPr="00804648" w:rsidRDefault="00D265E5" w:rsidP="006F6FE5">
            <w:pPr>
              <w:pStyle w:val="TableText0"/>
              <w:jc w:val="center"/>
            </w:pPr>
            <w:r w:rsidRPr="00D265E5">
              <w:rPr>
                <w:color w:val="000000"/>
                <w14:textFill>
                  <w14:solidFill>
                    <w14:srgbClr w14:val="000000">
                      <w14:alpha w14:val="100000"/>
                    </w14:srgbClr>
                  </w14:solidFill>
                </w14:textFill>
              </w:rPr>
              <w:t>|</w:t>
            </w:r>
          </w:p>
        </w:tc>
      </w:tr>
      <w:tr w:rsidR="001831F3" w:rsidRPr="00804648" w14:paraId="2324895A" w14:textId="77777777" w:rsidTr="008C351B">
        <w:tc>
          <w:tcPr>
            <w:tcW w:w="1804" w:type="pct"/>
            <w:vAlign w:val="center"/>
          </w:tcPr>
          <w:p w14:paraId="17E31046" w14:textId="77777777" w:rsidR="001831F3" w:rsidRPr="00804648" w:rsidRDefault="001831F3" w:rsidP="006F6FE5">
            <w:pPr>
              <w:pStyle w:val="TableText0"/>
              <w:rPr>
                <w:rFonts w:ascii="Times" w:hAnsi="Times"/>
              </w:rPr>
            </w:pPr>
            <w:r w:rsidRPr="00804648">
              <w:t>QALYs</w:t>
            </w:r>
          </w:p>
        </w:tc>
        <w:tc>
          <w:tcPr>
            <w:tcW w:w="1065" w:type="pct"/>
          </w:tcPr>
          <w:p w14:paraId="7CF40A45" w14:textId="77777777" w:rsidR="001831F3" w:rsidRPr="00804648" w:rsidRDefault="001831F3" w:rsidP="006F6FE5">
            <w:pPr>
              <w:pStyle w:val="TableText0"/>
              <w:jc w:val="center"/>
              <w:rPr>
                <w:rFonts w:ascii="Times" w:hAnsi="Times"/>
              </w:rPr>
            </w:pPr>
            <w:r w:rsidRPr="00804648">
              <w:t>11.62</w:t>
            </w:r>
          </w:p>
        </w:tc>
        <w:tc>
          <w:tcPr>
            <w:tcW w:w="1065" w:type="pct"/>
          </w:tcPr>
          <w:p w14:paraId="393AE5CA" w14:textId="77777777" w:rsidR="001831F3" w:rsidRPr="00804648" w:rsidRDefault="001831F3" w:rsidP="006F6FE5">
            <w:pPr>
              <w:pStyle w:val="TableText0"/>
              <w:jc w:val="center"/>
              <w:rPr>
                <w:rFonts w:ascii="Times" w:hAnsi="Times"/>
              </w:rPr>
            </w:pPr>
            <w:r w:rsidRPr="00804648">
              <w:t>7.51</w:t>
            </w:r>
          </w:p>
        </w:tc>
        <w:tc>
          <w:tcPr>
            <w:tcW w:w="1065" w:type="pct"/>
          </w:tcPr>
          <w:p w14:paraId="238E3F71" w14:textId="77777777" w:rsidR="001831F3" w:rsidRPr="00804648" w:rsidRDefault="001831F3" w:rsidP="006F6FE5">
            <w:pPr>
              <w:pStyle w:val="TableText0"/>
              <w:jc w:val="center"/>
            </w:pPr>
            <w:r w:rsidRPr="00804648">
              <w:t>4.11</w:t>
            </w:r>
          </w:p>
        </w:tc>
      </w:tr>
      <w:tr w:rsidR="001831F3" w:rsidRPr="00804648" w14:paraId="18AE4995" w14:textId="77777777" w:rsidTr="008C351B">
        <w:tc>
          <w:tcPr>
            <w:tcW w:w="3935" w:type="pct"/>
            <w:gridSpan w:val="3"/>
            <w:vAlign w:val="center"/>
          </w:tcPr>
          <w:p w14:paraId="4BB5F71E" w14:textId="77777777" w:rsidR="001831F3" w:rsidRPr="00804648" w:rsidRDefault="001831F3" w:rsidP="006F6FE5">
            <w:pPr>
              <w:pStyle w:val="TableText0"/>
              <w:rPr>
                <w:rFonts w:ascii="Times" w:hAnsi="Times"/>
                <w:b/>
              </w:rPr>
            </w:pPr>
            <w:r w:rsidRPr="00804648">
              <w:rPr>
                <w:b/>
              </w:rPr>
              <w:t>Incremental cost/extra QALY gained (base case)</w:t>
            </w:r>
          </w:p>
        </w:tc>
        <w:tc>
          <w:tcPr>
            <w:tcW w:w="1065" w:type="pct"/>
            <w:vAlign w:val="center"/>
          </w:tcPr>
          <w:p w14:paraId="1ED6274C" w14:textId="345963EB" w:rsidR="001831F3" w:rsidRPr="00804648" w:rsidRDefault="00D265E5" w:rsidP="006F6FE5">
            <w:pPr>
              <w:pStyle w:val="TableText0"/>
              <w:jc w:val="center"/>
              <w:rPr>
                <w:b/>
                <w:bCs w:val="0"/>
              </w:rPr>
            </w:pPr>
            <w:r w:rsidRPr="00D265E5">
              <w:rPr>
                <w:b/>
                <w:bCs w:val="0"/>
                <w:color w:val="000000"/>
                <w:shd w:val="solid" w:color="000000" w:fill="000000"/>
                <w14:textFill>
                  <w14:solidFill>
                    <w14:srgbClr w14:val="000000">
                      <w14:alpha w14:val="100000"/>
                    </w14:srgbClr>
                  </w14:solidFill>
                </w14:textFill>
              </w:rPr>
              <w:t>|</w:t>
            </w:r>
            <w:r w:rsidR="00973855">
              <w:rPr>
                <w:vertAlign w:val="superscript"/>
              </w:rPr>
              <w:t>1</w:t>
            </w:r>
          </w:p>
        </w:tc>
      </w:tr>
    </w:tbl>
    <w:p w14:paraId="71498ABB" w14:textId="77777777" w:rsidR="001831F3" w:rsidRPr="00804648" w:rsidRDefault="001831F3" w:rsidP="001831F3">
      <w:pPr>
        <w:pStyle w:val="FooterTableFigure"/>
      </w:pPr>
      <w:r w:rsidRPr="00804648">
        <w:t>Source: Table 2.2.33, p154 of the submission.</w:t>
      </w:r>
    </w:p>
    <w:p w14:paraId="2D5C0B37" w14:textId="36DB0FDC" w:rsidR="001831F3" w:rsidRPr="00804648" w:rsidRDefault="001831F3" w:rsidP="001831F3">
      <w:pPr>
        <w:pStyle w:val="FooterTableFigure"/>
      </w:pPr>
      <w:r w:rsidRPr="00804648">
        <w:t>BSC = best supportive care, LYG = life-years gained, QALY = quality-adjusted life years</w:t>
      </w:r>
      <w:r w:rsidR="00E74059" w:rsidRPr="00804648">
        <w:t>.</w:t>
      </w:r>
    </w:p>
    <w:p w14:paraId="0CFC2F09" w14:textId="699E9244" w:rsidR="00E74059" w:rsidRPr="00804648" w:rsidRDefault="00E74059" w:rsidP="001831F3">
      <w:pPr>
        <w:pStyle w:val="FooterTableFigure"/>
      </w:pPr>
      <w:proofErr w:type="spellStart"/>
      <w:r w:rsidRPr="00804648">
        <w:rPr>
          <w:vertAlign w:val="superscript"/>
        </w:rPr>
        <w:t>a</w:t>
      </w:r>
      <w:proofErr w:type="spellEnd"/>
      <w:r w:rsidRPr="00804648">
        <w:rPr>
          <w:vertAlign w:val="superscript"/>
        </w:rPr>
        <w:t xml:space="preserve"> </w:t>
      </w:r>
      <w:r w:rsidRPr="00804648">
        <w:t>Overall survival over a time horizon of 2 years was modelled by applying an ASMD specific SMR to the Australian general population mortality with the results reported in LYG.</w:t>
      </w:r>
    </w:p>
    <w:p w14:paraId="20E10EA6" w14:textId="01BE3C06" w:rsidR="00673D8C" w:rsidRDefault="008C2C2E" w:rsidP="00F26ED8">
      <w:pPr>
        <w:pStyle w:val="FooterTableFigure"/>
        <w:spacing w:after="0"/>
      </w:pPr>
      <w:r w:rsidRPr="00804648">
        <w:t>C</w:t>
      </w:r>
      <w:r w:rsidR="006B289F" w:rsidRPr="00804648">
        <w:t>orrected during evaluation to reflect only 20 mg vial of olipudase alfa. Recalculated by changing 236 vials to 237 vials of 20 mg and 2 vials to 0 vials of 4 mg in cell G50 of ‘treatment cost’ worksheet in ‘Olipudase_ASMD CEA’ workbook.</w:t>
      </w:r>
    </w:p>
    <w:p w14:paraId="25CB301B" w14:textId="77777777" w:rsidR="00973855" w:rsidRPr="009A6D58" w:rsidRDefault="00973855" w:rsidP="0097385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F014BE7" w14:textId="4C294A7E" w:rsidR="00973855" w:rsidRPr="009A6D58" w:rsidRDefault="00973855" w:rsidP="00F26ED8">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&gt; $1,055,000</w:t>
      </w:r>
    </w:p>
    <w:p w14:paraId="40C530E7" w14:textId="7D5B4310" w:rsidR="00E650C6" w:rsidRPr="00804648" w:rsidRDefault="00E650C6" w:rsidP="00F26ED8">
      <w:pPr>
        <w:pStyle w:val="Caption"/>
      </w:pPr>
      <w:bookmarkStart w:id="78" w:name="_Ref133497591"/>
      <w:r w:rsidRPr="00804648">
        <w:t xml:space="preserve">Table </w:t>
      </w:r>
      <w:fldSimple w:instr=" SEQ Table \* ARABIC " w:fldLock="1">
        <w:r w:rsidR="005D02DA" w:rsidRPr="00804648">
          <w:t>19</w:t>
        </w:r>
      </w:fldSimple>
      <w:bookmarkEnd w:id="78"/>
      <w:r w:rsidRPr="00804648">
        <w:t>:</w:t>
      </w:r>
      <w:r w:rsidRPr="00804648">
        <w:rPr>
          <w:rStyle w:val="CommentReference"/>
          <w:b/>
          <w:szCs w:val="24"/>
        </w:rPr>
        <w:t xml:space="preserve"> Results of the stepped economic evaluation</w:t>
      </w:r>
      <w:r w:rsidRPr="00804648">
        <w:rPr>
          <w:rStyle w:val="Heading2Char"/>
          <w:b/>
          <w:szCs w:val="24"/>
        </w:rPr>
        <w:t xml:space="preserve"> </w:t>
      </w:r>
      <w:r w:rsidR="004B241E" w:rsidRPr="00804648">
        <w:rPr>
          <w:rStyle w:val="CommentReference"/>
          <w:b/>
          <w:szCs w:val="24"/>
        </w:rPr>
        <w:t xml:space="preserve">for the </w:t>
      </w:r>
      <w:r w:rsidRPr="00804648">
        <w:rPr>
          <w:rStyle w:val="CommentReference"/>
          <w:b/>
          <w:szCs w:val="24"/>
        </w:rPr>
        <w:t>paediatric populatio</w:t>
      </w:r>
      <w:r w:rsidR="004B241E" w:rsidRPr="00804648">
        <w:rPr>
          <w:rStyle w:val="CommentReference"/>
          <w:b/>
          <w:szCs w:val="24"/>
        </w:rPr>
        <w:t>n</w:t>
      </w:r>
      <w:r w:rsidR="00862B80" w:rsidRPr="00804648">
        <w:rPr>
          <w:rStyle w:val="CommentReference"/>
          <w:b/>
          <w:szCs w:val="24"/>
        </w:rPr>
        <w:t xml:space="preserve"> (</w:t>
      </w:r>
      <w:r w:rsidR="007E7226" w:rsidRPr="00804648">
        <w:rPr>
          <w:rStyle w:val="CommentReference"/>
          <w:b/>
          <w:szCs w:val="24"/>
        </w:rPr>
        <w:t>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5"/>
        <w:gridCol w:w="1921"/>
        <w:gridCol w:w="1922"/>
        <w:gridCol w:w="1919"/>
      </w:tblGrid>
      <w:tr w:rsidR="00E650C6" w:rsidRPr="00804648" w14:paraId="6F15AEFD" w14:textId="77777777" w:rsidTr="008C351B">
        <w:trPr>
          <w:tblHeader/>
        </w:trPr>
        <w:tc>
          <w:tcPr>
            <w:tcW w:w="1805" w:type="pct"/>
            <w:vAlign w:val="center"/>
          </w:tcPr>
          <w:p w14:paraId="67F1F0AC" w14:textId="77777777" w:rsidR="00E650C6" w:rsidRPr="00804648" w:rsidRDefault="00E650C6" w:rsidP="00F26ED8">
            <w:pPr>
              <w:pStyle w:val="In-tableHeading"/>
              <w:keepLines/>
              <w:rPr>
                <w:lang w:val="en-AU"/>
              </w:rPr>
            </w:pPr>
            <w:r w:rsidRPr="00804648">
              <w:rPr>
                <w:lang w:val="en-AU"/>
              </w:rPr>
              <w:t>Step and component</w:t>
            </w:r>
          </w:p>
        </w:tc>
        <w:tc>
          <w:tcPr>
            <w:tcW w:w="1065" w:type="pct"/>
            <w:vAlign w:val="center"/>
          </w:tcPr>
          <w:p w14:paraId="47AADFC2" w14:textId="77777777" w:rsidR="00E650C6" w:rsidRPr="00804648" w:rsidRDefault="00E650C6" w:rsidP="00F26ED8">
            <w:pPr>
              <w:pStyle w:val="In-tableHeading"/>
              <w:keepLines/>
              <w:jc w:val="center"/>
              <w:rPr>
                <w:lang w:val="en-AU"/>
              </w:rPr>
            </w:pPr>
            <w:r w:rsidRPr="00804648">
              <w:rPr>
                <w:lang w:val="en-AU"/>
              </w:rPr>
              <w:t>Olipudase alfa</w:t>
            </w:r>
          </w:p>
        </w:tc>
        <w:tc>
          <w:tcPr>
            <w:tcW w:w="1066" w:type="pct"/>
            <w:vAlign w:val="center"/>
          </w:tcPr>
          <w:p w14:paraId="0156F730" w14:textId="77777777" w:rsidR="00E650C6" w:rsidRPr="00804648" w:rsidRDefault="00E650C6" w:rsidP="00F26ED8">
            <w:pPr>
              <w:pStyle w:val="In-tableHeading"/>
              <w:keepLines/>
              <w:jc w:val="center"/>
              <w:rPr>
                <w:lang w:val="en-AU"/>
              </w:rPr>
            </w:pPr>
            <w:r w:rsidRPr="00804648">
              <w:rPr>
                <w:lang w:val="en-AU"/>
              </w:rPr>
              <w:t>BSC</w:t>
            </w:r>
          </w:p>
        </w:tc>
        <w:tc>
          <w:tcPr>
            <w:tcW w:w="1064" w:type="pct"/>
            <w:vAlign w:val="center"/>
          </w:tcPr>
          <w:p w14:paraId="00559A86" w14:textId="77777777" w:rsidR="00E650C6" w:rsidRPr="00804648" w:rsidRDefault="00E650C6" w:rsidP="00F26ED8">
            <w:pPr>
              <w:pStyle w:val="In-tableHeading"/>
              <w:keepLines/>
              <w:jc w:val="center"/>
              <w:rPr>
                <w:lang w:val="en-AU"/>
              </w:rPr>
            </w:pPr>
            <w:r w:rsidRPr="00804648">
              <w:rPr>
                <w:lang w:val="en-AU"/>
              </w:rPr>
              <w:t>Increment</w:t>
            </w:r>
          </w:p>
        </w:tc>
      </w:tr>
      <w:tr w:rsidR="00E650C6" w:rsidRPr="00804648" w14:paraId="16E8C49B" w14:textId="77777777" w:rsidTr="008C351B">
        <w:tc>
          <w:tcPr>
            <w:tcW w:w="5000" w:type="pct"/>
            <w:gridSpan w:val="4"/>
            <w:vAlign w:val="center"/>
          </w:tcPr>
          <w:p w14:paraId="2DE720F9" w14:textId="0C78101D" w:rsidR="00E650C6" w:rsidRPr="00804648" w:rsidRDefault="00E650C6" w:rsidP="00F26ED8">
            <w:pPr>
              <w:pStyle w:val="TableText0"/>
              <w:keepLines/>
              <w:rPr>
                <w:b/>
                <w:bCs w:val="0"/>
              </w:rPr>
            </w:pPr>
            <w:r w:rsidRPr="00804648">
              <w:rPr>
                <w:b/>
                <w:bCs w:val="0"/>
              </w:rPr>
              <w:t xml:space="preserve">Step 1: </w:t>
            </w:r>
            <w:r w:rsidR="00E74059" w:rsidRPr="00804648">
              <w:rPr>
                <w:b/>
                <w:bCs w:val="0"/>
              </w:rPr>
              <w:t xml:space="preserve">modelled </w:t>
            </w:r>
            <w:r w:rsidRPr="00804648">
              <w:rPr>
                <w:b/>
                <w:bCs w:val="0"/>
              </w:rPr>
              <w:t>trial-based costs and outcomes</w:t>
            </w:r>
            <w:r w:rsidR="00E74059" w:rsidRPr="00804648">
              <w:rPr>
                <w:b/>
                <w:bCs w:val="0"/>
              </w:rPr>
              <w:t xml:space="preserve"> (two years) </w:t>
            </w:r>
            <w:r w:rsidR="00E74059" w:rsidRPr="00804648">
              <w:rPr>
                <w:b/>
                <w:bCs w:val="0"/>
                <w:vertAlign w:val="superscript"/>
              </w:rPr>
              <w:t>a</w:t>
            </w:r>
          </w:p>
        </w:tc>
      </w:tr>
      <w:tr w:rsidR="00E650C6" w:rsidRPr="00804648" w14:paraId="43019A5E" w14:textId="77777777" w:rsidTr="00D265E5">
        <w:tc>
          <w:tcPr>
            <w:tcW w:w="1805" w:type="pct"/>
            <w:vAlign w:val="center"/>
          </w:tcPr>
          <w:p w14:paraId="7ACB211B" w14:textId="5C5D76D8" w:rsidR="00E650C6" w:rsidRPr="00804648" w:rsidRDefault="00E650C6" w:rsidP="00F26ED8">
            <w:pPr>
              <w:pStyle w:val="TableText0"/>
              <w:keepLines/>
              <w:rPr>
                <w:rFonts w:ascii="Times" w:hAnsi="Times"/>
              </w:rPr>
            </w:pPr>
            <w:r w:rsidRPr="00804648">
              <w:t>Costs</w:t>
            </w:r>
            <w:r w:rsidR="00973855">
              <w:t xml:space="preserve"> ($)</w:t>
            </w:r>
          </w:p>
        </w:tc>
        <w:tc>
          <w:tcPr>
            <w:tcW w:w="1065" w:type="pct"/>
            <w:shd w:val="solid" w:color="000000" w:fill="000000"/>
          </w:tcPr>
          <w:p w14:paraId="5DC20EDB" w14:textId="5C65D724" w:rsidR="00E650C6" w:rsidRPr="00804648" w:rsidRDefault="00D265E5" w:rsidP="00F26ED8">
            <w:pPr>
              <w:pStyle w:val="TableText0"/>
              <w:keepLines/>
              <w:jc w:val="center"/>
              <w:rPr>
                <w:rFonts w:ascii="Times" w:hAnsi="Times"/>
              </w:rPr>
            </w:pPr>
            <w:r w:rsidRPr="00D265E5">
              <w:rPr>
                <w:color w:val="000000"/>
                <w14:textFill>
                  <w14:solidFill>
                    <w14:srgbClr w14:val="000000">
                      <w14:alpha w14:val="100000"/>
                    </w14:srgbClr>
                  </w14:solidFill>
                </w14:textFill>
              </w:rPr>
              <w:t>|</w:t>
            </w:r>
          </w:p>
        </w:tc>
        <w:tc>
          <w:tcPr>
            <w:tcW w:w="1066" w:type="pct"/>
          </w:tcPr>
          <w:p w14:paraId="78C0BFBF" w14:textId="77777777" w:rsidR="00E650C6" w:rsidRPr="00804648" w:rsidRDefault="00E650C6" w:rsidP="00F26ED8">
            <w:pPr>
              <w:pStyle w:val="TableText0"/>
              <w:keepLines/>
              <w:jc w:val="center"/>
              <w:rPr>
                <w:rFonts w:ascii="Times" w:hAnsi="Times"/>
              </w:rPr>
            </w:pPr>
            <w:r w:rsidRPr="00804648">
              <w:t>$0.00</w:t>
            </w:r>
          </w:p>
        </w:tc>
        <w:tc>
          <w:tcPr>
            <w:tcW w:w="1064" w:type="pct"/>
            <w:shd w:val="solid" w:color="000000" w:fill="000000"/>
          </w:tcPr>
          <w:p w14:paraId="1588FA93" w14:textId="2D97EF35" w:rsidR="00E650C6" w:rsidRPr="00804648" w:rsidRDefault="00D265E5" w:rsidP="00F26ED8">
            <w:pPr>
              <w:keepNext/>
              <w:keepLines/>
              <w:jc w:val="center"/>
              <w:rPr>
                <w:rFonts w:cs="Calibri"/>
                <w:color w:val="000000"/>
                <w:sz w:val="22"/>
                <w:szCs w:val="22"/>
              </w:rPr>
            </w:pPr>
            <w:r w:rsidRPr="00D265E5">
              <w:rPr>
                <w:rFonts w:ascii="Arial Narrow" w:eastAsiaTheme="majorEastAsia" w:hAnsi="Arial Narrow" w:cstheme="majorBidi"/>
                <w:bCs/>
                <w:color w:val="000000"/>
                <w:sz w:val="20"/>
                <w14:textFill>
                  <w14:solidFill>
                    <w14:srgbClr w14:val="000000">
                      <w14:alpha w14:val="100000"/>
                    </w14:srgbClr>
                  </w14:solidFill>
                </w14:textFill>
              </w:rPr>
              <w:t>|</w:t>
            </w:r>
          </w:p>
        </w:tc>
      </w:tr>
      <w:tr w:rsidR="00E650C6" w:rsidRPr="00804648" w14:paraId="5315A877" w14:textId="77777777" w:rsidTr="008C351B">
        <w:tc>
          <w:tcPr>
            <w:tcW w:w="1805" w:type="pct"/>
            <w:vAlign w:val="center"/>
          </w:tcPr>
          <w:p w14:paraId="2F8BCE22" w14:textId="2C6A3B1C" w:rsidR="00E650C6" w:rsidRPr="00804648" w:rsidRDefault="00E650C6" w:rsidP="00F26ED8">
            <w:pPr>
              <w:pStyle w:val="TableText0"/>
              <w:keepLines/>
              <w:rPr>
                <w:rFonts w:ascii="Times" w:hAnsi="Times"/>
              </w:rPr>
            </w:pPr>
            <w:r w:rsidRPr="00804648">
              <w:t>LYG</w:t>
            </w:r>
          </w:p>
        </w:tc>
        <w:tc>
          <w:tcPr>
            <w:tcW w:w="1065" w:type="pct"/>
          </w:tcPr>
          <w:p w14:paraId="216FBADB" w14:textId="49BEBDD4" w:rsidR="00E650C6" w:rsidRPr="00804648" w:rsidRDefault="00E74059" w:rsidP="00F26ED8">
            <w:pPr>
              <w:pStyle w:val="TableText0"/>
              <w:keepLines/>
              <w:jc w:val="center"/>
              <w:rPr>
                <w:rFonts w:ascii="Times" w:hAnsi="Times"/>
              </w:rPr>
            </w:pPr>
            <w:r w:rsidRPr="00804648">
              <w:t>1.899</w:t>
            </w:r>
          </w:p>
        </w:tc>
        <w:tc>
          <w:tcPr>
            <w:tcW w:w="1066" w:type="pct"/>
          </w:tcPr>
          <w:p w14:paraId="5660287E" w14:textId="35855831" w:rsidR="00E650C6" w:rsidRPr="00804648" w:rsidRDefault="00E74059" w:rsidP="00F26ED8">
            <w:pPr>
              <w:pStyle w:val="TableText0"/>
              <w:keepLines/>
              <w:jc w:val="center"/>
              <w:rPr>
                <w:rFonts w:ascii="Times" w:hAnsi="Times"/>
              </w:rPr>
            </w:pPr>
            <w:r w:rsidRPr="00804648">
              <w:t>1.897</w:t>
            </w:r>
          </w:p>
        </w:tc>
        <w:tc>
          <w:tcPr>
            <w:tcW w:w="1064" w:type="pct"/>
          </w:tcPr>
          <w:p w14:paraId="41FE47CF" w14:textId="1DA258D5" w:rsidR="00E650C6" w:rsidRPr="00804648" w:rsidRDefault="00E650C6" w:rsidP="00F26ED8">
            <w:pPr>
              <w:pStyle w:val="TableText0"/>
              <w:keepLines/>
              <w:jc w:val="center"/>
            </w:pPr>
            <w:r w:rsidRPr="00804648">
              <w:t>0.00</w:t>
            </w:r>
            <w:r w:rsidR="00E74059" w:rsidRPr="00804648">
              <w:t>2</w:t>
            </w:r>
          </w:p>
        </w:tc>
      </w:tr>
      <w:tr w:rsidR="00E650C6" w:rsidRPr="00804648" w14:paraId="3B6CC98A" w14:textId="77777777" w:rsidTr="008C351B">
        <w:tc>
          <w:tcPr>
            <w:tcW w:w="3936" w:type="pct"/>
            <w:gridSpan w:val="3"/>
            <w:vAlign w:val="center"/>
          </w:tcPr>
          <w:p w14:paraId="00ECB606" w14:textId="77777777" w:rsidR="00E650C6" w:rsidRPr="00804648" w:rsidRDefault="00E650C6" w:rsidP="00F26ED8">
            <w:pPr>
              <w:pStyle w:val="TableText0"/>
              <w:keepLines/>
              <w:rPr>
                <w:rFonts w:ascii="Times" w:hAnsi="Times"/>
              </w:rPr>
            </w:pPr>
            <w:r w:rsidRPr="00804648">
              <w:t>Incremental cost/extra LYG gained</w:t>
            </w:r>
          </w:p>
        </w:tc>
        <w:tc>
          <w:tcPr>
            <w:tcW w:w="1064" w:type="pct"/>
            <w:vAlign w:val="center"/>
          </w:tcPr>
          <w:p w14:paraId="140FC106" w14:textId="7DBED63D" w:rsidR="00E650C6" w:rsidRPr="00804648" w:rsidRDefault="00D265E5" w:rsidP="00F26ED8">
            <w:pPr>
              <w:pStyle w:val="TableText0"/>
              <w:keepLines/>
              <w:jc w:val="center"/>
            </w:pPr>
            <w:r w:rsidRPr="00D265E5">
              <w:rPr>
                <w:color w:val="000000"/>
                <w:shd w:val="solid" w:color="000000" w:fill="000000"/>
                <w14:textFill>
                  <w14:solidFill>
                    <w14:srgbClr w14:val="000000">
                      <w14:alpha w14:val="100000"/>
                    </w14:srgbClr>
                  </w14:solidFill>
                </w14:textFill>
              </w:rPr>
              <w:t>|</w:t>
            </w:r>
            <w:r w:rsidR="00973855">
              <w:rPr>
                <w:vertAlign w:val="superscript"/>
              </w:rPr>
              <w:t>1</w:t>
            </w:r>
          </w:p>
        </w:tc>
      </w:tr>
      <w:tr w:rsidR="00E650C6" w:rsidRPr="00804648" w14:paraId="5F6B7756" w14:textId="77777777" w:rsidTr="008C351B">
        <w:tc>
          <w:tcPr>
            <w:tcW w:w="5000" w:type="pct"/>
            <w:gridSpan w:val="4"/>
            <w:vAlign w:val="center"/>
          </w:tcPr>
          <w:p w14:paraId="577C879D" w14:textId="1856F572" w:rsidR="00E650C6" w:rsidRPr="00804648" w:rsidRDefault="00E650C6" w:rsidP="00F26ED8">
            <w:pPr>
              <w:pStyle w:val="In-tableHeading"/>
              <w:keepLines/>
              <w:rPr>
                <w:lang w:val="en-AU"/>
              </w:rPr>
            </w:pPr>
            <w:r w:rsidRPr="00804648">
              <w:rPr>
                <w:lang w:val="en-AU"/>
              </w:rPr>
              <w:t>Step 2: time horizon extended to lifetime</w:t>
            </w:r>
            <w:r w:rsidR="008F1069" w:rsidRPr="00804648">
              <w:rPr>
                <w:lang w:val="en-AU"/>
              </w:rPr>
              <w:t xml:space="preserve"> </w:t>
            </w:r>
            <w:r w:rsidR="008F1069" w:rsidRPr="00804648">
              <w:rPr>
                <w:i/>
                <w:iCs/>
                <w:lang w:val="en-AU"/>
              </w:rPr>
              <w:t>(discounted)</w:t>
            </w:r>
          </w:p>
        </w:tc>
      </w:tr>
      <w:tr w:rsidR="00E650C6" w:rsidRPr="00804648" w14:paraId="0E655012" w14:textId="77777777" w:rsidTr="00D265E5">
        <w:tc>
          <w:tcPr>
            <w:tcW w:w="1805" w:type="pct"/>
            <w:vAlign w:val="center"/>
          </w:tcPr>
          <w:p w14:paraId="38CE0E43" w14:textId="6D8DDE6D" w:rsidR="00E650C6" w:rsidRPr="00804648" w:rsidRDefault="00E650C6" w:rsidP="00F26ED8">
            <w:pPr>
              <w:pStyle w:val="TableText0"/>
              <w:keepLines/>
              <w:rPr>
                <w:rFonts w:ascii="Times" w:hAnsi="Times"/>
              </w:rPr>
            </w:pPr>
            <w:r w:rsidRPr="00804648">
              <w:t>Costs</w:t>
            </w:r>
            <w:r w:rsidR="00973855">
              <w:t xml:space="preserve"> ($)</w:t>
            </w:r>
          </w:p>
        </w:tc>
        <w:tc>
          <w:tcPr>
            <w:tcW w:w="1065" w:type="pct"/>
            <w:shd w:val="solid" w:color="000000" w:fill="000000"/>
          </w:tcPr>
          <w:p w14:paraId="5405E905" w14:textId="6EAC79BC" w:rsidR="00E650C6" w:rsidRPr="00804648" w:rsidRDefault="00D265E5" w:rsidP="00F26ED8">
            <w:pPr>
              <w:pStyle w:val="TableText0"/>
              <w:keepLines/>
              <w:jc w:val="center"/>
              <w:rPr>
                <w:rFonts w:ascii="Times" w:hAnsi="Times"/>
              </w:rPr>
            </w:pPr>
            <w:r w:rsidRPr="00D265E5">
              <w:rPr>
                <w:color w:val="000000"/>
                <w14:textFill>
                  <w14:solidFill>
                    <w14:srgbClr w14:val="000000">
                      <w14:alpha w14:val="100000"/>
                    </w14:srgbClr>
                  </w14:solidFill>
                </w14:textFill>
              </w:rPr>
              <w:t>|</w:t>
            </w:r>
          </w:p>
        </w:tc>
        <w:tc>
          <w:tcPr>
            <w:tcW w:w="1066" w:type="pct"/>
          </w:tcPr>
          <w:p w14:paraId="01C94601" w14:textId="77777777" w:rsidR="00E650C6" w:rsidRPr="00804648" w:rsidRDefault="00E650C6" w:rsidP="00F26ED8">
            <w:pPr>
              <w:pStyle w:val="TableText0"/>
              <w:keepLines/>
              <w:jc w:val="center"/>
              <w:rPr>
                <w:rFonts w:ascii="Times" w:hAnsi="Times"/>
              </w:rPr>
            </w:pPr>
            <w:r w:rsidRPr="00804648">
              <w:t>$0</w:t>
            </w:r>
          </w:p>
        </w:tc>
        <w:tc>
          <w:tcPr>
            <w:tcW w:w="1064" w:type="pct"/>
            <w:shd w:val="solid" w:color="000000" w:fill="000000"/>
          </w:tcPr>
          <w:p w14:paraId="218F3808" w14:textId="47F8F3EB" w:rsidR="00E650C6" w:rsidRPr="00804648" w:rsidRDefault="00D265E5" w:rsidP="00F26ED8">
            <w:pPr>
              <w:pStyle w:val="TableText0"/>
              <w:keepLines/>
              <w:jc w:val="center"/>
              <w:rPr>
                <w:rFonts w:ascii="Times" w:hAnsi="Times"/>
              </w:rPr>
            </w:pPr>
            <w:r w:rsidRPr="00D265E5">
              <w:rPr>
                <w:color w:val="000000"/>
                <w14:textFill>
                  <w14:solidFill>
                    <w14:srgbClr w14:val="000000">
                      <w14:alpha w14:val="100000"/>
                    </w14:srgbClr>
                  </w14:solidFill>
                </w14:textFill>
              </w:rPr>
              <w:t>|</w:t>
            </w:r>
          </w:p>
        </w:tc>
      </w:tr>
      <w:tr w:rsidR="00E650C6" w:rsidRPr="00804648" w14:paraId="04AAA1F0" w14:textId="77777777" w:rsidTr="008C351B">
        <w:tc>
          <w:tcPr>
            <w:tcW w:w="1805" w:type="pct"/>
            <w:vAlign w:val="center"/>
          </w:tcPr>
          <w:p w14:paraId="5FBD7FC1" w14:textId="77777777" w:rsidR="00E650C6" w:rsidRPr="00804648" w:rsidRDefault="00E650C6" w:rsidP="00F26ED8">
            <w:pPr>
              <w:pStyle w:val="TableText0"/>
              <w:keepLines/>
              <w:rPr>
                <w:rFonts w:ascii="Times" w:hAnsi="Times"/>
              </w:rPr>
            </w:pPr>
            <w:r w:rsidRPr="00804648">
              <w:t>LYG</w:t>
            </w:r>
          </w:p>
        </w:tc>
        <w:tc>
          <w:tcPr>
            <w:tcW w:w="1065" w:type="pct"/>
          </w:tcPr>
          <w:p w14:paraId="03DAF851" w14:textId="77777777" w:rsidR="00E650C6" w:rsidRPr="00804648" w:rsidRDefault="00E650C6" w:rsidP="00F26ED8">
            <w:pPr>
              <w:pStyle w:val="TableText0"/>
              <w:keepLines/>
              <w:jc w:val="center"/>
              <w:rPr>
                <w:rFonts w:ascii="Times" w:hAnsi="Times"/>
              </w:rPr>
            </w:pPr>
            <w:r w:rsidRPr="00804648">
              <w:t>18.95</w:t>
            </w:r>
          </w:p>
        </w:tc>
        <w:tc>
          <w:tcPr>
            <w:tcW w:w="1066" w:type="pct"/>
          </w:tcPr>
          <w:p w14:paraId="0274EFCE" w14:textId="77777777" w:rsidR="00E650C6" w:rsidRPr="00804648" w:rsidRDefault="00E650C6" w:rsidP="00F26ED8">
            <w:pPr>
              <w:pStyle w:val="TableText0"/>
              <w:keepLines/>
              <w:jc w:val="center"/>
              <w:rPr>
                <w:rFonts w:ascii="Times" w:hAnsi="Times"/>
              </w:rPr>
            </w:pPr>
            <w:r w:rsidRPr="00804648">
              <w:t>16.76</w:t>
            </w:r>
          </w:p>
        </w:tc>
        <w:tc>
          <w:tcPr>
            <w:tcW w:w="1064" w:type="pct"/>
          </w:tcPr>
          <w:p w14:paraId="5B206409" w14:textId="77777777" w:rsidR="00E650C6" w:rsidRPr="00804648" w:rsidRDefault="00E650C6" w:rsidP="00F26ED8">
            <w:pPr>
              <w:pStyle w:val="TableText0"/>
              <w:keepLines/>
              <w:jc w:val="center"/>
            </w:pPr>
            <w:r w:rsidRPr="00804648">
              <w:t>2.19</w:t>
            </w:r>
          </w:p>
        </w:tc>
      </w:tr>
      <w:tr w:rsidR="00E650C6" w:rsidRPr="00804648" w14:paraId="2E4CE42C" w14:textId="77777777" w:rsidTr="008C351B">
        <w:tc>
          <w:tcPr>
            <w:tcW w:w="3936" w:type="pct"/>
            <w:gridSpan w:val="3"/>
            <w:vAlign w:val="center"/>
          </w:tcPr>
          <w:p w14:paraId="2113378D" w14:textId="77777777" w:rsidR="00E650C6" w:rsidRPr="00804648" w:rsidRDefault="00E650C6" w:rsidP="00F26ED8">
            <w:pPr>
              <w:pStyle w:val="TableText0"/>
              <w:keepLines/>
              <w:rPr>
                <w:rFonts w:ascii="Times" w:hAnsi="Times"/>
              </w:rPr>
            </w:pPr>
            <w:r w:rsidRPr="00804648">
              <w:t>Incremental cost/extra LYG gained</w:t>
            </w:r>
          </w:p>
        </w:tc>
        <w:tc>
          <w:tcPr>
            <w:tcW w:w="1064" w:type="pct"/>
            <w:vAlign w:val="center"/>
          </w:tcPr>
          <w:p w14:paraId="7946DB02" w14:textId="245BD24F" w:rsidR="00E650C6" w:rsidRPr="00804648" w:rsidRDefault="00D265E5" w:rsidP="00F26ED8">
            <w:pPr>
              <w:pStyle w:val="TableText0"/>
              <w:keepLines/>
              <w:jc w:val="center"/>
            </w:pPr>
            <w:r w:rsidRPr="00D265E5">
              <w:rPr>
                <w:color w:val="000000"/>
                <w:shd w:val="solid" w:color="000000" w:fill="000000"/>
                <w14:textFill>
                  <w14:solidFill>
                    <w14:srgbClr w14:val="000000">
                      <w14:alpha w14:val="100000"/>
                    </w14:srgbClr>
                  </w14:solidFill>
                </w14:textFill>
              </w:rPr>
              <w:t>|</w:t>
            </w:r>
            <w:r w:rsidR="00973855">
              <w:rPr>
                <w:vertAlign w:val="superscript"/>
              </w:rPr>
              <w:t>1</w:t>
            </w:r>
          </w:p>
        </w:tc>
      </w:tr>
      <w:tr w:rsidR="00E650C6" w:rsidRPr="00804648" w14:paraId="0D625097" w14:textId="77777777" w:rsidTr="008C351B">
        <w:tc>
          <w:tcPr>
            <w:tcW w:w="5000" w:type="pct"/>
            <w:gridSpan w:val="4"/>
            <w:vAlign w:val="center"/>
          </w:tcPr>
          <w:p w14:paraId="56DA3CFB" w14:textId="4DA51644" w:rsidR="00E650C6" w:rsidRPr="00804648" w:rsidRDefault="00E650C6" w:rsidP="00F26ED8">
            <w:pPr>
              <w:pStyle w:val="In-tableHeading"/>
              <w:keepLines/>
              <w:rPr>
                <w:rFonts w:cstheme="majorBidi"/>
                <w:lang w:val="en-AU"/>
              </w:rPr>
            </w:pPr>
            <w:r w:rsidRPr="00804648">
              <w:rPr>
                <w:rFonts w:cstheme="majorBidi"/>
                <w:lang w:val="en-AU"/>
              </w:rPr>
              <w:t>Step 3: incorporation of medical resource costs</w:t>
            </w:r>
            <w:r w:rsidR="008F1069" w:rsidRPr="00804648">
              <w:rPr>
                <w:rFonts w:cstheme="majorBidi"/>
                <w:lang w:val="en-AU"/>
              </w:rPr>
              <w:t xml:space="preserve"> </w:t>
            </w:r>
            <w:r w:rsidR="008F1069" w:rsidRPr="00804648">
              <w:rPr>
                <w:rFonts w:cstheme="majorBidi"/>
                <w:i/>
                <w:iCs/>
                <w:lang w:val="en-AU"/>
              </w:rPr>
              <w:t>(discounted)</w:t>
            </w:r>
          </w:p>
        </w:tc>
      </w:tr>
      <w:tr w:rsidR="00E650C6" w:rsidRPr="00804648" w14:paraId="2EF0977F" w14:textId="77777777" w:rsidTr="00D265E5">
        <w:tc>
          <w:tcPr>
            <w:tcW w:w="1805" w:type="pct"/>
            <w:vAlign w:val="center"/>
          </w:tcPr>
          <w:p w14:paraId="0FBA5772" w14:textId="4DA4D1C2" w:rsidR="00E650C6" w:rsidRPr="00804648" w:rsidRDefault="00E650C6" w:rsidP="00F26ED8">
            <w:pPr>
              <w:pStyle w:val="TableText0"/>
              <w:keepLines/>
              <w:rPr>
                <w:rFonts w:ascii="Times" w:hAnsi="Times"/>
              </w:rPr>
            </w:pPr>
            <w:r w:rsidRPr="00804648">
              <w:t>Costs</w:t>
            </w:r>
            <w:r w:rsidR="00973855">
              <w:t xml:space="preserve"> ($)</w:t>
            </w:r>
          </w:p>
        </w:tc>
        <w:tc>
          <w:tcPr>
            <w:tcW w:w="1065" w:type="pct"/>
            <w:shd w:val="solid" w:color="000000" w:fill="000000"/>
          </w:tcPr>
          <w:p w14:paraId="7AB978CB" w14:textId="12765154" w:rsidR="00E650C6" w:rsidRPr="00804648" w:rsidRDefault="00D265E5" w:rsidP="00F26ED8">
            <w:pPr>
              <w:pStyle w:val="TableText0"/>
              <w:keepLines/>
              <w:jc w:val="center"/>
              <w:rPr>
                <w:rFonts w:ascii="Times" w:hAnsi="Times"/>
              </w:rPr>
            </w:pPr>
            <w:r w:rsidRPr="00D265E5">
              <w:rPr>
                <w:color w:val="000000"/>
                <w14:textFill>
                  <w14:solidFill>
                    <w14:srgbClr w14:val="000000">
                      <w14:alpha w14:val="100000"/>
                    </w14:srgbClr>
                  </w14:solidFill>
                </w14:textFill>
              </w:rPr>
              <w:t>|</w:t>
            </w:r>
          </w:p>
        </w:tc>
        <w:tc>
          <w:tcPr>
            <w:tcW w:w="1066" w:type="pct"/>
          </w:tcPr>
          <w:p w14:paraId="385BEF6B" w14:textId="77777777" w:rsidR="00E650C6" w:rsidRPr="00804648" w:rsidRDefault="00E650C6" w:rsidP="00F26ED8">
            <w:pPr>
              <w:pStyle w:val="TableText0"/>
              <w:keepLines/>
              <w:jc w:val="center"/>
              <w:rPr>
                <w:rFonts w:ascii="Times" w:hAnsi="Times"/>
              </w:rPr>
            </w:pPr>
            <w:r w:rsidRPr="00804648">
              <w:t>$41,328</w:t>
            </w:r>
          </w:p>
        </w:tc>
        <w:tc>
          <w:tcPr>
            <w:tcW w:w="1064" w:type="pct"/>
            <w:shd w:val="solid" w:color="000000" w:fill="000000"/>
          </w:tcPr>
          <w:p w14:paraId="39FCB676" w14:textId="5993D9A5" w:rsidR="00E650C6" w:rsidRPr="00804648" w:rsidRDefault="00D265E5" w:rsidP="00F26ED8">
            <w:pPr>
              <w:pStyle w:val="TableText0"/>
              <w:keepLines/>
              <w:jc w:val="center"/>
            </w:pPr>
            <w:r w:rsidRPr="00D265E5">
              <w:rPr>
                <w:color w:val="000000"/>
                <w14:textFill>
                  <w14:solidFill>
                    <w14:srgbClr w14:val="000000">
                      <w14:alpha w14:val="100000"/>
                    </w14:srgbClr>
                  </w14:solidFill>
                </w14:textFill>
              </w:rPr>
              <w:t>|</w:t>
            </w:r>
          </w:p>
        </w:tc>
      </w:tr>
      <w:tr w:rsidR="00E650C6" w:rsidRPr="00804648" w14:paraId="67822890" w14:textId="77777777" w:rsidTr="008C351B">
        <w:tc>
          <w:tcPr>
            <w:tcW w:w="1805" w:type="pct"/>
            <w:vAlign w:val="center"/>
          </w:tcPr>
          <w:p w14:paraId="5EF0B9AD" w14:textId="77777777" w:rsidR="00E650C6" w:rsidRPr="00804648" w:rsidRDefault="00E650C6" w:rsidP="00F26ED8">
            <w:pPr>
              <w:pStyle w:val="TableText0"/>
              <w:keepLines/>
              <w:rPr>
                <w:rFonts w:ascii="Times" w:hAnsi="Times"/>
              </w:rPr>
            </w:pPr>
            <w:r w:rsidRPr="00804648">
              <w:t>LYG</w:t>
            </w:r>
          </w:p>
        </w:tc>
        <w:tc>
          <w:tcPr>
            <w:tcW w:w="1065" w:type="pct"/>
          </w:tcPr>
          <w:p w14:paraId="54101A2E" w14:textId="77777777" w:rsidR="00E650C6" w:rsidRPr="00804648" w:rsidRDefault="00E650C6" w:rsidP="00F26ED8">
            <w:pPr>
              <w:pStyle w:val="TableText0"/>
              <w:keepLines/>
              <w:jc w:val="center"/>
              <w:rPr>
                <w:rFonts w:ascii="Times" w:hAnsi="Times"/>
              </w:rPr>
            </w:pPr>
            <w:r w:rsidRPr="00804648">
              <w:t>18.95</w:t>
            </w:r>
          </w:p>
        </w:tc>
        <w:tc>
          <w:tcPr>
            <w:tcW w:w="1066" w:type="pct"/>
          </w:tcPr>
          <w:p w14:paraId="08C94BFA" w14:textId="77777777" w:rsidR="00E650C6" w:rsidRPr="00804648" w:rsidRDefault="00E650C6" w:rsidP="00F26ED8">
            <w:pPr>
              <w:pStyle w:val="TableText0"/>
              <w:keepLines/>
              <w:jc w:val="center"/>
              <w:rPr>
                <w:rFonts w:ascii="Times" w:hAnsi="Times"/>
              </w:rPr>
            </w:pPr>
            <w:r w:rsidRPr="00804648">
              <w:t>16.76</w:t>
            </w:r>
          </w:p>
        </w:tc>
        <w:tc>
          <w:tcPr>
            <w:tcW w:w="1064" w:type="pct"/>
          </w:tcPr>
          <w:p w14:paraId="2D747390" w14:textId="77777777" w:rsidR="00E650C6" w:rsidRPr="00804648" w:rsidRDefault="00E650C6" w:rsidP="00F26ED8">
            <w:pPr>
              <w:pStyle w:val="TableText0"/>
              <w:keepLines/>
              <w:jc w:val="center"/>
            </w:pPr>
            <w:r w:rsidRPr="00804648">
              <w:t>2.19</w:t>
            </w:r>
          </w:p>
        </w:tc>
      </w:tr>
      <w:tr w:rsidR="00E650C6" w:rsidRPr="00804648" w14:paraId="0E4F1B4D" w14:textId="77777777" w:rsidTr="008C351B">
        <w:tc>
          <w:tcPr>
            <w:tcW w:w="3936" w:type="pct"/>
            <w:gridSpan w:val="3"/>
            <w:vAlign w:val="center"/>
          </w:tcPr>
          <w:p w14:paraId="075B0092" w14:textId="77777777" w:rsidR="00E650C6" w:rsidRPr="00804648" w:rsidRDefault="00E650C6" w:rsidP="00F26ED8">
            <w:pPr>
              <w:pStyle w:val="TableText0"/>
              <w:keepLines/>
              <w:rPr>
                <w:rFonts w:ascii="Times" w:hAnsi="Times"/>
              </w:rPr>
            </w:pPr>
            <w:r w:rsidRPr="00804648">
              <w:t>Incremental cost/extra LYG gained</w:t>
            </w:r>
          </w:p>
        </w:tc>
        <w:tc>
          <w:tcPr>
            <w:tcW w:w="1064" w:type="pct"/>
            <w:vAlign w:val="center"/>
          </w:tcPr>
          <w:p w14:paraId="493195DD" w14:textId="25CA3551" w:rsidR="00E650C6" w:rsidRPr="00804648" w:rsidRDefault="00D265E5" w:rsidP="00F26ED8">
            <w:pPr>
              <w:pStyle w:val="TableText0"/>
              <w:keepLines/>
              <w:jc w:val="center"/>
            </w:pPr>
            <w:r w:rsidRPr="00D265E5">
              <w:rPr>
                <w:color w:val="000000"/>
                <w:shd w:val="solid" w:color="000000" w:fill="000000"/>
                <w14:textFill>
                  <w14:solidFill>
                    <w14:srgbClr w14:val="000000">
                      <w14:alpha w14:val="100000"/>
                    </w14:srgbClr>
                  </w14:solidFill>
                </w14:textFill>
              </w:rPr>
              <w:t>|</w:t>
            </w:r>
            <w:r w:rsidR="00973855">
              <w:rPr>
                <w:vertAlign w:val="superscript"/>
              </w:rPr>
              <w:t>1</w:t>
            </w:r>
          </w:p>
        </w:tc>
      </w:tr>
      <w:tr w:rsidR="00E650C6" w:rsidRPr="00804648" w14:paraId="5455E5D4" w14:textId="77777777" w:rsidTr="008C351B">
        <w:tc>
          <w:tcPr>
            <w:tcW w:w="5000" w:type="pct"/>
            <w:gridSpan w:val="4"/>
            <w:vAlign w:val="center"/>
          </w:tcPr>
          <w:p w14:paraId="0BD70E8D" w14:textId="73EF1DB4" w:rsidR="00E650C6" w:rsidRPr="00804648" w:rsidRDefault="00E650C6" w:rsidP="00F26ED8">
            <w:pPr>
              <w:pStyle w:val="In-tableHeading"/>
              <w:keepLines/>
              <w:rPr>
                <w:rFonts w:cstheme="majorBidi"/>
                <w:lang w:val="en-AU"/>
              </w:rPr>
            </w:pPr>
            <w:r w:rsidRPr="00804648">
              <w:rPr>
                <w:rFonts w:cstheme="majorBidi"/>
                <w:lang w:val="en-AU"/>
              </w:rPr>
              <w:t>Step 4: utility weights applied</w:t>
            </w:r>
            <w:r w:rsidR="008F1069" w:rsidRPr="00804648">
              <w:rPr>
                <w:rFonts w:cstheme="majorBidi"/>
                <w:lang w:val="en-AU"/>
              </w:rPr>
              <w:t xml:space="preserve"> </w:t>
            </w:r>
            <w:r w:rsidR="008F1069" w:rsidRPr="00804648">
              <w:rPr>
                <w:rFonts w:cstheme="majorBidi"/>
                <w:i/>
                <w:iCs/>
                <w:lang w:val="en-AU"/>
              </w:rPr>
              <w:t>(discounted)</w:t>
            </w:r>
          </w:p>
        </w:tc>
      </w:tr>
      <w:tr w:rsidR="00E650C6" w:rsidRPr="00804648" w14:paraId="1FF4B3CE" w14:textId="77777777" w:rsidTr="00D265E5">
        <w:tc>
          <w:tcPr>
            <w:tcW w:w="1805" w:type="pct"/>
            <w:vAlign w:val="center"/>
          </w:tcPr>
          <w:p w14:paraId="7E5ECF1A" w14:textId="20AB41F9" w:rsidR="00E650C6" w:rsidRPr="00804648" w:rsidRDefault="00E650C6" w:rsidP="00F26ED8">
            <w:pPr>
              <w:pStyle w:val="TableText0"/>
              <w:keepLines/>
              <w:rPr>
                <w:rFonts w:ascii="Times" w:hAnsi="Times"/>
              </w:rPr>
            </w:pPr>
            <w:r w:rsidRPr="00804648">
              <w:t>Costs</w:t>
            </w:r>
            <w:r w:rsidR="00973855">
              <w:t xml:space="preserve"> ($)</w:t>
            </w:r>
          </w:p>
        </w:tc>
        <w:tc>
          <w:tcPr>
            <w:tcW w:w="1065" w:type="pct"/>
            <w:shd w:val="solid" w:color="000000" w:fill="000000"/>
          </w:tcPr>
          <w:p w14:paraId="163C1787" w14:textId="71616476" w:rsidR="00E650C6" w:rsidRPr="00804648" w:rsidRDefault="00D265E5" w:rsidP="00F26ED8">
            <w:pPr>
              <w:keepNext/>
              <w:keepLines/>
              <w:jc w:val="center"/>
              <w:rPr>
                <w:rFonts w:cs="Calibri"/>
                <w:color w:val="000000"/>
                <w:sz w:val="22"/>
                <w:szCs w:val="22"/>
              </w:rPr>
            </w:pPr>
            <w:r w:rsidRPr="00D265E5">
              <w:rPr>
                <w:rFonts w:ascii="Arial Narrow" w:eastAsiaTheme="majorEastAsia" w:hAnsi="Arial Narrow" w:cstheme="majorBidi"/>
                <w:bCs/>
                <w:color w:val="000000"/>
                <w:sz w:val="20"/>
                <w14:textFill>
                  <w14:solidFill>
                    <w14:srgbClr w14:val="000000">
                      <w14:alpha w14:val="100000"/>
                    </w14:srgbClr>
                  </w14:solidFill>
                </w14:textFill>
              </w:rPr>
              <w:t>|</w:t>
            </w:r>
          </w:p>
        </w:tc>
        <w:tc>
          <w:tcPr>
            <w:tcW w:w="1066" w:type="pct"/>
          </w:tcPr>
          <w:p w14:paraId="1A5F4BEB" w14:textId="77777777" w:rsidR="00E650C6" w:rsidRPr="00804648" w:rsidRDefault="00E650C6" w:rsidP="00F26ED8">
            <w:pPr>
              <w:pStyle w:val="TableText0"/>
              <w:keepLines/>
              <w:jc w:val="center"/>
              <w:rPr>
                <w:rFonts w:ascii="Times" w:hAnsi="Times"/>
              </w:rPr>
            </w:pPr>
            <w:r w:rsidRPr="00804648">
              <w:t>$41,328</w:t>
            </w:r>
          </w:p>
        </w:tc>
        <w:tc>
          <w:tcPr>
            <w:tcW w:w="1064" w:type="pct"/>
            <w:shd w:val="solid" w:color="000000" w:fill="000000"/>
          </w:tcPr>
          <w:p w14:paraId="54F040D9" w14:textId="02EF7BE6" w:rsidR="00E650C6" w:rsidRPr="00804648" w:rsidRDefault="00D265E5" w:rsidP="00F26ED8">
            <w:pPr>
              <w:pStyle w:val="TableText0"/>
              <w:keepLines/>
              <w:jc w:val="center"/>
            </w:pPr>
            <w:r w:rsidRPr="00D265E5">
              <w:rPr>
                <w:color w:val="000000"/>
                <w14:textFill>
                  <w14:solidFill>
                    <w14:srgbClr w14:val="000000">
                      <w14:alpha w14:val="100000"/>
                    </w14:srgbClr>
                  </w14:solidFill>
                </w14:textFill>
              </w:rPr>
              <w:t>|</w:t>
            </w:r>
          </w:p>
        </w:tc>
      </w:tr>
      <w:tr w:rsidR="00E650C6" w:rsidRPr="00804648" w14:paraId="5CE6DDDB" w14:textId="77777777" w:rsidTr="008C351B">
        <w:tc>
          <w:tcPr>
            <w:tcW w:w="1805" w:type="pct"/>
            <w:vAlign w:val="center"/>
          </w:tcPr>
          <w:p w14:paraId="09A299B1" w14:textId="77777777" w:rsidR="00E650C6" w:rsidRPr="00804648" w:rsidRDefault="00E650C6" w:rsidP="00F26ED8">
            <w:pPr>
              <w:pStyle w:val="TableText0"/>
              <w:keepLines/>
              <w:rPr>
                <w:rFonts w:ascii="Times" w:hAnsi="Times"/>
              </w:rPr>
            </w:pPr>
            <w:r w:rsidRPr="00804648">
              <w:t>QALYs</w:t>
            </w:r>
          </w:p>
        </w:tc>
        <w:tc>
          <w:tcPr>
            <w:tcW w:w="1065" w:type="pct"/>
          </w:tcPr>
          <w:p w14:paraId="3DEEC317" w14:textId="77777777" w:rsidR="00E650C6" w:rsidRPr="00804648" w:rsidRDefault="00E650C6" w:rsidP="00F26ED8">
            <w:pPr>
              <w:pStyle w:val="TableText0"/>
              <w:keepLines/>
              <w:jc w:val="center"/>
              <w:rPr>
                <w:rFonts w:ascii="Times" w:hAnsi="Times"/>
              </w:rPr>
            </w:pPr>
            <w:r w:rsidRPr="00804648">
              <w:t>14.35</w:t>
            </w:r>
          </w:p>
        </w:tc>
        <w:tc>
          <w:tcPr>
            <w:tcW w:w="1066" w:type="pct"/>
          </w:tcPr>
          <w:p w14:paraId="0BBF0E25" w14:textId="77777777" w:rsidR="00E650C6" w:rsidRPr="00804648" w:rsidRDefault="00E650C6" w:rsidP="00F26ED8">
            <w:pPr>
              <w:pStyle w:val="TableText0"/>
              <w:keepLines/>
              <w:jc w:val="center"/>
              <w:rPr>
                <w:rFonts w:ascii="Times" w:hAnsi="Times"/>
              </w:rPr>
            </w:pPr>
            <w:r w:rsidRPr="00804648">
              <w:t>9.26</w:t>
            </w:r>
          </w:p>
        </w:tc>
        <w:tc>
          <w:tcPr>
            <w:tcW w:w="1064" w:type="pct"/>
          </w:tcPr>
          <w:p w14:paraId="3B8E4B2D" w14:textId="77777777" w:rsidR="00E650C6" w:rsidRPr="00804648" w:rsidRDefault="00E650C6" w:rsidP="00F26ED8">
            <w:pPr>
              <w:pStyle w:val="TableText0"/>
              <w:keepLines/>
              <w:jc w:val="center"/>
            </w:pPr>
            <w:r w:rsidRPr="00804648">
              <w:t>5.09</w:t>
            </w:r>
          </w:p>
        </w:tc>
      </w:tr>
      <w:tr w:rsidR="00E650C6" w:rsidRPr="00804648" w14:paraId="40E4D196" w14:textId="77777777" w:rsidTr="008C351B">
        <w:tc>
          <w:tcPr>
            <w:tcW w:w="3936" w:type="pct"/>
            <w:gridSpan w:val="3"/>
            <w:vAlign w:val="center"/>
          </w:tcPr>
          <w:p w14:paraId="1FD9F29A" w14:textId="77777777" w:rsidR="00E650C6" w:rsidRPr="00804648" w:rsidRDefault="00E650C6" w:rsidP="00F26ED8">
            <w:pPr>
              <w:pStyle w:val="TableText0"/>
              <w:keepLines/>
              <w:rPr>
                <w:rFonts w:ascii="Times" w:hAnsi="Times"/>
                <w:b/>
              </w:rPr>
            </w:pPr>
            <w:r w:rsidRPr="00804648">
              <w:rPr>
                <w:b/>
              </w:rPr>
              <w:t>Incremental cost/extra QALY gained (base case)</w:t>
            </w:r>
          </w:p>
        </w:tc>
        <w:tc>
          <w:tcPr>
            <w:tcW w:w="1064" w:type="pct"/>
            <w:vAlign w:val="center"/>
          </w:tcPr>
          <w:p w14:paraId="073CC1D6" w14:textId="686E0315" w:rsidR="00E650C6" w:rsidRPr="00804648" w:rsidRDefault="00D265E5" w:rsidP="00F26ED8">
            <w:pPr>
              <w:pStyle w:val="TableText0"/>
              <w:keepLines/>
              <w:jc w:val="center"/>
              <w:rPr>
                <w:b/>
                <w:bCs w:val="0"/>
              </w:rPr>
            </w:pPr>
            <w:r w:rsidRPr="00D265E5">
              <w:rPr>
                <w:b/>
                <w:bCs w:val="0"/>
                <w:color w:val="000000"/>
                <w:shd w:val="solid" w:color="000000" w:fill="000000"/>
                <w14:textFill>
                  <w14:solidFill>
                    <w14:srgbClr w14:val="000000">
                      <w14:alpha w14:val="100000"/>
                    </w14:srgbClr>
                  </w14:solidFill>
                </w14:textFill>
              </w:rPr>
              <w:t>|</w:t>
            </w:r>
            <w:r w:rsidR="00973855">
              <w:rPr>
                <w:vertAlign w:val="superscript"/>
              </w:rPr>
              <w:t>1</w:t>
            </w:r>
          </w:p>
        </w:tc>
      </w:tr>
    </w:tbl>
    <w:p w14:paraId="25492CBA" w14:textId="77777777" w:rsidR="00E650C6" w:rsidRPr="00804648" w:rsidRDefault="00E650C6" w:rsidP="00F26ED8">
      <w:pPr>
        <w:pStyle w:val="FooterTableFigure"/>
        <w:keepNext/>
        <w:keepLines/>
      </w:pPr>
      <w:r w:rsidRPr="00804648">
        <w:t>Source: Table 2.2.33, p154 of the submission.</w:t>
      </w:r>
    </w:p>
    <w:p w14:paraId="6C05A6DF" w14:textId="02285EF9" w:rsidR="00372C9E" w:rsidRPr="00804648" w:rsidRDefault="00E650C6" w:rsidP="00F26ED8">
      <w:pPr>
        <w:pStyle w:val="FooterTableFigure"/>
        <w:keepNext/>
        <w:keepLines/>
      </w:pPr>
      <w:r w:rsidRPr="00804648">
        <w:t>BSC = best supportive care, LYG = life-years gained, QALY = quality-adjusted life years</w:t>
      </w:r>
    </w:p>
    <w:p w14:paraId="1A085668" w14:textId="77777777" w:rsidR="00E74059" w:rsidRPr="00804648" w:rsidRDefault="00E74059" w:rsidP="00F26ED8">
      <w:pPr>
        <w:pStyle w:val="FooterTableFigure"/>
        <w:keepNext/>
        <w:keepLines/>
      </w:pPr>
      <w:proofErr w:type="spellStart"/>
      <w:r w:rsidRPr="00804648">
        <w:rPr>
          <w:vertAlign w:val="superscript"/>
        </w:rPr>
        <w:t>a</w:t>
      </w:r>
      <w:proofErr w:type="spellEnd"/>
      <w:r w:rsidRPr="00804648">
        <w:rPr>
          <w:vertAlign w:val="superscript"/>
        </w:rPr>
        <w:t xml:space="preserve"> </w:t>
      </w:r>
      <w:r w:rsidRPr="00804648">
        <w:t>Overall survival over a time horizon of 2 years was modelled by applying an ASMD specific SMR to the Australian general population mortality with the results reported in LYG.</w:t>
      </w:r>
    </w:p>
    <w:p w14:paraId="028F936A" w14:textId="240E86F6" w:rsidR="00462D36" w:rsidRDefault="006A428C" w:rsidP="00F26ED8">
      <w:pPr>
        <w:pStyle w:val="FooterTableFigure"/>
        <w:keepNext/>
        <w:keepLines/>
        <w:spacing w:after="0"/>
      </w:pPr>
      <w:r w:rsidRPr="00804648">
        <w:t>Values in this table were</w:t>
      </w:r>
      <w:r w:rsidRPr="00804648">
        <w:rPr>
          <w:i/>
          <w:iCs/>
        </w:rPr>
        <w:t xml:space="preserve"> </w:t>
      </w:r>
      <w:r w:rsidRPr="00804648">
        <w:t>c</w:t>
      </w:r>
      <w:r w:rsidR="0094241A" w:rsidRPr="00804648">
        <w:t xml:space="preserve">orrected during evaluation to reflect </w:t>
      </w:r>
      <w:r w:rsidRPr="00804648">
        <w:t>the availability of the</w:t>
      </w:r>
      <w:r w:rsidR="0094241A" w:rsidRPr="00804648">
        <w:t xml:space="preserve"> 20 mg vial</w:t>
      </w:r>
      <w:r w:rsidRPr="00804648">
        <w:t xml:space="preserve"> only</w:t>
      </w:r>
      <w:r w:rsidR="0094241A" w:rsidRPr="00804648">
        <w:t xml:space="preserve"> of olipudase alfa. Recalculated by changing 62 vials to 63 vials of 20 mg and 3 vials to 0 vials of 4 mg in cell G46 and 236 vials to 237 vials of 20 mg and 2 vials to 0 vials of 4 mg in cell G50 of ‘treatment cost’ worksheet in ‘Olipudase_ASMD CEA’ workbook</w:t>
      </w:r>
      <w:r w:rsidR="00673D8C" w:rsidRPr="00804648">
        <w:t>.</w:t>
      </w:r>
    </w:p>
    <w:p w14:paraId="548DDD7D" w14:textId="77777777" w:rsidR="00973855" w:rsidRPr="009A6D58" w:rsidRDefault="00973855" w:rsidP="00F26ED8">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C5C5266" w14:textId="66C462C3" w:rsidR="00973855" w:rsidRPr="00C1697C" w:rsidRDefault="00973855" w:rsidP="00C1697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&gt; $1,055,000</w:t>
      </w:r>
    </w:p>
    <w:p w14:paraId="021E34A0" w14:textId="5F8B7364" w:rsidR="003F09E1" w:rsidRPr="00804648" w:rsidRDefault="00462D36" w:rsidP="00462D36">
      <w:pPr>
        <w:pStyle w:val="3-BodyText"/>
      </w:pPr>
      <w:r w:rsidRPr="00804648">
        <w:lastRenderedPageBreak/>
        <w:t>The</w:t>
      </w:r>
      <w:r w:rsidR="00D5743A" w:rsidRPr="00804648">
        <w:t xml:space="preserve"> ESC noted that the</w:t>
      </w:r>
      <w:r w:rsidRPr="00804648">
        <w:t xml:space="preserve"> model may have overestimated olipudase alfa survival benefit with </w:t>
      </w:r>
      <w:r w:rsidR="00840609" w:rsidRPr="00804648">
        <w:t>11.78</w:t>
      </w:r>
      <w:r w:rsidRPr="00804648">
        <w:t xml:space="preserve"> life-years gained (LYG</w:t>
      </w:r>
      <w:r w:rsidR="0066163D" w:rsidRPr="00804648">
        <w:t>; undiscounted</w:t>
      </w:r>
      <w:r w:rsidRPr="00804648">
        <w:t xml:space="preserve">) and </w:t>
      </w:r>
      <w:r w:rsidR="00840609" w:rsidRPr="00804648">
        <w:t>11.23</w:t>
      </w:r>
      <w:r w:rsidRPr="00804648">
        <w:t xml:space="preserve"> quality-adjusted life-years (QALY</w:t>
      </w:r>
      <w:r w:rsidR="0066163D" w:rsidRPr="00804648">
        <w:t>; undiscounted</w:t>
      </w:r>
      <w:r w:rsidRPr="00804648">
        <w:t>)</w:t>
      </w:r>
      <w:r w:rsidR="00B74B49" w:rsidRPr="00804648">
        <w:t xml:space="preserve"> gained</w:t>
      </w:r>
      <w:r w:rsidRPr="00804648">
        <w:t xml:space="preserve"> compared with only 0.01 LYG</w:t>
      </w:r>
      <w:r w:rsidR="0066163D" w:rsidRPr="00804648">
        <w:t xml:space="preserve"> (undiscounted)</w:t>
      </w:r>
      <w:r w:rsidRPr="00804648">
        <w:t xml:space="preserve"> observed in the </w:t>
      </w:r>
      <w:r w:rsidR="00372C9E" w:rsidRPr="00804648">
        <w:t>trial-based time horizon</w:t>
      </w:r>
      <w:r w:rsidRPr="00804648">
        <w:t xml:space="preserve"> for </w:t>
      </w:r>
      <w:r w:rsidR="00774F25" w:rsidRPr="00804648">
        <w:t xml:space="preserve">the </w:t>
      </w:r>
      <w:r w:rsidRPr="00804648">
        <w:t xml:space="preserve">adult population. </w:t>
      </w:r>
      <w:r w:rsidR="00774F25" w:rsidRPr="00804648">
        <w:t>A s</w:t>
      </w:r>
      <w:r w:rsidRPr="00804648">
        <w:t>imilar trend was observed for the paediatric population.</w:t>
      </w:r>
      <w:r w:rsidR="00372C9E" w:rsidRPr="00804648">
        <w:t xml:space="preserve"> </w:t>
      </w:r>
    </w:p>
    <w:p w14:paraId="278FB653" w14:textId="1DA807B4" w:rsidR="00676A18" w:rsidRPr="00804648" w:rsidRDefault="000228C7" w:rsidP="00676A18">
      <w:pPr>
        <w:pStyle w:val="3-BodyText"/>
      </w:pPr>
      <w:r w:rsidRPr="00804648">
        <w:t>As described in paragraph</w:t>
      </w:r>
      <w:r w:rsidR="00DA15EB" w:rsidRPr="00804648">
        <w:t xml:space="preserve"> </w:t>
      </w:r>
      <w:r w:rsidR="00DA15EB" w:rsidRPr="00804648">
        <w:fldChar w:fldCharType="begin" w:fldLock="1"/>
      </w:r>
      <w:r w:rsidR="00DA15EB" w:rsidRPr="00804648">
        <w:instrText xml:space="preserve"> REF _Ref138192651 \r \h  \* MERGEFORMAT </w:instrText>
      </w:r>
      <w:r w:rsidR="00DA15EB" w:rsidRPr="00804648">
        <w:fldChar w:fldCharType="separate"/>
      </w:r>
      <w:r w:rsidR="005D02DA" w:rsidRPr="00804648">
        <w:t>2.3</w:t>
      </w:r>
      <w:r w:rsidR="00DA15EB" w:rsidRPr="00804648">
        <w:fldChar w:fldCharType="end"/>
      </w:r>
      <w:r w:rsidRPr="00804648">
        <w:t>,</w:t>
      </w:r>
      <w:r w:rsidR="0000254A" w:rsidRPr="00804648">
        <w:t xml:space="preserve"> </w:t>
      </w:r>
      <w:bookmarkStart w:id="79" w:name="_Hlk135037402"/>
      <w:r w:rsidR="0000254A" w:rsidRPr="00804648">
        <w:t>the 4 mg vial strength has not been submitted to the TGA for approval</w:t>
      </w:r>
      <w:bookmarkEnd w:id="79"/>
      <w:r w:rsidRPr="00804648">
        <w:t xml:space="preserve">. </w:t>
      </w:r>
      <w:r w:rsidR="00D3638F" w:rsidRPr="00804648">
        <w:t>Assuming the availability of only 20 mg vial</w:t>
      </w:r>
      <w:r w:rsidR="00A2782B" w:rsidRPr="00804648">
        <w:t xml:space="preserve"> </w:t>
      </w:r>
      <w:r w:rsidR="00781679" w:rsidRPr="00804648">
        <w:t>results in an annual cost of treatment of $</w:t>
      </w:r>
      <w:r w:rsidR="00D265E5" w:rsidRPr="00E42CEA">
        <w:rPr>
          <w:color w:val="000000"/>
          <w:w w:val="15"/>
          <w:shd w:val="solid" w:color="000000" w:fill="000000"/>
          <w:fitText w:val="-20" w:id="-1168461817"/>
          <w14:textFill>
            <w14:solidFill>
              <w14:srgbClr w14:val="000000">
                <w14:alpha w14:val="100000"/>
              </w14:srgbClr>
            </w14:solidFill>
          </w14:textFill>
        </w:rPr>
        <w:t xml:space="preserve">|  </w:t>
      </w:r>
      <w:r w:rsidR="00D265E5" w:rsidRPr="00E42CEA">
        <w:rPr>
          <w:color w:val="000000"/>
          <w:spacing w:val="-69"/>
          <w:w w:val="15"/>
          <w:shd w:val="solid" w:color="000000" w:fill="000000"/>
          <w:fitText w:val="-20" w:id="-1168461817"/>
          <w14:textFill>
            <w14:solidFill>
              <w14:srgbClr w14:val="000000">
                <w14:alpha w14:val="100000"/>
              </w14:srgbClr>
            </w14:solidFill>
          </w14:textFill>
        </w:rPr>
        <w:t>|</w:t>
      </w:r>
      <w:r w:rsidR="00D265E5" w:rsidRPr="00D265E5">
        <w:t xml:space="preserve"> </w:t>
      </w:r>
      <w:r w:rsidR="00781679" w:rsidRPr="00804648">
        <w:t>instead of $</w:t>
      </w:r>
      <w:r w:rsidR="00D265E5" w:rsidRPr="00E42CEA">
        <w:rPr>
          <w:color w:val="000000"/>
          <w:w w:val="15"/>
          <w:shd w:val="solid" w:color="000000" w:fill="000000"/>
          <w:fitText w:val="-20" w:id="-1168461816"/>
          <w14:textFill>
            <w14:solidFill>
              <w14:srgbClr w14:val="000000">
                <w14:alpha w14:val="100000"/>
              </w14:srgbClr>
            </w14:solidFill>
          </w14:textFill>
        </w:rPr>
        <w:t xml:space="preserve">|  </w:t>
      </w:r>
      <w:r w:rsidR="00D265E5" w:rsidRPr="00E42CEA">
        <w:rPr>
          <w:color w:val="000000"/>
          <w:spacing w:val="-69"/>
          <w:w w:val="15"/>
          <w:shd w:val="solid" w:color="000000" w:fill="000000"/>
          <w:fitText w:val="-20" w:id="-1168461816"/>
          <w14:textFill>
            <w14:solidFill>
              <w14:srgbClr w14:val="000000">
                <w14:alpha w14:val="100000"/>
              </w14:srgbClr>
            </w14:solidFill>
          </w14:textFill>
        </w:rPr>
        <w:t>|</w:t>
      </w:r>
      <w:r w:rsidR="00D265E5" w:rsidRPr="00D265E5">
        <w:t xml:space="preserve"> </w:t>
      </w:r>
      <w:r w:rsidR="00781679" w:rsidRPr="00804648">
        <w:t xml:space="preserve">(as estimated by the submission) in subsequent years for </w:t>
      </w:r>
      <w:r w:rsidR="00774F25" w:rsidRPr="00804648">
        <w:t xml:space="preserve">the </w:t>
      </w:r>
      <w:r w:rsidR="00781679" w:rsidRPr="00804648">
        <w:t xml:space="preserve">adult </w:t>
      </w:r>
      <w:r w:rsidR="009E6409" w:rsidRPr="00804648">
        <w:t>population</w:t>
      </w:r>
      <w:r w:rsidR="00781679" w:rsidRPr="00804648">
        <w:t>.</w:t>
      </w:r>
      <w:r w:rsidR="001D53A7" w:rsidRPr="00804648">
        <w:t xml:space="preserve"> </w:t>
      </w:r>
      <w:r w:rsidR="00A2782B" w:rsidRPr="00804648">
        <w:t xml:space="preserve">Similarly for paediatric patients, </w:t>
      </w:r>
      <w:r w:rsidR="0095448F" w:rsidRPr="00804648">
        <w:rPr>
          <w:rFonts w:cs="Calibri"/>
        </w:rPr>
        <w:t>the</w:t>
      </w:r>
      <w:r w:rsidR="00A2782B" w:rsidRPr="00804648">
        <w:rPr>
          <w:rFonts w:cs="Calibri"/>
        </w:rPr>
        <w:t xml:space="preserve"> annual cost of treatment </w:t>
      </w:r>
      <w:r w:rsidR="0095448F" w:rsidRPr="00804648">
        <w:rPr>
          <w:rFonts w:cs="Calibri"/>
        </w:rPr>
        <w:t>was calculated to be</w:t>
      </w:r>
      <w:r w:rsidR="00A2782B" w:rsidRPr="00804648">
        <w:rPr>
          <w:rFonts w:cs="Calibri"/>
        </w:rPr>
        <w:t xml:space="preserve"> $</w:t>
      </w:r>
      <w:r w:rsidR="00D265E5" w:rsidRPr="00E42CEA">
        <w:rPr>
          <w:rFonts w:cs="Calibri"/>
          <w:color w:val="000000"/>
          <w:w w:val="15"/>
          <w:shd w:val="solid" w:color="000000" w:fill="000000"/>
          <w:fitText w:val="-20" w:id="-1168461815"/>
          <w14:textFill>
            <w14:solidFill>
              <w14:srgbClr w14:val="000000">
                <w14:alpha w14:val="100000"/>
              </w14:srgbClr>
            </w14:solidFill>
          </w14:textFill>
        </w:rPr>
        <w:t xml:space="preserve">|  </w:t>
      </w:r>
      <w:r w:rsidR="00D265E5" w:rsidRPr="00E42CEA">
        <w:rPr>
          <w:rFonts w:cs="Calibri"/>
          <w:color w:val="000000"/>
          <w:spacing w:val="-69"/>
          <w:w w:val="15"/>
          <w:shd w:val="solid" w:color="000000" w:fill="000000"/>
          <w:fitText w:val="-20" w:id="-1168461815"/>
          <w14:textFill>
            <w14:solidFill>
              <w14:srgbClr w14:val="000000">
                <w14:alpha w14:val="100000"/>
              </w14:srgbClr>
            </w14:solidFill>
          </w14:textFill>
        </w:rPr>
        <w:t>|</w:t>
      </w:r>
      <w:r w:rsidR="00A2782B" w:rsidRPr="00804648">
        <w:rPr>
          <w:rFonts w:cs="Calibri"/>
        </w:rPr>
        <w:t xml:space="preserve"> instead of $</w:t>
      </w:r>
      <w:r w:rsidR="00D265E5" w:rsidRPr="00E42CEA">
        <w:rPr>
          <w:rFonts w:cs="Calibri"/>
          <w:color w:val="000000"/>
          <w:w w:val="15"/>
          <w:shd w:val="solid" w:color="000000" w:fill="000000"/>
          <w:fitText w:val="-20" w:id="-1168461814"/>
          <w14:textFill>
            <w14:solidFill>
              <w14:srgbClr w14:val="000000">
                <w14:alpha w14:val="100000"/>
              </w14:srgbClr>
            </w14:solidFill>
          </w14:textFill>
        </w:rPr>
        <w:t xml:space="preserve">|  </w:t>
      </w:r>
      <w:r w:rsidR="00D265E5" w:rsidRPr="00E42CEA">
        <w:rPr>
          <w:rFonts w:cs="Calibri"/>
          <w:color w:val="000000"/>
          <w:spacing w:val="-69"/>
          <w:w w:val="15"/>
          <w:shd w:val="solid" w:color="000000" w:fill="000000"/>
          <w:fitText w:val="-20" w:id="-1168461814"/>
          <w14:textFill>
            <w14:solidFill>
              <w14:srgbClr w14:val="000000">
                <w14:alpha w14:val="100000"/>
              </w14:srgbClr>
            </w14:solidFill>
          </w14:textFill>
        </w:rPr>
        <w:t>|</w:t>
      </w:r>
      <w:r w:rsidR="00A2782B" w:rsidRPr="00804648">
        <w:t xml:space="preserve"> (as estimated by the submission) </w:t>
      </w:r>
      <w:r w:rsidR="0095448F" w:rsidRPr="00804648">
        <w:t>in</w:t>
      </w:r>
      <w:r w:rsidR="00A2782B" w:rsidRPr="00804648">
        <w:t xml:space="preserve"> Year 1.</w:t>
      </w:r>
      <w:r w:rsidR="00676A18" w:rsidRPr="00804648">
        <w:t xml:space="preserve"> The drug and administration costs for olipudase alfa, accounted for 99.98% of the modelled incremental cost.</w:t>
      </w:r>
    </w:p>
    <w:p w14:paraId="14801E95" w14:textId="5CF6D24A" w:rsidR="007C01CE" w:rsidRPr="00804648" w:rsidRDefault="007C01CE" w:rsidP="006F6FE5">
      <w:pPr>
        <w:pStyle w:val="3-BodyText"/>
      </w:pPr>
      <w:r w:rsidRPr="00804648">
        <w:t>Based on the availability of only 20 mg vial</w:t>
      </w:r>
      <w:r w:rsidR="00774F25" w:rsidRPr="00804648">
        <w:t>s</w:t>
      </w:r>
      <w:r w:rsidRPr="00804648">
        <w:t xml:space="preserve">, treatment with olipudase alfa was associated with an incremental cost per QALY </w:t>
      </w:r>
      <w:r w:rsidRPr="005014C7">
        <w:t xml:space="preserve">gained of </w:t>
      </w:r>
      <w:r w:rsidR="005014C7">
        <w:t>&gt;</w:t>
      </w:r>
      <w:r w:rsidR="00EB4409">
        <w:t> </w:t>
      </w:r>
      <w:r w:rsidR="005014C7">
        <w:t>$1,055,000</w:t>
      </w:r>
      <w:r w:rsidR="00C015CC" w:rsidRPr="005014C7">
        <w:t xml:space="preserve"> </w:t>
      </w:r>
      <w:r w:rsidRPr="005014C7">
        <w:t xml:space="preserve">for adult </w:t>
      </w:r>
      <w:r w:rsidR="00774F25" w:rsidRPr="005014C7">
        <w:t xml:space="preserve">the </w:t>
      </w:r>
      <w:r w:rsidRPr="005014C7">
        <w:t xml:space="preserve">population and </w:t>
      </w:r>
      <w:r w:rsidR="005014C7">
        <w:t>&gt;</w:t>
      </w:r>
      <w:r w:rsidR="00EB4409">
        <w:t> </w:t>
      </w:r>
      <w:r w:rsidR="005014C7">
        <w:t>$1,055,000</w:t>
      </w:r>
      <w:r w:rsidR="00C015CC" w:rsidRPr="005014C7">
        <w:t xml:space="preserve"> </w:t>
      </w:r>
      <w:r w:rsidRPr="005014C7">
        <w:t xml:space="preserve">for </w:t>
      </w:r>
      <w:r w:rsidR="00774F25" w:rsidRPr="005014C7">
        <w:t xml:space="preserve">the </w:t>
      </w:r>
      <w:r w:rsidRPr="005014C7">
        <w:t>paediatric population. Overall, the ICER was extremely high in all steps of the economic evaluation.</w:t>
      </w:r>
      <w:r w:rsidRPr="00804648">
        <w:t xml:space="preserve"> </w:t>
      </w:r>
    </w:p>
    <w:p w14:paraId="1BC92879" w14:textId="5DA07504" w:rsidR="00462D36" w:rsidRPr="00804648" w:rsidRDefault="00462D36" w:rsidP="00462D36">
      <w:pPr>
        <w:pStyle w:val="3-BodyText"/>
      </w:pPr>
      <w:r w:rsidRPr="00804648">
        <w:t xml:space="preserve">The results of key sensitivity analyses for adult and paediatric population are summarised in </w:t>
      </w:r>
      <w:r w:rsidRPr="00804648">
        <w:fldChar w:fldCharType="begin" w:fldLock="1"/>
      </w:r>
      <w:r w:rsidRPr="00804648">
        <w:instrText xml:space="preserve"> REF _Ref104804865 \h </w:instrText>
      </w:r>
      <w:r w:rsidRPr="00804648">
        <w:fldChar w:fldCharType="separate"/>
      </w:r>
      <w:r w:rsidR="005D02DA" w:rsidRPr="00804648">
        <w:t>Table 20</w:t>
      </w:r>
      <w:r w:rsidRPr="00804648">
        <w:fldChar w:fldCharType="end"/>
      </w:r>
      <w:r w:rsidRPr="00804648">
        <w:t xml:space="preserve"> and </w:t>
      </w:r>
      <w:r w:rsidR="008E052A" w:rsidRPr="00804648">
        <w:fldChar w:fldCharType="begin" w:fldLock="1"/>
      </w:r>
      <w:r w:rsidR="008E052A" w:rsidRPr="00804648">
        <w:instrText xml:space="preserve"> REF _Ref134196050 \h </w:instrText>
      </w:r>
      <w:r w:rsidR="008E052A" w:rsidRPr="00804648">
        <w:fldChar w:fldCharType="separate"/>
      </w:r>
      <w:r w:rsidR="005D02DA" w:rsidRPr="00804648">
        <w:t>Table 21</w:t>
      </w:r>
      <w:r w:rsidR="008E052A" w:rsidRPr="00804648">
        <w:fldChar w:fldCharType="end"/>
      </w:r>
      <w:r w:rsidR="008E052A" w:rsidRPr="00804648">
        <w:t>.</w:t>
      </w:r>
    </w:p>
    <w:p w14:paraId="0F225D83" w14:textId="17DF988C" w:rsidR="00462D36" w:rsidRPr="00804648" w:rsidRDefault="00462D36" w:rsidP="00F26ED8">
      <w:pPr>
        <w:pStyle w:val="Caption"/>
        <w:rPr>
          <w:rStyle w:val="CommentReference"/>
          <w:b/>
          <w:szCs w:val="24"/>
        </w:rPr>
      </w:pPr>
      <w:bookmarkStart w:id="80" w:name="_Ref104804865"/>
      <w:bookmarkStart w:id="81" w:name="_Hlk133920129"/>
      <w:bookmarkStart w:id="82" w:name="_Hlk133923330"/>
      <w:r w:rsidRPr="00804648">
        <w:t xml:space="preserve">Table </w:t>
      </w:r>
      <w:fldSimple w:instr=" SEQ Table \* ARABIC " w:fldLock="1">
        <w:r w:rsidR="005D02DA" w:rsidRPr="00804648">
          <w:t>20</w:t>
        </w:r>
      </w:fldSimple>
      <w:bookmarkEnd w:id="80"/>
      <w:r w:rsidRPr="00804648">
        <w:t>:</w:t>
      </w:r>
      <w:r w:rsidRPr="00804648">
        <w:rPr>
          <w:rStyle w:val="CommentReference"/>
          <w:b/>
          <w:szCs w:val="24"/>
        </w:rPr>
        <w:t xml:space="preserve"> </w:t>
      </w:r>
      <w:r w:rsidR="00300993" w:rsidRPr="00804648">
        <w:rPr>
          <w:rStyle w:val="CommentReference"/>
          <w:b/>
          <w:szCs w:val="24"/>
        </w:rPr>
        <w:t>Univariate s</w:t>
      </w:r>
      <w:r w:rsidRPr="00804648">
        <w:rPr>
          <w:rStyle w:val="CommentReference"/>
          <w:b/>
          <w:szCs w:val="24"/>
        </w:rPr>
        <w:t>ensitivity analyses</w:t>
      </w:r>
      <w:r w:rsidR="009D1FEB" w:rsidRPr="00804648">
        <w:rPr>
          <w:rStyle w:val="CommentReference"/>
          <w:b/>
          <w:szCs w:val="24"/>
        </w:rPr>
        <w:t xml:space="preserve"> </w:t>
      </w:r>
      <w:r w:rsidR="004B241E" w:rsidRPr="00804648">
        <w:rPr>
          <w:rStyle w:val="CommentReference"/>
          <w:b/>
          <w:szCs w:val="24"/>
        </w:rPr>
        <w:t>for the a</w:t>
      </w:r>
      <w:r w:rsidRPr="00804648">
        <w:rPr>
          <w:rStyle w:val="CommentReference"/>
          <w:b/>
          <w:szCs w:val="24"/>
        </w:rPr>
        <w:t xml:space="preserve">dult </w:t>
      </w:r>
      <w:r w:rsidR="008F1069" w:rsidRPr="00804648">
        <w:rPr>
          <w:rStyle w:val="CommentReference"/>
          <w:b/>
          <w:szCs w:val="24"/>
        </w:rPr>
        <w:t>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1401"/>
        <w:gridCol w:w="1401"/>
        <w:gridCol w:w="1717"/>
        <w:gridCol w:w="1082"/>
      </w:tblGrid>
      <w:tr w:rsidR="00462D36" w:rsidRPr="00804648" w14:paraId="0BD8183E" w14:textId="77777777" w:rsidTr="00D265E5">
        <w:trPr>
          <w:cantSplit/>
          <w:tblHeader/>
        </w:trPr>
        <w:tc>
          <w:tcPr>
            <w:tcW w:w="1894" w:type="pct"/>
            <w:vAlign w:val="center"/>
          </w:tcPr>
          <w:p w14:paraId="346A1CDE" w14:textId="77777777" w:rsidR="00462D36" w:rsidRPr="00804648" w:rsidRDefault="00462D36" w:rsidP="00F26ED8">
            <w:pPr>
              <w:pStyle w:val="In-tableHeading"/>
              <w:keepLines/>
              <w:rPr>
                <w:lang w:val="en-AU"/>
              </w:rPr>
            </w:pPr>
            <w:r w:rsidRPr="00804648">
              <w:rPr>
                <w:lang w:val="en-AU"/>
              </w:rPr>
              <w:t>Analyses</w:t>
            </w:r>
          </w:p>
        </w:tc>
        <w:tc>
          <w:tcPr>
            <w:tcW w:w="777" w:type="pct"/>
            <w:tcBorders>
              <w:bottom w:val="single" w:sz="4" w:space="0" w:color="auto"/>
            </w:tcBorders>
            <w:vAlign w:val="center"/>
          </w:tcPr>
          <w:p w14:paraId="65E245EA" w14:textId="622E6D60" w:rsidR="00462D36" w:rsidRPr="00804648" w:rsidRDefault="00462D36" w:rsidP="00F26ED8">
            <w:pPr>
              <w:pStyle w:val="In-tableHeading"/>
              <w:keepLines/>
              <w:jc w:val="center"/>
              <w:rPr>
                <w:lang w:val="en-AU"/>
              </w:rPr>
            </w:pPr>
            <w:r w:rsidRPr="00804648">
              <w:rPr>
                <w:lang w:val="en-AU"/>
              </w:rPr>
              <w:t>Incremental cost</w:t>
            </w:r>
            <w:r w:rsidR="00D917C5">
              <w:rPr>
                <w:lang w:val="en-AU"/>
              </w:rPr>
              <w:t xml:space="preserve"> ($)</w:t>
            </w:r>
          </w:p>
        </w:tc>
        <w:tc>
          <w:tcPr>
            <w:tcW w:w="777" w:type="pct"/>
            <w:vAlign w:val="center"/>
          </w:tcPr>
          <w:p w14:paraId="34A116F9" w14:textId="77777777" w:rsidR="00462D36" w:rsidRPr="00804648" w:rsidRDefault="00462D36" w:rsidP="00F26ED8">
            <w:pPr>
              <w:pStyle w:val="In-tableHeading"/>
              <w:keepLines/>
              <w:jc w:val="center"/>
              <w:rPr>
                <w:lang w:val="en-AU"/>
              </w:rPr>
            </w:pPr>
            <w:r w:rsidRPr="00804648">
              <w:rPr>
                <w:lang w:val="en-AU"/>
              </w:rPr>
              <w:t>Incremental QALY</w:t>
            </w:r>
          </w:p>
        </w:tc>
        <w:tc>
          <w:tcPr>
            <w:tcW w:w="952" w:type="pct"/>
            <w:vAlign w:val="center"/>
          </w:tcPr>
          <w:p w14:paraId="22FB16B1" w14:textId="77777777" w:rsidR="00462D36" w:rsidRPr="00804648" w:rsidRDefault="00462D36" w:rsidP="00F26ED8">
            <w:pPr>
              <w:pStyle w:val="In-tableHeading"/>
              <w:keepLines/>
              <w:jc w:val="center"/>
              <w:rPr>
                <w:lang w:val="en-AU"/>
              </w:rPr>
            </w:pPr>
            <w:r w:rsidRPr="00804648">
              <w:rPr>
                <w:lang w:val="en-AU"/>
              </w:rPr>
              <w:t>ICER</w:t>
            </w:r>
          </w:p>
        </w:tc>
        <w:tc>
          <w:tcPr>
            <w:tcW w:w="600" w:type="pct"/>
            <w:vAlign w:val="center"/>
          </w:tcPr>
          <w:p w14:paraId="15A23BAD" w14:textId="77777777" w:rsidR="00462D36" w:rsidRPr="00804648" w:rsidRDefault="00462D36" w:rsidP="00F26ED8">
            <w:pPr>
              <w:pStyle w:val="In-tableHeading"/>
              <w:keepLines/>
              <w:jc w:val="center"/>
              <w:rPr>
                <w:lang w:val="en-AU"/>
              </w:rPr>
            </w:pPr>
            <w:r w:rsidRPr="00804648">
              <w:rPr>
                <w:lang w:val="en-AU"/>
              </w:rPr>
              <w:t>% change to ICER</w:t>
            </w:r>
          </w:p>
        </w:tc>
      </w:tr>
      <w:tr w:rsidR="00462D36" w:rsidRPr="00804648" w14:paraId="1F6D937F" w14:textId="77777777" w:rsidTr="00D265E5">
        <w:trPr>
          <w:cantSplit/>
        </w:trPr>
        <w:tc>
          <w:tcPr>
            <w:tcW w:w="1894" w:type="pct"/>
            <w:vAlign w:val="center"/>
          </w:tcPr>
          <w:p w14:paraId="7C26C56E" w14:textId="77777777" w:rsidR="00462D36" w:rsidRPr="00804648" w:rsidRDefault="00462D36" w:rsidP="00F26ED8">
            <w:pPr>
              <w:pStyle w:val="TableText0"/>
              <w:keepLines/>
              <w:rPr>
                <w:b/>
              </w:rPr>
            </w:pPr>
            <w:r w:rsidRPr="00804648">
              <w:rPr>
                <w:b/>
              </w:rPr>
              <w:t>Base case</w:t>
            </w:r>
          </w:p>
        </w:tc>
        <w:tc>
          <w:tcPr>
            <w:tcW w:w="777" w:type="pct"/>
            <w:shd w:val="solid" w:color="000000" w:fill="000000"/>
            <w:vAlign w:val="center"/>
          </w:tcPr>
          <w:p w14:paraId="76711507" w14:textId="2A0A64F1" w:rsidR="00462D36" w:rsidRPr="00804648" w:rsidRDefault="00D265E5" w:rsidP="00F26ED8">
            <w:pPr>
              <w:pStyle w:val="TableText0"/>
              <w:keepLines/>
              <w:jc w:val="center"/>
              <w:rPr>
                <w:b/>
                <w:bCs w:val="0"/>
                <w:highlight w:val="black"/>
              </w:rPr>
            </w:pPr>
            <w:r w:rsidRPr="00D265E5">
              <w:rPr>
                <w:b/>
                <w:bCs w:val="0"/>
                <w:color w:val="000000"/>
                <w14:textFill>
                  <w14:solidFill>
                    <w14:srgbClr w14:val="000000">
                      <w14:alpha w14:val="100000"/>
                    </w14:srgbClr>
                  </w14:solidFill>
                </w14:textFill>
              </w:rPr>
              <w:t>|</w:t>
            </w:r>
          </w:p>
        </w:tc>
        <w:tc>
          <w:tcPr>
            <w:tcW w:w="777" w:type="pct"/>
            <w:vAlign w:val="center"/>
          </w:tcPr>
          <w:p w14:paraId="6B40A859" w14:textId="77777777" w:rsidR="00462D36" w:rsidRPr="00804648" w:rsidRDefault="00462D36" w:rsidP="00F26ED8">
            <w:pPr>
              <w:pStyle w:val="TableText0"/>
              <w:keepLines/>
              <w:jc w:val="center"/>
              <w:rPr>
                <w:b/>
                <w:bCs w:val="0"/>
              </w:rPr>
            </w:pPr>
            <w:r w:rsidRPr="00804648">
              <w:rPr>
                <w:b/>
                <w:bCs w:val="0"/>
              </w:rPr>
              <w:t>4.11</w:t>
            </w:r>
          </w:p>
        </w:tc>
        <w:tc>
          <w:tcPr>
            <w:tcW w:w="952" w:type="pct"/>
            <w:vAlign w:val="center"/>
          </w:tcPr>
          <w:p w14:paraId="2A875372" w14:textId="1FCB4A0C" w:rsidR="00462D36" w:rsidRPr="000508C9" w:rsidRDefault="00D265E5" w:rsidP="00F26ED8">
            <w:pPr>
              <w:pStyle w:val="TableText0"/>
              <w:keepLines/>
              <w:jc w:val="center"/>
              <w:rPr>
                <w:b/>
                <w:bCs w:val="0"/>
                <w:highlight w:val="black"/>
                <w:vertAlign w:val="superscript"/>
              </w:rPr>
            </w:pPr>
            <w:r w:rsidRPr="00D265E5">
              <w:rPr>
                <w:b/>
                <w:bCs w:val="0"/>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249912A9" w14:textId="77777777" w:rsidR="00462D36" w:rsidRPr="00804648" w:rsidRDefault="00462D36" w:rsidP="00F26ED8">
            <w:pPr>
              <w:pStyle w:val="TableText0"/>
              <w:keepLines/>
              <w:jc w:val="center"/>
              <w:rPr>
                <w:rFonts w:eastAsia="Calibri"/>
                <w:b/>
                <w:szCs w:val="20"/>
              </w:rPr>
            </w:pPr>
          </w:p>
        </w:tc>
      </w:tr>
      <w:tr w:rsidR="009A3150" w:rsidRPr="00804648" w14:paraId="7D330D51" w14:textId="77777777" w:rsidTr="008C351B">
        <w:trPr>
          <w:cantSplit/>
        </w:trPr>
        <w:tc>
          <w:tcPr>
            <w:tcW w:w="5000" w:type="pct"/>
            <w:gridSpan w:val="5"/>
            <w:vAlign w:val="center"/>
          </w:tcPr>
          <w:p w14:paraId="68BEDD0C" w14:textId="77B51E67" w:rsidR="009A3150" w:rsidRPr="00804648" w:rsidRDefault="009A3150" w:rsidP="00F26ED8">
            <w:pPr>
              <w:pStyle w:val="TableText0"/>
              <w:keepLines/>
            </w:pPr>
            <w:r w:rsidRPr="00804648">
              <w:t>Time horizon (base case: lifetime)</w:t>
            </w:r>
          </w:p>
        </w:tc>
      </w:tr>
      <w:tr w:rsidR="00462D36" w:rsidRPr="00804648" w14:paraId="783A9251" w14:textId="77777777" w:rsidTr="00D265E5">
        <w:trPr>
          <w:cantSplit/>
        </w:trPr>
        <w:tc>
          <w:tcPr>
            <w:tcW w:w="1894" w:type="pct"/>
            <w:vAlign w:val="center"/>
          </w:tcPr>
          <w:p w14:paraId="2A92D536" w14:textId="77777777" w:rsidR="00462D36" w:rsidRPr="00804648" w:rsidRDefault="00462D36" w:rsidP="00F26ED8">
            <w:pPr>
              <w:pStyle w:val="TableText0"/>
              <w:keepLines/>
            </w:pPr>
            <w:r w:rsidRPr="00804648">
              <w:t>20 years</w:t>
            </w:r>
          </w:p>
        </w:tc>
        <w:tc>
          <w:tcPr>
            <w:tcW w:w="777" w:type="pct"/>
            <w:tcBorders>
              <w:bottom w:val="single" w:sz="4" w:space="0" w:color="auto"/>
            </w:tcBorders>
            <w:shd w:val="solid" w:color="000000" w:fill="000000"/>
            <w:vAlign w:val="center"/>
          </w:tcPr>
          <w:p w14:paraId="5E0A4AF6" w14:textId="6B768073" w:rsidR="00462D36" w:rsidRPr="00383521" w:rsidRDefault="00D265E5" w:rsidP="00F26ED8">
            <w:pPr>
              <w:pStyle w:val="TableText0"/>
              <w:keepLines/>
              <w:jc w:val="center"/>
              <w:rPr>
                <w:highlight w:val="darkGray"/>
              </w:rPr>
            </w:pPr>
            <w:r w:rsidRPr="00D265E5">
              <w:rPr>
                <w:color w:val="000000"/>
                <w14:textFill>
                  <w14:solidFill>
                    <w14:srgbClr w14:val="000000">
                      <w14:alpha w14:val="100000"/>
                    </w14:srgbClr>
                  </w14:solidFill>
                </w14:textFill>
              </w:rPr>
              <w:t>|</w:t>
            </w:r>
          </w:p>
        </w:tc>
        <w:tc>
          <w:tcPr>
            <w:tcW w:w="777" w:type="pct"/>
            <w:vAlign w:val="center"/>
          </w:tcPr>
          <w:p w14:paraId="4BEAB11C" w14:textId="77777777" w:rsidR="00462D36" w:rsidRPr="00804648" w:rsidRDefault="00462D36" w:rsidP="00F26ED8">
            <w:pPr>
              <w:pStyle w:val="TableText0"/>
              <w:keepLines/>
              <w:jc w:val="center"/>
            </w:pPr>
            <w:r w:rsidRPr="00804648">
              <w:t>2.57</w:t>
            </w:r>
          </w:p>
        </w:tc>
        <w:tc>
          <w:tcPr>
            <w:tcW w:w="952" w:type="pct"/>
            <w:vAlign w:val="center"/>
          </w:tcPr>
          <w:p w14:paraId="05994EAD" w14:textId="7E496E15" w:rsidR="00462D36" w:rsidRPr="00383521" w:rsidRDefault="00D265E5" w:rsidP="00F26ED8">
            <w:pPr>
              <w:pStyle w:val="TableText0"/>
              <w:keepLines/>
              <w:jc w:val="center"/>
              <w:rPr>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656BEB9B" w14:textId="71DBE23B" w:rsidR="00462D36" w:rsidRPr="00804648" w:rsidRDefault="00462D36" w:rsidP="00F26ED8">
            <w:pPr>
              <w:pStyle w:val="TableText0"/>
              <w:keepLines/>
              <w:jc w:val="center"/>
              <w:rPr>
                <w:rFonts w:eastAsia="Calibri"/>
                <w:szCs w:val="20"/>
              </w:rPr>
            </w:pPr>
            <w:r w:rsidRPr="00804648">
              <w:rPr>
                <w:rFonts w:eastAsia="Calibri"/>
                <w:szCs w:val="20"/>
              </w:rPr>
              <w:t>21%</w:t>
            </w:r>
          </w:p>
        </w:tc>
      </w:tr>
      <w:tr w:rsidR="00462D36" w:rsidRPr="00804648" w14:paraId="141B663B" w14:textId="77777777" w:rsidTr="00D265E5">
        <w:trPr>
          <w:cantSplit/>
          <w:trHeight w:val="283"/>
        </w:trPr>
        <w:tc>
          <w:tcPr>
            <w:tcW w:w="1894" w:type="pct"/>
            <w:vAlign w:val="center"/>
          </w:tcPr>
          <w:p w14:paraId="7A0C14AC" w14:textId="77777777" w:rsidR="00462D36" w:rsidRPr="00804648" w:rsidRDefault="00462D36" w:rsidP="00F26ED8">
            <w:pPr>
              <w:pStyle w:val="TableText0"/>
              <w:keepLines/>
            </w:pPr>
            <w:r w:rsidRPr="00804648">
              <w:t>25 years</w:t>
            </w:r>
          </w:p>
        </w:tc>
        <w:tc>
          <w:tcPr>
            <w:tcW w:w="777" w:type="pct"/>
            <w:tcBorders>
              <w:bottom w:val="single" w:sz="4" w:space="0" w:color="auto"/>
            </w:tcBorders>
            <w:shd w:val="solid" w:color="000000" w:fill="000000"/>
            <w:vAlign w:val="center"/>
          </w:tcPr>
          <w:p w14:paraId="3C821660" w14:textId="6E046ED9" w:rsidR="00462D36" w:rsidRPr="00383521" w:rsidRDefault="00D265E5" w:rsidP="00F26ED8">
            <w:pPr>
              <w:pStyle w:val="TableText0"/>
              <w:keepLines/>
              <w:jc w:val="center"/>
              <w:rPr>
                <w:highlight w:val="darkGray"/>
              </w:rPr>
            </w:pPr>
            <w:r w:rsidRPr="00D265E5">
              <w:rPr>
                <w:color w:val="000000"/>
                <w14:textFill>
                  <w14:solidFill>
                    <w14:srgbClr w14:val="000000">
                      <w14:alpha w14:val="100000"/>
                    </w14:srgbClr>
                  </w14:solidFill>
                </w14:textFill>
              </w:rPr>
              <w:t>|</w:t>
            </w:r>
          </w:p>
        </w:tc>
        <w:tc>
          <w:tcPr>
            <w:tcW w:w="777" w:type="pct"/>
            <w:vAlign w:val="center"/>
          </w:tcPr>
          <w:p w14:paraId="65A13F82" w14:textId="77777777" w:rsidR="00462D36" w:rsidRPr="00804648" w:rsidRDefault="00462D36" w:rsidP="00F26ED8">
            <w:pPr>
              <w:pStyle w:val="TableText0"/>
              <w:keepLines/>
              <w:jc w:val="center"/>
            </w:pPr>
            <w:r w:rsidRPr="00804648">
              <w:t>3.08</w:t>
            </w:r>
          </w:p>
        </w:tc>
        <w:tc>
          <w:tcPr>
            <w:tcW w:w="952" w:type="pct"/>
            <w:vAlign w:val="center"/>
          </w:tcPr>
          <w:p w14:paraId="760E47DF" w14:textId="53D84FEF" w:rsidR="00462D36" w:rsidRPr="00383521" w:rsidRDefault="00D265E5" w:rsidP="00F26ED8">
            <w:pPr>
              <w:pStyle w:val="TableText0"/>
              <w:keepLines/>
              <w:jc w:val="center"/>
              <w:rPr>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1CE83A90" w14:textId="1B82D7CA" w:rsidR="00462D36" w:rsidRPr="00804648" w:rsidRDefault="00462D36" w:rsidP="00F26ED8">
            <w:pPr>
              <w:pStyle w:val="TableText0"/>
              <w:keepLines/>
              <w:jc w:val="center"/>
              <w:rPr>
                <w:rFonts w:eastAsia="Calibri"/>
                <w:szCs w:val="20"/>
              </w:rPr>
            </w:pPr>
            <w:r w:rsidRPr="00804648">
              <w:rPr>
                <w:rFonts w:eastAsia="Calibri"/>
                <w:szCs w:val="20"/>
              </w:rPr>
              <w:t>13%</w:t>
            </w:r>
          </w:p>
        </w:tc>
      </w:tr>
      <w:tr w:rsidR="00462D36" w:rsidRPr="00804648" w14:paraId="4C25D6D0" w14:textId="77777777" w:rsidTr="00D265E5">
        <w:trPr>
          <w:cantSplit/>
          <w:trHeight w:val="283"/>
        </w:trPr>
        <w:tc>
          <w:tcPr>
            <w:tcW w:w="1894" w:type="pct"/>
            <w:vAlign w:val="center"/>
          </w:tcPr>
          <w:p w14:paraId="7A2D9695" w14:textId="77777777" w:rsidR="00462D36" w:rsidRPr="00804648" w:rsidRDefault="00462D36" w:rsidP="00F26ED8">
            <w:pPr>
              <w:pStyle w:val="TableText0"/>
              <w:keepLines/>
            </w:pPr>
            <w:r w:rsidRPr="00804648">
              <w:t>30 years</w:t>
            </w:r>
          </w:p>
        </w:tc>
        <w:tc>
          <w:tcPr>
            <w:tcW w:w="777" w:type="pct"/>
            <w:shd w:val="solid" w:color="000000" w:fill="000000"/>
            <w:vAlign w:val="center"/>
          </w:tcPr>
          <w:p w14:paraId="41F6D853" w14:textId="2F0252D7" w:rsidR="00462D36" w:rsidRPr="00383521" w:rsidRDefault="00D265E5" w:rsidP="00F26ED8">
            <w:pPr>
              <w:pStyle w:val="TableText0"/>
              <w:keepLines/>
              <w:jc w:val="center"/>
              <w:rPr>
                <w:rFonts w:eastAsia="Calibri"/>
                <w:szCs w:val="20"/>
                <w:highlight w:val="darkGray"/>
              </w:rPr>
            </w:pPr>
            <w:r w:rsidRPr="00D265E5">
              <w:rPr>
                <w:rFonts w:eastAsia="Calibri"/>
                <w:color w:val="000000"/>
                <w:szCs w:val="20"/>
                <w14:textFill>
                  <w14:solidFill>
                    <w14:srgbClr w14:val="000000">
                      <w14:alpha w14:val="100000"/>
                    </w14:srgbClr>
                  </w14:solidFill>
                </w14:textFill>
              </w:rPr>
              <w:t>|</w:t>
            </w:r>
          </w:p>
        </w:tc>
        <w:tc>
          <w:tcPr>
            <w:tcW w:w="777" w:type="pct"/>
            <w:vAlign w:val="center"/>
          </w:tcPr>
          <w:p w14:paraId="35D5CE48" w14:textId="77777777" w:rsidR="00462D36" w:rsidRPr="00804648" w:rsidRDefault="00462D36" w:rsidP="00F26ED8">
            <w:pPr>
              <w:pStyle w:val="TableText0"/>
              <w:keepLines/>
              <w:jc w:val="center"/>
              <w:rPr>
                <w:rFonts w:eastAsia="Calibri"/>
                <w:szCs w:val="20"/>
              </w:rPr>
            </w:pPr>
            <w:r w:rsidRPr="00804648">
              <w:t>3.48</w:t>
            </w:r>
          </w:p>
        </w:tc>
        <w:tc>
          <w:tcPr>
            <w:tcW w:w="952" w:type="pct"/>
            <w:vAlign w:val="center"/>
          </w:tcPr>
          <w:p w14:paraId="665769BC" w14:textId="17ED9DCC" w:rsidR="00462D36" w:rsidRPr="00383521" w:rsidRDefault="00D265E5" w:rsidP="00F26ED8">
            <w:pPr>
              <w:pStyle w:val="TableText0"/>
              <w:keepLines/>
              <w:jc w:val="center"/>
              <w:rPr>
                <w:rFonts w:eastAsia="Calibri"/>
                <w:szCs w:val="20"/>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4280395F" w14:textId="059D18A8" w:rsidR="00462D36" w:rsidRPr="00804648" w:rsidRDefault="00462D36" w:rsidP="00F26ED8">
            <w:pPr>
              <w:pStyle w:val="TableText0"/>
              <w:keepLines/>
              <w:jc w:val="center"/>
              <w:rPr>
                <w:rFonts w:eastAsia="Calibri"/>
                <w:szCs w:val="20"/>
              </w:rPr>
            </w:pPr>
            <w:r w:rsidRPr="00804648">
              <w:rPr>
                <w:rFonts w:eastAsia="Calibri"/>
                <w:szCs w:val="20"/>
              </w:rPr>
              <w:t>7%</w:t>
            </w:r>
          </w:p>
        </w:tc>
      </w:tr>
      <w:tr w:rsidR="00462D36" w:rsidRPr="00804648" w14:paraId="68DDF1CF" w14:textId="77777777" w:rsidTr="008C351B">
        <w:trPr>
          <w:cantSplit/>
          <w:trHeight w:val="283"/>
        </w:trPr>
        <w:tc>
          <w:tcPr>
            <w:tcW w:w="5000" w:type="pct"/>
            <w:gridSpan w:val="5"/>
            <w:vAlign w:val="center"/>
          </w:tcPr>
          <w:p w14:paraId="62AED994" w14:textId="77777777" w:rsidR="00462D36" w:rsidRPr="00804648" w:rsidRDefault="00462D36" w:rsidP="00F26ED8">
            <w:pPr>
              <w:pStyle w:val="TableText0"/>
              <w:keepLines/>
              <w:rPr>
                <w:rFonts w:eastAsia="Calibri"/>
                <w:szCs w:val="20"/>
              </w:rPr>
            </w:pPr>
            <w:r w:rsidRPr="00804648">
              <w:t>Discount rate (base case: 5%)</w:t>
            </w:r>
          </w:p>
        </w:tc>
      </w:tr>
      <w:tr w:rsidR="00462D36" w:rsidRPr="00804648" w14:paraId="4B7C38DB" w14:textId="77777777" w:rsidTr="00D265E5">
        <w:trPr>
          <w:cantSplit/>
          <w:trHeight w:val="283"/>
        </w:trPr>
        <w:tc>
          <w:tcPr>
            <w:tcW w:w="1894" w:type="pct"/>
            <w:vAlign w:val="center"/>
          </w:tcPr>
          <w:p w14:paraId="25927362" w14:textId="77777777" w:rsidR="00462D36" w:rsidRPr="00804648" w:rsidRDefault="00462D36" w:rsidP="00F26ED8">
            <w:pPr>
              <w:pStyle w:val="TableText0"/>
              <w:keepLines/>
            </w:pPr>
            <w:r w:rsidRPr="00804648">
              <w:t>0%</w:t>
            </w:r>
          </w:p>
        </w:tc>
        <w:tc>
          <w:tcPr>
            <w:tcW w:w="777" w:type="pct"/>
            <w:tcBorders>
              <w:bottom w:val="single" w:sz="4" w:space="0" w:color="auto"/>
            </w:tcBorders>
            <w:shd w:val="solid" w:color="000000" w:fill="000000"/>
            <w:vAlign w:val="center"/>
          </w:tcPr>
          <w:p w14:paraId="7E6140A1" w14:textId="6743972F" w:rsidR="00462D36" w:rsidRPr="00383521" w:rsidRDefault="00D265E5" w:rsidP="00F26ED8">
            <w:pPr>
              <w:pStyle w:val="TableText0"/>
              <w:keepLines/>
              <w:jc w:val="center"/>
              <w:rPr>
                <w:rFonts w:eastAsia="Calibri"/>
                <w:szCs w:val="20"/>
                <w:highlight w:val="darkGray"/>
              </w:rPr>
            </w:pPr>
            <w:r w:rsidRPr="00D265E5">
              <w:rPr>
                <w:rFonts w:eastAsia="Calibri"/>
                <w:color w:val="000000"/>
                <w:szCs w:val="20"/>
                <w14:textFill>
                  <w14:solidFill>
                    <w14:srgbClr w14:val="000000">
                      <w14:alpha w14:val="100000"/>
                    </w14:srgbClr>
                  </w14:solidFill>
                </w14:textFill>
              </w:rPr>
              <w:t>|</w:t>
            </w:r>
          </w:p>
        </w:tc>
        <w:tc>
          <w:tcPr>
            <w:tcW w:w="777" w:type="pct"/>
            <w:vAlign w:val="center"/>
          </w:tcPr>
          <w:p w14:paraId="73F94C02" w14:textId="77777777" w:rsidR="00462D36" w:rsidRPr="00804648" w:rsidRDefault="00462D36" w:rsidP="00F26ED8">
            <w:pPr>
              <w:pStyle w:val="TableText0"/>
              <w:keepLines/>
              <w:jc w:val="center"/>
              <w:rPr>
                <w:rFonts w:eastAsia="Calibri"/>
                <w:szCs w:val="20"/>
              </w:rPr>
            </w:pPr>
            <w:r w:rsidRPr="00804648">
              <w:rPr>
                <w:rFonts w:eastAsia="Calibri"/>
                <w:szCs w:val="20"/>
              </w:rPr>
              <w:t>11.23</w:t>
            </w:r>
          </w:p>
        </w:tc>
        <w:tc>
          <w:tcPr>
            <w:tcW w:w="952" w:type="pct"/>
            <w:vAlign w:val="center"/>
          </w:tcPr>
          <w:p w14:paraId="3DE5DBBE" w14:textId="57F72118" w:rsidR="00462D36" w:rsidRPr="00383521" w:rsidRDefault="00D265E5" w:rsidP="00F26ED8">
            <w:pPr>
              <w:pStyle w:val="TableText0"/>
              <w:keepLines/>
              <w:jc w:val="center"/>
              <w:rPr>
                <w:rFonts w:eastAsia="Calibri"/>
                <w:szCs w:val="20"/>
                <w:highlight w:val="darkGray"/>
              </w:rPr>
            </w:pPr>
            <w:r w:rsidRPr="00D265E5">
              <w:rPr>
                <w:rFonts w:eastAsia="Calibri"/>
                <w:color w:val="000000"/>
                <w:szCs w:val="2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362BDAF8" w14:textId="76C7A850" w:rsidR="00462D36" w:rsidRPr="00804648" w:rsidRDefault="00462D36" w:rsidP="00F26ED8">
            <w:pPr>
              <w:pStyle w:val="TableText0"/>
              <w:keepLines/>
              <w:jc w:val="center"/>
              <w:rPr>
                <w:rFonts w:eastAsia="Calibri"/>
                <w:szCs w:val="20"/>
              </w:rPr>
            </w:pPr>
            <w:r w:rsidRPr="00804648">
              <w:rPr>
                <w:rFonts w:eastAsia="Calibri"/>
                <w:szCs w:val="20"/>
              </w:rPr>
              <w:t>-18%</w:t>
            </w:r>
          </w:p>
        </w:tc>
      </w:tr>
      <w:tr w:rsidR="00462D36" w:rsidRPr="00804648" w14:paraId="338D0CE7" w14:textId="77777777" w:rsidTr="00D265E5">
        <w:trPr>
          <w:cantSplit/>
          <w:trHeight w:val="283"/>
        </w:trPr>
        <w:tc>
          <w:tcPr>
            <w:tcW w:w="1894" w:type="pct"/>
            <w:vAlign w:val="center"/>
          </w:tcPr>
          <w:p w14:paraId="779DFE73" w14:textId="77777777" w:rsidR="00462D36" w:rsidRPr="00804648" w:rsidRDefault="00462D36" w:rsidP="00F26ED8">
            <w:pPr>
              <w:pStyle w:val="TableText0"/>
              <w:keepLines/>
            </w:pPr>
            <w:r w:rsidRPr="00804648">
              <w:t>3.5%</w:t>
            </w:r>
          </w:p>
        </w:tc>
        <w:tc>
          <w:tcPr>
            <w:tcW w:w="777" w:type="pct"/>
            <w:shd w:val="solid" w:color="000000" w:fill="000000"/>
            <w:vAlign w:val="center"/>
          </w:tcPr>
          <w:p w14:paraId="03377A44" w14:textId="74693488" w:rsidR="00462D36" w:rsidRPr="00383521" w:rsidRDefault="00D265E5" w:rsidP="00F26ED8">
            <w:pPr>
              <w:pStyle w:val="TableText0"/>
              <w:keepLines/>
              <w:jc w:val="center"/>
              <w:rPr>
                <w:rFonts w:eastAsia="Calibri"/>
                <w:szCs w:val="20"/>
                <w:highlight w:val="darkGray"/>
              </w:rPr>
            </w:pPr>
            <w:r w:rsidRPr="00D265E5">
              <w:rPr>
                <w:rFonts w:eastAsia="Calibri"/>
                <w:color w:val="000000"/>
                <w:szCs w:val="20"/>
                <w14:textFill>
                  <w14:solidFill>
                    <w14:srgbClr w14:val="000000">
                      <w14:alpha w14:val="100000"/>
                    </w14:srgbClr>
                  </w14:solidFill>
                </w14:textFill>
              </w:rPr>
              <w:t>|</w:t>
            </w:r>
          </w:p>
        </w:tc>
        <w:tc>
          <w:tcPr>
            <w:tcW w:w="777" w:type="pct"/>
            <w:vAlign w:val="center"/>
          </w:tcPr>
          <w:p w14:paraId="025A392E" w14:textId="77777777" w:rsidR="00462D36" w:rsidRPr="00804648" w:rsidRDefault="00462D36" w:rsidP="00F26ED8">
            <w:pPr>
              <w:pStyle w:val="TableText0"/>
              <w:keepLines/>
              <w:jc w:val="center"/>
              <w:rPr>
                <w:rFonts w:eastAsia="Calibri"/>
                <w:szCs w:val="20"/>
              </w:rPr>
            </w:pPr>
            <w:r w:rsidRPr="00804648">
              <w:rPr>
                <w:rFonts w:eastAsia="Calibri"/>
                <w:szCs w:val="20"/>
              </w:rPr>
              <w:t>5.34</w:t>
            </w:r>
          </w:p>
        </w:tc>
        <w:tc>
          <w:tcPr>
            <w:tcW w:w="952" w:type="pct"/>
            <w:vAlign w:val="center"/>
          </w:tcPr>
          <w:p w14:paraId="5A504F36" w14:textId="125E227A" w:rsidR="00462D36" w:rsidRPr="00383521" w:rsidRDefault="00D265E5" w:rsidP="00F26ED8">
            <w:pPr>
              <w:pStyle w:val="TableText0"/>
              <w:keepLines/>
              <w:jc w:val="center"/>
              <w:rPr>
                <w:rFonts w:eastAsia="Calibri"/>
                <w:szCs w:val="20"/>
                <w:highlight w:val="darkGray"/>
              </w:rPr>
            </w:pPr>
            <w:r w:rsidRPr="00D265E5">
              <w:rPr>
                <w:rFonts w:eastAsia="Calibri"/>
                <w:color w:val="000000"/>
                <w:szCs w:val="2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55FBAF9D" w14:textId="2B2A8BF3" w:rsidR="00462D36" w:rsidRPr="00804648" w:rsidRDefault="00462D36" w:rsidP="00F26ED8">
            <w:pPr>
              <w:pStyle w:val="TableText0"/>
              <w:keepLines/>
              <w:jc w:val="center"/>
              <w:rPr>
                <w:rFonts w:eastAsia="Calibri"/>
                <w:szCs w:val="20"/>
              </w:rPr>
            </w:pPr>
            <w:r w:rsidRPr="00804648">
              <w:rPr>
                <w:rFonts w:eastAsia="Calibri"/>
                <w:szCs w:val="20"/>
              </w:rPr>
              <w:t>-</w:t>
            </w:r>
            <w:r w:rsidR="007F5E12" w:rsidRPr="00804648">
              <w:rPr>
                <w:rFonts w:eastAsia="Calibri"/>
                <w:szCs w:val="20"/>
              </w:rPr>
              <w:t>6</w:t>
            </w:r>
            <w:r w:rsidRPr="00804648">
              <w:rPr>
                <w:rFonts w:eastAsia="Calibri"/>
                <w:szCs w:val="20"/>
              </w:rPr>
              <w:t>%</w:t>
            </w:r>
          </w:p>
        </w:tc>
      </w:tr>
      <w:tr w:rsidR="00462D36" w:rsidRPr="00804648" w14:paraId="138A8F3C" w14:textId="77777777" w:rsidTr="008C351B">
        <w:trPr>
          <w:cantSplit/>
          <w:trHeight w:val="283"/>
        </w:trPr>
        <w:tc>
          <w:tcPr>
            <w:tcW w:w="5000" w:type="pct"/>
            <w:gridSpan w:val="5"/>
            <w:vAlign w:val="center"/>
          </w:tcPr>
          <w:p w14:paraId="4534BEDA" w14:textId="7497062C" w:rsidR="00462D36" w:rsidRPr="00804648" w:rsidRDefault="00462D36" w:rsidP="00F26ED8">
            <w:pPr>
              <w:pStyle w:val="TableText0"/>
              <w:keepLines/>
            </w:pPr>
            <w:r w:rsidRPr="00804648">
              <w:t>Olipudase alfa treatment benefit (base case:</w:t>
            </w:r>
            <w:r w:rsidR="008B3133" w:rsidRPr="00804648">
              <w:t xml:space="preserve"> patients in the olipudase arm remain in the same health state from Year 9 onwards with no further transitions to new health states for the remainder of the lifetime time horizon</w:t>
            </w:r>
            <w:r w:rsidRPr="00804648">
              <w:t>)</w:t>
            </w:r>
          </w:p>
        </w:tc>
      </w:tr>
      <w:tr w:rsidR="00462D36" w:rsidRPr="00804648" w14:paraId="7988F4C6" w14:textId="77777777" w:rsidTr="00D265E5">
        <w:trPr>
          <w:cantSplit/>
          <w:trHeight w:val="283"/>
        </w:trPr>
        <w:tc>
          <w:tcPr>
            <w:tcW w:w="1894" w:type="pct"/>
            <w:vAlign w:val="center"/>
          </w:tcPr>
          <w:p w14:paraId="45A5A2B3" w14:textId="7C59E5A3" w:rsidR="00462D36" w:rsidRPr="00804648" w:rsidRDefault="008B3133" w:rsidP="00F26ED8">
            <w:pPr>
              <w:pStyle w:val="TableText0"/>
              <w:keepLines/>
            </w:pPr>
            <w:r w:rsidRPr="00804648">
              <w:t>Olipudase alfa patients can remain in their current health state or transition to a worse health state from nine years onwards</w:t>
            </w:r>
          </w:p>
        </w:tc>
        <w:tc>
          <w:tcPr>
            <w:tcW w:w="777" w:type="pct"/>
            <w:shd w:val="solid" w:color="000000" w:fill="000000"/>
            <w:vAlign w:val="center"/>
          </w:tcPr>
          <w:p w14:paraId="7E5F85D0" w14:textId="4D17E1B7" w:rsidR="00462D36" w:rsidRPr="00804648" w:rsidRDefault="00D265E5" w:rsidP="00F26ED8">
            <w:pPr>
              <w:pStyle w:val="TableText0"/>
              <w:keepLines/>
              <w:jc w:val="center"/>
              <w:rPr>
                <w:rFonts w:eastAsia="Calibri"/>
                <w:szCs w:val="20"/>
              </w:rPr>
            </w:pPr>
            <w:r w:rsidRPr="00D265E5">
              <w:rPr>
                <w:rFonts w:eastAsia="Calibri"/>
                <w:color w:val="000000"/>
                <w:szCs w:val="20"/>
                <w14:textFill>
                  <w14:solidFill>
                    <w14:srgbClr w14:val="000000">
                      <w14:alpha w14:val="100000"/>
                    </w14:srgbClr>
                  </w14:solidFill>
                </w14:textFill>
              </w:rPr>
              <w:t>|</w:t>
            </w:r>
          </w:p>
        </w:tc>
        <w:tc>
          <w:tcPr>
            <w:tcW w:w="777" w:type="pct"/>
            <w:vAlign w:val="center"/>
          </w:tcPr>
          <w:p w14:paraId="319D8622" w14:textId="77777777" w:rsidR="00462D36" w:rsidRPr="00804648" w:rsidRDefault="00462D36" w:rsidP="00F26ED8">
            <w:pPr>
              <w:pStyle w:val="TableText0"/>
              <w:keepLines/>
              <w:jc w:val="center"/>
              <w:rPr>
                <w:rFonts w:eastAsia="Calibri"/>
                <w:szCs w:val="20"/>
              </w:rPr>
            </w:pPr>
            <w:r w:rsidRPr="00804648">
              <w:rPr>
                <w:rFonts w:eastAsia="Calibri"/>
                <w:szCs w:val="20"/>
              </w:rPr>
              <w:t>3.88</w:t>
            </w:r>
          </w:p>
        </w:tc>
        <w:tc>
          <w:tcPr>
            <w:tcW w:w="952" w:type="pct"/>
            <w:vAlign w:val="center"/>
          </w:tcPr>
          <w:p w14:paraId="032F8CB7" w14:textId="3F7EB4BC" w:rsidR="00462D36" w:rsidRPr="00804648" w:rsidRDefault="00D265E5" w:rsidP="00F26ED8">
            <w:pPr>
              <w:pStyle w:val="TableText0"/>
              <w:keepLines/>
              <w:jc w:val="center"/>
              <w:rPr>
                <w:rFonts w:eastAsia="Calibri"/>
                <w:szCs w:val="20"/>
              </w:rPr>
            </w:pPr>
            <w:r w:rsidRPr="00D265E5">
              <w:rPr>
                <w:rFonts w:eastAsia="Calibri"/>
                <w:color w:val="000000"/>
                <w:szCs w:val="2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5235EB19" w14:textId="1FCBA2C4" w:rsidR="00462D36" w:rsidRPr="00804648" w:rsidRDefault="007F5E12" w:rsidP="00F26ED8">
            <w:pPr>
              <w:pStyle w:val="TableText0"/>
              <w:keepLines/>
              <w:jc w:val="center"/>
              <w:rPr>
                <w:rFonts w:eastAsia="Calibri"/>
                <w:szCs w:val="20"/>
              </w:rPr>
            </w:pPr>
            <w:r w:rsidRPr="00804648">
              <w:t>6</w:t>
            </w:r>
            <w:r w:rsidR="00462D36" w:rsidRPr="00804648">
              <w:t>%</w:t>
            </w:r>
          </w:p>
        </w:tc>
      </w:tr>
      <w:tr w:rsidR="00F12981" w:rsidRPr="00804648" w14:paraId="7784529F" w14:textId="77777777" w:rsidTr="008C351B">
        <w:trPr>
          <w:cantSplit/>
          <w:trHeight w:val="283"/>
        </w:trPr>
        <w:tc>
          <w:tcPr>
            <w:tcW w:w="5000" w:type="pct"/>
            <w:gridSpan w:val="5"/>
            <w:vAlign w:val="center"/>
          </w:tcPr>
          <w:p w14:paraId="61BF0088" w14:textId="5C5401BD" w:rsidR="00F12981" w:rsidRPr="00804648" w:rsidRDefault="00F12981" w:rsidP="00F26ED8">
            <w:pPr>
              <w:pStyle w:val="TableText0"/>
              <w:keepLines/>
            </w:pPr>
            <w:r w:rsidRPr="00804648">
              <w:t>SMR (base case: 4.3 for patients without and 43.1 for patient</w:t>
            </w:r>
            <w:r w:rsidR="00774F25" w:rsidRPr="00804648">
              <w:t>s</w:t>
            </w:r>
            <w:r w:rsidRPr="00804648">
              <w:t xml:space="preserve"> with severe splenomegaly)</w:t>
            </w:r>
            <w:r w:rsidR="00A93CFB" w:rsidRPr="00804648">
              <w:t xml:space="preserve"> </w:t>
            </w:r>
            <w:r w:rsidR="00A93CFB" w:rsidRPr="00804648">
              <w:rPr>
                <w:vertAlign w:val="superscript"/>
              </w:rPr>
              <w:t>b</w:t>
            </w:r>
          </w:p>
        </w:tc>
      </w:tr>
      <w:tr w:rsidR="00F12981" w:rsidRPr="00804648" w14:paraId="1EB167BC" w14:textId="77777777" w:rsidTr="00D265E5">
        <w:trPr>
          <w:cantSplit/>
          <w:trHeight w:val="283"/>
        </w:trPr>
        <w:tc>
          <w:tcPr>
            <w:tcW w:w="1894" w:type="pct"/>
          </w:tcPr>
          <w:p w14:paraId="722687A4" w14:textId="454E5716" w:rsidR="00F12981" w:rsidRPr="00804648" w:rsidRDefault="00F12981" w:rsidP="00F26ED8">
            <w:pPr>
              <w:pStyle w:val="TableText0"/>
              <w:keepLines/>
            </w:pPr>
            <w:r w:rsidRPr="00804648">
              <w:t>Assum</w:t>
            </w:r>
            <w:r w:rsidR="004C6CB9" w:rsidRPr="00804648">
              <w:t xml:space="preserve">ing an overall </w:t>
            </w:r>
            <w:r w:rsidRPr="00804648">
              <w:t xml:space="preserve">SMR of </w:t>
            </w:r>
            <w:r w:rsidR="004C6CB9" w:rsidRPr="00804648">
              <w:t>12.5 irrespective of severity of splenomegaly</w:t>
            </w:r>
          </w:p>
        </w:tc>
        <w:tc>
          <w:tcPr>
            <w:tcW w:w="777" w:type="pct"/>
            <w:shd w:val="solid" w:color="000000" w:fill="000000"/>
            <w:vAlign w:val="center"/>
          </w:tcPr>
          <w:p w14:paraId="4B2E9A0F" w14:textId="4FAD9B3B" w:rsidR="00F12981" w:rsidRPr="00804648" w:rsidRDefault="00D265E5" w:rsidP="00F26ED8">
            <w:pPr>
              <w:pStyle w:val="TableText0"/>
              <w:keepLines/>
              <w:jc w:val="center"/>
              <w:rPr>
                <w:rFonts w:eastAsia="Calibri"/>
                <w:szCs w:val="20"/>
              </w:rPr>
            </w:pPr>
            <w:r w:rsidRPr="00D265E5">
              <w:rPr>
                <w:rFonts w:eastAsia="Calibri"/>
                <w:color w:val="000000"/>
                <w:szCs w:val="20"/>
                <w14:textFill>
                  <w14:solidFill>
                    <w14:srgbClr w14:val="000000">
                      <w14:alpha w14:val="100000"/>
                    </w14:srgbClr>
                  </w14:solidFill>
                </w14:textFill>
              </w:rPr>
              <w:t>|</w:t>
            </w:r>
          </w:p>
        </w:tc>
        <w:tc>
          <w:tcPr>
            <w:tcW w:w="777" w:type="pct"/>
            <w:vAlign w:val="center"/>
          </w:tcPr>
          <w:p w14:paraId="55D9187A" w14:textId="01ED91E6" w:rsidR="00F12981" w:rsidRPr="00804648" w:rsidRDefault="00F12981" w:rsidP="00F26ED8">
            <w:pPr>
              <w:pStyle w:val="TableText0"/>
              <w:keepLines/>
              <w:jc w:val="center"/>
              <w:rPr>
                <w:rFonts w:eastAsia="Calibri"/>
                <w:szCs w:val="20"/>
              </w:rPr>
            </w:pPr>
            <w:r w:rsidRPr="00804648">
              <w:rPr>
                <w:rFonts w:eastAsia="Calibri"/>
                <w:szCs w:val="20"/>
              </w:rPr>
              <w:t>2.</w:t>
            </w:r>
            <w:r w:rsidR="004C6CB9" w:rsidRPr="00804648">
              <w:rPr>
                <w:rFonts w:eastAsia="Calibri"/>
                <w:szCs w:val="20"/>
              </w:rPr>
              <w:t>38</w:t>
            </w:r>
          </w:p>
        </w:tc>
        <w:tc>
          <w:tcPr>
            <w:tcW w:w="952" w:type="pct"/>
            <w:vAlign w:val="center"/>
          </w:tcPr>
          <w:p w14:paraId="048CD0CC" w14:textId="3E468C54" w:rsidR="00F12981" w:rsidRPr="00804648" w:rsidRDefault="00D265E5" w:rsidP="00F26ED8">
            <w:pPr>
              <w:pStyle w:val="TableText0"/>
              <w:keepLines/>
              <w:jc w:val="center"/>
              <w:rPr>
                <w:rFonts w:eastAsia="Calibri"/>
                <w:szCs w:val="20"/>
              </w:rPr>
            </w:pPr>
            <w:r w:rsidRPr="00D265E5">
              <w:rPr>
                <w:rFonts w:eastAsia="Calibri"/>
                <w:color w:val="000000"/>
                <w:szCs w:val="20"/>
                <w:shd w:val="solid" w:color="000000" w:fill="000000"/>
                <w14:textFill>
                  <w14:solidFill>
                    <w14:srgbClr w14:val="000000">
                      <w14:alpha w14:val="100000"/>
                    </w14:srgbClr>
                  </w14:solidFill>
                </w14:textFill>
              </w:rPr>
              <w:t>|</w:t>
            </w:r>
            <w:r w:rsidR="000508C9" w:rsidRPr="000508C9">
              <w:rPr>
                <w:vertAlign w:val="superscript"/>
              </w:rPr>
              <w:t>1</w:t>
            </w:r>
          </w:p>
        </w:tc>
        <w:tc>
          <w:tcPr>
            <w:tcW w:w="600" w:type="pct"/>
            <w:vAlign w:val="center"/>
          </w:tcPr>
          <w:p w14:paraId="2932D8BC" w14:textId="622FF91D" w:rsidR="00F12981" w:rsidRPr="00804648" w:rsidRDefault="004C6CB9" w:rsidP="00F26ED8">
            <w:pPr>
              <w:pStyle w:val="TableText0"/>
              <w:keepLines/>
              <w:jc w:val="center"/>
            </w:pPr>
            <w:r w:rsidRPr="00804648">
              <w:t>44%</w:t>
            </w:r>
          </w:p>
        </w:tc>
      </w:tr>
    </w:tbl>
    <w:p w14:paraId="0C05A1B2" w14:textId="77777777" w:rsidR="00462D36" w:rsidRPr="00804648" w:rsidRDefault="00462D36" w:rsidP="00F26ED8">
      <w:pPr>
        <w:pStyle w:val="FooterTableFigure"/>
        <w:keepNext/>
        <w:keepLines/>
      </w:pPr>
      <w:r w:rsidRPr="00804648">
        <w:t>Source: Table 2.2.36, p157 of the submission.</w:t>
      </w:r>
    </w:p>
    <w:p w14:paraId="05FCF5DE" w14:textId="10EACCA9" w:rsidR="00462D36" w:rsidRPr="00804648" w:rsidRDefault="00462D36" w:rsidP="00F26ED8">
      <w:pPr>
        <w:pStyle w:val="FooterTableFigure"/>
        <w:keepNext/>
        <w:keepLines/>
      </w:pPr>
      <w:r w:rsidRPr="00804648">
        <w:t>ICER = incremental cost-effectiveness ratio, QALY = quality-adjusted life-years</w:t>
      </w:r>
      <w:r w:rsidR="006B18B5" w:rsidRPr="00804648">
        <w:t>, SMR = standardised mortality rate.</w:t>
      </w:r>
    </w:p>
    <w:p w14:paraId="36213011" w14:textId="77777777" w:rsidR="000508C9" w:rsidRDefault="00742CAB" w:rsidP="00F26ED8">
      <w:pPr>
        <w:pStyle w:val="FooterTableFigure"/>
        <w:keepNext/>
        <w:keepLines/>
      </w:pPr>
      <w:bookmarkStart w:id="83" w:name="_Ref133494419"/>
      <w:r w:rsidRPr="00804648">
        <w:t>Values in this table</w:t>
      </w:r>
      <w:r w:rsidR="00EB6528" w:rsidRPr="00804648">
        <w:t xml:space="preserve"> were</w:t>
      </w:r>
      <w:r w:rsidR="00D01D32" w:rsidRPr="00804648">
        <w:rPr>
          <w:i/>
          <w:iCs/>
        </w:rPr>
        <w:t xml:space="preserve"> </w:t>
      </w:r>
      <w:r w:rsidR="00D01D32" w:rsidRPr="00804648">
        <w:t xml:space="preserve">corrected during evaluation </w:t>
      </w:r>
      <w:r w:rsidR="006A428C" w:rsidRPr="00804648">
        <w:t xml:space="preserve">to reflect the availability of the </w:t>
      </w:r>
      <w:r w:rsidR="00D01D32" w:rsidRPr="00804648">
        <w:t>20 mg vial</w:t>
      </w:r>
      <w:r w:rsidR="006A428C" w:rsidRPr="00804648">
        <w:t xml:space="preserve"> only</w:t>
      </w:r>
      <w:r w:rsidR="00D01D32" w:rsidRPr="00804648">
        <w:t xml:space="preserve"> of olipudase alfa. Recalculated by changing 236 vials to 237 vials of 20 mg and 2 vials to 0 vials of 4 mg in cell G50 of ‘treatment cost’ worksheet in ‘Olipudase_ASMD CEA’ workbook</w:t>
      </w:r>
      <w:r w:rsidR="000508C9">
        <w:t>.</w:t>
      </w:r>
    </w:p>
    <w:p w14:paraId="03D309BF" w14:textId="5E6ADC96" w:rsidR="000508C9" w:rsidRDefault="000508C9" w:rsidP="00F26ED8">
      <w:pPr>
        <w:pStyle w:val="FooterTableFigure"/>
        <w:keepNext/>
        <w:keepLines/>
        <w:rPr>
          <w:i/>
          <w:szCs w:val="18"/>
        </w:rPr>
      </w:pPr>
      <w:r w:rsidRPr="009A6D58">
        <w:rPr>
          <w:i/>
          <w:szCs w:val="18"/>
        </w:rPr>
        <w:t>The redacted values correspond to the following ranges:</w:t>
      </w:r>
    </w:p>
    <w:p w14:paraId="37533E60" w14:textId="170DB107" w:rsidR="000508C9" w:rsidRPr="00C1697C" w:rsidRDefault="000508C9" w:rsidP="00D01D32">
      <w:pPr>
        <w:pStyle w:val="FooterTableFigure"/>
        <w:rPr>
          <w:i/>
          <w:szCs w:val="18"/>
        </w:rPr>
      </w:pPr>
      <w:r w:rsidRPr="009A6D58">
        <w:rPr>
          <w:i/>
          <w:szCs w:val="18"/>
          <w:vertAlign w:val="superscript"/>
        </w:rPr>
        <w:t>1</w:t>
      </w:r>
      <w:r>
        <w:rPr>
          <w:i/>
          <w:szCs w:val="18"/>
        </w:rPr>
        <w:t xml:space="preserve"> &gt; $1,055,000</w:t>
      </w:r>
    </w:p>
    <w:p w14:paraId="5DAA78FD" w14:textId="67B52E21" w:rsidR="00462D36" w:rsidRPr="00804648" w:rsidRDefault="00462D36" w:rsidP="00F26ED8">
      <w:pPr>
        <w:pStyle w:val="Caption"/>
        <w:rPr>
          <w:rStyle w:val="CommentReference"/>
          <w:b/>
          <w:szCs w:val="24"/>
        </w:rPr>
      </w:pPr>
      <w:bookmarkStart w:id="84" w:name="_Ref134196050"/>
      <w:bookmarkEnd w:id="81"/>
      <w:r w:rsidRPr="00804648">
        <w:lastRenderedPageBreak/>
        <w:t xml:space="preserve">Table </w:t>
      </w:r>
      <w:fldSimple w:instr=" SEQ Table \* ARABIC " w:fldLock="1">
        <w:r w:rsidR="005D02DA" w:rsidRPr="00804648">
          <w:t>21</w:t>
        </w:r>
      </w:fldSimple>
      <w:bookmarkEnd w:id="83"/>
      <w:bookmarkEnd w:id="84"/>
      <w:r w:rsidRPr="00804648">
        <w:t>:</w:t>
      </w:r>
      <w:r w:rsidRPr="00804648">
        <w:rPr>
          <w:rStyle w:val="CommentReference"/>
          <w:b/>
          <w:szCs w:val="24"/>
        </w:rPr>
        <w:t xml:space="preserve"> </w:t>
      </w:r>
      <w:r w:rsidR="00300993" w:rsidRPr="00804648">
        <w:rPr>
          <w:rStyle w:val="CommentReference"/>
          <w:b/>
          <w:szCs w:val="24"/>
        </w:rPr>
        <w:t>Univariate s</w:t>
      </w:r>
      <w:r w:rsidRPr="00804648">
        <w:rPr>
          <w:rStyle w:val="CommentReference"/>
          <w:b/>
          <w:szCs w:val="24"/>
        </w:rPr>
        <w:t xml:space="preserve">ensitivity analyses </w:t>
      </w:r>
      <w:r w:rsidR="004B241E" w:rsidRPr="00804648">
        <w:rPr>
          <w:rStyle w:val="CommentReference"/>
          <w:b/>
          <w:szCs w:val="24"/>
        </w:rPr>
        <w:t>for the p</w:t>
      </w:r>
      <w:r w:rsidRPr="00804648">
        <w:rPr>
          <w:rStyle w:val="CommentReference"/>
          <w:b/>
          <w:szCs w:val="24"/>
        </w:rPr>
        <w:t>aediatric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1137"/>
        <w:gridCol w:w="1137"/>
        <w:gridCol w:w="1384"/>
        <w:gridCol w:w="1977"/>
      </w:tblGrid>
      <w:tr w:rsidR="00462D36" w:rsidRPr="00804648" w14:paraId="36B1C0D9" w14:textId="77777777" w:rsidTr="00D265E5">
        <w:trPr>
          <w:cantSplit/>
          <w:tblHeader/>
        </w:trPr>
        <w:tc>
          <w:tcPr>
            <w:tcW w:w="1876" w:type="pct"/>
            <w:vAlign w:val="center"/>
          </w:tcPr>
          <w:p w14:paraId="6FF06E54" w14:textId="77777777" w:rsidR="00462D36" w:rsidRPr="00804648" w:rsidRDefault="00462D36" w:rsidP="00F26ED8">
            <w:pPr>
              <w:pStyle w:val="In-tableHeading"/>
              <w:keepLines/>
              <w:rPr>
                <w:lang w:val="en-AU"/>
              </w:rPr>
            </w:pPr>
            <w:r w:rsidRPr="00804648">
              <w:rPr>
                <w:lang w:val="en-AU"/>
              </w:rPr>
              <w:t>Analyses</w:t>
            </w:r>
          </w:p>
        </w:tc>
        <w:tc>
          <w:tcPr>
            <w:tcW w:w="630" w:type="pct"/>
            <w:tcBorders>
              <w:bottom w:val="single" w:sz="4" w:space="0" w:color="auto"/>
            </w:tcBorders>
            <w:vAlign w:val="center"/>
          </w:tcPr>
          <w:p w14:paraId="75C58659" w14:textId="47017599" w:rsidR="00462D36" w:rsidRPr="00804648" w:rsidRDefault="00462D36" w:rsidP="00F26ED8">
            <w:pPr>
              <w:pStyle w:val="In-tableHeading"/>
              <w:keepLines/>
              <w:jc w:val="center"/>
              <w:rPr>
                <w:lang w:val="en-AU"/>
              </w:rPr>
            </w:pPr>
            <w:r w:rsidRPr="00804648">
              <w:rPr>
                <w:lang w:val="en-AU"/>
              </w:rPr>
              <w:t>Incremental cost</w:t>
            </w:r>
            <w:r w:rsidR="00D917C5">
              <w:rPr>
                <w:lang w:val="en-AU"/>
              </w:rPr>
              <w:t xml:space="preserve"> ($)</w:t>
            </w:r>
          </w:p>
        </w:tc>
        <w:tc>
          <w:tcPr>
            <w:tcW w:w="630" w:type="pct"/>
            <w:vAlign w:val="center"/>
          </w:tcPr>
          <w:p w14:paraId="35BFEBA9" w14:textId="77777777" w:rsidR="00462D36" w:rsidRPr="00804648" w:rsidRDefault="00462D36" w:rsidP="00F26ED8">
            <w:pPr>
              <w:pStyle w:val="In-tableHeading"/>
              <w:keepLines/>
              <w:jc w:val="center"/>
              <w:rPr>
                <w:lang w:val="en-AU"/>
              </w:rPr>
            </w:pPr>
            <w:r w:rsidRPr="00804648">
              <w:rPr>
                <w:lang w:val="en-AU"/>
              </w:rPr>
              <w:t>Incremental QALY</w:t>
            </w:r>
          </w:p>
        </w:tc>
        <w:tc>
          <w:tcPr>
            <w:tcW w:w="766" w:type="pct"/>
            <w:vAlign w:val="center"/>
          </w:tcPr>
          <w:p w14:paraId="1EC07874" w14:textId="77777777" w:rsidR="00462D36" w:rsidRPr="00804648" w:rsidRDefault="00462D36" w:rsidP="00F26ED8">
            <w:pPr>
              <w:pStyle w:val="In-tableHeading"/>
              <w:keepLines/>
              <w:jc w:val="center"/>
              <w:rPr>
                <w:lang w:val="en-AU"/>
              </w:rPr>
            </w:pPr>
            <w:r w:rsidRPr="00804648">
              <w:rPr>
                <w:lang w:val="en-AU"/>
              </w:rPr>
              <w:t>ICER</w:t>
            </w:r>
          </w:p>
        </w:tc>
        <w:tc>
          <w:tcPr>
            <w:tcW w:w="1096" w:type="pct"/>
            <w:vAlign w:val="center"/>
          </w:tcPr>
          <w:p w14:paraId="58D9CD9C" w14:textId="77777777" w:rsidR="00462D36" w:rsidRPr="00804648" w:rsidRDefault="00462D36" w:rsidP="00F26ED8">
            <w:pPr>
              <w:pStyle w:val="In-tableHeading"/>
              <w:keepLines/>
              <w:jc w:val="center"/>
              <w:rPr>
                <w:lang w:val="en-AU"/>
              </w:rPr>
            </w:pPr>
            <w:r w:rsidRPr="00804648">
              <w:rPr>
                <w:lang w:val="en-AU"/>
              </w:rPr>
              <w:t>% change to ICER</w:t>
            </w:r>
          </w:p>
        </w:tc>
      </w:tr>
      <w:tr w:rsidR="005D7F35" w:rsidRPr="00804648" w14:paraId="20849B89" w14:textId="77777777" w:rsidTr="00D265E5">
        <w:trPr>
          <w:cantSplit/>
        </w:trPr>
        <w:tc>
          <w:tcPr>
            <w:tcW w:w="1876" w:type="pct"/>
            <w:vAlign w:val="center"/>
          </w:tcPr>
          <w:p w14:paraId="5C40233E" w14:textId="77777777" w:rsidR="005D7F35" w:rsidRPr="00804648" w:rsidRDefault="005D7F35" w:rsidP="00F26ED8">
            <w:pPr>
              <w:pStyle w:val="TableText0"/>
              <w:keepLines/>
              <w:rPr>
                <w:b/>
              </w:rPr>
            </w:pPr>
            <w:r w:rsidRPr="00804648">
              <w:rPr>
                <w:b/>
              </w:rPr>
              <w:t>Base case</w:t>
            </w:r>
          </w:p>
        </w:tc>
        <w:tc>
          <w:tcPr>
            <w:tcW w:w="630" w:type="pct"/>
            <w:shd w:val="solid" w:color="000000" w:fill="000000"/>
          </w:tcPr>
          <w:p w14:paraId="2394D645" w14:textId="2B9BDA2F" w:rsidR="005D7F35" w:rsidRPr="00383521" w:rsidRDefault="00D265E5" w:rsidP="00F26ED8">
            <w:pPr>
              <w:pStyle w:val="TableText0"/>
              <w:keepLines/>
              <w:jc w:val="center"/>
              <w:rPr>
                <w:b/>
                <w:bCs w:val="0"/>
                <w:highlight w:val="darkGray"/>
              </w:rPr>
            </w:pPr>
            <w:r w:rsidRPr="00D265E5">
              <w:rPr>
                <w:rFonts w:hint="eastAsia"/>
                <w:b/>
                <w:bCs w:val="0"/>
                <w:color w:val="000000"/>
                <w:w w:val="26"/>
                <w:fitText w:val="120" w:id="-1168461568"/>
                <w14:textFill>
                  <w14:solidFill>
                    <w14:srgbClr w14:val="000000">
                      <w14:alpha w14:val="100000"/>
                    </w14:srgbClr>
                  </w14:solidFill>
                </w14:textFill>
              </w:rPr>
              <w:t xml:space="preserve">　</w:t>
            </w:r>
            <w:r w:rsidRPr="00D265E5">
              <w:rPr>
                <w:b/>
                <w:bCs w:val="0"/>
                <w:color w:val="000000"/>
                <w:w w:val="26"/>
                <w:fitText w:val="120" w:id="-1168461568"/>
                <w14:textFill>
                  <w14:solidFill>
                    <w14:srgbClr w14:val="000000">
                      <w14:alpha w14:val="100000"/>
                    </w14:srgbClr>
                  </w14:solidFill>
                </w14:textFill>
              </w:rPr>
              <w:t>|</w:t>
            </w:r>
            <w:r w:rsidRPr="00D265E5">
              <w:rPr>
                <w:rFonts w:hint="eastAsia"/>
                <w:b/>
                <w:bCs w:val="0"/>
                <w:color w:val="000000"/>
                <w:w w:val="26"/>
                <w:fitText w:val="120" w:id="-1168461568"/>
                <w14:textFill>
                  <w14:solidFill>
                    <w14:srgbClr w14:val="000000">
                      <w14:alpha w14:val="100000"/>
                    </w14:srgbClr>
                  </w14:solidFill>
                </w14:textFill>
              </w:rPr>
              <w:t xml:space="preserve">　</w:t>
            </w:r>
          </w:p>
        </w:tc>
        <w:tc>
          <w:tcPr>
            <w:tcW w:w="630" w:type="pct"/>
          </w:tcPr>
          <w:p w14:paraId="1FECD941" w14:textId="5A39DE23" w:rsidR="005D7F35" w:rsidRPr="00804648" w:rsidRDefault="005D7F35" w:rsidP="00F26ED8">
            <w:pPr>
              <w:pStyle w:val="TableText0"/>
              <w:keepLines/>
              <w:jc w:val="center"/>
              <w:rPr>
                <w:b/>
                <w:bCs w:val="0"/>
              </w:rPr>
            </w:pPr>
            <w:r w:rsidRPr="00804648">
              <w:rPr>
                <w:b/>
                <w:bCs w:val="0"/>
              </w:rPr>
              <w:t>5.09</w:t>
            </w:r>
          </w:p>
        </w:tc>
        <w:tc>
          <w:tcPr>
            <w:tcW w:w="766" w:type="pct"/>
          </w:tcPr>
          <w:p w14:paraId="5C575154" w14:textId="5D1A0049" w:rsidR="005D7F35" w:rsidRPr="00804648" w:rsidRDefault="00D265E5" w:rsidP="00F26ED8">
            <w:pPr>
              <w:pStyle w:val="TableText0"/>
              <w:keepLines/>
              <w:jc w:val="center"/>
              <w:rPr>
                <w:b/>
                <w:bCs w:val="0"/>
                <w:highlight w:val="black"/>
              </w:rPr>
            </w:pPr>
            <w:r w:rsidRPr="00D265E5">
              <w:rPr>
                <w:rFonts w:hint="eastAsia"/>
                <w:b/>
                <w:bCs w:val="0"/>
                <w:color w:val="000000"/>
                <w:w w:val="15"/>
                <w:shd w:val="solid" w:color="000000" w:fill="000000"/>
                <w:fitText w:val="45" w:id="-1168461567"/>
                <w14:textFill>
                  <w14:solidFill>
                    <w14:srgbClr w14:val="000000">
                      <w14:alpha w14:val="100000"/>
                    </w14:srgbClr>
                  </w14:solidFill>
                </w14:textFill>
              </w:rPr>
              <w:t xml:space="preserve">　</w:t>
            </w:r>
            <w:r w:rsidRPr="00D265E5">
              <w:rPr>
                <w:b/>
                <w:bCs w:val="0"/>
                <w:color w:val="000000"/>
                <w:w w:val="15"/>
                <w:shd w:val="solid" w:color="000000" w:fill="000000"/>
                <w:fitText w:val="45" w:id="-1168461567"/>
                <w14:textFill>
                  <w14:solidFill>
                    <w14:srgbClr w14:val="000000">
                      <w14:alpha w14:val="100000"/>
                    </w14:srgbClr>
                  </w14:solidFill>
                </w14:textFill>
              </w:rPr>
              <w:t>|</w:t>
            </w:r>
            <w:r w:rsidRPr="00D265E5">
              <w:rPr>
                <w:rFonts w:hint="eastAsia"/>
                <w:b/>
                <w:bCs w:val="0"/>
                <w:color w:val="000000"/>
                <w:spacing w:val="-21"/>
                <w:w w:val="15"/>
                <w:shd w:val="solid" w:color="000000" w:fill="000000"/>
                <w:fitText w:val="45" w:id="-1168461567"/>
                <w14:textFill>
                  <w14:solidFill>
                    <w14:srgbClr w14:val="000000">
                      <w14:alpha w14:val="100000"/>
                    </w14:srgbClr>
                  </w14:solidFill>
                </w14:textFill>
              </w:rPr>
              <w:t xml:space="preserve">　</w:t>
            </w:r>
            <w:r w:rsidR="000508C9" w:rsidRPr="000508C9">
              <w:rPr>
                <w:vertAlign w:val="superscript"/>
              </w:rPr>
              <w:t>1</w:t>
            </w:r>
          </w:p>
        </w:tc>
        <w:tc>
          <w:tcPr>
            <w:tcW w:w="1096" w:type="pct"/>
            <w:vAlign w:val="center"/>
          </w:tcPr>
          <w:p w14:paraId="1CD7DEA2" w14:textId="63FCF2D2" w:rsidR="005D7F35" w:rsidRPr="00804648" w:rsidRDefault="005D7F35" w:rsidP="00F26ED8">
            <w:pPr>
              <w:pStyle w:val="TableText0"/>
              <w:keepLines/>
              <w:jc w:val="center"/>
              <w:rPr>
                <w:rFonts w:eastAsia="Calibri"/>
                <w:b/>
                <w:szCs w:val="20"/>
              </w:rPr>
            </w:pPr>
            <w:r w:rsidRPr="00804648">
              <w:rPr>
                <w:rFonts w:eastAsia="Calibri"/>
                <w:b/>
                <w:szCs w:val="20"/>
              </w:rPr>
              <w:t>-</w:t>
            </w:r>
          </w:p>
        </w:tc>
      </w:tr>
      <w:tr w:rsidR="00462D36" w:rsidRPr="00804648" w14:paraId="117EE6B7" w14:textId="77777777" w:rsidTr="00300993">
        <w:trPr>
          <w:cantSplit/>
        </w:trPr>
        <w:tc>
          <w:tcPr>
            <w:tcW w:w="3904" w:type="pct"/>
            <w:gridSpan w:val="4"/>
            <w:vAlign w:val="center"/>
          </w:tcPr>
          <w:p w14:paraId="756727A8" w14:textId="77777777" w:rsidR="00462D36" w:rsidRPr="00804648" w:rsidRDefault="00462D36" w:rsidP="00F26ED8">
            <w:pPr>
              <w:pStyle w:val="TableText0"/>
              <w:keepLines/>
            </w:pPr>
            <w:r w:rsidRPr="00804648">
              <w:t>Time horizon (base case: lifetime)</w:t>
            </w:r>
          </w:p>
        </w:tc>
        <w:tc>
          <w:tcPr>
            <w:tcW w:w="1096" w:type="pct"/>
            <w:vAlign w:val="center"/>
          </w:tcPr>
          <w:p w14:paraId="116958C3" w14:textId="77777777" w:rsidR="00462D36" w:rsidRPr="00804648" w:rsidRDefault="00462D36" w:rsidP="00F26ED8">
            <w:pPr>
              <w:pStyle w:val="TableText0"/>
              <w:keepLines/>
            </w:pPr>
          </w:p>
        </w:tc>
      </w:tr>
      <w:tr w:rsidR="0094241A" w:rsidRPr="00804648" w14:paraId="0766291A" w14:textId="77777777" w:rsidTr="00D265E5">
        <w:trPr>
          <w:cantSplit/>
        </w:trPr>
        <w:tc>
          <w:tcPr>
            <w:tcW w:w="1876" w:type="pct"/>
            <w:vAlign w:val="center"/>
          </w:tcPr>
          <w:p w14:paraId="4C65C4F5" w14:textId="77777777" w:rsidR="0094241A" w:rsidRPr="00804648" w:rsidRDefault="0094241A" w:rsidP="00F26ED8">
            <w:pPr>
              <w:pStyle w:val="TableText0"/>
              <w:keepLines/>
            </w:pPr>
            <w:r w:rsidRPr="00804648">
              <w:t>50 years</w:t>
            </w:r>
          </w:p>
        </w:tc>
        <w:tc>
          <w:tcPr>
            <w:tcW w:w="630" w:type="pct"/>
            <w:tcBorders>
              <w:bottom w:val="single" w:sz="4" w:space="0" w:color="auto"/>
            </w:tcBorders>
          </w:tcPr>
          <w:p w14:paraId="7741D9F8" w14:textId="60AB131A" w:rsidR="0094241A" w:rsidRPr="00383521" w:rsidRDefault="00D265E5" w:rsidP="00F26ED8">
            <w:pPr>
              <w:pStyle w:val="TableText0"/>
              <w:keepLines/>
              <w:jc w:val="center"/>
              <w:rPr>
                <w:highlight w:val="darkGray"/>
              </w:rPr>
            </w:pPr>
            <w:r w:rsidRPr="00D265E5">
              <w:rPr>
                <w:rFonts w:hint="eastAsia"/>
                <w:color w:val="000000"/>
                <w:w w:val="20"/>
                <w:shd w:val="solid" w:color="000000" w:fill="000000"/>
                <w:fitText w:val="90" w:id="-1168461566"/>
                <w14:textFill>
                  <w14:solidFill>
                    <w14:srgbClr w14:val="000000">
                      <w14:alpha w14:val="100000"/>
                    </w14:srgbClr>
                  </w14:solidFill>
                </w14:textFill>
              </w:rPr>
              <w:t xml:space="preserve">　</w:t>
            </w:r>
            <w:r w:rsidRPr="00D265E5">
              <w:rPr>
                <w:color w:val="000000"/>
                <w:w w:val="20"/>
                <w:shd w:val="solid" w:color="000000" w:fill="000000"/>
                <w:fitText w:val="90" w:id="-1168461566"/>
                <w14:textFill>
                  <w14:solidFill>
                    <w14:srgbClr w14:val="000000">
                      <w14:alpha w14:val="100000"/>
                    </w14:srgbClr>
                  </w14:solidFill>
                </w14:textFill>
              </w:rPr>
              <w:t>|</w:t>
            </w:r>
            <w:r w:rsidRPr="00D265E5">
              <w:rPr>
                <w:rFonts w:hint="eastAsia"/>
                <w:color w:val="000000"/>
                <w:spacing w:val="3"/>
                <w:w w:val="20"/>
                <w:shd w:val="solid" w:color="000000" w:fill="000000"/>
                <w:fitText w:val="90" w:id="-1168461566"/>
                <w14:textFill>
                  <w14:solidFill>
                    <w14:srgbClr w14:val="000000">
                      <w14:alpha w14:val="100000"/>
                    </w14:srgbClr>
                  </w14:solidFill>
                </w14:textFill>
              </w:rPr>
              <w:t xml:space="preserve">　</w:t>
            </w:r>
            <w:r w:rsidRPr="00D265E5">
              <w:t xml:space="preserve"> </w:t>
            </w:r>
          </w:p>
        </w:tc>
        <w:tc>
          <w:tcPr>
            <w:tcW w:w="630" w:type="pct"/>
            <w:vAlign w:val="center"/>
          </w:tcPr>
          <w:p w14:paraId="3453FFAC" w14:textId="77777777" w:rsidR="0094241A" w:rsidRPr="00804648" w:rsidRDefault="0094241A" w:rsidP="00F26ED8">
            <w:pPr>
              <w:pStyle w:val="TableText0"/>
              <w:keepLines/>
              <w:jc w:val="center"/>
            </w:pPr>
            <w:r w:rsidRPr="00804648">
              <w:t>4.71</w:t>
            </w:r>
          </w:p>
        </w:tc>
        <w:tc>
          <w:tcPr>
            <w:tcW w:w="766" w:type="pct"/>
            <w:vAlign w:val="center"/>
          </w:tcPr>
          <w:p w14:paraId="158437A3" w14:textId="7799FBCD" w:rsidR="0094241A" w:rsidRPr="00383521" w:rsidRDefault="00D265E5" w:rsidP="00F26ED8">
            <w:pPr>
              <w:pStyle w:val="TableText0"/>
              <w:keepLines/>
              <w:jc w:val="center"/>
              <w:rPr>
                <w:highlight w:val="darkGray"/>
              </w:rPr>
            </w:pPr>
            <w:r w:rsidRPr="00E42CEA">
              <w:rPr>
                <w:rFonts w:hint="eastAsia"/>
                <w:color w:val="000000"/>
                <w:w w:val="15"/>
                <w:shd w:val="solid" w:color="000000" w:fill="000000"/>
                <w:fitText w:val="15" w:id="-1168461565"/>
                <w14:textFill>
                  <w14:solidFill>
                    <w14:srgbClr w14:val="000000">
                      <w14:alpha w14:val="100000"/>
                    </w14:srgbClr>
                  </w14:solidFill>
                </w14:textFill>
              </w:rPr>
              <w:t xml:space="preserve">　</w:t>
            </w:r>
            <w:r w:rsidRPr="00E42CEA">
              <w:rPr>
                <w:color w:val="000000"/>
                <w:w w:val="15"/>
                <w:shd w:val="solid" w:color="000000" w:fill="000000"/>
                <w:fitText w:val="15" w:id="-1168461565"/>
                <w14:textFill>
                  <w14:solidFill>
                    <w14:srgbClr w14:val="000000">
                      <w14:alpha w14:val="100000"/>
                    </w14:srgbClr>
                  </w14:solidFill>
                </w14:textFill>
              </w:rPr>
              <w:t>|</w:t>
            </w:r>
            <w:r w:rsidRPr="00E42CEA">
              <w:rPr>
                <w:rFonts w:hint="eastAsia"/>
                <w:color w:val="000000"/>
                <w:spacing w:val="-50"/>
                <w:w w:val="15"/>
                <w:shd w:val="solid" w:color="000000" w:fill="000000"/>
                <w:fitText w:val="15" w:id="-1168461565"/>
                <w14:textFill>
                  <w14:solidFill>
                    <w14:srgbClr w14:val="000000">
                      <w14:alpha w14:val="100000"/>
                    </w14:srgbClr>
                  </w14:solidFill>
                </w14:textFill>
              </w:rPr>
              <w:t xml:space="preserve">　</w:t>
            </w:r>
            <w:r w:rsidRPr="00D265E5">
              <w:t xml:space="preserve"> </w:t>
            </w:r>
            <w:r w:rsidR="000508C9" w:rsidRPr="000508C9">
              <w:rPr>
                <w:vertAlign w:val="superscript"/>
              </w:rPr>
              <w:t>1</w:t>
            </w:r>
          </w:p>
        </w:tc>
        <w:tc>
          <w:tcPr>
            <w:tcW w:w="1096" w:type="pct"/>
            <w:vAlign w:val="center"/>
          </w:tcPr>
          <w:p w14:paraId="0C572D01" w14:textId="4EE004F3" w:rsidR="0094241A" w:rsidRPr="00804648" w:rsidRDefault="00C57643" w:rsidP="00F26ED8">
            <w:pPr>
              <w:pStyle w:val="TableText0"/>
              <w:keepLines/>
              <w:jc w:val="center"/>
              <w:rPr>
                <w:rFonts w:eastAsia="Calibri"/>
                <w:szCs w:val="20"/>
              </w:rPr>
            </w:pPr>
            <w:r w:rsidRPr="00804648">
              <w:t>3</w:t>
            </w:r>
            <w:r w:rsidR="0094241A" w:rsidRPr="00804648">
              <w:t>%</w:t>
            </w:r>
          </w:p>
        </w:tc>
      </w:tr>
      <w:tr w:rsidR="0094241A" w:rsidRPr="00804648" w14:paraId="2E926B5E" w14:textId="77777777" w:rsidTr="00D265E5">
        <w:trPr>
          <w:cantSplit/>
          <w:trHeight w:val="283"/>
        </w:trPr>
        <w:tc>
          <w:tcPr>
            <w:tcW w:w="1876" w:type="pct"/>
            <w:vAlign w:val="center"/>
          </w:tcPr>
          <w:p w14:paraId="75438496" w14:textId="77777777" w:rsidR="0094241A" w:rsidRPr="00804648" w:rsidRDefault="0094241A" w:rsidP="00F26ED8">
            <w:pPr>
              <w:pStyle w:val="TableText0"/>
              <w:keepLines/>
            </w:pPr>
            <w:r w:rsidRPr="00804648">
              <w:t>60 years</w:t>
            </w:r>
          </w:p>
        </w:tc>
        <w:tc>
          <w:tcPr>
            <w:tcW w:w="630" w:type="pct"/>
            <w:tcBorders>
              <w:bottom w:val="single" w:sz="4" w:space="0" w:color="auto"/>
            </w:tcBorders>
            <w:shd w:val="solid" w:color="000000" w:fill="000000"/>
          </w:tcPr>
          <w:p w14:paraId="3A426CE6" w14:textId="3B493721" w:rsidR="0094241A" w:rsidRPr="00383521" w:rsidRDefault="00D265E5" w:rsidP="00F26ED8">
            <w:pPr>
              <w:pStyle w:val="TableText0"/>
              <w:keepLines/>
              <w:jc w:val="center"/>
              <w:rPr>
                <w:highlight w:val="darkGray"/>
              </w:rPr>
            </w:pPr>
            <w:r w:rsidRPr="00D265E5">
              <w:rPr>
                <w:rFonts w:hint="eastAsia"/>
                <w:color w:val="000000"/>
                <w:w w:val="20"/>
                <w:fitText w:val="90" w:id="-1168461564"/>
                <w14:textFill>
                  <w14:solidFill>
                    <w14:srgbClr w14:val="000000">
                      <w14:alpha w14:val="100000"/>
                    </w14:srgbClr>
                  </w14:solidFill>
                </w14:textFill>
              </w:rPr>
              <w:t xml:space="preserve">　</w:t>
            </w:r>
            <w:r w:rsidRPr="00D265E5">
              <w:rPr>
                <w:color w:val="000000"/>
                <w:w w:val="20"/>
                <w:fitText w:val="90" w:id="-1168461564"/>
                <w14:textFill>
                  <w14:solidFill>
                    <w14:srgbClr w14:val="000000">
                      <w14:alpha w14:val="100000"/>
                    </w14:srgbClr>
                  </w14:solidFill>
                </w14:textFill>
              </w:rPr>
              <w:t>|</w:t>
            </w:r>
            <w:r w:rsidRPr="00D265E5">
              <w:rPr>
                <w:rFonts w:hint="eastAsia"/>
                <w:color w:val="000000"/>
                <w:w w:val="20"/>
                <w:fitText w:val="90" w:id="-1168461564"/>
                <w14:textFill>
                  <w14:solidFill>
                    <w14:srgbClr w14:val="000000">
                      <w14:alpha w14:val="100000"/>
                    </w14:srgbClr>
                  </w14:solidFill>
                </w14:textFill>
              </w:rPr>
              <w:t xml:space="preserve">　</w:t>
            </w:r>
          </w:p>
        </w:tc>
        <w:tc>
          <w:tcPr>
            <w:tcW w:w="630" w:type="pct"/>
            <w:vAlign w:val="center"/>
          </w:tcPr>
          <w:p w14:paraId="21587784" w14:textId="77777777" w:rsidR="0094241A" w:rsidRPr="00804648" w:rsidRDefault="0094241A" w:rsidP="00F26ED8">
            <w:pPr>
              <w:pStyle w:val="TableText0"/>
              <w:keepLines/>
              <w:jc w:val="center"/>
            </w:pPr>
            <w:r w:rsidRPr="00804648">
              <w:t>4.96</w:t>
            </w:r>
          </w:p>
        </w:tc>
        <w:tc>
          <w:tcPr>
            <w:tcW w:w="766" w:type="pct"/>
            <w:vAlign w:val="center"/>
          </w:tcPr>
          <w:p w14:paraId="59EDD320" w14:textId="0EE98E0F" w:rsidR="0094241A" w:rsidRPr="00383521" w:rsidRDefault="00D265E5" w:rsidP="00F26ED8">
            <w:pPr>
              <w:pStyle w:val="TableText0"/>
              <w:keepLines/>
              <w:jc w:val="center"/>
              <w:rPr>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vAlign w:val="center"/>
          </w:tcPr>
          <w:p w14:paraId="13C95A1B" w14:textId="1B41CD6A" w:rsidR="0094241A" w:rsidRPr="00804648" w:rsidRDefault="00C57643" w:rsidP="00F26ED8">
            <w:pPr>
              <w:pStyle w:val="TableText0"/>
              <w:keepLines/>
              <w:jc w:val="center"/>
              <w:rPr>
                <w:rFonts w:eastAsia="Calibri"/>
                <w:szCs w:val="20"/>
              </w:rPr>
            </w:pPr>
            <w:r w:rsidRPr="00804648">
              <w:t>1</w:t>
            </w:r>
            <w:r w:rsidR="0094241A" w:rsidRPr="00804648">
              <w:t>%</w:t>
            </w:r>
          </w:p>
        </w:tc>
      </w:tr>
      <w:tr w:rsidR="0094241A" w:rsidRPr="00804648" w14:paraId="2DFA65EF" w14:textId="77777777" w:rsidTr="00D265E5">
        <w:trPr>
          <w:cantSplit/>
          <w:trHeight w:val="283"/>
        </w:trPr>
        <w:tc>
          <w:tcPr>
            <w:tcW w:w="1876" w:type="pct"/>
            <w:vAlign w:val="center"/>
          </w:tcPr>
          <w:p w14:paraId="422DB969" w14:textId="77777777" w:rsidR="0094241A" w:rsidRPr="00804648" w:rsidRDefault="0094241A" w:rsidP="00F26ED8">
            <w:pPr>
              <w:pStyle w:val="TableText0"/>
              <w:keepLines/>
            </w:pPr>
            <w:r w:rsidRPr="00804648">
              <w:t>70 years</w:t>
            </w:r>
          </w:p>
        </w:tc>
        <w:tc>
          <w:tcPr>
            <w:tcW w:w="630" w:type="pct"/>
            <w:shd w:val="solid" w:color="000000" w:fill="000000"/>
          </w:tcPr>
          <w:p w14:paraId="6F2EB6D3" w14:textId="6009D03D" w:rsidR="0094241A" w:rsidRPr="00383521" w:rsidRDefault="00D265E5" w:rsidP="00F26ED8">
            <w:pPr>
              <w:pStyle w:val="TableText0"/>
              <w:keepLines/>
              <w:jc w:val="center"/>
              <w:rPr>
                <w:rFonts w:eastAsia="Calibri"/>
                <w:szCs w:val="20"/>
                <w:highlight w:val="darkGray"/>
              </w:rPr>
            </w:pPr>
            <w:r w:rsidRPr="00D265E5">
              <w:rPr>
                <w:rFonts w:eastAsia="Calibri" w:hint="eastAsia"/>
                <w:color w:val="000000"/>
                <w:w w:val="20"/>
                <w:szCs w:val="20"/>
                <w:fitText w:val="90" w:id="-1168461563"/>
                <w14:textFill>
                  <w14:solidFill>
                    <w14:srgbClr w14:val="000000">
                      <w14:alpha w14:val="100000"/>
                    </w14:srgbClr>
                  </w14:solidFill>
                </w14:textFill>
              </w:rPr>
              <w:t xml:space="preserve">　</w:t>
            </w:r>
            <w:r w:rsidRPr="00D265E5">
              <w:rPr>
                <w:rFonts w:eastAsia="Calibri"/>
                <w:color w:val="000000"/>
                <w:w w:val="20"/>
                <w:szCs w:val="20"/>
                <w:fitText w:val="90" w:id="-1168461563"/>
                <w14:textFill>
                  <w14:solidFill>
                    <w14:srgbClr w14:val="000000">
                      <w14:alpha w14:val="100000"/>
                    </w14:srgbClr>
                  </w14:solidFill>
                </w14:textFill>
              </w:rPr>
              <w:t>|</w:t>
            </w:r>
            <w:r w:rsidRPr="00D265E5">
              <w:rPr>
                <w:rFonts w:eastAsia="Calibri" w:hint="eastAsia"/>
                <w:color w:val="000000"/>
                <w:w w:val="20"/>
                <w:szCs w:val="20"/>
                <w:fitText w:val="90" w:id="-1168461563"/>
                <w14:textFill>
                  <w14:solidFill>
                    <w14:srgbClr w14:val="000000">
                      <w14:alpha w14:val="100000"/>
                    </w14:srgbClr>
                  </w14:solidFill>
                </w14:textFill>
              </w:rPr>
              <w:t xml:space="preserve">　</w:t>
            </w:r>
          </w:p>
        </w:tc>
        <w:tc>
          <w:tcPr>
            <w:tcW w:w="630" w:type="pct"/>
            <w:vAlign w:val="center"/>
          </w:tcPr>
          <w:p w14:paraId="6E28BA01" w14:textId="77777777" w:rsidR="0094241A" w:rsidRPr="00804648" w:rsidRDefault="0094241A" w:rsidP="00F26ED8">
            <w:pPr>
              <w:pStyle w:val="TableText0"/>
              <w:keepLines/>
              <w:jc w:val="center"/>
              <w:rPr>
                <w:rFonts w:eastAsia="Calibri"/>
                <w:szCs w:val="20"/>
              </w:rPr>
            </w:pPr>
            <w:r w:rsidRPr="00804648">
              <w:t>5.07</w:t>
            </w:r>
          </w:p>
        </w:tc>
        <w:tc>
          <w:tcPr>
            <w:tcW w:w="766" w:type="pct"/>
            <w:vAlign w:val="center"/>
          </w:tcPr>
          <w:p w14:paraId="2B74B439" w14:textId="24097224" w:rsidR="0094241A" w:rsidRPr="00383521" w:rsidRDefault="00D265E5" w:rsidP="00F26ED8">
            <w:pPr>
              <w:pStyle w:val="TableText0"/>
              <w:keepLines/>
              <w:jc w:val="center"/>
              <w:rPr>
                <w:rFonts w:eastAsia="Calibri"/>
                <w:szCs w:val="20"/>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vAlign w:val="center"/>
          </w:tcPr>
          <w:p w14:paraId="3732ABED" w14:textId="46721F78" w:rsidR="0094241A" w:rsidRPr="00804648" w:rsidRDefault="00C57643" w:rsidP="00F26ED8">
            <w:pPr>
              <w:pStyle w:val="TableText0"/>
              <w:keepLines/>
              <w:jc w:val="center"/>
              <w:rPr>
                <w:rFonts w:eastAsia="Calibri"/>
                <w:szCs w:val="20"/>
              </w:rPr>
            </w:pPr>
            <w:r w:rsidRPr="00804648">
              <w:t>0</w:t>
            </w:r>
            <w:r w:rsidR="0094241A" w:rsidRPr="00804648">
              <w:t>%</w:t>
            </w:r>
          </w:p>
        </w:tc>
      </w:tr>
      <w:tr w:rsidR="00462D36" w:rsidRPr="00804648" w14:paraId="065CD8E2" w14:textId="77777777" w:rsidTr="008C351B">
        <w:trPr>
          <w:cantSplit/>
          <w:trHeight w:val="283"/>
        </w:trPr>
        <w:tc>
          <w:tcPr>
            <w:tcW w:w="5000" w:type="pct"/>
            <w:gridSpan w:val="5"/>
            <w:vAlign w:val="center"/>
          </w:tcPr>
          <w:p w14:paraId="7A255C8F" w14:textId="77777777" w:rsidR="00462D36" w:rsidRPr="00804648" w:rsidRDefault="00462D36" w:rsidP="00F26ED8">
            <w:pPr>
              <w:pStyle w:val="TableText0"/>
              <w:keepLines/>
              <w:rPr>
                <w:rFonts w:eastAsia="Calibri"/>
                <w:szCs w:val="20"/>
              </w:rPr>
            </w:pPr>
            <w:r w:rsidRPr="00804648">
              <w:t>Discount rate (base case: 5%)</w:t>
            </w:r>
          </w:p>
        </w:tc>
      </w:tr>
      <w:tr w:rsidR="00462D36" w:rsidRPr="00804648" w14:paraId="0AD2C93F" w14:textId="77777777" w:rsidTr="00D265E5">
        <w:trPr>
          <w:cantSplit/>
          <w:trHeight w:val="283"/>
        </w:trPr>
        <w:tc>
          <w:tcPr>
            <w:tcW w:w="1876" w:type="pct"/>
            <w:vAlign w:val="center"/>
          </w:tcPr>
          <w:p w14:paraId="32F8FE30" w14:textId="77777777" w:rsidR="00462D36" w:rsidRPr="00804648" w:rsidRDefault="00462D36" w:rsidP="00F26ED8">
            <w:pPr>
              <w:pStyle w:val="TableText0"/>
              <w:keepLines/>
            </w:pPr>
            <w:r w:rsidRPr="00804648">
              <w:t>0%</w:t>
            </w:r>
          </w:p>
        </w:tc>
        <w:tc>
          <w:tcPr>
            <w:tcW w:w="630" w:type="pct"/>
            <w:tcBorders>
              <w:bottom w:val="single" w:sz="4" w:space="0" w:color="auto"/>
            </w:tcBorders>
            <w:shd w:val="solid" w:color="000000" w:fill="000000"/>
            <w:vAlign w:val="center"/>
          </w:tcPr>
          <w:p w14:paraId="153C5819" w14:textId="1C00A50C" w:rsidR="00462D36" w:rsidRPr="00383521" w:rsidRDefault="00D265E5" w:rsidP="00F26ED8">
            <w:pPr>
              <w:pStyle w:val="TableText0"/>
              <w:keepLines/>
              <w:jc w:val="center"/>
              <w:rPr>
                <w:rFonts w:eastAsia="Calibri"/>
                <w:szCs w:val="20"/>
                <w:highlight w:val="darkGray"/>
              </w:rPr>
            </w:pPr>
            <w:r w:rsidRPr="00D265E5">
              <w:rPr>
                <w:rFonts w:hint="eastAsia"/>
                <w:color w:val="000000"/>
                <w:w w:val="20"/>
                <w:fitText w:val="90" w:id="-1168461562"/>
                <w14:textFill>
                  <w14:solidFill>
                    <w14:srgbClr w14:val="000000">
                      <w14:alpha w14:val="100000"/>
                    </w14:srgbClr>
                  </w14:solidFill>
                </w14:textFill>
              </w:rPr>
              <w:t xml:space="preserve">　</w:t>
            </w:r>
            <w:r w:rsidRPr="00D265E5">
              <w:rPr>
                <w:color w:val="000000"/>
                <w:w w:val="20"/>
                <w:fitText w:val="90" w:id="-1168461562"/>
                <w14:textFill>
                  <w14:solidFill>
                    <w14:srgbClr w14:val="000000">
                      <w14:alpha w14:val="100000"/>
                    </w14:srgbClr>
                  </w14:solidFill>
                </w14:textFill>
              </w:rPr>
              <w:t>|</w:t>
            </w:r>
            <w:r w:rsidRPr="00D265E5">
              <w:rPr>
                <w:rFonts w:hint="eastAsia"/>
                <w:color w:val="000000"/>
                <w:w w:val="20"/>
                <w:fitText w:val="90" w:id="-1168461562"/>
                <w14:textFill>
                  <w14:solidFill>
                    <w14:srgbClr w14:val="000000">
                      <w14:alpha w14:val="100000"/>
                    </w14:srgbClr>
                  </w14:solidFill>
                </w14:textFill>
              </w:rPr>
              <w:t xml:space="preserve">　</w:t>
            </w:r>
          </w:p>
        </w:tc>
        <w:tc>
          <w:tcPr>
            <w:tcW w:w="630" w:type="pct"/>
            <w:vAlign w:val="center"/>
          </w:tcPr>
          <w:p w14:paraId="470C76B2" w14:textId="77777777" w:rsidR="00462D36" w:rsidRPr="00804648" w:rsidRDefault="00462D36" w:rsidP="00F26ED8">
            <w:pPr>
              <w:pStyle w:val="TableText0"/>
              <w:keepLines/>
              <w:jc w:val="center"/>
              <w:rPr>
                <w:rFonts w:eastAsia="Calibri"/>
                <w:szCs w:val="20"/>
              </w:rPr>
            </w:pPr>
            <w:r w:rsidRPr="00804648">
              <w:t>22.00</w:t>
            </w:r>
          </w:p>
        </w:tc>
        <w:tc>
          <w:tcPr>
            <w:tcW w:w="766" w:type="pct"/>
            <w:vAlign w:val="center"/>
          </w:tcPr>
          <w:p w14:paraId="44326CAC" w14:textId="66928168" w:rsidR="00462D36" w:rsidRPr="00383521" w:rsidRDefault="00D265E5" w:rsidP="00F26ED8">
            <w:pPr>
              <w:pStyle w:val="TableText0"/>
              <w:keepLines/>
              <w:jc w:val="center"/>
              <w:rPr>
                <w:rFonts w:eastAsia="Calibri"/>
                <w:szCs w:val="20"/>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vAlign w:val="center"/>
          </w:tcPr>
          <w:p w14:paraId="5D7FCC70" w14:textId="3C6BD4FA" w:rsidR="00462D36" w:rsidRPr="00804648" w:rsidRDefault="00462D36" w:rsidP="00F26ED8">
            <w:pPr>
              <w:pStyle w:val="TableText0"/>
              <w:keepLines/>
              <w:jc w:val="center"/>
              <w:rPr>
                <w:rFonts w:eastAsia="Calibri"/>
                <w:szCs w:val="20"/>
              </w:rPr>
            </w:pPr>
            <w:r w:rsidRPr="00804648">
              <w:t>-12%</w:t>
            </w:r>
          </w:p>
        </w:tc>
      </w:tr>
      <w:tr w:rsidR="00462D36" w:rsidRPr="00804648" w14:paraId="45EFA984" w14:textId="77777777" w:rsidTr="00D265E5">
        <w:trPr>
          <w:cantSplit/>
          <w:trHeight w:val="283"/>
        </w:trPr>
        <w:tc>
          <w:tcPr>
            <w:tcW w:w="1876" w:type="pct"/>
            <w:vAlign w:val="center"/>
          </w:tcPr>
          <w:p w14:paraId="537F2038" w14:textId="77777777" w:rsidR="00462D36" w:rsidRPr="00804648" w:rsidRDefault="00462D36" w:rsidP="00F26ED8">
            <w:pPr>
              <w:pStyle w:val="TableText0"/>
              <w:keepLines/>
            </w:pPr>
            <w:r w:rsidRPr="00804648">
              <w:t>3.5%</w:t>
            </w:r>
          </w:p>
        </w:tc>
        <w:tc>
          <w:tcPr>
            <w:tcW w:w="630" w:type="pct"/>
            <w:shd w:val="solid" w:color="000000" w:fill="000000"/>
            <w:vAlign w:val="center"/>
          </w:tcPr>
          <w:p w14:paraId="4F03F63C" w14:textId="4EB8D846" w:rsidR="00462D36" w:rsidRPr="00383521" w:rsidRDefault="00D265E5" w:rsidP="00F26ED8">
            <w:pPr>
              <w:pStyle w:val="TableText0"/>
              <w:keepLines/>
              <w:jc w:val="center"/>
              <w:rPr>
                <w:rFonts w:eastAsia="Calibri"/>
                <w:szCs w:val="20"/>
                <w:highlight w:val="darkGray"/>
              </w:rPr>
            </w:pPr>
            <w:r w:rsidRPr="00D265E5">
              <w:rPr>
                <w:rFonts w:hint="eastAsia"/>
                <w:color w:val="000000"/>
                <w:w w:val="20"/>
                <w:fitText w:val="90" w:id="-1168461561"/>
                <w14:textFill>
                  <w14:solidFill>
                    <w14:srgbClr w14:val="000000">
                      <w14:alpha w14:val="100000"/>
                    </w14:srgbClr>
                  </w14:solidFill>
                </w14:textFill>
              </w:rPr>
              <w:t xml:space="preserve">　</w:t>
            </w:r>
            <w:r w:rsidRPr="00D265E5">
              <w:rPr>
                <w:color w:val="000000"/>
                <w:w w:val="20"/>
                <w:fitText w:val="90" w:id="-1168461561"/>
                <w14:textFill>
                  <w14:solidFill>
                    <w14:srgbClr w14:val="000000">
                      <w14:alpha w14:val="100000"/>
                    </w14:srgbClr>
                  </w14:solidFill>
                </w14:textFill>
              </w:rPr>
              <w:t>|</w:t>
            </w:r>
            <w:r w:rsidRPr="00D265E5">
              <w:rPr>
                <w:rFonts w:hint="eastAsia"/>
                <w:color w:val="000000"/>
                <w:w w:val="20"/>
                <w:fitText w:val="90" w:id="-1168461561"/>
                <w14:textFill>
                  <w14:solidFill>
                    <w14:srgbClr w14:val="000000">
                      <w14:alpha w14:val="100000"/>
                    </w14:srgbClr>
                  </w14:solidFill>
                </w14:textFill>
              </w:rPr>
              <w:t xml:space="preserve">　</w:t>
            </w:r>
          </w:p>
        </w:tc>
        <w:tc>
          <w:tcPr>
            <w:tcW w:w="630" w:type="pct"/>
            <w:vAlign w:val="center"/>
          </w:tcPr>
          <w:p w14:paraId="660A393B" w14:textId="77777777" w:rsidR="00462D36" w:rsidRPr="00804648" w:rsidRDefault="00462D36" w:rsidP="00F26ED8">
            <w:pPr>
              <w:pStyle w:val="TableText0"/>
              <w:keepLines/>
              <w:jc w:val="center"/>
              <w:rPr>
                <w:rFonts w:eastAsia="Calibri"/>
                <w:szCs w:val="20"/>
              </w:rPr>
            </w:pPr>
            <w:r w:rsidRPr="00804648">
              <w:t>7.24</w:t>
            </w:r>
          </w:p>
        </w:tc>
        <w:tc>
          <w:tcPr>
            <w:tcW w:w="766" w:type="pct"/>
            <w:vAlign w:val="center"/>
          </w:tcPr>
          <w:p w14:paraId="314279AE" w14:textId="2DDEC3B6" w:rsidR="00462D36" w:rsidRPr="00383521" w:rsidRDefault="00D265E5" w:rsidP="00F26ED8">
            <w:pPr>
              <w:pStyle w:val="TableText0"/>
              <w:keepLines/>
              <w:jc w:val="center"/>
              <w:rPr>
                <w:rFonts w:eastAsia="Calibri"/>
                <w:szCs w:val="20"/>
                <w:highlight w:val="darkGray"/>
              </w:rPr>
            </w:pPr>
            <w:r w:rsidRPr="00D265E5">
              <w:rPr>
                <w:rFonts w:eastAsia="Calibri"/>
                <w:color w:val="000000"/>
                <w:szCs w:val="2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vAlign w:val="center"/>
          </w:tcPr>
          <w:p w14:paraId="5E42DB9B" w14:textId="2BB731DD" w:rsidR="00462D36" w:rsidRPr="00804648" w:rsidRDefault="00462D36" w:rsidP="00F26ED8">
            <w:pPr>
              <w:pStyle w:val="TableText0"/>
              <w:keepLines/>
              <w:jc w:val="center"/>
              <w:rPr>
                <w:rFonts w:eastAsia="Calibri"/>
                <w:szCs w:val="20"/>
              </w:rPr>
            </w:pPr>
            <w:r w:rsidRPr="00804648">
              <w:t>-</w:t>
            </w:r>
            <w:r w:rsidR="00C57643" w:rsidRPr="00804648">
              <w:t>3</w:t>
            </w:r>
            <w:r w:rsidRPr="00804648">
              <w:t>%</w:t>
            </w:r>
          </w:p>
        </w:tc>
      </w:tr>
      <w:tr w:rsidR="00462D36" w:rsidRPr="00804648" w14:paraId="3F29DC6B" w14:textId="77777777" w:rsidTr="008C351B">
        <w:trPr>
          <w:cantSplit/>
          <w:trHeight w:val="283"/>
        </w:trPr>
        <w:tc>
          <w:tcPr>
            <w:tcW w:w="5000" w:type="pct"/>
            <w:gridSpan w:val="5"/>
            <w:vAlign w:val="center"/>
          </w:tcPr>
          <w:p w14:paraId="16470F7D" w14:textId="1DD3866E" w:rsidR="00462D36" w:rsidRPr="00804648" w:rsidRDefault="00462D36" w:rsidP="00F26ED8">
            <w:pPr>
              <w:pStyle w:val="TableText0"/>
              <w:keepLines/>
            </w:pPr>
            <w:r w:rsidRPr="00804648">
              <w:t xml:space="preserve">Olipudase alfa treatment benefit </w:t>
            </w:r>
            <w:r w:rsidR="008B3133" w:rsidRPr="00804648">
              <w:t>(base case: patients in the olipudase arm remain in the same health state from Year 9 onwards with no further transitions to new health states for the remainder of the lifetime time horizon)</w:t>
            </w:r>
          </w:p>
        </w:tc>
      </w:tr>
      <w:tr w:rsidR="0094241A" w:rsidRPr="00804648" w14:paraId="0476BC24" w14:textId="77777777" w:rsidTr="00D265E5">
        <w:trPr>
          <w:cantSplit/>
          <w:trHeight w:val="283"/>
        </w:trPr>
        <w:tc>
          <w:tcPr>
            <w:tcW w:w="1876" w:type="pct"/>
            <w:vAlign w:val="center"/>
          </w:tcPr>
          <w:p w14:paraId="43F9BC94" w14:textId="77777777" w:rsidR="0094241A" w:rsidRPr="00804648" w:rsidRDefault="0094241A" w:rsidP="00F26ED8">
            <w:pPr>
              <w:pStyle w:val="TableText0"/>
              <w:keepLines/>
            </w:pPr>
            <w:r w:rsidRPr="00804648">
              <w:t xml:space="preserve">Adult transition probabilities from 18 years </w:t>
            </w:r>
            <w:r w:rsidRPr="00804648">
              <w:rPr>
                <w:vertAlign w:val="superscript"/>
              </w:rPr>
              <w:t>a</w:t>
            </w:r>
          </w:p>
        </w:tc>
        <w:tc>
          <w:tcPr>
            <w:tcW w:w="630" w:type="pct"/>
            <w:tcBorders>
              <w:bottom w:val="single" w:sz="4" w:space="0" w:color="auto"/>
            </w:tcBorders>
            <w:shd w:val="solid" w:color="000000" w:fill="000000"/>
          </w:tcPr>
          <w:p w14:paraId="5EC44D16" w14:textId="239AB1E2" w:rsidR="0094241A" w:rsidRPr="00383521" w:rsidRDefault="00D265E5" w:rsidP="00F26ED8">
            <w:pPr>
              <w:pStyle w:val="TableText0"/>
              <w:keepLines/>
              <w:jc w:val="center"/>
              <w:rPr>
                <w:highlight w:val="darkGray"/>
              </w:rPr>
            </w:pPr>
            <w:r w:rsidRPr="00D265E5">
              <w:rPr>
                <w:rFonts w:hint="eastAsia"/>
                <w:color w:val="000000"/>
                <w:w w:val="20"/>
                <w:fitText w:val="90" w:id="-1168461560"/>
                <w14:textFill>
                  <w14:solidFill>
                    <w14:srgbClr w14:val="000000">
                      <w14:alpha w14:val="100000"/>
                    </w14:srgbClr>
                  </w14:solidFill>
                </w14:textFill>
              </w:rPr>
              <w:t xml:space="preserve">　</w:t>
            </w:r>
            <w:r w:rsidRPr="00D265E5">
              <w:rPr>
                <w:color w:val="000000"/>
                <w:w w:val="20"/>
                <w:fitText w:val="90" w:id="-1168461560"/>
                <w14:textFill>
                  <w14:solidFill>
                    <w14:srgbClr w14:val="000000">
                      <w14:alpha w14:val="100000"/>
                    </w14:srgbClr>
                  </w14:solidFill>
                </w14:textFill>
              </w:rPr>
              <w:t>|</w:t>
            </w:r>
            <w:r w:rsidRPr="00D265E5">
              <w:rPr>
                <w:rFonts w:hint="eastAsia"/>
                <w:color w:val="000000"/>
                <w:w w:val="20"/>
                <w:fitText w:val="90" w:id="-1168461560"/>
                <w14:textFill>
                  <w14:solidFill>
                    <w14:srgbClr w14:val="000000">
                      <w14:alpha w14:val="100000"/>
                    </w14:srgbClr>
                  </w14:solidFill>
                </w14:textFill>
              </w:rPr>
              <w:t xml:space="preserve">　</w:t>
            </w:r>
          </w:p>
        </w:tc>
        <w:tc>
          <w:tcPr>
            <w:tcW w:w="630" w:type="pct"/>
            <w:vAlign w:val="center"/>
          </w:tcPr>
          <w:p w14:paraId="2BCE1E3C" w14:textId="77777777" w:rsidR="0094241A" w:rsidRPr="00804648" w:rsidRDefault="0094241A" w:rsidP="00F26ED8">
            <w:pPr>
              <w:pStyle w:val="TableText0"/>
              <w:keepLines/>
              <w:jc w:val="center"/>
            </w:pPr>
            <w:r w:rsidRPr="00804648">
              <w:t>4.54</w:t>
            </w:r>
          </w:p>
        </w:tc>
        <w:tc>
          <w:tcPr>
            <w:tcW w:w="766" w:type="pct"/>
          </w:tcPr>
          <w:p w14:paraId="1D6AA416" w14:textId="7BD65BF3" w:rsidR="0094241A" w:rsidRPr="00383521" w:rsidRDefault="00D265E5" w:rsidP="00F26ED8">
            <w:pPr>
              <w:pStyle w:val="TableText0"/>
              <w:keepLines/>
              <w:jc w:val="center"/>
              <w:rPr>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tcPr>
          <w:p w14:paraId="1F25B3FD" w14:textId="551A7134" w:rsidR="0094241A" w:rsidRPr="00804648" w:rsidRDefault="00C57643" w:rsidP="00F26ED8">
            <w:pPr>
              <w:pStyle w:val="TableText0"/>
              <w:keepLines/>
              <w:jc w:val="center"/>
            </w:pPr>
            <w:r w:rsidRPr="00804648">
              <w:t>12</w:t>
            </w:r>
            <w:r w:rsidR="0094241A" w:rsidRPr="00804648">
              <w:t>%</w:t>
            </w:r>
          </w:p>
        </w:tc>
      </w:tr>
      <w:tr w:rsidR="0094241A" w:rsidRPr="00804648" w14:paraId="351A76E1" w14:textId="77777777" w:rsidTr="00D265E5">
        <w:trPr>
          <w:cantSplit/>
          <w:trHeight w:val="283"/>
        </w:trPr>
        <w:tc>
          <w:tcPr>
            <w:tcW w:w="1876" w:type="pct"/>
            <w:vAlign w:val="center"/>
          </w:tcPr>
          <w:p w14:paraId="5A1C72A4" w14:textId="77777777" w:rsidR="0094241A" w:rsidRPr="00804648" w:rsidRDefault="0094241A" w:rsidP="00F26ED8">
            <w:pPr>
              <w:pStyle w:val="TableText0"/>
              <w:keepLines/>
            </w:pPr>
            <w:r w:rsidRPr="00804648">
              <w:t xml:space="preserve">Child transition probabilities </w:t>
            </w:r>
            <w:r w:rsidRPr="00804648">
              <w:rPr>
                <w:vertAlign w:val="superscript"/>
              </w:rPr>
              <w:t>a</w:t>
            </w:r>
          </w:p>
        </w:tc>
        <w:tc>
          <w:tcPr>
            <w:tcW w:w="630" w:type="pct"/>
            <w:shd w:val="solid" w:color="000000" w:fill="000000"/>
          </w:tcPr>
          <w:p w14:paraId="1066D4F3" w14:textId="31F07D56" w:rsidR="0094241A" w:rsidRPr="00383521" w:rsidRDefault="00D265E5" w:rsidP="00F26ED8">
            <w:pPr>
              <w:pStyle w:val="TableText0"/>
              <w:keepLines/>
              <w:jc w:val="center"/>
              <w:rPr>
                <w:rFonts w:eastAsia="Calibri"/>
                <w:szCs w:val="20"/>
                <w:highlight w:val="darkGray"/>
              </w:rPr>
            </w:pPr>
            <w:r w:rsidRPr="00D265E5">
              <w:rPr>
                <w:rFonts w:hint="eastAsia"/>
                <w:color w:val="000000"/>
                <w:w w:val="20"/>
                <w:fitText w:val="90" w:id="-1168461559"/>
                <w14:textFill>
                  <w14:solidFill>
                    <w14:srgbClr w14:val="000000">
                      <w14:alpha w14:val="100000"/>
                    </w14:srgbClr>
                  </w14:solidFill>
                </w14:textFill>
              </w:rPr>
              <w:t xml:space="preserve">　</w:t>
            </w:r>
            <w:r w:rsidRPr="00D265E5">
              <w:rPr>
                <w:color w:val="000000"/>
                <w:w w:val="20"/>
                <w:fitText w:val="90" w:id="-1168461559"/>
                <w14:textFill>
                  <w14:solidFill>
                    <w14:srgbClr w14:val="000000">
                      <w14:alpha w14:val="100000"/>
                    </w14:srgbClr>
                  </w14:solidFill>
                </w14:textFill>
              </w:rPr>
              <w:t>|</w:t>
            </w:r>
            <w:r w:rsidRPr="00D265E5">
              <w:rPr>
                <w:rFonts w:hint="eastAsia"/>
                <w:color w:val="000000"/>
                <w:w w:val="20"/>
                <w:fitText w:val="90" w:id="-1168461559"/>
                <w14:textFill>
                  <w14:solidFill>
                    <w14:srgbClr w14:val="000000">
                      <w14:alpha w14:val="100000"/>
                    </w14:srgbClr>
                  </w14:solidFill>
                </w14:textFill>
              </w:rPr>
              <w:t xml:space="preserve">　</w:t>
            </w:r>
          </w:p>
        </w:tc>
        <w:tc>
          <w:tcPr>
            <w:tcW w:w="630" w:type="pct"/>
            <w:vAlign w:val="center"/>
          </w:tcPr>
          <w:p w14:paraId="540419CF" w14:textId="77777777" w:rsidR="0094241A" w:rsidRPr="00804648" w:rsidRDefault="0094241A" w:rsidP="00F26ED8">
            <w:pPr>
              <w:pStyle w:val="TableText0"/>
              <w:keepLines/>
              <w:jc w:val="center"/>
              <w:rPr>
                <w:rFonts w:eastAsia="Calibri"/>
                <w:szCs w:val="20"/>
              </w:rPr>
            </w:pPr>
            <w:r w:rsidRPr="00804648">
              <w:t>3.84</w:t>
            </w:r>
          </w:p>
        </w:tc>
        <w:tc>
          <w:tcPr>
            <w:tcW w:w="766" w:type="pct"/>
          </w:tcPr>
          <w:p w14:paraId="3C5F087F" w14:textId="7CA25280" w:rsidR="0094241A" w:rsidRPr="00383521" w:rsidRDefault="00D265E5" w:rsidP="00F26ED8">
            <w:pPr>
              <w:pStyle w:val="TableText0"/>
              <w:keepLines/>
              <w:jc w:val="center"/>
              <w:rPr>
                <w:rFonts w:eastAsia="Calibri"/>
                <w:szCs w:val="20"/>
                <w:highlight w:val="darkGray"/>
              </w:rP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tcPr>
          <w:p w14:paraId="24D5B200" w14:textId="7275A8BC" w:rsidR="0094241A" w:rsidRPr="00804648" w:rsidRDefault="00C57643" w:rsidP="00F26ED8">
            <w:pPr>
              <w:pStyle w:val="TableText0"/>
              <w:keepLines/>
              <w:jc w:val="center"/>
              <w:rPr>
                <w:rFonts w:eastAsia="Calibri"/>
                <w:szCs w:val="20"/>
              </w:rPr>
            </w:pPr>
            <w:r w:rsidRPr="00804648">
              <w:rPr>
                <w:rFonts w:eastAsia="Calibri"/>
                <w:szCs w:val="20"/>
              </w:rPr>
              <w:t>32</w:t>
            </w:r>
            <w:r w:rsidR="0094241A" w:rsidRPr="00804648">
              <w:rPr>
                <w:rFonts w:eastAsia="Calibri"/>
                <w:szCs w:val="20"/>
              </w:rPr>
              <w:t>%</w:t>
            </w:r>
          </w:p>
        </w:tc>
      </w:tr>
      <w:tr w:rsidR="004C6CB9" w:rsidRPr="00804648" w14:paraId="0FB496CC" w14:textId="77777777" w:rsidTr="008C351B">
        <w:trPr>
          <w:cantSplit/>
          <w:trHeight w:val="283"/>
        </w:trPr>
        <w:tc>
          <w:tcPr>
            <w:tcW w:w="5000" w:type="pct"/>
            <w:gridSpan w:val="5"/>
            <w:vAlign w:val="center"/>
          </w:tcPr>
          <w:p w14:paraId="76860D2E" w14:textId="5AA80CDB" w:rsidR="004C6CB9" w:rsidRPr="00804648" w:rsidRDefault="004C6CB9" w:rsidP="00F26ED8">
            <w:pPr>
              <w:pStyle w:val="TableText0"/>
              <w:keepLines/>
              <w:rPr>
                <w:b/>
                <w:bCs w:val="0"/>
              </w:rPr>
            </w:pPr>
            <w:r w:rsidRPr="00804648">
              <w:t>SMR (base case: 4.3 for patients without and 43.1 for patient</w:t>
            </w:r>
            <w:r w:rsidR="00774F25" w:rsidRPr="00804648">
              <w:t>s</w:t>
            </w:r>
            <w:r w:rsidRPr="00804648">
              <w:t xml:space="preserve"> with severe splenomegaly) </w:t>
            </w:r>
            <w:r w:rsidRPr="00804648">
              <w:rPr>
                <w:vertAlign w:val="superscript"/>
              </w:rPr>
              <w:t>b</w:t>
            </w:r>
          </w:p>
        </w:tc>
      </w:tr>
      <w:tr w:rsidR="0094241A" w:rsidRPr="00804648" w14:paraId="38E9AF51" w14:textId="77777777" w:rsidTr="00D265E5">
        <w:trPr>
          <w:cantSplit/>
          <w:trHeight w:val="283"/>
        </w:trPr>
        <w:tc>
          <w:tcPr>
            <w:tcW w:w="1876" w:type="pct"/>
          </w:tcPr>
          <w:p w14:paraId="1E09D7F8" w14:textId="6AE7B59B" w:rsidR="0094241A" w:rsidRPr="00804648" w:rsidRDefault="0094241A" w:rsidP="00F26ED8">
            <w:pPr>
              <w:pStyle w:val="TableText0"/>
              <w:keepLines/>
              <w:rPr>
                <w:b/>
                <w:bCs w:val="0"/>
              </w:rPr>
            </w:pPr>
            <w:r w:rsidRPr="00804648">
              <w:t>Assuming an overall SMR of 12.5 irrespective of severity of splenomegaly</w:t>
            </w:r>
          </w:p>
        </w:tc>
        <w:tc>
          <w:tcPr>
            <w:tcW w:w="630" w:type="pct"/>
            <w:shd w:val="solid" w:color="000000" w:fill="000000"/>
          </w:tcPr>
          <w:p w14:paraId="7AAEFFFC" w14:textId="5FC321FF" w:rsidR="0094241A" w:rsidRPr="00804648" w:rsidRDefault="00D265E5" w:rsidP="00F26ED8">
            <w:pPr>
              <w:pStyle w:val="TableText0"/>
              <w:keepLines/>
              <w:jc w:val="center"/>
            </w:pPr>
            <w:r w:rsidRPr="00D265E5">
              <w:rPr>
                <w:rFonts w:hint="eastAsia"/>
                <w:color w:val="000000"/>
                <w:w w:val="20"/>
                <w:fitText w:val="90" w:id="-1168461558"/>
                <w14:textFill>
                  <w14:solidFill>
                    <w14:srgbClr w14:val="000000">
                      <w14:alpha w14:val="100000"/>
                    </w14:srgbClr>
                  </w14:solidFill>
                </w14:textFill>
              </w:rPr>
              <w:t xml:space="preserve">　</w:t>
            </w:r>
            <w:r w:rsidRPr="00D265E5">
              <w:rPr>
                <w:color w:val="000000"/>
                <w:w w:val="20"/>
                <w:fitText w:val="90" w:id="-1168461558"/>
                <w14:textFill>
                  <w14:solidFill>
                    <w14:srgbClr w14:val="000000">
                      <w14:alpha w14:val="100000"/>
                    </w14:srgbClr>
                  </w14:solidFill>
                </w14:textFill>
              </w:rPr>
              <w:t>|</w:t>
            </w:r>
            <w:r w:rsidRPr="00D265E5">
              <w:rPr>
                <w:rFonts w:hint="eastAsia"/>
                <w:color w:val="000000"/>
                <w:w w:val="20"/>
                <w:fitText w:val="90" w:id="-1168461558"/>
                <w14:textFill>
                  <w14:solidFill>
                    <w14:srgbClr w14:val="000000">
                      <w14:alpha w14:val="100000"/>
                    </w14:srgbClr>
                  </w14:solidFill>
                </w14:textFill>
              </w:rPr>
              <w:t xml:space="preserve">　</w:t>
            </w:r>
          </w:p>
        </w:tc>
        <w:tc>
          <w:tcPr>
            <w:tcW w:w="630" w:type="pct"/>
          </w:tcPr>
          <w:p w14:paraId="269F5DE9" w14:textId="490C5869" w:rsidR="0094241A" w:rsidRPr="00804648" w:rsidRDefault="0094241A" w:rsidP="00F26ED8">
            <w:pPr>
              <w:pStyle w:val="TableText0"/>
              <w:keepLines/>
              <w:jc w:val="center"/>
            </w:pPr>
            <w:r w:rsidRPr="00804648">
              <w:t>3.92</w:t>
            </w:r>
          </w:p>
        </w:tc>
        <w:tc>
          <w:tcPr>
            <w:tcW w:w="766" w:type="pct"/>
          </w:tcPr>
          <w:p w14:paraId="4AE274C2" w14:textId="52391E87" w:rsidR="0094241A" w:rsidRPr="00804648" w:rsidRDefault="00D265E5" w:rsidP="00F26ED8">
            <w:pPr>
              <w:pStyle w:val="TableText0"/>
              <w:keepLines/>
              <w:jc w:val="center"/>
            </w:pPr>
            <w:r w:rsidRPr="00D265E5">
              <w:rPr>
                <w:color w:val="000000"/>
                <w:shd w:val="solid" w:color="000000" w:fill="000000"/>
                <w14:textFill>
                  <w14:solidFill>
                    <w14:srgbClr w14:val="000000">
                      <w14:alpha w14:val="100000"/>
                    </w14:srgbClr>
                  </w14:solidFill>
                </w14:textFill>
              </w:rPr>
              <w:t>|</w:t>
            </w:r>
            <w:r w:rsidR="000508C9" w:rsidRPr="000508C9">
              <w:rPr>
                <w:vertAlign w:val="superscript"/>
              </w:rPr>
              <w:t>1</w:t>
            </w:r>
          </w:p>
        </w:tc>
        <w:tc>
          <w:tcPr>
            <w:tcW w:w="1096" w:type="pct"/>
          </w:tcPr>
          <w:p w14:paraId="6CA60A65" w14:textId="26D73420" w:rsidR="0094241A" w:rsidRPr="00804648" w:rsidRDefault="00C57643" w:rsidP="00F26ED8">
            <w:pPr>
              <w:pStyle w:val="TableText0"/>
              <w:keepLines/>
              <w:jc w:val="center"/>
            </w:pPr>
            <w:r w:rsidRPr="00804648">
              <w:t>19</w:t>
            </w:r>
            <w:r w:rsidR="0094241A" w:rsidRPr="00804648">
              <w:t>%</w:t>
            </w:r>
          </w:p>
        </w:tc>
      </w:tr>
    </w:tbl>
    <w:p w14:paraId="094C2E6A" w14:textId="77777777" w:rsidR="00462D36" w:rsidRPr="00804648" w:rsidRDefault="00462D36" w:rsidP="00F26ED8">
      <w:pPr>
        <w:pStyle w:val="FooterTableFigure"/>
        <w:keepNext/>
        <w:keepLines/>
      </w:pPr>
      <w:r w:rsidRPr="00804648">
        <w:t>Source: Table 2.2.72, p202 of the submission.</w:t>
      </w:r>
    </w:p>
    <w:p w14:paraId="4A9D4CF5" w14:textId="01285EDD" w:rsidR="00462D36" w:rsidRPr="00804648" w:rsidRDefault="00462D36" w:rsidP="00F26ED8">
      <w:pPr>
        <w:pStyle w:val="FooterTableFigure"/>
        <w:keepNext/>
        <w:keepLines/>
      </w:pPr>
      <w:r w:rsidRPr="00804648">
        <w:t>ICER = incremental cost-effectiveness ratio, QALY = quality-adjusted life-years</w:t>
      </w:r>
      <w:r w:rsidR="009F2387" w:rsidRPr="00804648">
        <w:t xml:space="preserve">, SMR = standardised mortality rate. </w:t>
      </w:r>
    </w:p>
    <w:p w14:paraId="0F9E328A" w14:textId="77777777" w:rsidR="00462D36" w:rsidRPr="00804648" w:rsidRDefault="00462D36" w:rsidP="00F26ED8">
      <w:pPr>
        <w:pStyle w:val="FooterTableFigure"/>
        <w:keepNext/>
        <w:keepLines/>
        <w:rPr>
          <w:rFonts w:eastAsia="Calibri"/>
        </w:rPr>
      </w:pPr>
      <w:r w:rsidRPr="00804648">
        <w:rPr>
          <w:vertAlign w:val="superscript"/>
        </w:rPr>
        <w:t xml:space="preserve">a </w:t>
      </w:r>
      <w:r w:rsidRPr="00804648">
        <w:t>In olipudase alfa and best supportive care arm</w:t>
      </w:r>
      <w:r w:rsidRPr="00804648">
        <w:rPr>
          <w:rFonts w:eastAsia="Calibri"/>
        </w:rPr>
        <w:t xml:space="preserve"> </w:t>
      </w:r>
    </w:p>
    <w:bookmarkEnd w:id="82"/>
    <w:p w14:paraId="39D751DB" w14:textId="77777777" w:rsidR="000508C9" w:rsidRDefault="00EB6528" w:rsidP="00F26ED8">
      <w:pPr>
        <w:pStyle w:val="FooterTableFigure"/>
        <w:keepNext/>
        <w:keepLines/>
      </w:pPr>
      <w:r w:rsidRPr="00804648">
        <w:t>Values in this table were c</w:t>
      </w:r>
      <w:r w:rsidR="0094241A" w:rsidRPr="00804648">
        <w:t xml:space="preserve">orrected during evaluation </w:t>
      </w:r>
      <w:r w:rsidR="006A428C" w:rsidRPr="00804648">
        <w:t xml:space="preserve">to reflect the availability of the </w:t>
      </w:r>
      <w:r w:rsidR="0094241A" w:rsidRPr="00804648">
        <w:t>20 mg vial</w:t>
      </w:r>
      <w:r w:rsidR="006A428C" w:rsidRPr="00804648">
        <w:t xml:space="preserve"> only</w:t>
      </w:r>
      <w:r w:rsidR="0094241A" w:rsidRPr="00804648">
        <w:t xml:space="preserve"> of olipudase alfa. </w:t>
      </w:r>
      <w:r w:rsidRPr="00804648">
        <w:t>Values were r</w:t>
      </w:r>
      <w:r w:rsidR="0094241A" w:rsidRPr="00804648">
        <w:t>ecalculated by changing 62 vials to 63 vials of 20 mg and 3 vials to 0 vials of 4 mg in cell G46 and 236 vials to 237 vials of 20 mg and 2 vials to 0 vials of 4 mg in cell G50 of ‘treatment cost’ worksheet in ‘Olipudase_ASMD CEA’ workbook</w:t>
      </w:r>
      <w:r w:rsidRPr="00804648">
        <w:t>.</w:t>
      </w:r>
    </w:p>
    <w:p w14:paraId="1A3ABCEE" w14:textId="77777777" w:rsidR="000508C9" w:rsidRDefault="000508C9" w:rsidP="00F26ED8">
      <w:pPr>
        <w:pStyle w:val="FooterTableFigure"/>
        <w:keepNext/>
        <w:keepLines/>
        <w:rPr>
          <w:i/>
          <w:szCs w:val="18"/>
        </w:rPr>
      </w:pPr>
      <w:r w:rsidRPr="009A6D58">
        <w:rPr>
          <w:i/>
          <w:szCs w:val="18"/>
        </w:rPr>
        <w:t>The redacted values correspond to the following ranges:</w:t>
      </w:r>
    </w:p>
    <w:p w14:paraId="7E7DCF8E" w14:textId="73FCF6B0" w:rsidR="000508C9" w:rsidRPr="00F26ED8" w:rsidRDefault="000508C9" w:rsidP="0094241A">
      <w:pPr>
        <w:pStyle w:val="FooterTableFigure"/>
        <w:rPr>
          <w:i/>
          <w:szCs w:val="18"/>
        </w:rPr>
      </w:pPr>
      <w:r w:rsidRPr="009A6D58">
        <w:rPr>
          <w:i/>
          <w:szCs w:val="18"/>
          <w:vertAlign w:val="superscript"/>
        </w:rPr>
        <w:t>1</w:t>
      </w:r>
      <w:r>
        <w:rPr>
          <w:i/>
          <w:szCs w:val="18"/>
        </w:rPr>
        <w:t xml:space="preserve"> &gt; $1,055,000</w:t>
      </w:r>
    </w:p>
    <w:p w14:paraId="6E3D6353" w14:textId="1E56A613" w:rsidR="00D5743A" w:rsidRPr="00804648" w:rsidRDefault="00D5743A" w:rsidP="0094241A">
      <w:pPr>
        <w:pStyle w:val="3-BodyText"/>
        <w:rPr>
          <w:rFonts w:eastAsia="Calibri"/>
          <w:szCs w:val="20"/>
        </w:rPr>
      </w:pPr>
      <w:bookmarkStart w:id="85" w:name="_Ref137219435"/>
      <w:r w:rsidRPr="00804648">
        <w:rPr>
          <w:rFonts w:eastAsia="Calibri"/>
          <w:szCs w:val="20"/>
        </w:rPr>
        <w:t xml:space="preserve">The ESC noted that changes in assumptions around transition probabilities between health states </w:t>
      </w:r>
      <w:r w:rsidR="00691DF5" w:rsidRPr="00804648">
        <w:rPr>
          <w:rFonts w:eastAsia="Calibri"/>
          <w:szCs w:val="20"/>
        </w:rPr>
        <w:t xml:space="preserve">were not tested in sensitivity analyses. The feasibility of conducting </w:t>
      </w:r>
      <w:r w:rsidR="007D4EE4" w:rsidRPr="00804648">
        <w:rPr>
          <w:rFonts w:eastAsia="Calibri"/>
          <w:szCs w:val="20"/>
        </w:rPr>
        <w:t xml:space="preserve">more comprehensive sensitivity analysis was limited by the complexity of the model with </w:t>
      </w:r>
      <w:r w:rsidR="00E6178B" w:rsidRPr="00804648">
        <w:rPr>
          <w:rFonts w:eastAsia="Calibri"/>
          <w:szCs w:val="20"/>
        </w:rPr>
        <w:t>more than 1,000 individual transition probabilities included.</w:t>
      </w:r>
      <w:bookmarkEnd w:id="85"/>
    </w:p>
    <w:p w14:paraId="57BF8CBD" w14:textId="624E09EE" w:rsidR="00DE4273" w:rsidRPr="00804648" w:rsidRDefault="00462D36" w:rsidP="0094241A">
      <w:pPr>
        <w:pStyle w:val="3-BodyText"/>
        <w:rPr>
          <w:rFonts w:eastAsia="Calibri"/>
          <w:szCs w:val="20"/>
        </w:rPr>
      </w:pPr>
      <w:r w:rsidRPr="00804648">
        <w:t xml:space="preserve">For both adult and paediatric patients, the results of the cost-effectiveness analysis were </w:t>
      </w:r>
      <w:r w:rsidR="00F12981" w:rsidRPr="00804648">
        <w:t xml:space="preserve">most </w:t>
      </w:r>
      <w:r w:rsidRPr="00804648">
        <w:t xml:space="preserve">sensitive to </w:t>
      </w:r>
      <w:r w:rsidR="00F12981" w:rsidRPr="00804648">
        <w:t xml:space="preserve">the </w:t>
      </w:r>
      <w:r w:rsidR="00EE54E4" w:rsidRPr="00804648">
        <w:t>SMR</w:t>
      </w:r>
      <w:r w:rsidR="00F12981" w:rsidRPr="00804648">
        <w:t xml:space="preserve"> rate applied in the economic model.</w:t>
      </w:r>
      <w:r w:rsidR="009E60C8" w:rsidRPr="00804648">
        <w:t xml:space="preserve"> Assuming a SMR rate of 12.5 for all patients irrespective of severity of splenomegaly increased the ICER by 4</w:t>
      </w:r>
      <w:r w:rsidR="008B3133" w:rsidRPr="00804648">
        <w:t>5</w:t>
      </w:r>
      <w:r w:rsidR="009E60C8" w:rsidRPr="00804648">
        <w:t xml:space="preserve">% and </w:t>
      </w:r>
      <w:r w:rsidR="008B3133" w:rsidRPr="00804648">
        <w:t>19</w:t>
      </w:r>
      <w:r w:rsidR="009E60C8" w:rsidRPr="00804648">
        <w:t xml:space="preserve">% for </w:t>
      </w:r>
      <w:r w:rsidR="00774F25" w:rsidRPr="00804648">
        <w:t xml:space="preserve">the </w:t>
      </w:r>
      <w:r w:rsidR="009E60C8" w:rsidRPr="00804648">
        <w:t>adult and paediatric population</w:t>
      </w:r>
      <w:r w:rsidR="00774F25" w:rsidRPr="00804648">
        <w:t>s</w:t>
      </w:r>
      <w:r w:rsidR="009E60C8" w:rsidRPr="00804648">
        <w:t>, respectively.</w:t>
      </w:r>
    </w:p>
    <w:p w14:paraId="66DFDD9A" w14:textId="11AB4F99" w:rsidR="00F1137C" w:rsidRPr="00804648" w:rsidRDefault="002D38D2" w:rsidP="0094241A">
      <w:pPr>
        <w:pStyle w:val="3-BodyText"/>
        <w:rPr>
          <w:rFonts w:eastAsia="Calibri"/>
          <w:szCs w:val="20"/>
        </w:rPr>
      </w:pPr>
      <w:bookmarkStart w:id="86" w:name="_Ref137219534"/>
      <w:r w:rsidRPr="00804648">
        <w:t>The ESC advised the revisions required to address the following issues would require re-evaluation:</w:t>
      </w:r>
      <w:bookmarkEnd w:id="86"/>
    </w:p>
    <w:p w14:paraId="761629BA" w14:textId="621D73B0" w:rsidR="002D38D2" w:rsidRPr="00804648" w:rsidRDefault="002D38D2" w:rsidP="00A9033C">
      <w:pPr>
        <w:pStyle w:val="ListParagraph"/>
        <w:ind w:left="1080"/>
        <w:rPr>
          <w:rFonts w:eastAsia="Calibri"/>
        </w:rPr>
      </w:pPr>
      <w:r w:rsidRPr="00804648">
        <w:rPr>
          <w:rFonts w:eastAsia="Calibri"/>
        </w:rPr>
        <w:t>The current 9-state Markov model is too complex given very small patient numbers and insufficient evidence to accurately populate transition probabilities and utilities</w:t>
      </w:r>
      <w:r w:rsidR="00044122" w:rsidRPr="00804648">
        <w:rPr>
          <w:rFonts w:eastAsia="Calibri"/>
        </w:rPr>
        <w:t xml:space="preserve">. </w:t>
      </w:r>
      <w:r w:rsidR="0010332F" w:rsidRPr="00804648">
        <w:rPr>
          <w:rFonts w:eastAsia="Calibri"/>
        </w:rPr>
        <w:t xml:space="preserve">The </w:t>
      </w:r>
      <w:r w:rsidR="00044122" w:rsidRPr="00804648">
        <w:rPr>
          <w:rFonts w:eastAsia="Calibri"/>
        </w:rPr>
        <w:t>ESC recommends that</w:t>
      </w:r>
      <w:r w:rsidRPr="00804648">
        <w:rPr>
          <w:rFonts w:eastAsia="Calibri"/>
        </w:rPr>
        <w:t xml:space="preserve"> a simplified structure </w:t>
      </w:r>
      <w:r w:rsidR="00044122" w:rsidRPr="00804648">
        <w:rPr>
          <w:rFonts w:eastAsia="Calibri"/>
        </w:rPr>
        <w:t>is adopted</w:t>
      </w:r>
      <w:r w:rsidRPr="00804648">
        <w:rPr>
          <w:rFonts w:eastAsia="Calibri"/>
        </w:rPr>
        <w:t xml:space="preserve"> (paragraph </w:t>
      </w:r>
      <w:r w:rsidRPr="00804648">
        <w:rPr>
          <w:rFonts w:eastAsia="Calibri"/>
        </w:rPr>
        <w:fldChar w:fldCharType="begin" w:fldLock="1"/>
      </w:r>
      <w:r w:rsidRPr="00804648">
        <w:rPr>
          <w:rFonts w:eastAsia="Calibri"/>
        </w:rPr>
        <w:instrText xml:space="preserve"> REF _Ref137219221 \r \h </w:instrText>
      </w:r>
      <w:r w:rsidR="00F21110" w:rsidRPr="00804648">
        <w:rPr>
          <w:rFonts w:eastAsia="Calibri"/>
        </w:rPr>
        <w:instrText xml:space="preserve"> \* MERGEFORMAT </w:instrText>
      </w:r>
      <w:r w:rsidRPr="00804648">
        <w:rPr>
          <w:rFonts w:eastAsia="Calibri"/>
        </w:rPr>
      </w:r>
      <w:r w:rsidRPr="00804648">
        <w:rPr>
          <w:rFonts w:eastAsia="Calibri"/>
        </w:rPr>
        <w:fldChar w:fldCharType="separate"/>
      </w:r>
      <w:r w:rsidR="00F31DC4" w:rsidRPr="00804648">
        <w:rPr>
          <w:rFonts w:eastAsia="Calibri"/>
        </w:rPr>
        <w:t>6.65</w:t>
      </w:r>
      <w:r w:rsidRPr="00804648">
        <w:rPr>
          <w:rFonts w:eastAsia="Calibri"/>
        </w:rPr>
        <w:fldChar w:fldCharType="end"/>
      </w:r>
      <w:r w:rsidRPr="00804648">
        <w:rPr>
          <w:rFonts w:eastAsia="Calibri"/>
        </w:rPr>
        <w:t>).</w:t>
      </w:r>
    </w:p>
    <w:p w14:paraId="4B4BC78B" w14:textId="0654129B" w:rsidR="002D38D2" w:rsidRPr="00804648" w:rsidRDefault="0066175D" w:rsidP="00A9033C">
      <w:pPr>
        <w:pStyle w:val="ListParagraph"/>
        <w:ind w:left="1080"/>
        <w:rPr>
          <w:rFonts w:eastAsia="Calibri"/>
        </w:rPr>
      </w:pPr>
      <w:r w:rsidRPr="00804648">
        <w:rPr>
          <w:rFonts w:eastAsia="Calibri"/>
        </w:rPr>
        <w:t>The m</w:t>
      </w:r>
      <w:r w:rsidR="002D38D2" w:rsidRPr="00804648">
        <w:rPr>
          <w:rFonts w:eastAsia="Calibri"/>
        </w:rPr>
        <w:t>odel appears overly optimistic and does not present clinically plausible estimates of OS (</w:t>
      </w:r>
      <w:r w:rsidR="00F31DC4" w:rsidRPr="00804648">
        <w:rPr>
          <w:rFonts w:eastAsia="Calibri"/>
        </w:rPr>
        <w:t xml:space="preserve">paragraph </w:t>
      </w:r>
      <w:r w:rsidR="002D38D2" w:rsidRPr="00804648">
        <w:rPr>
          <w:rFonts w:eastAsia="Calibri"/>
        </w:rPr>
        <w:fldChar w:fldCharType="begin" w:fldLock="1"/>
      </w:r>
      <w:r w:rsidR="002D38D2" w:rsidRPr="00804648">
        <w:rPr>
          <w:rFonts w:eastAsia="Calibri"/>
        </w:rPr>
        <w:instrText xml:space="preserve"> REF _Ref137219335 \r \h </w:instrText>
      </w:r>
      <w:r w:rsidR="00F21110" w:rsidRPr="00804648">
        <w:rPr>
          <w:rFonts w:eastAsia="Calibri"/>
        </w:rPr>
        <w:instrText xml:space="preserve"> \* MERGEFORMAT </w:instrText>
      </w:r>
      <w:r w:rsidR="002D38D2" w:rsidRPr="00804648">
        <w:rPr>
          <w:rFonts w:eastAsia="Calibri"/>
        </w:rPr>
      </w:r>
      <w:r w:rsidR="002D38D2" w:rsidRPr="00804648">
        <w:rPr>
          <w:rFonts w:eastAsia="Calibri"/>
        </w:rPr>
        <w:fldChar w:fldCharType="separate"/>
      </w:r>
      <w:r w:rsidR="005D02DA" w:rsidRPr="00804648">
        <w:rPr>
          <w:rFonts w:eastAsia="Calibri"/>
        </w:rPr>
        <w:t>6.75</w:t>
      </w:r>
      <w:r w:rsidR="002D38D2" w:rsidRPr="00804648">
        <w:rPr>
          <w:rFonts w:eastAsia="Calibri"/>
        </w:rPr>
        <w:fldChar w:fldCharType="end"/>
      </w:r>
      <w:r w:rsidR="002D38D2" w:rsidRPr="00804648">
        <w:rPr>
          <w:rFonts w:eastAsia="Calibri"/>
        </w:rPr>
        <w:t>).</w:t>
      </w:r>
    </w:p>
    <w:p w14:paraId="35330CD1" w14:textId="2AD7FC3B" w:rsidR="002D38D2" w:rsidRPr="00804648" w:rsidRDefault="002D38D2" w:rsidP="00A9033C">
      <w:pPr>
        <w:pStyle w:val="ListParagraph"/>
        <w:ind w:left="1080"/>
        <w:rPr>
          <w:rFonts w:eastAsia="Calibri"/>
        </w:rPr>
      </w:pPr>
      <w:r w:rsidRPr="00804648">
        <w:rPr>
          <w:rFonts w:eastAsia="Calibri"/>
        </w:rPr>
        <w:t xml:space="preserve">At </w:t>
      </w:r>
      <w:r w:rsidR="00B136A8" w:rsidRPr="00804648">
        <w:rPr>
          <w:rFonts w:eastAsia="Calibri"/>
        </w:rPr>
        <w:t xml:space="preserve">a </w:t>
      </w:r>
      <w:r w:rsidRPr="00804648">
        <w:rPr>
          <w:rFonts w:eastAsia="Calibri"/>
        </w:rPr>
        <w:t xml:space="preserve">minimum, survival estimates need to be validated to ensure they reflect best available evidence (paragraph </w:t>
      </w:r>
      <w:r w:rsidRPr="00804648">
        <w:rPr>
          <w:rFonts w:eastAsia="Calibri"/>
        </w:rPr>
        <w:fldChar w:fldCharType="begin" w:fldLock="1"/>
      </w:r>
      <w:r w:rsidRPr="00804648">
        <w:rPr>
          <w:rFonts w:eastAsia="Calibri"/>
        </w:rPr>
        <w:instrText xml:space="preserve"> REF _Ref137219335 \r \h </w:instrText>
      </w:r>
      <w:r w:rsidR="00F21110" w:rsidRPr="00804648">
        <w:rPr>
          <w:rFonts w:eastAsia="Calibri"/>
        </w:rPr>
        <w:instrText xml:space="preserve"> \* MERGEFORMAT </w:instrText>
      </w:r>
      <w:r w:rsidRPr="00804648">
        <w:rPr>
          <w:rFonts w:eastAsia="Calibri"/>
        </w:rPr>
      </w:r>
      <w:r w:rsidRPr="00804648">
        <w:rPr>
          <w:rFonts w:eastAsia="Calibri"/>
        </w:rPr>
        <w:fldChar w:fldCharType="separate"/>
      </w:r>
      <w:r w:rsidR="005D02DA" w:rsidRPr="00804648">
        <w:rPr>
          <w:rFonts w:eastAsia="Calibri"/>
        </w:rPr>
        <w:t>6.75</w:t>
      </w:r>
      <w:r w:rsidRPr="00804648">
        <w:rPr>
          <w:rFonts w:eastAsia="Calibri"/>
        </w:rPr>
        <w:fldChar w:fldCharType="end"/>
      </w:r>
      <w:r w:rsidRPr="00804648">
        <w:rPr>
          <w:rFonts w:eastAsia="Calibri"/>
        </w:rPr>
        <w:t>).</w:t>
      </w:r>
    </w:p>
    <w:p w14:paraId="472842D7" w14:textId="5C205491" w:rsidR="00C25D9C" w:rsidRPr="00804648" w:rsidRDefault="00C25D9C" w:rsidP="00E23208">
      <w:pPr>
        <w:pStyle w:val="4-SubsectionHeading"/>
        <w:keepLines/>
      </w:pPr>
      <w:bookmarkStart w:id="87" w:name="_Toc22897646"/>
      <w:bookmarkStart w:id="88" w:name="_Toc135224901"/>
      <w:r w:rsidRPr="00804648">
        <w:lastRenderedPageBreak/>
        <w:t>Drug cost/patient/</w:t>
      </w:r>
      <w:bookmarkEnd w:id="87"/>
      <w:r w:rsidR="00F05C92" w:rsidRPr="00804648">
        <w:t>course</w:t>
      </w:r>
      <w:bookmarkEnd w:id="88"/>
    </w:p>
    <w:p w14:paraId="5F5924F4" w14:textId="3A39571A" w:rsidR="00706F0B" w:rsidRPr="00804648" w:rsidRDefault="005740DA" w:rsidP="00E23208">
      <w:pPr>
        <w:pStyle w:val="3-BodyText"/>
        <w:keepNext/>
        <w:keepLines/>
        <w:rPr>
          <w:rFonts w:cstheme="minorHAnsi"/>
          <w:i/>
          <w:iCs/>
        </w:rPr>
      </w:pPr>
      <w:r w:rsidRPr="00804648">
        <w:fldChar w:fldCharType="begin" w:fldLock="1"/>
      </w:r>
      <w:r w:rsidRPr="00804648">
        <w:instrText xml:space="preserve"> REF _Ref104805102 \h </w:instrText>
      </w:r>
      <w:r w:rsidRPr="00804648">
        <w:fldChar w:fldCharType="separate"/>
      </w:r>
      <w:r w:rsidR="005D02DA" w:rsidRPr="00804648">
        <w:t>Table 22</w:t>
      </w:r>
      <w:r w:rsidRPr="00804648">
        <w:fldChar w:fldCharType="end"/>
      </w:r>
      <w:r w:rsidRPr="00804648">
        <w:t xml:space="preserve"> presents the calculations of cost per patient per course</w:t>
      </w:r>
      <w:r w:rsidR="00094494" w:rsidRPr="00804648">
        <w:t xml:space="preserve"> for adult patients</w:t>
      </w:r>
      <w:r w:rsidRPr="00804648">
        <w:t>.</w:t>
      </w:r>
    </w:p>
    <w:p w14:paraId="52750742" w14:textId="13A2763F" w:rsidR="00094494" w:rsidRPr="00804648" w:rsidRDefault="00E16AD8" w:rsidP="00E23208">
      <w:pPr>
        <w:pStyle w:val="Caption"/>
        <w:rPr>
          <w:rStyle w:val="TableFigureHeadingChar"/>
        </w:rPr>
      </w:pPr>
      <w:bookmarkStart w:id="89" w:name="_Ref104805102"/>
      <w:r w:rsidRPr="00804648">
        <w:t xml:space="preserve">Table </w:t>
      </w:r>
      <w:fldSimple w:instr=" SEQ Table \* ARABIC " w:fldLock="1">
        <w:r w:rsidR="005D02DA" w:rsidRPr="00804648">
          <w:t>22</w:t>
        </w:r>
      </w:fldSimple>
      <w:bookmarkEnd w:id="89"/>
      <w:r w:rsidRPr="00804648">
        <w:t>:</w:t>
      </w:r>
      <w:r w:rsidR="00494207" w:rsidRPr="00804648">
        <w:rPr>
          <w:rStyle w:val="TableFigureHeadingChar"/>
          <w:b/>
          <w:bCs/>
        </w:rPr>
        <w:t xml:space="preserve"> Drug cost per patient for </w:t>
      </w:r>
      <w:r w:rsidR="005740DA" w:rsidRPr="00804648">
        <w:rPr>
          <w:rStyle w:val="TableFigureHeadingChar"/>
          <w:b/>
          <w:bCs/>
        </w:rPr>
        <w:t>ol</w:t>
      </w:r>
      <w:r w:rsidR="004949A4" w:rsidRPr="00804648">
        <w:rPr>
          <w:rStyle w:val="TableFigureHeadingChar"/>
          <w:b/>
          <w:bCs/>
        </w:rPr>
        <w:t>ipudase alfa</w:t>
      </w:r>
      <w:r w:rsidR="00094494" w:rsidRPr="00804648">
        <w:rPr>
          <w:rStyle w:val="TableFigureHeadingChar"/>
          <w:b/>
          <w:bCs/>
        </w:rPr>
        <w:t xml:space="preserve"> </w:t>
      </w:r>
      <w:r w:rsidR="00DB7143" w:rsidRPr="00804648">
        <w:rPr>
          <w:rStyle w:val="TableFigureHeadingChar"/>
          <w:b/>
          <w:bCs/>
        </w:rPr>
        <w:t>for</w:t>
      </w:r>
      <w:r w:rsidR="00094494" w:rsidRPr="00804648">
        <w:rPr>
          <w:rStyle w:val="TableFigureHeadingChar"/>
          <w:b/>
          <w:bCs/>
        </w:rPr>
        <w:t xml:space="preserve"> adult patients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93"/>
        <w:gridCol w:w="2530"/>
        <w:gridCol w:w="2894"/>
      </w:tblGrid>
      <w:tr w:rsidR="0018647C" w:rsidRPr="00804648" w14:paraId="269832C2" w14:textId="77777777" w:rsidTr="0018647C">
        <w:trPr>
          <w:cantSplit/>
          <w:tblHeader/>
          <w:jc w:val="center"/>
        </w:trPr>
        <w:tc>
          <w:tcPr>
            <w:tcW w:w="1992" w:type="pct"/>
            <w:shd w:val="clear" w:color="auto" w:fill="auto"/>
            <w:vAlign w:val="center"/>
          </w:tcPr>
          <w:p w14:paraId="6EA45CE5" w14:textId="77777777" w:rsidR="0018647C" w:rsidRPr="00804648" w:rsidRDefault="0018647C" w:rsidP="00E23208">
            <w:pPr>
              <w:pStyle w:val="In-tableHeading"/>
              <w:keepLines/>
              <w:jc w:val="center"/>
              <w:rPr>
                <w:lang w:val="en-AU"/>
              </w:rPr>
            </w:pPr>
          </w:p>
        </w:tc>
        <w:tc>
          <w:tcPr>
            <w:tcW w:w="1403" w:type="pct"/>
            <w:shd w:val="clear" w:color="auto" w:fill="auto"/>
            <w:vAlign w:val="center"/>
          </w:tcPr>
          <w:p w14:paraId="1C72A5C4" w14:textId="77777777" w:rsidR="0018647C" w:rsidRPr="00804648" w:rsidRDefault="0018647C" w:rsidP="00E23208">
            <w:pPr>
              <w:pStyle w:val="In-tableHeading"/>
              <w:keepLines/>
              <w:jc w:val="center"/>
              <w:rPr>
                <w:lang w:val="en-AU"/>
              </w:rPr>
            </w:pPr>
            <w:r w:rsidRPr="00804648">
              <w:rPr>
                <w:lang w:val="en-AU"/>
              </w:rPr>
              <w:t>Olipudase alfa</w:t>
            </w:r>
          </w:p>
          <w:p w14:paraId="754E22FF" w14:textId="77777777" w:rsidR="0018647C" w:rsidRPr="00804648" w:rsidRDefault="0018647C" w:rsidP="00E23208">
            <w:pPr>
              <w:pStyle w:val="In-tableHeading"/>
              <w:keepLines/>
              <w:jc w:val="center"/>
              <w:rPr>
                <w:lang w:val="en-AU"/>
              </w:rPr>
            </w:pPr>
            <w:r w:rsidRPr="00804648">
              <w:rPr>
                <w:lang w:val="en-AU"/>
              </w:rPr>
              <w:t>Model</w:t>
            </w:r>
          </w:p>
        </w:tc>
        <w:tc>
          <w:tcPr>
            <w:tcW w:w="1605" w:type="pct"/>
            <w:shd w:val="clear" w:color="auto" w:fill="auto"/>
            <w:vAlign w:val="center"/>
          </w:tcPr>
          <w:p w14:paraId="51A185D3" w14:textId="77777777" w:rsidR="0018647C" w:rsidRPr="00804648" w:rsidRDefault="0018647C" w:rsidP="00E23208">
            <w:pPr>
              <w:pStyle w:val="In-tableHeading"/>
              <w:keepLines/>
              <w:jc w:val="center"/>
              <w:rPr>
                <w:lang w:val="en-AU"/>
              </w:rPr>
            </w:pPr>
            <w:r w:rsidRPr="00804648">
              <w:rPr>
                <w:lang w:val="en-AU"/>
              </w:rPr>
              <w:t>Olipudase alfa</w:t>
            </w:r>
          </w:p>
          <w:p w14:paraId="3C97CCCA" w14:textId="77777777" w:rsidR="0018647C" w:rsidRPr="00804648" w:rsidRDefault="0018647C" w:rsidP="00E23208">
            <w:pPr>
              <w:pStyle w:val="In-tableHeading"/>
              <w:keepLines/>
              <w:jc w:val="center"/>
              <w:rPr>
                <w:lang w:val="en-AU"/>
              </w:rPr>
            </w:pPr>
            <w:r w:rsidRPr="00804648">
              <w:rPr>
                <w:lang w:val="en-AU"/>
              </w:rPr>
              <w:t>Financial estimates</w:t>
            </w:r>
          </w:p>
        </w:tc>
      </w:tr>
      <w:tr w:rsidR="0018647C" w:rsidRPr="00804648" w14:paraId="30D61212" w14:textId="77777777" w:rsidTr="00C57643">
        <w:trPr>
          <w:cantSplit/>
          <w:trHeight w:val="170"/>
          <w:jc w:val="center"/>
        </w:trPr>
        <w:tc>
          <w:tcPr>
            <w:tcW w:w="1992" w:type="pct"/>
            <w:shd w:val="clear" w:color="auto" w:fill="auto"/>
            <w:vAlign w:val="center"/>
          </w:tcPr>
          <w:p w14:paraId="268663FC" w14:textId="59050438" w:rsidR="0018647C" w:rsidRPr="00804648" w:rsidRDefault="0018647C" w:rsidP="00E23208">
            <w:pPr>
              <w:pStyle w:val="TableText0"/>
              <w:keepLines/>
            </w:pPr>
            <w:r w:rsidRPr="00804648">
              <w:t>Annual average dose (Year 1)</w:t>
            </w:r>
          </w:p>
        </w:tc>
        <w:tc>
          <w:tcPr>
            <w:tcW w:w="1403" w:type="pct"/>
            <w:shd w:val="clear" w:color="auto" w:fill="auto"/>
            <w:vAlign w:val="center"/>
          </w:tcPr>
          <w:p w14:paraId="454E38F1" w14:textId="77777777" w:rsidR="0018647C" w:rsidRPr="00804648" w:rsidRDefault="0018647C" w:rsidP="00E23208">
            <w:pPr>
              <w:pStyle w:val="TableText0"/>
              <w:keepLines/>
              <w:jc w:val="center"/>
            </w:pPr>
            <w:r w:rsidRPr="00804648">
              <w:t xml:space="preserve">3,578 mg </w:t>
            </w:r>
            <w:r w:rsidRPr="00804648">
              <w:rPr>
                <w:vertAlign w:val="superscript"/>
              </w:rPr>
              <w:t>b</w:t>
            </w:r>
          </w:p>
        </w:tc>
        <w:tc>
          <w:tcPr>
            <w:tcW w:w="1605" w:type="pct"/>
            <w:shd w:val="clear" w:color="auto" w:fill="auto"/>
            <w:vAlign w:val="center"/>
          </w:tcPr>
          <w:p w14:paraId="64EB457F" w14:textId="77777777" w:rsidR="0018647C" w:rsidRPr="00804648" w:rsidRDefault="0018647C" w:rsidP="00E23208">
            <w:pPr>
              <w:pStyle w:val="TableText0"/>
              <w:keepLines/>
              <w:jc w:val="center"/>
              <w:rPr>
                <w:bCs w:val="0"/>
              </w:rPr>
            </w:pPr>
            <w:r w:rsidRPr="00804648">
              <w:rPr>
                <w:bCs w:val="0"/>
              </w:rPr>
              <w:t>3,739 mg</w:t>
            </w:r>
          </w:p>
        </w:tc>
      </w:tr>
      <w:tr w:rsidR="0018647C" w:rsidRPr="00804648" w14:paraId="40A862C2" w14:textId="77777777" w:rsidTr="00C57643">
        <w:trPr>
          <w:cantSplit/>
          <w:trHeight w:val="170"/>
          <w:jc w:val="center"/>
        </w:trPr>
        <w:tc>
          <w:tcPr>
            <w:tcW w:w="1992" w:type="pct"/>
            <w:shd w:val="clear" w:color="auto" w:fill="auto"/>
            <w:vAlign w:val="center"/>
          </w:tcPr>
          <w:p w14:paraId="10DE8DCB" w14:textId="307FAB4A" w:rsidR="0018647C" w:rsidRPr="00804648" w:rsidRDefault="0018647C" w:rsidP="00E23208">
            <w:pPr>
              <w:pStyle w:val="TableText0"/>
              <w:keepLines/>
            </w:pPr>
            <w:r w:rsidRPr="00804648">
              <w:t>Annual average dose (subsequent years)</w:t>
            </w:r>
          </w:p>
        </w:tc>
        <w:tc>
          <w:tcPr>
            <w:tcW w:w="1403" w:type="pct"/>
            <w:shd w:val="clear" w:color="auto" w:fill="auto"/>
            <w:vAlign w:val="center"/>
          </w:tcPr>
          <w:p w14:paraId="1EBF64EF" w14:textId="77777777" w:rsidR="0018647C" w:rsidRPr="00804648" w:rsidRDefault="0018647C" w:rsidP="00E23208">
            <w:pPr>
              <w:pStyle w:val="TableText0"/>
              <w:keepLines/>
              <w:jc w:val="center"/>
            </w:pPr>
            <w:r w:rsidRPr="00804648">
              <w:t xml:space="preserve">4,727 mg </w:t>
            </w:r>
            <w:r w:rsidRPr="00804648">
              <w:rPr>
                <w:vertAlign w:val="superscript"/>
              </w:rPr>
              <w:t>a</w:t>
            </w:r>
          </w:p>
        </w:tc>
        <w:tc>
          <w:tcPr>
            <w:tcW w:w="1605" w:type="pct"/>
            <w:shd w:val="clear" w:color="auto" w:fill="auto"/>
            <w:vAlign w:val="center"/>
          </w:tcPr>
          <w:p w14:paraId="2F8FF4A0" w14:textId="77777777" w:rsidR="0018647C" w:rsidRPr="00804648" w:rsidRDefault="0018647C" w:rsidP="00E23208">
            <w:pPr>
              <w:pStyle w:val="TableText0"/>
              <w:keepLines/>
              <w:jc w:val="center"/>
              <w:rPr>
                <w:bCs w:val="0"/>
              </w:rPr>
            </w:pPr>
            <w:r w:rsidRPr="00804648">
              <w:rPr>
                <w:bCs w:val="0"/>
              </w:rPr>
              <w:t>4,727 mg</w:t>
            </w:r>
          </w:p>
        </w:tc>
      </w:tr>
      <w:tr w:rsidR="0018647C" w:rsidRPr="00804648" w14:paraId="752203A7" w14:textId="77777777" w:rsidTr="00C57643">
        <w:trPr>
          <w:cantSplit/>
          <w:trHeight w:val="170"/>
          <w:jc w:val="center"/>
        </w:trPr>
        <w:tc>
          <w:tcPr>
            <w:tcW w:w="1992" w:type="pct"/>
            <w:shd w:val="clear" w:color="auto" w:fill="auto"/>
            <w:vAlign w:val="center"/>
          </w:tcPr>
          <w:p w14:paraId="671E09BF" w14:textId="2CDB12A5" w:rsidR="0018647C" w:rsidRPr="00804648" w:rsidRDefault="0018647C" w:rsidP="00E23208">
            <w:pPr>
              <w:pStyle w:val="TableText0"/>
              <w:keepLines/>
            </w:pPr>
            <w:r w:rsidRPr="00804648">
              <w:t>Number of vials required (Year 1)</w:t>
            </w:r>
          </w:p>
        </w:tc>
        <w:tc>
          <w:tcPr>
            <w:tcW w:w="1403" w:type="pct"/>
            <w:shd w:val="clear" w:color="auto" w:fill="auto"/>
            <w:vAlign w:val="center"/>
          </w:tcPr>
          <w:p w14:paraId="00B48AEE" w14:textId="77777777" w:rsidR="0018647C" w:rsidRPr="00804648" w:rsidRDefault="0018647C" w:rsidP="00E23208">
            <w:pPr>
              <w:pStyle w:val="TableText0"/>
              <w:keepLines/>
              <w:jc w:val="center"/>
              <w:rPr>
                <w:bCs w:val="0"/>
              </w:rPr>
            </w:pPr>
            <w:r w:rsidRPr="00804648">
              <w:rPr>
                <w:bCs w:val="0"/>
              </w:rPr>
              <w:t xml:space="preserve">179 vials </w:t>
            </w:r>
            <w:r w:rsidRPr="00804648">
              <w:rPr>
                <w:bCs w:val="0"/>
                <w:vertAlign w:val="superscript"/>
              </w:rPr>
              <w:t>c</w:t>
            </w:r>
          </w:p>
        </w:tc>
        <w:tc>
          <w:tcPr>
            <w:tcW w:w="1605" w:type="pct"/>
            <w:shd w:val="clear" w:color="auto" w:fill="auto"/>
            <w:vAlign w:val="center"/>
          </w:tcPr>
          <w:p w14:paraId="29427227" w14:textId="77777777" w:rsidR="0018647C" w:rsidRPr="00804648" w:rsidRDefault="0018647C" w:rsidP="00E23208">
            <w:pPr>
              <w:pStyle w:val="TableText0"/>
              <w:keepLines/>
              <w:jc w:val="center"/>
              <w:rPr>
                <w:bCs w:val="0"/>
              </w:rPr>
            </w:pPr>
            <w:r w:rsidRPr="00804648">
              <w:rPr>
                <w:bCs w:val="0"/>
              </w:rPr>
              <w:t>208 vials</w:t>
            </w:r>
            <w:r w:rsidRPr="00804648">
              <w:rPr>
                <w:bCs w:val="0"/>
                <w:vertAlign w:val="superscript"/>
              </w:rPr>
              <w:t xml:space="preserve"> d</w:t>
            </w:r>
          </w:p>
        </w:tc>
      </w:tr>
      <w:tr w:rsidR="0018647C" w:rsidRPr="00804648" w14:paraId="29DDD370" w14:textId="77777777" w:rsidTr="00C57643">
        <w:trPr>
          <w:cantSplit/>
          <w:trHeight w:val="170"/>
          <w:jc w:val="center"/>
        </w:trPr>
        <w:tc>
          <w:tcPr>
            <w:tcW w:w="1992" w:type="pct"/>
            <w:shd w:val="clear" w:color="auto" w:fill="auto"/>
            <w:vAlign w:val="center"/>
          </w:tcPr>
          <w:p w14:paraId="6E1CD23D" w14:textId="6B6718D5" w:rsidR="0018647C" w:rsidRPr="00804648" w:rsidRDefault="0018647C" w:rsidP="00E23208">
            <w:pPr>
              <w:pStyle w:val="TableText0"/>
              <w:keepLines/>
            </w:pPr>
            <w:r w:rsidRPr="00804648">
              <w:t>Number of vials required (subsequent years)</w:t>
            </w:r>
          </w:p>
        </w:tc>
        <w:tc>
          <w:tcPr>
            <w:tcW w:w="1403" w:type="pct"/>
            <w:shd w:val="clear" w:color="auto" w:fill="auto"/>
            <w:vAlign w:val="center"/>
          </w:tcPr>
          <w:p w14:paraId="212C455F" w14:textId="77777777" w:rsidR="0018647C" w:rsidRPr="00804648" w:rsidRDefault="0018647C" w:rsidP="00E23208">
            <w:pPr>
              <w:pStyle w:val="TableText0"/>
              <w:keepLines/>
              <w:jc w:val="center"/>
              <w:rPr>
                <w:bCs w:val="0"/>
              </w:rPr>
            </w:pPr>
            <w:r w:rsidRPr="00804648">
              <w:rPr>
                <w:bCs w:val="0"/>
              </w:rPr>
              <w:t xml:space="preserve">237 vials </w:t>
            </w:r>
            <w:r w:rsidRPr="00804648">
              <w:rPr>
                <w:bCs w:val="0"/>
                <w:vertAlign w:val="superscript"/>
              </w:rPr>
              <w:t>c</w:t>
            </w:r>
          </w:p>
        </w:tc>
        <w:tc>
          <w:tcPr>
            <w:tcW w:w="1605" w:type="pct"/>
            <w:shd w:val="clear" w:color="auto" w:fill="auto"/>
            <w:vAlign w:val="center"/>
          </w:tcPr>
          <w:p w14:paraId="3A6E05B5" w14:textId="77777777" w:rsidR="0018647C" w:rsidRPr="00804648" w:rsidRDefault="0018647C" w:rsidP="00E23208">
            <w:pPr>
              <w:pStyle w:val="TableText0"/>
              <w:keepLines/>
              <w:jc w:val="center"/>
              <w:rPr>
                <w:bCs w:val="0"/>
              </w:rPr>
            </w:pPr>
            <w:r w:rsidRPr="00804648">
              <w:rPr>
                <w:bCs w:val="0"/>
              </w:rPr>
              <w:t xml:space="preserve">260 vials </w:t>
            </w:r>
            <w:r w:rsidRPr="00804648">
              <w:rPr>
                <w:bCs w:val="0"/>
                <w:vertAlign w:val="superscript"/>
              </w:rPr>
              <w:t>d</w:t>
            </w:r>
          </w:p>
        </w:tc>
      </w:tr>
      <w:tr w:rsidR="0018647C" w:rsidRPr="00804648" w14:paraId="0E3DE880" w14:textId="77777777" w:rsidTr="00C57643">
        <w:trPr>
          <w:cantSplit/>
          <w:trHeight w:val="170"/>
          <w:jc w:val="center"/>
        </w:trPr>
        <w:tc>
          <w:tcPr>
            <w:tcW w:w="1992" w:type="pct"/>
            <w:shd w:val="clear" w:color="auto" w:fill="auto"/>
            <w:vAlign w:val="center"/>
          </w:tcPr>
          <w:p w14:paraId="3E052BA1" w14:textId="77777777" w:rsidR="0018647C" w:rsidRPr="00804648" w:rsidRDefault="0018647C" w:rsidP="00E23208">
            <w:pPr>
              <w:pStyle w:val="TableText0"/>
              <w:keepLines/>
            </w:pPr>
            <w:r w:rsidRPr="00804648">
              <w:t>Cost per vial</w:t>
            </w:r>
          </w:p>
        </w:tc>
        <w:tc>
          <w:tcPr>
            <w:tcW w:w="3008" w:type="pct"/>
            <w:gridSpan w:val="2"/>
            <w:shd w:val="clear" w:color="auto" w:fill="auto"/>
            <w:vAlign w:val="center"/>
          </w:tcPr>
          <w:p w14:paraId="6767A550" w14:textId="4C40BEAB" w:rsidR="0018647C" w:rsidRPr="00804648" w:rsidRDefault="0018647C" w:rsidP="00E2320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r w:rsidRPr="00804648">
              <w:t xml:space="preserve"> based on </w:t>
            </w:r>
            <w:r w:rsidR="008B3133" w:rsidRPr="00804648">
              <w:t>effective AEM</w:t>
            </w:r>
            <w:r w:rsidRPr="00804648">
              <w:t xml:space="preserve">P </w:t>
            </w:r>
          </w:p>
        </w:tc>
      </w:tr>
      <w:tr w:rsidR="0018647C" w:rsidRPr="00804648" w14:paraId="083FEF3C" w14:textId="77777777" w:rsidTr="00C57643">
        <w:trPr>
          <w:cantSplit/>
          <w:trHeight w:val="170"/>
          <w:jc w:val="center"/>
        </w:trPr>
        <w:tc>
          <w:tcPr>
            <w:tcW w:w="1992" w:type="pct"/>
            <w:shd w:val="clear" w:color="auto" w:fill="auto"/>
            <w:vAlign w:val="center"/>
          </w:tcPr>
          <w:p w14:paraId="7B445160" w14:textId="1B9D28F3" w:rsidR="0018647C" w:rsidRPr="00804648" w:rsidRDefault="0018647C" w:rsidP="00E23208">
            <w:pPr>
              <w:pStyle w:val="TableText0"/>
              <w:keepLines/>
            </w:pPr>
            <w:r w:rsidRPr="00804648">
              <w:t>Compliance</w:t>
            </w:r>
          </w:p>
        </w:tc>
        <w:tc>
          <w:tcPr>
            <w:tcW w:w="1403" w:type="pct"/>
            <w:shd w:val="clear" w:color="auto" w:fill="auto"/>
            <w:vAlign w:val="center"/>
          </w:tcPr>
          <w:p w14:paraId="272327A3" w14:textId="77777777" w:rsidR="0018647C" w:rsidRPr="00804648" w:rsidRDefault="0018647C" w:rsidP="00E23208">
            <w:pPr>
              <w:pStyle w:val="TableText0"/>
              <w:keepLines/>
              <w:jc w:val="center"/>
            </w:pPr>
            <w:r w:rsidRPr="00804648">
              <w:t xml:space="preserve">95.3% in Year 1 </w:t>
            </w:r>
          </w:p>
          <w:p w14:paraId="06F2B987" w14:textId="495FF1DE" w:rsidR="0018647C" w:rsidRPr="00804648" w:rsidRDefault="0018647C" w:rsidP="00E23208">
            <w:pPr>
              <w:pStyle w:val="TableText0"/>
              <w:keepLines/>
              <w:jc w:val="center"/>
            </w:pPr>
            <w:r w:rsidRPr="00804648">
              <w:t>89.8% in subsequent years</w:t>
            </w:r>
          </w:p>
        </w:tc>
        <w:tc>
          <w:tcPr>
            <w:tcW w:w="1605" w:type="pct"/>
            <w:shd w:val="clear" w:color="auto" w:fill="auto"/>
            <w:vAlign w:val="center"/>
          </w:tcPr>
          <w:p w14:paraId="28C42804" w14:textId="7CFA3F54" w:rsidR="0018647C" w:rsidRPr="00804648" w:rsidRDefault="0018647C" w:rsidP="00E23208">
            <w:pPr>
              <w:pStyle w:val="TableText0"/>
              <w:keepLines/>
              <w:jc w:val="center"/>
            </w:pPr>
            <w:r w:rsidRPr="00804648">
              <w:t>100%</w:t>
            </w:r>
          </w:p>
        </w:tc>
      </w:tr>
      <w:tr w:rsidR="0018647C" w:rsidRPr="00804648" w14:paraId="558CC111" w14:textId="77777777" w:rsidTr="00C57643">
        <w:trPr>
          <w:cantSplit/>
          <w:trHeight w:val="170"/>
          <w:jc w:val="center"/>
        </w:trPr>
        <w:tc>
          <w:tcPr>
            <w:tcW w:w="1992" w:type="pct"/>
            <w:shd w:val="clear" w:color="auto" w:fill="auto"/>
            <w:vAlign w:val="center"/>
          </w:tcPr>
          <w:p w14:paraId="2AEAFAAF" w14:textId="6D309BDC" w:rsidR="0018647C" w:rsidRPr="00804648" w:rsidRDefault="0018647C" w:rsidP="00E23208">
            <w:pPr>
              <w:pStyle w:val="TableText0"/>
              <w:keepLines/>
            </w:pPr>
            <w:r w:rsidRPr="00804648">
              <w:t xml:space="preserve">Annual cost per treatment course per patient (Year 1) </w:t>
            </w:r>
            <w:r w:rsidRPr="00804648">
              <w:rPr>
                <w:vertAlign w:val="superscript"/>
              </w:rPr>
              <w:t>e</w:t>
            </w:r>
          </w:p>
        </w:tc>
        <w:tc>
          <w:tcPr>
            <w:tcW w:w="1403" w:type="pct"/>
            <w:shd w:val="clear" w:color="auto" w:fill="auto"/>
            <w:vAlign w:val="center"/>
          </w:tcPr>
          <w:p w14:paraId="77E068CC" w14:textId="156BB7CA" w:rsidR="0018647C" w:rsidRPr="00804648" w:rsidRDefault="0018647C" w:rsidP="00E2320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p>
        </w:tc>
        <w:tc>
          <w:tcPr>
            <w:tcW w:w="1605" w:type="pct"/>
            <w:shd w:val="clear" w:color="auto" w:fill="auto"/>
            <w:vAlign w:val="center"/>
          </w:tcPr>
          <w:p w14:paraId="77215A29" w14:textId="04BC9BB5" w:rsidR="0018647C" w:rsidRPr="00804648" w:rsidRDefault="0018647C" w:rsidP="00E2320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r w:rsidR="00D265E5" w:rsidRPr="00D265E5">
              <w:t xml:space="preserve"> </w:t>
            </w:r>
            <w:r w:rsidRPr="00804648">
              <w:rPr>
                <w:vertAlign w:val="superscript"/>
              </w:rPr>
              <w:t>f</w:t>
            </w:r>
          </w:p>
        </w:tc>
      </w:tr>
      <w:tr w:rsidR="0018647C" w:rsidRPr="00804648" w14:paraId="6BE37406" w14:textId="77777777" w:rsidTr="00C57643">
        <w:trPr>
          <w:cantSplit/>
          <w:trHeight w:val="170"/>
          <w:jc w:val="center"/>
        </w:trPr>
        <w:tc>
          <w:tcPr>
            <w:tcW w:w="1992" w:type="pct"/>
            <w:shd w:val="clear" w:color="auto" w:fill="auto"/>
            <w:vAlign w:val="center"/>
          </w:tcPr>
          <w:p w14:paraId="13D791DB" w14:textId="4F8D7119" w:rsidR="0018647C" w:rsidRPr="00804648" w:rsidRDefault="0018647C" w:rsidP="00E23208">
            <w:pPr>
              <w:pStyle w:val="TableText0"/>
              <w:keepLines/>
            </w:pPr>
            <w:r w:rsidRPr="00804648">
              <w:t>Annual cost per treatment course per patient (subsequent years)</w:t>
            </w:r>
            <w:r w:rsidRPr="00804648">
              <w:rPr>
                <w:vertAlign w:val="superscript"/>
              </w:rPr>
              <w:t xml:space="preserve"> e</w:t>
            </w:r>
          </w:p>
        </w:tc>
        <w:tc>
          <w:tcPr>
            <w:tcW w:w="1403" w:type="pct"/>
            <w:shd w:val="clear" w:color="auto" w:fill="auto"/>
            <w:vAlign w:val="center"/>
          </w:tcPr>
          <w:p w14:paraId="2436455E" w14:textId="65A16EAF" w:rsidR="0018647C" w:rsidRPr="00804648" w:rsidRDefault="0018647C" w:rsidP="00E2320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p>
        </w:tc>
        <w:tc>
          <w:tcPr>
            <w:tcW w:w="1605" w:type="pct"/>
            <w:shd w:val="clear" w:color="auto" w:fill="auto"/>
            <w:vAlign w:val="center"/>
          </w:tcPr>
          <w:p w14:paraId="510FF2D3" w14:textId="2B16442B" w:rsidR="0018647C" w:rsidRPr="00804648" w:rsidRDefault="0018647C" w:rsidP="00E2320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r w:rsidR="00D265E5" w:rsidRPr="00D265E5">
              <w:t xml:space="preserve"> </w:t>
            </w:r>
            <w:r w:rsidRPr="00804648">
              <w:rPr>
                <w:vertAlign w:val="superscript"/>
              </w:rPr>
              <w:t>g</w:t>
            </w:r>
          </w:p>
        </w:tc>
      </w:tr>
    </w:tbl>
    <w:p w14:paraId="0FE6EF30" w14:textId="77777777" w:rsidR="00094494" w:rsidRPr="00804648" w:rsidRDefault="00094494" w:rsidP="00E23208">
      <w:pPr>
        <w:pStyle w:val="FooterTableFigure"/>
        <w:keepNext/>
        <w:keepLines/>
      </w:pPr>
      <w:r w:rsidRPr="00804648">
        <w:t>Source: ‘Olipudase_ASMD CEA’ workbook and ‘Olipudase UCM-Australian patients’ – Prevalent workbook.</w:t>
      </w:r>
    </w:p>
    <w:p w14:paraId="2972B238" w14:textId="77777777" w:rsidR="00094494" w:rsidRPr="00804648" w:rsidRDefault="00094494" w:rsidP="00E23208">
      <w:pPr>
        <w:pStyle w:val="FooterTableFigure"/>
        <w:keepNext/>
        <w:keepLines/>
      </w:pPr>
      <w:proofErr w:type="spellStart"/>
      <w:r w:rsidRPr="00804648">
        <w:rPr>
          <w:vertAlign w:val="superscript"/>
        </w:rPr>
        <w:t>a</w:t>
      </w:r>
      <w:proofErr w:type="spellEnd"/>
      <w:r w:rsidRPr="00804648">
        <w:t xml:space="preserve"> Annual dose for Year 1 was adjusted for highest tolerated dose (HTD) but annual dose for Year 2 onwards was not adjusted for HTD.</w:t>
      </w:r>
    </w:p>
    <w:p w14:paraId="302BE782" w14:textId="77777777" w:rsidR="00094494" w:rsidRPr="00804648" w:rsidRDefault="00094494" w:rsidP="00E23208">
      <w:pPr>
        <w:pStyle w:val="FooterTableFigure"/>
        <w:keepNext/>
        <w:keepLines/>
      </w:pPr>
      <w:r w:rsidRPr="00804648">
        <w:rPr>
          <w:vertAlign w:val="superscript"/>
        </w:rPr>
        <w:t xml:space="preserve">b </w:t>
      </w:r>
      <w:r w:rsidRPr="00804648">
        <w:t>Annual dose was calculated based on an average body weight of 60.4 kg for adult patients and the recommended dosing regimen.</w:t>
      </w:r>
    </w:p>
    <w:p w14:paraId="1F5D45EA" w14:textId="77777777" w:rsidR="00094494" w:rsidRPr="00804648" w:rsidRDefault="00094494" w:rsidP="00E23208">
      <w:pPr>
        <w:pStyle w:val="FooterTableFigure"/>
        <w:keepNext/>
        <w:keepLines/>
      </w:pPr>
      <w:r w:rsidRPr="00804648">
        <w:rPr>
          <w:vertAlign w:val="superscript"/>
        </w:rPr>
        <w:t xml:space="preserve">c </w:t>
      </w:r>
      <w:r w:rsidRPr="00804648">
        <w:t xml:space="preserve">Annual dose required divided by 20 mg. </w:t>
      </w:r>
    </w:p>
    <w:p w14:paraId="584FD3C2" w14:textId="77777777" w:rsidR="00094494" w:rsidRPr="00804648" w:rsidRDefault="00094494" w:rsidP="00E23208">
      <w:pPr>
        <w:pStyle w:val="FooterTableFigure"/>
        <w:keepNext/>
        <w:keepLines/>
      </w:pPr>
      <w:r w:rsidRPr="00804648">
        <w:rPr>
          <w:vertAlign w:val="superscript"/>
        </w:rPr>
        <w:t xml:space="preserve">d </w:t>
      </w:r>
      <w:r w:rsidRPr="00804648">
        <w:t>Back calculated using the annual cost per treatment course/price of a vial.</w:t>
      </w:r>
    </w:p>
    <w:p w14:paraId="097BAAB2" w14:textId="77777777" w:rsidR="00094494" w:rsidRPr="00804648" w:rsidRDefault="00094494" w:rsidP="00E23208">
      <w:pPr>
        <w:pStyle w:val="FooterTableFigure"/>
        <w:keepNext/>
        <w:keepLines/>
      </w:pPr>
      <w:r w:rsidRPr="00804648">
        <w:rPr>
          <w:vertAlign w:val="superscript"/>
        </w:rPr>
        <w:t>e</w:t>
      </w:r>
      <w:r w:rsidRPr="00804648">
        <w:t xml:space="preserve"> Number of vials required * cost per vial. </w:t>
      </w:r>
    </w:p>
    <w:p w14:paraId="67DE125B" w14:textId="7B19CC21" w:rsidR="00094494" w:rsidRPr="00804648" w:rsidRDefault="0018647C" w:rsidP="00E23208">
      <w:pPr>
        <w:pStyle w:val="FooterTableFigure"/>
        <w:keepNext/>
        <w:keepLines/>
      </w:pPr>
      <w:r w:rsidRPr="00804648">
        <w:rPr>
          <w:vertAlign w:val="superscript"/>
        </w:rPr>
        <w:t>f</w:t>
      </w:r>
      <w:r w:rsidR="00094494" w:rsidRPr="00804648">
        <w:rPr>
          <w:vertAlign w:val="superscript"/>
        </w:rPr>
        <w:t xml:space="preserve"> </w:t>
      </w:r>
      <w:r w:rsidR="00094494" w:rsidRPr="00804648">
        <w:t>Annual cost per patient in Year 1 was calculated as annual cost for initiating patients/number of initiating patients. Financial estimate in was $</w:t>
      </w:r>
      <w:r w:rsidR="000508C9">
        <w:t>0 to &lt; $10 million</w:t>
      </w:r>
      <w:r w:rsidR="00094494" w:rsidRPr="00804648">
        <w:t xml:space="preserve"> for </w:t>
      </w:r>
      <w:r w:rsidR="00405740">
        <w:t>&lt; 500</w:t>
      </w:r>
      <w:r w:rsidR="00094494" w:rsidRPr="00804648">
        <w:t xml:space="preserve"> initiating patients and $</w:t>
      </w:r>
      <w:r w:rsidR="000508C9">
        <w:t>0 to &lt; $10 million</w:t>
      </w:r>
      <w:r w:rsidR="00094494" w:rsidRPr="00804648">
        <w:t xml:space="preserve"> for grandfather patients in Year 1.</w:t>
      </w:r>
    </w:p>
    <w:p w14:paraId="5523A5F4" w14:textId="27B8FAB6" w:rsidR="00094494" w:rsidRPr="00804648" w:rsidRDefault="0018647C" w:rsidP="00E23208">
      <w:pPr>
        <w:pStyle w:val="FooterTableFigure"/>
        <w:keepNext/>
        <w:keepLines/>
      </w:pPr>
      <w:r w:rsidRPr="00804648">
        <w:rPr>
          <w:vertAlign w:val="superscript"/>
        </w:rPr>
        <w:t xml:space="preserve">g </w:t>
      </w:r>
      <w:r w:rsidR="00094494" w:rsidRPr="00804648">
        <w:t>Annual cost per patient in subsequent years was calculated as annual cost for continuing patients/number of continuing patients. Financial estimate was $</w:t>
      </w:r>
      <w:r w:rsidR="000508C9">
        <w:t>0 to &lt; $10 million</w:t>
      </w:r>
      <w:r w:rsidR="00094494" w:rsidRPr="00804648">
        <w:t xml:space="preserve"> in the subsequent years for six continuing patients.</w:t>
      </w:r>
    </w:p>
    <w:p w14:paraId="587B64A4" w14:textId="7AB26E69" w:rsidR="00094494" w:rsidRPr="00804648" w:rsidRDefault="00094494" w:rsidP="006F6FE5">
      <w:pPr>
        <w:pStyle w:val="3-BodyText"/>
      </w:pPr>
      <w:r w:rsidRPr="00804648">
        <w:t>Treatment with olipudase alfa is expected to continue as long as the patient is clinically benefiting.</w:t>
      </w:r>
      <w:r w:rsidRPr="00804648">
        <w:rPr>
          <w:i/>
        </w:rPr>
        <w:t xml:space="preserve"> </w:t>
      </w:r>
      <w:r w:rsidRPr="00804648">
        <w:t xml:space="preserve">The differences between the economic and financial estimates were driven by the number of 20 mg vials required </w:t>
      </w:r>
      <w:r w:rsidR="006F01D8" w:rsidRPr="00804648">
        <w:t xml:space="preserve">and </w:t>
      </w:r>
      <w:r w:rsidRPr="00804648">
        <w:t>the compliance rate used by the submission to calculate the annual cost for olipudase alfa. The economic estimates calculated the number of vials based on the annual average dose, whereas the financial estimates calculated the number of vials required according to the dosing regimen accounting for wastage.</w:t>
      </w:r>
    </w:p>
    <w:p w14:paraId="549AC15F" w14:textId="575708D4" w:rsidR="00DB7143" w:rsidRPr="00804648" w:rsidRDefault="00DB7143" w:rsidP="00DB7143">
      <w:pPr>
        <w:pStyle w:val="3-BodyText"/>
      </w:pPr>
      <w:r w:rsidRPr="00804648">
        <w:fldChar w:fldCharType="begin" w:fldLock="1"/>
      </w:r>
      <w:r w:rsidRPr="00804648">
        <w:instrText xml:space="preserve"> REF _Ref134026564 \h </w:instrText>
      </w:r>
      <w:r w:rsidRPr="00804648">
        <w:fldChar w:fldCharType="separate"/>
      </w:r>
      <w:r w:rsidR="005D02DA" w:rsidRPr="00804648">
        <w:t>Table 23</w:t>
      </w:r>
      <w:r w:rsidRPr="00804648">
        <w:fldChar w:fldCharType="end"/>
      </w:r>
      <w:r w:rsidRPr="00804648">
        <w:t xml:space="preserve"> presents the calculations of cost per patient per course for paediatric patients.</w:t>
      </w:r>
    </w:p>
    <w:p w14:paraId="7184398C" w14:textId="0C472679" w:rsidR="00DB7143" w:rsidRPr="00804648" w:rsidRDefault="00DB7143" w:rsidP="00F26ED8">
      <w:pPr>
        <w:pStyle w:val="Caption"/>
        <w:rPr>
          <w:rStyle w:val="TableFigureHeadingChar"/>
        </w:rPr>
      </w:pPr>
      <w:bookmarkStart w:id="90" w:name="_Ref134026564"/>
      <w:r w:rsidRPr="00804648">
        <w:lastRenderedPageBreak/>
        <w:t xml:space="preserve">Table </w:t>
      </w:r>
      <w:fldSimple w:instr=" SEQ Table \* ARABIC " w:fldLock="1">
        <w:r w:rsidR="005D02DA" w:rsidRPr="00804648">
          <w:t>23</w:t>
        </w:r>
      </w:fldSimple>
      <w:bookmarkEnd w:id="90"/>
      <w:r w:rsidRPr="00804648">
        <w:t>:</w:t>
      </w:r>
      <w:r w:rsidRPr="00804648">
        <w:rPr>
          <w:rStyle w:val="TableFigureHeadingChar"/>
          <w:b/>
          <w:bCs/>
        </w:rPr>
        <w:t xml:space="preserve"> Drug cost per patient for olipudase alfa</w:t>
      </w:r>
      <w:r w:rsidRPr="00804648">
        <w:rPr>
          <w:rStyle w:val="TableFigureHeadingChar"/>
        </w:rPr>
        <w:t xml:space="preserve"> </w:t>
      </w:r>
      <w:r w:rsidRPr="00804648">
        <w:rPr>
          <w:rStyle w:val="TableFigureHeadingChar"/>
          <w:b/>
          <w:bCs/>
        </w:rPr>
        <w:t>for paediatric</w:t>
      </w:r>
      <w:r w:rsidRPr="00804648">
        <w:rPr>
          <w:rStyle w:val="TableFigureHeadingChar"/>
        </w:rPr>
        <w:t xml:space="preserve"> </w:t>
      </w:r>
      <w:r w:rsidRPr="00804648">
        <w:rPr>
          <w:rStyle w:val="TableFigureHeadingChar"/>
          <w:b/>
          <w:bCs/>
        </w:rPr>
        <w:t>patients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2"/>
        <w:gridCol w:w="2893"/>
        <w:gridCol w:w="3152"/>
      </w:tblGrid>
      <w:tr w:rsidR="0018647C" w:rsidRPr="00804648" w14:paraId="564C8ADA" w14:textId="77777777" w:rsidTr="00840609">
        <w:trPr>
          <w:cantSplit/>
          <w:tblHeader/>
          <w:jc w:val="center"/>
        </w:trPr>
        <w:tc>
          <w:tcPr>
            <w:tcW w:w="1648" w:type="pct"/>
            <w:shd w:val="clear" w:color="auto" w:fill="auto"/>
            <w:vAlign w:val="center"/>
          </w:tcPr>
          <w:p w14:paraId="78A0A80B" w14:textId="77777777" w:rsidR="0018647C" w:rsidRPr="00804648" w:rsidRDefault="0018647C" w:rsidP="00F26ED8">
            <w:pPr>
              <w:pStyle w:val="In-tableHeading"/>
              <w:keepLines/>
              <w:jc w:val="center"/>
              <w:rPr>
                <w:lang w:val="en-AU"/>
              </w:rPr>
            </w:pPr>
          </w:p>
        </w:tc>
        <w:tc>
          <w:tcPr>
            <w:tcW w:w="1604" w:type="pct"/>
            <w:shd w:val="clear" w:color="auto" w:fill="auto"/>
            <w:vAlign w:val="center"/>
          </w:tcPr>
          <w:p w14:paraId="372A8617" w14:textId="77777777" w:rsidR="0018647C" w:rsidRPr="00804648" w:rsidRDefault="0018647C" w:rsidP="00F26ED8">
            <w:pPr>
              <w:pStyle w:val="In-tableHeading"/>
              <w:keepLines/>
              <w:jc w:val="center"/>
              <w:rPr>
                <w:lang w:val="en-AU"/>
              </w:rPr>
            </w:pPr>
            <w:r w:rsidRPr="00804648">
              <w:rPr>
                <w:lang w:val="en-AU"/>
              </w:rPr>
              <w:t>Olipudase alfa</w:t>
            </w:r>
          </w:p>
          <w:p w14:paraId="7566E12A" w14:textId="77777777" w:rsidR="0018647C" w:rsidRPr="00804648" w:rsidRDefault="0018647C" w:rsidP="00F26ED8">
            <w:pPr>
              <w:pStyle w:val="In-tableHeading"/>
              <w:keepLines/>
              <w:jc w:val="center"/>
              <w:rPr>
                <w:lang w:val="en-AU"/>
              </w:rPr>
            </w:pPr>
            <w:r w:rsidRPr="00804648">
              <w:rPr>
                <w:lang w:val="en-AU"/>
              </w:rPr>
              <w:t xml:space="preserve">Model </w:t>
            </w:r>
            <w:r w:rsidRPr="00804648">
              <w:rPr>
                <w:vertAlign w:val="superscript"/>
                <w:lang w:val="en-AU"/>
              </w:rPr>
              <w:t>b</w:t>
            </w:r>
          </w:p>
        </w:tc>
        <w:tc>
          <w:tcPr>
            <w:tcW w:w="1748" w:type="pct"/>
            <w:shd w:val="clear" w:color="auto" w:fill="auto"/>
            <w:vAlign w:val="center"/>
          </w:tcPr>
          <w:p w14:paraId="06D90D09" w14:textId="77777777" w:rsidR="0018647C" w:rsidRPr="00804648" w:rsidRDefault="0018647C" w:rsidP="00F26ED8">
            <w:pPr>
              <w:pStyle w:val="In-tableHeading"/>
              <w:keepLines/>
              <w:jc w:val="center"/>
              <w:rPr>
                <w:lang w:val="en-AU"/>
              </w:rPr>
            </w:pPr>
            <w:r w:rsidRPr="00804648">
              <w:rPr>
                <w:lang w:val="en-AU"/>
              </w:rPr>
              <w:t>Olipudase alfa</w:t>
            </w:r>
          </w:p>
          <w:p w14:paraId="4FD5C0A6" w14:textId="77777777" w:rsidR="0018647C" w:rsidRPr="00804648" w:rsidRDefault="0018647C" w:rsidP="00F26ED8">
            <w:pPr>
              <w:pStyle w:val="In-tableHeading"/>
              <w:keepLines/>
              <w:jc w:val="center"/>
              <w:rPr>
                <w:lang w:val="en-AU"/>
              </w:rPr>
            </w:pPr>
            <w:r w:rsidRPr="00804648">
              <w:rPr>
                <w:lang w:val="en-AU"/>
              </w:rPr>
              <w:t xml:space="preserve">Financial estimates </w:t>
            </w:r>
            <w:r w:rsidRPr="00804648">
              <w:rPr>
                <w:vertAlign w:val="superscript"/>
                <w:lang w:val="en-AU"/>
              </w:rPr>
              <w:t>c</w:t>
            </w:r>
          </w:p>
        </w:tc>
      </w:tr>
      <w:tr w:rsidR="0018647C" w:rsidRPr="00804648" w14:paraId="51AAC932" w14:textId="77777777" w:rsidTr="00840609">
        <w:trPr>
          <w:cantSplit/>
          <w:trHeight w:val="20"/>
          <w:jc w:val="center"/>
        </w:trPr>
        <w:tc>
          <w:tcPr>
            <w:tcW w:w="1648" w:type="pct"/>
            <w:shd w:val="clear" w:color="auto" w:fill="auto"/>
            <w:vAlign w:val="center"/>
          </w:tcPr>
          <w:p w14:paraId="77FF028A" w14:textId="2145C547" w:rsidR="0018647C" w:rsidRPr="00804648" w:rsidRDefault="0018647C" w:rsidP="00F26ED8">
            <w:pPr>
              <w:pStyle w:val="TableText0"/>
              <w:keepLines/>
            </w:pPr>
            <w:r w:rsidRPr="00804648">
              <w:t>Annual average dose (Year 1)</w:t>
            </w:r>
          </w:p>
        </w:tc>
        <w:tc>
          <w:tcPr>
            <w:tcW w:w="1604" w:type="pct"/>
            <w:shd w:val="clear" w:color="auto" w:fill="auto"/>
            <w:vAlign w:val="center"/>
          </w:tcPr>
          <w:p w14:paraId="62A2EE8D" w14:textId="77777777" w:rsidR="0018647C" w:rsidRPr="00804648" w:rsidRDefault="0018647C" w:rsidP="00F26ED8">
            <w:pPr>
              <w:pStyle w:val="TableText0"/>
              <w:keepLines/>
              <w:jc w:val="center"/>
            </w:pPr>
            <w:r w:rsidRPr="00804648">
              <w:t xml:space="preserve">1,250 mg </w:t>
            </w:r>
          </w:p>
        </w:tc>
        <w:tc>
          <w:tcPr>
            <w:tcW w:w="1748" w:type="pct"/>
            <w:shd w:val="clear" w:color="auto" w:fill="auto"/>
            <w:vAlign w:val="center"/>
          </w:tcPr>
          <w:p w14:paraId="1FA680E0" w14:textId="77777777" w:rsidR="0018647C" w:rsidRPr="00804648" w:rsidRDefault="0018647C" w:rsidP="00F26ED8">
            <w:pPr>
              <w:pStyle w:val="TableText0"/>
              <w:keepLines/>
              <w:jc w:val="center"/>
              <w:rPr>
                <w:bCs w:val="0"/>
              </w:rPr>
            </w:pPr>
            <w:r w:rsidRPr="00804648">
              <w:rPr>
                <w:bCs w:val="0"/>
              </w:rPr>
              <w:t>3,203 mg</w:t>
            </w:r>
          </w:p>
        </w:tc>
      </w:tr>
      <w:tr w:rsidR="0018647C" w:rsidRPr="00804648" w14:paraId="3B6171AC" w14:textId="77777777" w:rsidTr="00840609">
        <w:trPr>
          <w:cantSplit/>
          <w:trHeight w:val="20"/>
          <w:jc w:val="center"/>
        </w:trPr>
        <w:tc>
          <w:tcPr>
            <w:tcW w:w="1648" w:type="pct"/>
            <w:shd w:val="clear" w:color="auto" w:fill="auto"/>
            <w:vAlign w:val="center"/>
          </w:tcPr>
          <w:p w14:paraId="24D80BB3" w14:textId="0CAE0784" w:rsidR="0018647C" w:rsidRPr="00804648" w:rsidRDefault="0018647C" w:rsidP="00F26ED8">
            <w:pPr>
              <w:pStyle w:val="TableText0"/>
              <w:keepLines/>
            </w:pPr>
            <w:r w:rsidRPr="00804648">
              <w:t>Annual average dose (subsequent years)</w:t>
            </w:r>
          </w:p>
        </w:tc>
        <w:tc>
          <w:tcPr>
            <w:tcW w:w="1604" w:type="pct"/>
            <w:shd w:val="clear" w:color="auto" w:fill="auto"/>
            <w:vAlign w:val="center"/>
          </w:tcPr>
          <w:p w14:paraId="7AA38613" w14:textId="77777777" w:rsidR="0018647C" w:rsidRPr="00804648" w:rsidRDefault="0018647C" w:rsidP="00F26ED8">
            <w:pPr>
              <w:pStyle w:val="TableText0"/>
              <w:keepLines/>
              <w:jc w:val="center"/>
            </w:pPr>
            <w:r w:rsidRPr="00804648">
              <w:t>1,660 mg</w:t>
            </w:r>
          </w:p>
        </w:tc>
        <w:tc>
          <w:tcPr>
            <w:tcW w:w="1748" w:type="pct"/>
            <w:shd w:val="clear" w:color="auto" w:fill="auto"/>
            <w:vAlign w:val="center"/>
          </w:tcPr>
          <w:p w14:paraId="6E5B7365" w14:textId="77777777" w:rsidR="0018647C" w:rsidRPr="00804648" w:rsidRDefault="0018647C" w:rsidP="00F26ED8">
            <w:pPr>
              <w:pStyle w:val="TableText0"/>
              <w:keepLines/>
              <w:jc w:val="center"/>
              <w:rPr>
                <w:bCs w:val="0"/>
              </w:rPr>
            </w:pPr>
            <w:r w:rsidRPr="00804648">
              <w:rPr>
                <w:bCs w:val="0"/>
              </w:rPr>
              <w:t>Year 2: 4,494 mg</w:t>
            </w:r>
          </w:p>
          <w:p w14:paraId="4566EA7E" w14:textId="77777777" w:rsidR="0018647C" w:rsidRPr="00804648" w:rsidRDefault="0018647C" w:rsidP="00F26ED8">
            <w:pPr>
              <w:pStyle w:val="TableText0"/>
              <w:keepLines/>
              <w:jc w:val="center"/>
              <w:rPr>
                <w:bCs w:val="0"/>
              </w:rPr>
            </w:pPr>
            <w:r w:rsidRPr="00804648">
              <w:rPr>
                <w:bCs w:val="0"/>
              </w:rPr>
              <w:t>Year 3: 4,685 mg</w:t>
            </w:r>
          </w:p>
          <w:p w14:paraId="183EC6E8" w14:textId="77777777" w:rsidR="0018647C" w:rsidRPr="00804648" w:rsidRDefault="0018647C" w:rsidP="00F26ED8">
            <w:pPr>
              <w:pStyle w:val="TableText0"/>
              <w:keepLines/>
              <w:jc w:val="center"/>
              <w:rPr>
                <w:bCs w:val="0"/>
              </w:rPr>
            </w:pPr>
            <w:r w:rsidRPr="00804648">
              <w:rPr>
                <w:bCs w:val="0"/>
              </w:rPr>
              <w:t>Year 4 onwards:4,829 mg</w:t>
            </w:r>
          </w:p>
        </w:tc>
      </w:tr>
      <w:tr w:rsidR="0018647C" w:rsidRPr="00804648" w14:paraId="02B0F0C1" w14:textId="77777777" w:rsidTr="00840609">
        <w:trPr>
          <w:cantSplit/>
          <w:trHeight w:val="20"/>
          <w:jc w:val="center"/>
        </w:trPr>
        <w:tc>
          <w:tcPr>
            <w:tcW w:w="1648" w:type="pct"/>
            <w:shd w:val="clear" w:color="auto" w:fill="auto"/>
            <w:vAlign w:val="center"/>
          </w:tcPr>
          <w:p w14:paraId="10E770D0" w14:textId="0B631AD0" w:rsidR="0018647C" w:rsidRPr="00804648" w:rsidRDefault="0018647C" w:rsidP="00F26ED8">
            <w:pPr>
              <w:pStyle w:val="TableText0"/>
              <w:keepLines/>
            </w:pPr>
            <w:r w:rsidRPr="00804648">
              <w:t>Number of vials required (Year 1)</w:t>
            </w:r>
          </w:p>
        </w:tc>
        <w:tc>
          <w:tcPr>
            <w:tcW w:w="1604" w:type="pct"/>
            <w:shd w:val="clear" w:color="auto" w:fill="auto"/>
            <w:vAlign w:val="center"/>
          </w:tcPr>
          <w:p w14:paraId="31EF33C1" w14:textId="77777777" w:rsidR="0018647C" w:rsidRPr="00804648" w:rsidRDefault="0018647C" w:rsidP="00F26ED8">
            <w:pPr>
              <w:pStyle w:val="TableText0"/>
              <w:keepLines/>
              <w:jc w:val="center"/>
              <w:rPr>
                <w:bCs w:val="0"/>
              </w:rPr>
            </w:pPr>
            <w:r w:rsidRPr="00804648">
              <w:rPr>
                <w:bCs w:val="0"/>
              </w:rPr>
              <w:t xml:space="preserve">63 vials </w:t>
            </w:r>
            <w:r w:rsidRPr="00804648">
              <w:rPr>
                <w:bCs w:val="0"/>
                <w:vertAlign w:val="superscript"/>
              </w:rPr>
              <w:t>d</w:t>
            </w:r>
          </w:p>
        </w:tc>
        <w:tc>
          <w:tcPr>
            <w:tcW w:w="1748" w:type="pct"/>
            <w:shd w:val="clear" w:color="auto" w:fill="auto"/>
            <w:vAlign w:val="center"/>
          </w:tcPr>
          <w:p w14:paraId="40A12FBB" w14:textId="77777777" w:rsidR="0018647C" w:rsidRPr="00804648" w:rsidRDefault="0018647C" w:rsidP="00F26ED8">
            <w:pPr>
              <w:pStyle w:val="TableText0"/>
              <w:keepLines/>
              <w:jc w:val="center"/>
              <w:rPr>
                <w:bCs w:val="0"/>
              </w:rPr>
            </w:pPr>
            <w:r w:rsidRPr="00804648">
              <w:rPr>
                <w:bCs w:val="0"/>
              </w:rPr>
              <w:t>179 vials</w:t>
            </w:r>
          </w:p>
        </w:tc>
      </w:tr>
      <w:tr w:rsidR="0018647C" w:rsidRPr="00804648" w14:paraId="0DD682B0" w14:textId="77777777" w:rsidTr="00840609">
        <w:trPr>
          <w:cantSplit/>
          <w:trHeight w:val="20"/>
          <w:jc w:val="center"/>
        </w:trPr>
        <w:tc>
          <w:tcPr>
            <w:tcW w:w="1648" w:type="pct"/>
            <w:shd w:val="clear" w:color="auto" w:fill="auto"/>
            <w:vAlign w:val="center"/>
          </w:tcPr>
          <w:p w14:paraId="744C2D49" w14:textId="74085874" w:rsidR="0018647C" w:rsidRPr="00804648" w:rsidRDefault="0018647C" w:rsidP="00F26ED8">
            <w:pPr>
              <w:pStyle w:val="TableText0"/>
              <w:keepLines/>
            </w:pPr>
            <w:r w:rsidRPr="00804648">
              <w:t>Number of vials required (subsequent years)</w:t>
            </w:r>
          </w:p>
        </w:tc>
        <w:tc>
          <w:tcPr>
            <w:tcW w:w="1604" w:type="pct"/>
            <w:shd w:val="clear" w:color="auto" w:fill="auto"/>
            <w:vAlign w:val="center"/>
          </w:tcPr>
          <w:p w14:paraId="20B3EDAF" w14:textId="77777777" w:rsidR="0018647C" w:rsidRPr="00804648" w:rsidRDefault="0018647C" w:rsidP="00F26ED8">
            <w:pPr>
              <w:pStyle w:val="TableText0"/>
              <w:keepLines/>
              <w:jc w:val="center"/>
              <w:rPr>
                <w:bCs w:val="0"/>
              </w:rPr>
            </w:pPr>
            <w:r w:rsidRPr="00804648">
              <w:rPr>
                <w:bCs w:val="0"/>
              </w:rPr>
              <w:t xml:space="preserve">83 vials </w:t>
            </w:r>
            <w:r w:rsidRPr="00804648">
              <w:rPr>
                <w:bCs w:val="0"/>
                <w:vertAlign w:val="superscript"/>
              </w:rPr>
              <w:t>d</w:t>
            </w:r>
          </w:p>
        </w:tc>
        <w:tc>
          <w:tcPr>
            <w:tcW w:w="1748" w:type="pct"/>
            <w:shd w:val="clear" w:color="auto" w:fill="auto"/>
            <w:vAlign w:val="center"/>
          </w:tcPr>
          <w:p w14:paraId="31B20C45" w14:textId="77777777" w:rsidR="0018647C" w:rsidRPr="00804648" w:rsidRDefault="0018647C" w:rsidP="00F26ED8">
            <w:pPr>
              <w:pStyle w:val="TableText0"/>
              <w:keepLines/>
              <w:jc w:val="center"/>
              <w:rPr>
                <w:bCs w:val="0"/>
              </w:rPr>
            </w:pPr>
            <w:r w:rsidRPr="00804648">
              <w:rPr>
                <w:bCs w:val="0"/>
              </w:rPr>
              <w:t xml:space="preserve">Year 2: 234 vials </w:t>
            </w:r>
            <w:r w:rsidRPr="00804648">
              <w:rPr>
                <w:bCs w:val="0"/>
                <w:vertAlign w:val="superscript"/>
              </w:rPr>
              <w:t>e</w:t>
            </w:r>
          </w:p>
          <w:p w14:paraId="168D87AA" w14:textId="77777777" w:rsidR="0018647C" w:rsidRPr="00804648" w:rsidRDefault="0018647C" w:rsidP="00F26ED8">
            <w:pPr>
              <w:pStyle w:val="TableText0"/>
              <w:keepLines/>
              <w:jc w:val="center"/>
              <w:rPr>
                <w:bCs w:val="0"/>
              </w:rPr>
            </w:pPr>
            <w:r w:rsidRPr="00804648">
              <w:rPr>
                <w:bCs w:val="0"/>
              </w:rPr>
              <w:t xml:space="preserve">Year 3: 260 vials </w:t>
            </w:r>
            <w:r w:rsidRPr="00804648">
              <w:rPr>
                <w:bCs w:val="0"/>
                <w:vertAlign w:val="superscript"/>
              </w:rPr>
              <w:t>e</w:t>
            </w:r>
          </w:p>
          <w:p w14:paraId="4E9A3B01" w14:textId="77777777" w:rsidR="0018647C" w:rsidRPr="00804648" w:rsidRDefault="0018647C" w:rsidP="00F26ED8">
            <w:pPr>
              <w:pStyle w:val="TableText0"/>
              <w:keepLines/>
              <w:jc w:val="center"/>
              <w:rPr>
                <w:bCs w:val="0"/>
              </w:rPr>
            </w:pPr>
            <w:r w:rsidRPr="00804648">
              <w:rPr>
                <w:bCs w:val="0"/>
              </w:rPr>
              <w:t xml:space="preserve">Year 4 onwards: 260 vials </w:t>
            </w:r>
            <w:r w:rsidRPr="00804648">
              <w:rPr>
                <w:bCs w:val="0"/>
                <w:vertAlign w:val="superscript"/>
              </w:rPr>
              <w:t>e</w:t>
            </w:r>
          </w:p>
        </w:tc>
      </w:tr>
      <w:tr w:rsidR="0018647C" w:rsidRPr="00804648" w14:paraId="139B7C6A" w14:textId="77777777" w:rsidTr="00840609">
        <w:trPr>
          <w:cantSplit/>
          <w:trHeight w:val="20"/>
          <w:jc w:val="center"/>
        </w:trPr>
        <w:tc>
          <w:tcPr>
            <w:tcW w:w="1648" w:type="pct"/>
            <w:shd w:val="clear" w:color="auto" w:fill="auto"/>
            <w:vAlign w:val="center"/>
          </w:tcPr>
          <w:p w14:paraId="79604DEF" w14:textId="77777777" w:rsidR="0018647C" w:rsidRPr="00804648" w:rsidRDefault="0018647C" w:rsidP="00F26ED8">
            <w:pPr>
              <w:pStyle w:val="TableText0"/>
              <w:keepLines/>
            </w:pPr>
            <w:r w:rsidRPr="00804648">
              <w:t>Cost per vial</w:t>
            </w:r>
          </w:p>
        </w:tc>
        <w:tc>
          <w:tcPr>
            <w:tcW w:w="3352" w:type="pct"/>
            <w:gridSpan w:val="2"/>
            <w:shd w:val="clear" w:color="auto" w:fill="auto"/>
            <w:vAlign w:val="center"/>
          </w:tcPr>
          <w:p w14:paraId="7E9ACC45" w14:textId="0594B516" w:rsidR="0018647C" w:rsidRPr="00804648" w:rsidRDefault="0018647C" w:rsidP="00F26ED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r w:rsidR="00D265E5" w:rsidRPr="00D265E5">
              <w:t xml:space="preserve"> </w:t>
            </w:r>
            <w:r w:rsidRPr="00804648">
              <w:t xml:space="preserve">based on </w:t>
            </w:r>
            <w:r w:rsidR="008B3133" w:rsidRPr="00804648">
              <w:t>effective AEMP</w:t>
            </w:r>
          </w:p>
        </w:tc>
      </w:tr>
      <w:tr w:rsidR="00C57643" w:rsidRPr="00804648" w14:paraId="38919EFE" w14:textId="77777777" w:rsidTr="00840609">
        <w:trPr>
          <w:cantSplit/>
          <w:trHeight w:val="20"/>
          <w:jc w:val="center"/>
        </w:trPr>
        <w:tc>
          <w:tcPr>
            <w:tcW w:w="1648" w:type="pct"/>
            <w:shd w:val="clear" w:color="auto" w:fill="auto"/>
            <w:vAlign w:val="center"/>
          </w:tcPr>
          <w:p w14:paraId="1FC96F87" w14:textId="495DA2E7" w:rsidR="00C57643" w:rsidRPr="00804648" w:rsidRDefault="00C57643" w:rsidP="00F26ED8">
            <w:pPr>
              <w:pStyle w:val="TableText0"/>
              <w:keepLines/>
            </w:pPr>
            <w:r w:rsidRPr="00804648">
              <w:t>Compliance</w:t>
            </w:r>
          </w:p>
        </w:tc>
        <w:tc>
          <w:tcPr>
            <w:tcW w:w="1604" w:type="pct"/>
            <w:shd w:val="clear" w:color="auto" w:fill="auto"/>
            <w:vAlign w:val="center"/>
          </w:tcPr>
          <w:p w14:paraId="5A55557C" w14:textId="77777777" w:rsidR="00C57643" w:rsidRPr="00804648" w:rsidRDefault="00C57643" w:rsidP="00F26ED8">
            <w:pPr>
              <w:pStyle w:val="TableText0"/>
              <w:keepLines/>
              <w:jc w:val="center"/>
            </w:pPr>
            <w:r w:rsidRPr="00804648">
              <w:t xml:space="preserve">99.2% in Year 1 </w:t>
            </w:r>
          </w:p>
          <w:p w14:paraId="0DC84737" w14:textId="09CAEE56" w:rsidR="00C57643" w:rsidRPr="00804648" w:rsidRDefault="00C57643" w:rsidP="00F26ED8">
            <w:pPr>
              <w:pStyle w:val="TableText0"/>
              <w:keepLines/>
              <w:jc w:val="center"/>
            </w:pPr>
            <w:r w:rsidRPr="00804648">
              <w:t>96.8% in subsequent years</w:t>
            </w:r>
          </w:p>
        </w:tc>
        <w:tc>
          <w:tcPr>
            <w:tcW w:w="1748" w:type="pct"/>
            <w:shd w:val="clear" w:color="auto" w:fill="auto"/>
            <w:vAlign w:val="center"/>
          </w:tcPr>
          <w:p w14:paraId="5760D329" w14:textId="6F1F892C" w:rsidR="00C57643" w:rsidRPr="00804648" w:rsidRDefault="00C57643" w:rsidP="00F26ED8">
            <w:pPr>
              <w:pStyle w:val="TableText0"/>
              <w:keepLines/>
              <w:jc w:val="center"/>
            </w:pPr>
            <w:r w:rsidRPr="00804648">
              <w:t>100%</w:t>
            </w:r>
          </w:p>
        </w:tc>
      </w:tr>
      <w:tr w:rsidR="0018647C" w:rsidRPr="00804648" w14:paraId="32CC2FBC" w14:textId="77777777" w:rsidTr="00840609">
        <w:trPr>
          <w:cantSplit/>
          <w:trHeight w:val="20"/>
          <w:jc w:val="center"/>
        </w:trPr>
        <w:tc>
          <w:tcPr>
            <w:tcW w:w="1648" w:type="pct"/>
            <w:shd w:val="clear" w:color="auto" w:fill="auto"/>
            <w:vAlign w:val="center"/>
          </w:tcPr>
          <w:p w14:paraId="66085594" w14:textId="7F36517F" w:rsidR="0018647C" w:rsidRPr="00804648" w:rsidRDefault="0018647C" w:rsidP="00F26ED8">
            <w:pPr>
              <w:pStyle w:val="TableText0"/>
              <w:keepLines/>
            </w:pPr>
            <w:r w:rsidRPr="00804648">
              <w:t xml:space="preserve">Annual cost per treatment course per patient (Year 1) </w:t>
            </w:r>
            <w:r w:rsidRPr="00804648">
              <w:rPr>
                <w:vertAlign w:val="superscript"/>
              </w:rPr>
              <w:t>e</w:t>
            </w:r>
          </w:p>
        </w:tc>
        <w:tc>
          <w:tcPr>
            <w:tcW w:w="1604" w:type="pct"/>
            <w:shd w:val="clear" w:color="auto" w:fill="auto"/>
            <w:vAlign w:val="center"/>
          </w:tcPr>
          <w:p w14:paraId="5CB12040" w14:textId="5B92CA38" w:rsidR="0018647C" w:rsidRPr="00804648" w:rsidRDefault="0018647C" w:rsidP="00F26ED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p>
        </w:tc>
        <w:tc>
          <w:tcPr>
            <w:tcW w:w="1748" w:type="pct"/>
            <w:shd w:val="clear" w:color="auto" w:fill="auto"/>
            <w:vAlign w:val="center"/>
          </w:tcPr>
          <w:p w14:paraId="122F11D7" w14:textId="6E0CFB90" w:rsidR="0018647C" w:rsidRPr="00804648" w:rsidRDefault="0018647C" w:rsidP="00F26ED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p>
        </w:tc>
      </w:tr>
      <w:tr w:rsidR="0018647C" w:rsidRPr="00804648" w14:paraId="43692204" w14:textId="77777777" w:rsidTr="00840609">
        <w:trPr>
          <w:cantSplit/>
          <w:trHeight w:val="20"/>
          <w:jc w:val="center"/>
        </w:trPr>
        <w:tc>
          <w:tcPr>
            <w:tcW w:w="1648" w:type="pct"/>
            <w:shd w:val="clear" w:color="auto" w:fill="auto"/>
            <w:vAlign w:val="center"/>
          </w:tcPr>
          <w:p w14:paraId="5E5015D6" w14:textId="61E182F9" w:rsidR="0018647C" w:rsidRPr="00804648" w:rsidRDefault="0018647C" w:rsidP="00F26ED8">
            <w:pPr>
              <w:pStyle w:val="TableText0"/>
              <w:keepLines/>
            </w:pPr>
            <w:r w:rsidRPr="00804648">
              <w:t>Annual cost per treatment course per patient (subsequent years)</w:t>
            </w:r>
            <w:r w:rsidRPr="00804648">
              <w:rPr>
                <w:vertAlign w:val="superscript"/>
              </w:rPr>
              <w:t xml:space="preserve"> e</w:t>
            </w:r>
          </w:p>
        </w:tc>
        <w:tc>
          <w:tcPr>
            <w:tcW w:w="1604" w:type="pct"/>
            <w:shd w:val="clear" w:color="auto" w:fill="auto"/>
            <w:vAlign w:val="center"/>
          </w:tcPr>
          <w:p w14:paraId="0149ED2B" w14:textId="64D87248" w:rsidR="0018647C" w:rsidRPr="00804648" w:rsidRDefault="00CC6639" w:rsidP="00F26ED8">
            <w:pPr>
              <w:pStyle w:val="TableText0"/>
              <w:keepLines/>
              <w:jc w:val="center"/>
            </w:pPr>
            <w:r w:rsidRPr="00804648">
              <w:t>$</w:t>
            </w:r>
            <w:r w:rsidR="00D265E5" w:rsidRPr="00D265E5">
              <w:rPr>
                <w:color w:val="000000"/>
                <w:shd w:val="solid" w:color="000000" w:fill="000000"/>
                <w14:textFill>
                  <w14:solidFill>
                    <w14:srgbClr w14:val="000000">
                      <w14:alpha w14:val="100000"/>
                    </w14:srgbClr>
                  </w14:solidFill>
                </w14:textFill>
              </w:rPr>
              <w:t>|</w:t>
            </w:r>
          </w:p>
        </w:tc>
        <w:tc>
          <w:tcPr>
            <w:tcW w:w="1748" w:type="pct"/>
            <w:shd w:val="clear" w:color="auto" w:fill="auto"/>
            <w:vAlign w:val="center"/>
          </w:tcPr>
          <w:p w14:paraId="0C1C485E" w14:textId="1082C014" w:rsidR="0018647C" w:rsidRPr="00804648" w:rsidRDefault="0018647C" w:rsidP="00F26ED8">
            <w:pPr>
              <w:pStyle w:val="TableText0"/>
              <w:keepLines/>
              <w:jc w:val="center"/>
              <w:rPr>
                <w:bCs w:val="0"/>
              </w:rPr>
            </w:pPr>
            <w:r w:rsidRPr="00804648">
              <w:rPr>
                <w:bCs w:val="0"/>
              </w:rPr>
              <w:t>Year 2: $</w:t>
            </w:r>
            <w:r w:rsidR="00D265E5" w:rsidRPr="00D265E5">
              <w:rPr>
                <w:bCs w:val="0"/>
                <w:color w:val="000000"/>
                <w:shd w:val="solid" w:color="000000" w:fill="000000"/>
                <w14:textFill>
                  <w14:solidFill>
                    <w14:srgbClr w14:val="000000">
                      <w14:alpha w14:val="100000"/>
                    </w14:srgbClr>
                  </w14:solidFill>
                </w14:textFill>
              </w:rPr>
              <w:t>|</w:t>
            </w:r>
          </w:p>
          <w:p w14:paraId="3410E50A" w14:textId="1D59BF72" w:rsidR="0018647C" w:rsidRPr="00804648" w:rsidRDefault="0018647C" w:rsidP="00F26ED8">
            <w:pPr>
              <w:pStyle w:val="TableText0"/>
              <w:keepLines/>
              <w:jc w:val="center"/>
              <w:rPr>
                <w:bCs w:val="0"/>
              </w:rPr>
            </w:pPr>
            <w:r w:rsidRPr="00804648">
              <w:rPr>
                <w:bCs w:val="0"/>
              </w:rPr>
              <w:t>Year 3: $</w:t>
            </w:r>
            <w:r w:rsidR="00D265E5" w:rsidRPr="00D265E5">
              <w:rPr>
                <w:bCs w:val="0"/>
                <w:color w:val="000000"/>
                <w:shd w:val="solid" w:color="000000" w:fill="000000"/>
                <w14:textFill>
                  <w14:solidFill>
                    <w14:srgbClr w14:val="000000">
                      <w14:alpha w14:val="100000"/>
                    </w14:srgbClr>
                  </w14:solidFill>
                </w14:textFill>
              </w:rPr>
              <w:t>|</w:t>
            </w:r>
          </w:p>
          <w:p w14:paraId="072F7A07" w14:textId="56F053F5" w:rsidR="0018647C" w:rsidRPr="00804648" w:rsidRDefault="0018647C" w:rsidP="00F26ED8">
            <w:pPr>
              <w:pStyle w:val="TableText0"/>
              <w:keepLines/>
              <w:jc w:val="center"/>
            </w:pPr>
            <w:r w:rsidRPr="00804648">
              <w:rPr>
                <w:bCs w:val="0"/>
              </w:rPr>
              <w:t>Year 4 onwards:</w:t>
            </w:r>
            <w:r w:rsidRPr="00804648">
              <w:t xml:space="preserve"> </w:t>
            </w:r>
            <w:r w:rsidRPr="00804648">
              <w:rPr>
                <w:bCs w:val="0"/>
              </w:rPr>
              <w:t>$</w:t>
            </w:r>
            <w:r w:rsidR="00D265E5" w:rsidRPr="00D265E5">
              <w:rPr>
                <w:bCs w:val="0"/>
                <w:color w:val="000000"/>
                <w:shd w:val="solid" w:color="000000" w:fill="000000"/>
                <w14:textFill>
                  <w14:solidFill>
                    <w14:srgbClr w14:val="000000">
                      <w14:alpha w14:val="100000"/>
                    </w14:srgbClr>
                  </w14:solidFill>
                </w14:textFill>
              </w:rPr>
              <w:t>|</w:t>
            </w:r>
          </w:p>
        </w:tc>
      </w:tr>
    </w:tbl>
    <w:p w14:paraId="334ACFE1" w14:textId="77777777" w:rsidR="00DB7143" w:rsidRPr="00804648" w:rsidRDefault="00DB7143" w:rsidP="00F26ED8">
      <w:pPr>
        <w:pStyle w:val="FooterTableFigure"/>
        <w:keepNext/>
        <w:keepLines/>
      </w:pPr>
      <w:r w:rsidRPr="00804648">
        <w:t>Source: ‘Olipudase_ASMD CEA’ workbook and ‘Olipudase UCM-Australian patients’ – Prevalent workbook.</w:t>
      </w:r>
    </w:p>
    <w:p w14:paraId="5815B36B" w14:textId="77777777" w:rsidR="00DB7143" w:rsidRPr="00804648" w:rsidRDefault="00DB7143" w:rsidP="00F26ED8">
      <w:pPr>
        <w:pStyle w:val="FooterTableFigure"/>
        <w:keepNext/>
        <w:keepLines/>
      </w:pPr>
      <w:proofErr w:type="spellStart"/>
      <w:r w:rsidRPr="00804648">
        <w:rPr>
          <w:vertAlign w:val="superscript"/>
        </w:rPr>
        <w:t>a</w:t>
      </w:r>
      <w:proofErr w:type="spellEnd"/>
      <w:r w:rsidRPr="00804648">
        <w:t xml:space="preserve"> Annual dose for Year 1 was adjusted for highest tolerated dose (HTD) but annual dose for Year 2 onwards was not adjusted for HTD.</w:t>
      </w:r>
    </w:p>
    <w:p w14:paraId="5390F10D" w14:textId="470232B1" w:rsidR="00DB7143" w:rsidRPr="00804648" w:rsidRDefault="00DB7143" w:rsidP="00F26ED8">
      <w:pPr>
        <w:pStyle w:val="FooterTableFigure"/>
        <w:keepNext/>
        <w:keepLines/>
      </w:pPr>
      <w:r w:rsidRPr="00804648">
        <w:rPr>
          <w:vertAlign w:val="superscript"/>
        </w:rPr>
        <w:t xml:space="preserve">b </w:t>
      </w:r>
      <w:r w:rsidRPr="00804648">
        <w:t>Annual dose was calculated based on an average body weight of 21.20 kg</w:t>
      </w:r>
      <w:r w:rsidR="008B3133" w:rsidRPr="00804648">
        <w:t xml:space="preserve"> in Year 1</w:t>
      </w:r>
      <w:r w:rsidRPr="00804648">
        <w:t xml:space="preserve"> for paediatric patients.</w:t>
      </w:r>
    </w:p>
    <w:p w14:paraId="7A7C701D" w14:textId="77777777" w:rsidR="00DB7143" w:rsidRPr="00804648" w:rsidRDefault="00DB7143" w:rsidP="00F26ED8">
      <w:pPr>
        <w:pStyle w:val="FooterTableFigure"/>
        <w:keepNext/>
        <w:keepLines/>
      </w:pPr>
      <w:r w:rsidRPr="00804648">
        <w:rPr>
          <w:vertAlign w:val="superscript"/>
        </w:rPr>
        <w:t>c</w:t>
      </w:r>
      <w:r w:rsidRPr="00804648">
        <w:t xml:space="preserve"> Annual dose was calculated based on an average body weight of 54.4 kg in Year 1 increasing to 61.9 kg in Year 6 for paediatric patients.</w:t>
      </w:r>
    </w:p>
    <w:p w14:paraId="12E5F40F" w14:textId="77777777" w:rsidR="00DB7143" w:rsidRPr="00804648" w:rsidRDefault="00DB7143" w:rsidP="00F26ED8">
      <w:pPr>
        <w:pStyle w:val="FooterTableFigure"/>
        <w:keepNext/>
        <w:keepLines/>
      </w:pPr>
      <w:r w:rsidRPr="00804648">
        <w:rPr>
          <w:vertAlign w:val="superscript"/>
        </w:rPr>
        <w:t>d</w:t>
      </w:r>
      <w:r w:rsidRPr="00804648">
        <w:t xml:space="preserve"> Number of vials required * cost per vial. </w:t>
      </w:r>
    </w:p>
    <w:p w14:paraId="5B460138" w14:textId="4576C014" w:rsidR="00DB7143" w:rsidRPr="00804648" w:rsidRDefault="00DB7143" w:rsidP="00DB7143">
      <w:pPr>
        <w:pStyle w:val="FooterTableFigure"/>
      </w:pPr>
      <w:r w:rsidRPr="00804648">
        <w:rPr>
          <w:vertAlign w:val="superscript"/>
        </w:rPr>
        <w:t xml:space="preserve">e </w:t>
      </w:r>
      <w:r w:rsidRPr="00804648">
        <w:t>Back calculated using the annual cost per treatment course/price of a vial.</w:t>
      </w:r>
    </w:p>
    <w:p w14:paraId="1F56A04F" w14:textId="30292D29" w:rsidR="00DB7143" w:rsidRPr="00804648" w:rsidRDefault="00DB7143" w:rsidP="00DB7143">
      <w:pPr>
        <w:pStyle w:val="3-BodyText"/>
      </w:pPr>
      <w:r w:rsidRPr="00804648">
        <w:t>The differences between the economic and financial estimates were driven by the age and weight of paediatric patients. In the economic evaluation, average age and body weight was informed by ASCEND-Peds (approximately 8 years and 21.20 kg) in the first year. The weight of paediatric patients was modelled up to the age of 17 years after which time patients were assumed to switch to adult weight and this remained constant for the remainder of the model. In the financial estimates, the submission assumed that paediatric patients (incident patients) will be diagnosed at an average age of 15 years based on the clinician survey. Furthermore, average body weight was informed by Australian general population, increasing each year until the age of 18</w:t>
      </w:r>
      <w:r w:rsidR="00C1697C">
        <w:t> </w:t>
      </w:r>
      <w:r w:rsidRPr="00804648">
        <w:t xml:space="preserve">years. </w:t>
      </w:r>
      <w:r w:rsidR="005D03AE" w:rsidRPr="00804648">
        <w:t>The ESC considered that the assumptions used in the financial estimates should match those used for the economic model.</w:t>
      </w:r>
    </w:p>
    <w:p w14:paraId="268768EF" w14:textId="3626F292" w:rsidR="00B60939" w:rsidRPr="00804648" w:rsidRDefault="00B60939" w:rsidP="002B05A1">
      <w:pPr>
        <w:pStyle w:val="4-SubsectionHeading"/>
      </w:pPr>
      <w:bookmarkStart w:id="91" w:name="_Toc22897647"/>
      <w:bookmarkStart w:id="92" w:name="_Toc135224902"/>
      <w:r w:rsidRPr="00804648">
        <w:t>Estimated PBS usage &amp; financial implications</w:t>
      </w:r>
      <w:bookmarkEnd w:id="91"/>
      <w:bookmarkEnd w:id="92"/>
    </w:p>
    <w:p w14:paraId="431E750F" w14:textId="77777777" w:rsidR="00267813" w:rsidRPr="00804648" w:rsidRDefault="00267813" w:rsidP="00267813">
      <w:pPr>
        <w:pStyle w:val="3-BodyText"/>
        <w:rPr>
          <w:color w:val="0066FF"/>
        </w:rPr>
      </w:pPr>
      <w:r w:rsidRPr="00804648">
        <w:t>This submission was considered by DUSC</w:t>
      </w:r>
      <w:r w:rsidRPr="00804648">
        <w:rPr>
          <w:color w:val="0070C0"/>
        </w:rPr>
        <w:t xml:space="preserve">. </w:t>
      </w:r>
    </w:p>
    <w:p w14:paraId="73BF4FBA" w14:textId="6EFB8B5E" w:rsidR="00267813" w:rsidRPr="00804648" w:rsidRDefault="00267813" w:rsidP="00267813">
      <w:pPr>
        <w:pStyle w:val="3-BodyText"/>
        <w:rPr>
          <w:color w:val="0066FF"/>
        </w:rPr>
      </w:pPr>
      <w:r w:rsidRPr="00804648">
        <w:t>The submission used an epidemiological approach to estimate the utilisation and financial impacts of listing olipudase alfa for the treatment of patients with ASMD type A/B or type B.</w:t>
      </w:r>
    </w:p>
    <w:p w14:paraId="0D628A76" w14:textId="135D67B6" w:rsidR="00267813" w:rsidRPr="00804648" w:rsidRDefault="00267813" w:rsidP="00267813">
      <w:pPr>
        <w:pStyle w:val="3-BodyText"/>
      </w:pPr>
      <w:r w:rsidRPr="00804648">
        <w:fldChar w:fldCharType="begin" w:fldLock="1"/>
      </w:r>
      <w:r w:rsidRPr="00804648">
        <w:instrText xml:space="preserve"> REF _Ref104805262 \h  \* MERGEFORMAT </w:instrText>
      </w:r>
      <w:r w:rsidRPr="00804648">
        <w:fldChar w:fldCharType="separate"/>
      </w:r>
      <w:r w:rsidR="005D02DA" w:rsidRPr="00804648">
        <w:t>Table 24</w:t>
      </w:r>
      <w:r w:rsidRPr="00804648">
        <w:fldChar w:fldCharType="end"/>
      </w:r>
      <w:r w:rsidRPr="00804648">
        <w:t xml:space="preserve"> presents the key inputs and data sources used to estimate financial impact.</w:t>
      </w:r>
    </w:p>
    <w:p w14:paraId="186675F6" w14:textId="59C9D559" w:rsidR="00267813" w:rsidRPr="00804648" w:rsidRDefault="00267813" w:rsidP="00F26ED8">
      <w:pPr>
        <w:pStyle w:val="Caption"/>
        <w:rPr>
          <w:rStyle w:val="TableFigureHeadingChar"/>
        </w:rPr>
      </w:pPr>
      <w:bookmarkStart w:id="93" w:name="_Ref104805262"/>
      <w:r w:rsidRPr="00804648">
        <w:lastRenderedPageBreak/>
        <w:t xml:space="preserve">Table </w:t>
      </w:r>
      <w:fldSimple w:instr=" SEQ Table \* ARABIC " w:fldLock="1">
        <w:r w:rsidR="005D02DA" w:rsidRPr="00804648">
          <w:t>24</w:t>
        </w:r>
      </w:fldSimple>
      <w:bookmarkEnd w:id="93"/>
      <w:r w:rsidRPr="00804648">
        <w:t>:</w:t>
      </w:r>
      <w:r w:rsidRPr="00804648">
        <w:rPr>
          <w:rStyle w:val="TableFigureHeadingChar"/>
        </w:rPr>
        <w:t xml:space="preserve"> </w:t>
      </w:r>
      <w:r w:rsidRPr="00804648">
        <w:rPr>
          <w:rStyle w:val="TableFigureHeadingChar"/>
          <w:b/>
          <w:bCs/>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094"/>
        <w:gridCol w:w="3210"/>
      </w:tblGrid>
      <w:tr w:rsidR="00267813" w:rsidRPr="00804648" w14:paraId="49A43BB2" w14:textId="77777777" w:rsidTr="0034009B">
        <w:trPr>
          <w:tblHeader/>
        </w:trPr>
        <w:tc>
          <w:tcPr>
            <w:tcW w:w="950" w:type="pct"/>
            <w:shd w:val="clear" w:color="auto" w:fill="auto"/>
            <w:vAlign w:val="center"/>
          </w:tcPr>
          <w:p w14:paraId="2DC80E79" w14:textId="77777777" w:rsidR="00267813" w:rsidRPr="00804648" w:rsidRDefault="00267813" w:rsidP="00F26ED8">
            <w:pPr>
              <w:pStyle w:val="In-tableHeading"/>
              <w:keepLines/>
              <w:rPr>
                <w:lang w:val="en-AU"/>
              </w:rPr>
            </w:pPr>
            <w:r w:rsidRPr="00804648">
              <w:rPr>
                <w:lang w:val="en-AU"/>
              </w:rPr>
              <w:t>Parameter</w:t>
            </w:r>
          </w:p>
        </w:tc>
        <w:tc>
          <w:tcPr>
            <w:tcW w:w="2270" w:type="pct"/>
            <w:shd w:val="clear" w:color="auto" w:fill="auto"/>
            <w:vAlign w:val="center"/>
          </w:tcPr>
          <w:p w14:paraId="6EE002F5" w14:textId="77777777" w:rsidR="00267813" w:rsidRPr="00804648" w:rsidRDefault="00267813" w:rsidP="00F26ED8">
            <w:pPr>
              <w:pStyle w:val="In-tableHeading"/>
              <w:keepLines/>
              <w:rPr>
                <w:lang w:val="en-AU"/>
              </w:rPr>
            </w:pPr>
            <w:r w:rsidRPr="00804648">
              <w:rPr>
                <w:lang w:val="en-AU"/>
              </w:rPr>
              <w:t>Value applied and source</w:t>
            </w:r>
          </w:p>
        </w:tc>
        <w:tc>
          <w:tcPr>
            <w:tcW w:w="1780" w:type="pct"/>
            <w:shd w:val="clear" w:color="auto" w:fill="auto"/>
            <w:vAlign w:val="center"/>
          </w:tcPr>
          <w:p w14:paraId="22DE6A64" w14:textId="77777777" w:rsidR="00267813" w:rsidRPr="00804648" w:rsidRDefault="00267813" w:rsidP="00F26ED8">
            <w:pPr>
              <w:pStyle w:val="In-tableHeading"/>
              <w:keepLines/>
              <w:rPr>
                <w:lang w:val="en-AU"/>
              </w:rPr>
            </w:pPr>
            <w:r w:rsidRPr="00804648">
              <w:rPr>
                <w:lang w:val="en-AU"/>
              </w:rPr>
              <w:t>Comment</w:t>
            </w:r>
          </w:p>
        </w:tc>
      </w:tr>
      <w:tr w:rsidR="00267813" w:rsidRPr="00804648" w14:paraId="2B19E696" w14:textId="77777777" w:rsidTr="0034009B">
        <w:tc>
          <w:tcPr>
            <w:tcW w:w="950" w:type="pct"/>
            <w:shd w:val="clear" w:color="auto" w:fill="auto"/>
          </w:tcPr>
          <w:p w14:paraId="3C92EC70" w14:textId="77777777" w:rsidR="00267813" w:rsidRPr="00804648" w:rsidRDefault="00267813" w:rsidP="00F26ED8">
            <w:pPr>
              <w:pStyle w:val="TableText0"/>
              <w:keepLines/>
            </w:pPr>
            <w:r w:rsidRPr="00804648">
              <w:t>Prevalent population</w:t>
            </w:r>
          </w:p>
        </w:tc>
        <w:tc>
          <w:tcPr>
            <w:tcW w:w="2270" w:type="pct"/>
            <w:shd w:val="clear" w:color="auto" w:fill="auto"/>
          </w:tcPr>
          <w:p w14:paraId="6B85572E" w14:textId="796045BB" w:rsidR="00267813" w:rsidRPr="00804648" w:rsidRDefault="00D265E5" w:rsidP="00F26ED8">
            <w:pPr>
              <w:pStyle w:val="TableText0"/>
              <w:keepLines/>
            </w:pPr>
            <w:r w:rsidRPr="00D265E5">
              <w:rPr>
                <w:color w:val="000000"/>
                <w:spacing w:val="53"/>
                <w:shd w:val="solid" w:color="000000" w:fill="000000"/>
                <w:fitText w:val="330" w:id="-1168461557"/>
                <w14:textFill>
                  <w14:solidFill>
                    <w14:srgbClr w14:val="000000">
                      <w14:alpha w14:val="100000"/>
                    </w14:srgbClr>
                  </w14:solidFill>
                </w14:textFill>
              </w:rPr>
              <w:t>|||</w:t>
            </w:r>
            <w:r w:rsidRPr="00D265E5">
              <w:rPr>
                <w:color w:val="000000"/>
                <w:spacing w:val="1"/>
                <w:shd w:val="solid" w:color="000000" w:fill="000000"/>
                <w:fitText w:val="330" w:id="-1168461557"/>
                <w14:textFill>
                  <w14:solidFill>
                    <w14:srgbClr w14:val="000000">
                      <w14:alpha w14:val="100000"/>
                    </w14:srgbClr>
                  </w14:solidFill>
                </w14:textFill>
              </w:rPr>
              <w:t>|</w:t>
            </w:r>
            <w:r w:rsidR="00405740">
              <w:rPr>
                <w:vertAlign w:val="superscript"/>
              </w:rPr>
              <w:t>1</w:t>
            </w:r>
            <w:r w:rsidR="00267813" w:rsidRPr="00804648">
              <w:t xml:space="preserve"> patients including </w:t>
            </w:r>
            <w:r w:rsidRPr="00D265E5">
              <w:rPr>
                <w:color w:val="000000"/>
                <w:spacing w:val="53"/>
                <w:shd w:val="solid" w:color="000000" w:fill="000000"/>
                <w:fitText w:val="330" w:id="-1168461556"/>
                <w14:textFill>
                  <w14:solidFill>
                    <w14:srgbClr w14:val="000000">
                      <w14:alpha w14:val="100000"/>
                    </w14:srgbClr>
                  </w14:solidFill>
                </w14:textFill>
              </w:rPr>
              <w:t>|||</w:t>
            </w:r>
            <w:r w:rsidRPr="00D265E5">
              <w:rPr>
                <w:color w:val="000000"/>
                <w:spacing w:val="1"/>
                <w:shd w:val="solid" w:color="000000" w:fill="000000"/>
                <w:fitText w:val="330" w:id="-1168461556"/>
                <w14:textFill>
                  <w14:solidFill>
                    <w14:srgbClr w14:val="000000">
                      <w14:alpha w14:val="100000"/>
                    </w14:srgbClr>
                  </w14:solidFill>
                </w14:textFill>
              </w:rPr>
              <w:t>|</w:t>
            </w:r>
            <w:r w:rsidR="00405740">
              <w:rPr>
                <w:vertAlign w:val="superscript"/>
              </w:rPr>
              <w:t>1</w:t>
            </w:r>
            <w:r w:rsidR="00267813" w:rsidRPr="00804648">
              <w:t xml:space="preserve"> grandfathered patient; based on the Australian clinician survey.</w:t>
            </w:r>
          </w:p>
        </w:tc>
        <w:tc>
          <w:tcPr>
            <w:tcW w:w="1780" w:type="pct"/>
            <w:shd w:val="clear" w:color="auto" w:fill="auto"/>
          </w:tcPr>
          <w:p w14:paraId="756E7F63" w14:textId="56F2D50F" w:rsidR="00267813" w:rsidRPr="00804648" w:rsidRDefault="00387D1B" w:rsidP="00F26ED8">
            <w:pPr>
              <w:pStyle w:val="TableText0"/>
              <w:keepLines/>
            </w:pPr>
            <w:r w:rsidRPr="00804648">
              <w:t>The estimates of the prevalent population were likely to be the best available.</w:t>
            </w:r>
          </w:p>
        </w:tc>
      </w:tr>
      <w:tr w:rsidR="00267813" w:rsidRPr="00804648" w14:paraId="1E24B47F" w14:textId="77777777" w:rsidTr="0034009B">
        <w:tc>
          <w:tcPr>
            <w:tcW w:w="950" w:type="pct"/>
            <w:shd w:val="clear" w:color="auto" w:fill="auto"/>
          </w:tcPr>
          <w:p w14:paraId="1BAFD871" w14:textId="77777777" w:rsidR="00267813" w:rsidRPr="00804648" w:rsidRDefault="00267813" w:rsidP="00F26ED8">
            <w:pPr>
              <w:pStyle w:val="TableText0"/>
              <w:keepLines/>
            </w:pPr>
            <w:r w:rsidRPr="00804648">
              <w:t>Incident population</w:t>
            </w:r>
          </w:p>
        </w:tc>
        <w:tc>
          <w:tcPr>
            <w:tcW w:w="2270" w:type="pct"/>
            <w:shd w:val="clear" w:color="auto" w:fill="auto"/>
          </w:tcPr>
          <w:p w14:paraId="440F399F" w14:textId="5A59CDAF" w:rsidR="00267813" w:rsidRPr="00804648" w:rsidRDefault="00D265E5" w:rsidP="00F26ED8">
            <w:pPr>
              <w:pStyle w:val="TableText0"/>
              <w:keepLines/>
            </w:pPr>
            <w:r w:rsidRPr="00D265E5">
              <w:rPr>
                <w:color w:val="000000"/>
                <w:spacing w:val="53"/>
                <w:shd w:val="solid" w:color="000000" w:fill="000000"/>
                <w:fitText w:val="330" w:id="-1168461555"/>
                <w14:textFill>
                  <w14:solidFill>
                    <w14:srgbClr w14:val="000000">
                      <w14:alpha w14:val="100000"/>
                    </w14:srgbClr>
                  </w14:solidFill>
                </w14:textFill>
              </w:rPr>
              <w:t>|||</w:t>
            </w:r>
            <w:r w:rsidRPr="00D265E5">
              <w:rPr>
                <w:color w:val="000000"/>
                <w:spacing w:val="1"/>
                <w:shd w:val="solid" w:color="000000" w:fill="000000"/>
                <w:fitText w:val="330" w:id="-1168461555"/>
                <w14:textFill>
                  <w14:solidFill>
                    <w14:srgbClr w14:val="000000">
                      <w14:alpha w14:val="100000"/>
                    </w14:srgbClr>
                  </w14:solidFill>
                </w14:textFill>
              </w:rPr>
              <w:t>|</w:t>
            </w:r>
            <w:r w:rsidR="00405740">
              <w:rPr>
                <w:vertAlign w:val="superscript"/>
              </w:rPr>
              <w:t>1</w:t>
            </w:r>
            <w:r w:rsidR="00267813" w:rsidRPr="00804648">
              <w:t xml:space="preserve"> new patient every other year; based on sponsor assumption.</w:t>
            </w:r>
          </w:p>
        </w:tc>
        <w:tc>
          <w:tcPr>
            <w:tcW w:w="1780" w:type="pct"/>
            <w:shd w:val="clear" w:color="auto" w:fill="auto"/>
          </w:tcPr>
          <w:p w14:paraId="1722690C" w14:textId="77777777" w:rsidR="00267813" w:rsidRPr="00804648" w:rsidRDefault="00267813" w:rsidP="00F26ED8">
            <w:pPr>
              <w:pStyle w:val="TableText0"/>
              <w:keepLines/>
            </w:pPr>
            <w:r w:rsidRPr="00804648">
              <w:t>This was highly uncertain; the number of new patients could be higher or lower. Furthermore, the submission assumed that the incident patient will be a paediatric patient (15 years old).</w:t>
            </w:r>
          </w:p>
        </w:tc>
      </w:tr>
      <w:tr w:rsidR="00267813" w:rsidRPr="00804648" w14:paraId="79A0DAFD" w14:textId="77777777" w:rsidTr="0034009B">
        <w:tc>
          <w:tcPr>
            <w:tcW w:w="950" w:type="pct"/>
            <w:shd w:val="clear" w:color="auto" w:fill="auto"/>
          </w:tcPr>
          <w:p w14:paraId="012D3C64" w14:textId="77777777" w:rsidR="00267813" w:rsidRPr="00804648" w:rsidRDefault="00267813" w:rsidP="00F26ED8">
            <w:pPr>
              <w:pStyle w:val="TableText0"/>
              <w:keepLines/>
            </w:pPr>
            <w:r w:rsidRPr="00804648">
              <w:t>Body weight prevalent patients</w:t>
            </w:r>
          </w:p>
        </w:tc>
        <w:tc>
          <w:tcPr>
            <w:tcW w:w="2270" w:type="pct"/>
            <w:shd w:val="clear" w:color="auto" w:fill="auto"/>
          </w:tcPr>
          <w:p w14:paraId="3F726A0C" w14:textId="77777777" w:rsidR="00267813" w:rsidRPr="00804648" w:rsidRDefault="00267813" w:rsidP="00F26ED8">
            <w:pPr>
              <w:pStyle w:val="TableText0"/>
              <w:keepLines/>
            </w:pPr>
            <w:r w:rsidRPr="00804648">
              <w:t>60.4 kg; based on average body weight of ASMD patients in Australia as determined by the Australian clinician survey.</w:t>
            </w:r>
          </w:p>
        </w:tc>
        <w:tc>
          <w:tcPr>
            <w:tcW w:w="1780" w:type="pct"/>
            <w:shd w:val="clear" w:color="auto" w:fill="auto"/>
          </w:tcPr>
          <w:p w14:paraId="235B1E29" w14:textId="5B05E2A4" w:rsidR="00267813" w:rsidRPr="00804648" w:rsidRDefault="00387D1B" w:rsidP="00F26ED8">
            <w:pPr>
              <w:pStyle w:val="TableText0"/>
              <w:keepLines/>
            </w:pPr>
            <w:r w:rsidRPr="00804648">
              <w:t>There was uncertainty in the body weight estimates due to large variation in the patient population.</w:t>
            </w:r>
          </w:p>
        </w:tc>
      </w:tr>
      <w:tr w:rsidR="00267813" w:rsidRPr="00804648" w14:paraId="6089525C" w14:textId="77777777" w:rsidTr="0034009B">
        <w:tc>
          <w:tcPr>
            <w:tcW w:w="950" w:type="pct"/>
            <w:shd w:val="clear" w:color="auto" w:fill="auto"/>
          </w:tcPr>
          <w:p w14:paraId="2AFE22C8" w14:textId="77777777" w:rsidR="00267813" w:rsidRPr="00804648" w:rsidRDefault="00267813" w:rsidP="00F26ED8">
            <w:pPr>
              <w:pStyle w:val="TableText0"/>
              <w:keepLines/>
            </w:pPr>
            <w:r w:rsidRPr="00804648">
              <w:t>Body weight incident patients</w:t>
            </w:r>
          </w:p>
        </w:tc>
        <w:tc>
          <w:tcPr>
            <w:tcW w:w="2270" w:type="pct"/>
            <w:shd w:val="clear" w:color="auto" w:fill="auto"/>
          </w:tcPr>
          <w:p w14:paraId="72892AB2" w14:textId="77777777" w:rsidR="00267813" w:rsidRPr="00804648" w:rsidRDefault="00267813" w:rsidP="00F26ED8">
            <w:pPr>
              <w:pStyle w:val="TableText0"/>
              <w:keepLines/>
            </w:pPr>
            <w:r w:rsidRPr="00804648">
              <w:t>54.4 kg in Year 1 increasing to 61.9 kg in Year 6; based on average body weight of Australian general population.</w:t>
            </w:r>
          </w:p>
        </w:tc>
        <w:tc>
          <w:tcPr>
            <w:tcW w:w="1780" w:type="pct"/>
            <w:shd w:val="clear" w:color="auto" w:fill="auto"/>
          </w:tcPr>
          <w:p w14:paraId="1337D8EA" w14:textId="1C7AE6BE" w:rsidR="00267813" w:rsidRPr="00804648" w:rsidRDefault="00267813" w:rsidP="00F26ED8">
            <w:pPr>
              <w:pStyle w:val="TableText0"/>
              <w:keepLines/>
            </w:pPr>
            <w:r w:rsidRPr="00804648">
              <w:t xml:space="preserve">This was consistent with the weight used for paediatric patients aged 15 years in </w:t>
            </w:r>
            <w:r w:rsidR="00C3042A" w:rsidRPr="00804648">
              <w:t xml:space="preserve">the economic model </w:t>
            </w:r>
          </w:p>
        </w:tc>
      </w:tr>
      <w:tr w:rsidR="00267813" w:rsidRPr="00804648" w14:paraId="24AA3BAE" w14:textId="77777777" w:rsidTr="0034009B">
        <w:tc>
          <w:tcPr>
            <w:tcW w:w="950" w:type="pct"/>
            <w:shd w:val="clear" w:color="auto" w:fill="auto"/>
          </w:tcPr>
          <w:p w14:paraId="0F298CF5" w14:textId="77777777" w:rsidR="00267813" w:rsidRPr="00804648" w:rsidRDefault="00267813" w:rsidP="00F26ED8">
            <w:pPr>
              <w:pStyle w:val="TableText0"/>
              <w:keepLines/>
            </w:pPr>
            <w:r w:rsidRPr="00804648">
              <w:t>Uptake rate</w:t>
            </w:r>
          </w:p>
        </w:tc>
        <w:tc>
          <w:tcPr>
            <w:tcW w:w="2270" w:type="pct"/>
            <w:shd w:val="clear" w:color="auto" w:fill="auto"/>
          </w:tcPr>
          <w:p w14:paraId="48115E4F" w14:textId="77777777" w:rsidR="00267813" w:rsidRPr="00804648" w:rsidRDefault="00267813" w:rsidP="00F26ED8">
            <w:pPr>
              <w:pStyle w:val="TableText0"/>
              <w:keepLines/>
            </w:pPr>
            <w:r w:rsidRPr="00804648">
              <w:t>100%; based on the Australian clinician survey.</w:t>
            </w:r>
          </w:p>
        </w:tc>
        <w:tc>
          <w:tcPr>
            <w:tcW w:w="1780" w:type="pct"/>
            <w:shd w:val="clear" w:color="auto" w:fill="auto"/>
          </w:tcPr>
          <w:p w14:paraId="5D5BC53A" w14:textId="77777777" w:rsidR="00267813" w:rsidRPr="00804648" w:rsidRDefault="00267813" w:rsidP="00F26ED8">
            <w:pPr>
              <w:keepNext/>
              <w:keepLines/>
            </w:pPr>
            <w:r w:rsidRPr="00804648">
              <w:rPr>
                <w:rFonts w:ascii="Arial Narrow" w:eastAsiaTheme="majorEastAsia" w:hAnsi="Arial Narrow" w:cstheme="majorBidi"/>
                <w:bCs/>
                <w:sz w:val="20"/>
              </w:rPr>
              <w:t>This was reasonable given the severity of the condition and the absence of other treatment options.</w:t>
            </w:r>
          </w:p>
        </w:tc>
      </w:tr>
      <w:tr w:rsidR="00267813" w:rsidRPr="00804648" w14:paraId="44748B60" w14:textId="77777777" w:rsidTr="0034009B">
        <w:tc>
          <w:tcPr>
            <w:tcW w:w="950" w:type="pct"/>
            <w:shd w:val="clear" w:color="auto" w:fill="auto"/>
          </w:tcPr>
          <w:p w14:paraId="31C0547C" w14:textId="77777777" w:rsidR="00267813" w:rsidRPr="00804648" w:rsidRDefault="00267813" w:rsidP="00F26ED8">
            <w:pPr>
              <w:pStyle w:val="TableText0"/>
              <w:keepLines/>
            </w:pPr>
            <w:r w:rsidRPr="00804648">
              <w:t>Dose prevalent adult patients</w:t>
            </w:r>
          </w:p>
        </w:tc>
        <w:tc>
          <w:tcPr>
            <w:tcW w:w="2270" w:type="pct"/>
            <w:shd w:val="clear" w:color="auto" w:fill="auto"/>
          </w:tcPr>
          <w:p w14:paraId="3A75DD75" w14:textId="77777777" w:rsidR="00267813" w:rsidRPr="00804648" w:rsidRDefault="00267813" w:rsidP="00F26ED8">
            <w:pPr>
              <w:pStyle w:val="TableText0"/>
              <w:keepLines/>
            </w:pPr>
            <w:r w:rsidRPr="00804648">
              <w:t>Olipudase alfa IV Q2W; starting dose of 0.1 mg/kg and maintenance dose of 3 mg/kg</w:t>
            </w:r>
          </w:p>
        </w:tc>
        <w:tc>
          <w:tcPr>
            <w:tcW w:w="1780" w:type="pct"/>
            <w:shd w:val="clear" w:color="auto" w:fill="auto"/>
          </w:tcPr>
          <w:p w14:paraId="56BDA51F" w14:textId="77777777" w:rsidR="00267813" w:rsidRPr="00804648" w:rsidRDefault="00267813" w:rsidP="00F26ED8">
            <w:pPr>
              <w:pStyle w:val="TableText0"/>
              <w:keepLines/>
            </w:pPr>
            <w:r w:rsidRPr="00804648">
              <w:t>This was reasonable and consistent with the draft PI and ASCEND trial.</w:t>
            </w:r>
          </w:p>
        </w:tc>
      </w:tr>
      <w:tr w:rsidR="00267813" w:rsidRPr="00804648" w14:paraId="4970843D" w14:textId="77777777" w:rsidTr="0034009B">
        <w:tc>
          <w:tcPr>
            <w:tcW w:w="950" w:type="pct"/>
            <w:shd w:val="clear" w:color="auto" w:fill="auto"/>
          </w:tcPr>
          <w:p w14:paraId="4613B80B" w14:textId="77777777" w:rsidR="00267813" w:rsidRPr="00804648" w:rsidRDefault="00267813" w:rsidP="00F26ED8">
            <w:pPr>
              <w:pStyle w:val="TableText0"/>
              <w:keepLines/>
            </w:pPr>
            <w:r w:rsidRPr="00804648">
              <w:t>Dose incident paediatric patients</w:t>
            </w:r>
          </w:p>
        </w:tc>
        <w:tc>
          <w:tcPr>
            <w:tcW w:w="2270" w:type="pct"/>
            <w:shd w:val="clear" w:color="auto" w:fill="auto"/>
          </w:tcPr>
          <w:p w14:paraId="7D88537C" w14:textId="77777777" w:rsidR="00267813" w:rsidRPr="00804648" w:rsidRDefault="00267813" w:rsidP="00F26ED8">
            <w:pPr>
              <w:pStyle w:val="TableText0"/>
              <w:keepLines/>
            </w:pPr>
            <w:r w:rsidRPr="00804648">
              <w:t>Olipudase alfa IV Q2W; starting dose of 0.03 mg/kg and maintenance dose of 3 mg/kg</w:t>
            </w:r>
          </w:p>
        </w:tc>
        <w:tc>
          <w:tcPr>
            <w:tcW w:w="1780" w:type="pct"/>
            <w:shd w:val="clear" w:color="auto" w:fill="auto"/>
          </w:tcPr>
          <w:p w14:paraId="71F7C5EA" w14:textId="77777777" w:rsidR="00267813" w:rsidRPr="00804648" w:rsidRDefault="00267813" w:rsidP="00F26ED8">
            <w:pPr>
              <w:pStyle w:val="TableText0"/>
              <w:keepLines/>
            </w:pPr>
            <w:r w:rsidRPr="00804648">
              <w:t>This was reasonable and consistent with the draft PI and ASCEND-peds trial.</w:t>
            </w:r>
          </w:p>
        </w:tc>
      </w:tr>
    </w:tbl>
    <w:p w14:paraId="7C8DF717" w14:textId="77777777" w:rsidR="00267813" w:rsidRPr="00804648" w:rsidRDefault="00267813" w:rsidP="00F26ED8">
      <w:pPr>
        <w:pStyle w:val="FooterTableFigure"/>
        <w:keepNext/>
        <w:keepLines/>
      </w:pPr>
      <w:r w:rsidRPr="00804648">
        <w:t>Source: Source: Table 4.1.1, pp204-205.</w:t>
      </w:r>
    </w:p>
    <w:p w14:paraId="6D4D32E0" w14:textId="1B42C54A" w:rsidR="00267813" w:rsidRDefault="00267813" w:rsidP="00F26ED8">
      <w:pPr>
        <w:pStyle w:val="FooterTableFigure"/>
        <w:keepNext/>
        <w:keepLines/>
      </w:pPr>
      <w:r w:rsidRPr="00804648">
        <w:t>AE = adverse event, ASMD = acid sphingomyelinase deficiency, IV = intravenous, PI = Product Information, Q2W = every two weeks.</w:t>
      </w:r>
    </w:p>
    <w:p w14:paraId="6B976FF6" w14:textId="0C03D047" w:rsidR="00405740" w:rsidRPr="00405740" w:rsidRDefault="00405740" w:rsidP="00F26ED8">
      <w:pPr>
        <w:pStyle w:val="FooterTableFigure"/>
        <w:keepNext/>
        <w:keepLines/>
        <w:rPr>
          <w:i/>
          <w:iCs/>
        </w:rPr>
      </w:pPr>
      <w:r w:rsidRPr="00405740">
        <w:rPr>
          <w:i/>
          <w:iCs/>
        </w:rPr>
        <w:t>The redacted values correspond to the following ranges:</w:t>
      </w:r>
    </w:p>
    <w:p w14:paraId="0959E45A" w14:textId="3888E74F" w:rsidR="00405740" w:rsidRPr="00405740" w:rsidRDefault="00405740" w:rsidP="00267813">
      <w:pPr>
        <w:pStyle w:val="FooterTableFigure"/>
        <w:rPr>
          <w:i/>
          <w:iCs/>
        </w:rPr>
      </w:pPr>
      <w:r w:rsidRPr="00405740">
        <w:rPr>
          <w:i/>
          <w:iCs/>
          <w:vertAlign w:val="superscript"/>
        </w:rPr>
        <w:t>1</w:t>
      </w:r>
      <w:r w:rsidRPr="00405740">
        <w:rPr>
          <w:i/>
          <w:iCs/>
        </w:rPr>
        <w:t xml:space="preserve"> &lt; 500</w:t>
      </w:r>
    </w:p>
    <w:p w14:paraId="45A5AF97" w14:textId="135C0073" w:rsidR="00267813" w:rsidRPr="00804648" w:rsidRDefault="00267813" w:rsidP="00267813">
      <w:pPr>
        <w:pStyle w:val="3-BodyText"/>
      </w:pPr>
      <w:r w:rsidRPr="00804648">
        <w:t xml:space="preserve">The estimated net cost to the PBS of listing olipudase alfa is presented in </w:t>
      </w:r>
      <w:r w:rsidRPr="00804648">
        <w:fldChar w:fldCharType="begin" w:fldLock="1"/>
      </w:r>
      <w:r w:rsidRPr="00804648">
        <w:instrText xml:space="preserve"> REF _Ref133756364 \h </w:instrText>
      </w:r>
      <w:r w:rsidRPr="00804648">
        <w:fldChar w:fldCharType="separate"/>
      </w:r>
      <w:r w:rsidR="005D02DA" w:rsidRPr="00804648">
        <w:t>Table 25</w:t>
      </w:r>
      <w:r w:rsidRPr="00804648">
        <w:fldChar w:fldCharType="end"/>
      </w:r>
      <w:r w:rsidRPr="00804648">
        <w:t>.</w:t>
      </w:r>
    </w:p>
    <w:p w14:paraId="004E0335" w14:textId="46B7707A" w:rsidR="00267813" w:rsidRPr="00804648" w:rsidRDefault="00267813" w:rsidP="00C1697C">
      <w:pPr>
        <w:pStyle w:val="Caption"/>
      </w:pPr>
      <w:bookmarkStart w:id="94" w:name="_Ref133756364"/>
      <w:r w:rsidRPr="00804648">
        <w:t xml:space="preserve">Table </w:t>
      </w:r>
      <w:fldSimple w:instr=" SEQ Table \* ARABIC " w:fldLock="1">
        <w:r w:rsidR="005D02DA" w:rsidRPr="00804648">
          <w:t>25</w:t>
        </w:r>
      </w:fldSimple>
      <w:bookmarkEnd w:id="94"/>
      <w:r w:rsidRPr="00804648">
        <w:t xml:space="preserve">: </w:t>
      </w:r>
      <w:r w:rsidRPr="00804648">
        <w:rPr>
          <w:rStyle w:val="TableFigureHeadingChar"/>
          <w:b/>
          <w:bCs/>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267813" w:rsidRPr="00804648" w14:paraId="457613B6" w14:textId="77777777" w:rsidTr="0034009B">
        <w:trPr>
          <w:tblHeader/>
        </w:trPr>
        <w:tc>
          <w:tcPr>
            <w:tcW w:w="1334" w:type="pct"/>
            <w:shd w:val="clear" w:color="auto" w:fill="auto"/>
            <w:vAlign w:val="center"/>
          </w:tcPr>
          <w:p w14:paraId="4BDDC971" w14:textId="77777777" w:rsidR="00267813" w:rsidRPr="00804648" w:rsidRDefault="00267813" w:rsidP="00C1697C">
            <w:pPr>
              <w:pStyle w:val="In-tableHeading"/>
              <w:keepLines/>
              <w:jc w:val="center"/>
              <w:rPr>
                <w:lang w:val="en-AU"/>
              </w:rPr>
            </w:pPr>
          </w:p>
        </w:tc>
        <w:tc>
          <w:tcPr>
            <w:tcW w:w="611" w:type="pct"/>
            <w:shd w:val="clear" w:color="auto" w:fill="auto"/>
            <w:vAlign w:val="center"/>
          </w:tcPr>
          <w:p w14:paraId="1685CEF1" w14:textId="77777777" w:rsidR="00267813" w:rsidRPr="00804648" w:rsidRDefault="00267813" w:rsidP="00C1697C">
            <w:pPr>
              <w:pStyle w:val="In-tableHeading"/>
              <w:keepLines/>
              <w:jc w:val="center"/>
              <w:rPr>
                <w:lang w:val="en-AU"/>
              </w:rPr>
            </w:pPr>
            <w:r w:rsidRPr="00804648">
              <w:rPr>
                <w:lang w:val="en-AU"/>
              </w:rPr>
              <w:t>Year 1</w:t>
            </w:r>
          </w:p>
        </w:tc>
        <w:tc>
          <w:tcPr>
            <w:tcW w:w="611" w:type="pct"/>
            <w:shd w:val="clear" w:color="auto" w:fill="auto"/>
            <w:vAlign w:val="center"/>
          </w:tcPr>
          <w:p w14:paraId="2660C214" w14:textId="77777777" w:rsidR="00267813" w:rsidRPr="00804648" w:rsidRDefault="00267813" w:rsidP="00C1697C">
            <w:pPr>
              <w:pStyle w:val="In-tableHeading"/>
              <w:keepLines/>
              <w:jc w:val="center"/>
              <w:rPr>
                <w:lang w:val="en-AU"/>
              </w:rPr>
            </w:pPr>
            <w:r w:rsidRPr="00804648">
              <w:rPr>
                <w:lang w:val="en-AU"/>
              </w:rPr>
              <w:t>Year 2</w:t>
            </w:r>
          </w:p>
        </w:tc>
        <w:tc>
          <w:tcPr>
            <w:tcW w:w="611" w:type="pct"/>
            <w:shd w:val="clear" w:color="auto" w:fill="auto"/>
            <w:vAlign w:val="center"/>
          </w:tcPr>
          <w:p w14:paraId="69023A87" w14:textId="77777777" w:rsidR="00267813" w:rsidRPr="00804648" w:rsidRDefault="00267813" w:rsidP="00C1697C">
            <w:pPr>
              <w:pStyle w:val="In-tableHeading"/>
              <w:keepLines/>
              <w:jc w:val="center"/>
              <w:rPr>
                <w:lang w:val="en-AU"/>
              </w:rPr>
            </w:pPr>
            <w:r w:rsidRPr="00804648">
              <w:rPr>
                <w:lang w:val="en-AU"/>
              </w:rPr>
              <w:t>Year 3</w:t>
            </w:r>
          </w:p>
        </w:tc>
        <w:tc>
          <w:tcPr>
            <w:tcW w:w="611" w:type="pct"/>
            <w:shd w:val="clear" w:color="auto" w:fill="auto"/>
            <w:vAlign w:val="center"/>
          </w:tcPr>
          <w:p w14:paraId="158C2EE7" w14:textId="77777777" w:rsidR="00267813" w:rsidRPr="00804648" w:rsidRDefault="00267813" w:rsidP="00C1697C">
            <w:pPr>
              <w:pStyle w:val="In-tableHeading"/>
              <w:keepLines/>
              <w:jc w:val="center"/>
              <w:rPr>
                <w:lang w:val="en-AU"/>
              </w:rPr>
            </w:pPr>
            <w:r w:rsidRPr="00804648">
              <w:rPr>
                <w:lang w:val="en-AU"/>
              </w:rPr>
              <w:t>Year 4</w:t>
            </w:r>
          </w:p>
        </w:tc>
        <w:tc>
          <w:tcPr>
            <w:tcW w:w="611" w:type="pct"/>
            <w:shd w:val="clear" w:color="auto" w:fill="auto"/>
            <w:vAlign w:val="center"/>
          </w:tcPr>
          <w:p w14:paraId="3DF00FF0" w14:textId="77777777" w:rsidR="00267813" w:rsidRPr="00804648" w:rsidRDefault="00267813" w:rsidP="00C1697C">
            <w:pPr>
              <w:pStyle w:val="In-tableHeading"/>
              <w:keepLines/>
              <w:jc w:val="center"/>
              <w:rPr>
                <w:lang w:val="en-AU"/>
              </w:rPr>
            </w:pPr>
            <w:r w:rsidRPr="00804648">
              <w:rPr>
                <w:lang w:val="en-AU"/>
              </w:rPr>
              <w:t>Year 5</w:t>
            </w:r>
          </w:p>
        </w:tc>
        <w:tc>
          <w:tcPr>
            <w:tcW w:w="611" w:type="pct"/>
          </w:tcPr>
          <w:p w14:paraId="3DA0309F" w14:textId="77777777" w:rsidR="00267813" w:rsidRPr="00804648" w:rsidRDefault="00267813" w:rsidP="00C1697C">
            <w:pPr>
              <w:pStyle w:val="In-tableHeading"/>
              <w:keepLines/>
              <w:jc w:val="center"/>
              <w:rPr>
                <w:lang w:val="en-AU"/>
              </w:rPr>
            </w:pPr>
            <w:r w:rsidRPr="00804648">
              <w:rPr>
                <w:lang w:val="en-AU"/>
              </w:rPr>
              <w:t>Year 6</w:t>
            </w:r>
          </w:p>
        </w:tc>
      </w:tr>
      <w:tr w:rsidR="00267813" w:rsidRPr="00804648" w14:paraId="4F03E338" w14:textId="77777777" w:rsidTr="0034009B">
        <w:tc>
          <w:tcPr>
            <w:tcW w:w="5000" w:type="pct"/>
            <w:gridSpan w:val="7"/>
            <w:shd w:val="clear" w:color="auto" w:fill="auto"/>
          </w:tcPr>
          <w:p w14:paraId="5DDEFFB0" w14:textId="77777777" w:rsidR="00267813" w:rsidRPr="00804648" w:rsidRDefault="00267813" w:rsidP="00C1697C">
            <w:pPr>
              <w:pStyle w:val="In-tableHeading"/>
              <w:keepLines/>
              <w:rPr>
                <w:bCs/>
                <w:color w:val="000000"/>
                <w:lang w:val="en-AU"/>
              </w:rPr>
            </w:pPr>
            <w:r w:rsidRPr="00804648">
              <w:rPr>
                <w:bCs/>
                <w:color w:val="000000"/>
                <w:lang w:val="en-AU"/>
              </w:rPr>
              <w:t>Estimated extent of use</w:t>
            </w:r>
          </w:p>
        </w:tc>
      </w:tr>
      <w:tr w:rsidR="00267813" w:rsidRPr="00804648" w14:paraId="6B24B830" w14:textId="77777777" w:rsidTr="0034009B">
        <w:tc>
          <w:tcPr>
            <w:tcW w:w="1334" w:type="pct"/>
            <w:shd w:val="clear" w:color="auto" w:fill="auto"/>
            <w:vAlign w:val="center"/>
          </w:tcPr>
          <w:p w14:paraId="6330C4D7" w14:textId="77777777" w:rsidR="00267813" w:rsidRPr="00804648" w:rsidRDefault="00267813" w:rsidP="00C1697C">
            <w:pPr>
              <w:pStyle w:val="TableText0"/>
              <w:keepLines/>
              <w:rPr>
                <w:rFonts w:ascii="Times" w:hAnsi="Times"/>
              </w:rPr>
            </w:pPr>
            <w:r w:rsidRPr="00804648">
              <w:t>Prevalent patients</w:t>
            </w:r>
          </w:p>
        </w:tc>
        <w:tc>
          <w:tcPr>
            <w:tcW w:w="611" w:type="pct"/>
            <w:shd w:val="clear" w:color="auto" w:fill="auto"/>
            <w:vAlign w:val="center"/>
          </w:tcPr>
          <w:p w14:paraId="60FC62B7" w14:textId="6E1B16DA" w:rsidR="00267813" w:rsidRPr="000508C9" w:rsidRDefault="00D265E5" w:rsidP="00C1697C">
            <w:pPr>
              <w:pStyle w:val="TableText0"/>
              <w:keepLines/>
              <w:jc w:val="center"/>
              <w:rPr>
                <w:color w:val="000000"/>
                <w:highlight w:val="darkGray"/>
                <w:vertAlign w:val="superscript"/>
              </w:rPr>
            </w:pPr>
            <w:r w:rsidRPr="00D265E5">
              <w:rPr>
                <w:rFonts w:hint="eastAsia"/>
                <w:color w:val="000000"/>
                <w:w w:val="15"/>
                <w:shd w:val="solid" w:color="000000" w:fill="000000"/>
                <w:fitText w:val="45" w:id="-1168461554"/>
                <w14:textFill>
                  <w14:solidFill>
                    <w14:srgbClr w14:val="000000">
                      <w14:alpha w14:val="100000"/>
                    </w14:srgbClr>
                  </w14:solidFill>
                </w14:textFill>
              </w:rPr>
              <w:t xml:space="preserve">　</w:t>
            </w:r>
            <w:r w:rsidRPr="00D265E5">
              <w:rPr>
                <w:color w:val="000000"/>
                <w:w w:val="15"/>
                <w:shd w:val="solid" w:color="000000" w:fill="000000"/>
                <w:fitText w:val="45" w:id="-1168461554"/>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4"/>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4D63F4ED" w14:textId="62B90027"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3"/>
                <w14:textFill>
                  <w14:solidFill>
                    <w14:srgbClr w14:val="000000">
                      <w14:alpha w14:val="100000"/>
                    </w14:srgbClr>
                  </w14:solidFill>
                </w14:textFill>
              </w:rPr>
              <w:t xml:space="preserve">　</w:t>
            </w:r>
            <w:r w:rsidRPr="00D265E5">
              <w:rPr>
                <w:color w:val="000000"/>
                <w:w w:val="15"/>
                <w:shd w:val="solid" w:color="000000" w:fill="000000"/>
                <w:fitText w:val="45" w:id="-1168461553"/>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3"/>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0EB7F7E6" w14:textId="3B1261B8"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2"/>
                <w14:textFill>
                  <w14:solidFill>
                    <w14:srgbClr w14:val="000000">
                      <w14:alpha w14:val="100000"/>
                    </w14:srgbClr>
                  </w14:solidFill>
                </w14:textFill>
              </w:rPr>
              <w:t xml:space="preserve">　</w:t>
            </w:r>
            <w:r w:rsidRPr="00D265E5">
              <w:rPr>
                <w:color w:val="000000"/>
                <w:w w:val="15"/>
                <w:shd w:val="solid" w:color="000000" w:fill="000000"/>
                <w:fitText w:val="45" w:id="-1168461552"/>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2"/>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42ADF730" w14:textId="0ABF6A94"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8"/>
                <w14:textFill>
                  <w14:solidFill>
                    <w14:srgbClr w14:val="000000">
                      <w14:alpha w14:val="100000"/>
                    </w14:srgbClr>
                  </w14:solidFill>
                </w14:textFill>
              </w:rPr>
              <w:t xml:space="preserve">　</w:t>
            </w:r>
            <w:r w:rsidRPr="00D265E5">
              <w:rPr>
                <w:color w:val="000000"/>
                <w:w w:val="15"/>
                <w:shd w:val="solid" w:color="000000" w:fill="000000"/>
                <w:fitText w:val="45" w:id="-1168461568"/>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8"/>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26F0D4F7" w14:textId="32E4E857"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7"/>
                <w14:textFill>
                  <w14:solidFill>
                    <w14:srgbClr w14:val="000000">
                      <w14:alpha w14:val="100000"/>
                    </w14:srgbClr>
                  </w14:solidFill>
                </w14:textFill>
              </w:rPr>
              <w:t xml:space="preserve">　</w:t>
            </w:r>
            <w:r w:rsidRPr="00D265E5">
              <w:rPr>
                <w:color w:val="000000"/>
                <w:w w:val="15"/>
                <w:shd w:val="solid" w:color="000000" w:fill="000000"/>
                <w:fitText w:val="45" w:id="-1168461567"/>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7"/>
                <w14:textFill>
                  <w14:solidFill>
                    <w14:srgbClr w14:val="000000">
                      <w14:alpha w14:val="100000"/>
                    </w14:srgbClr>
                  </w14:solidFill>
                </w14:textFill>
              </w:rPr>
              <w:t xml:space="preserve">　</w:t>
            </w:r>
            <w:r w:rsidR="000508C9" w:rsidRPr="000508C9">
              <w:rPr>
                <w:color w:val="000000"/>
                <w:vertAlign w:val="superscript"/>
              </w:rPr>
              <w:t>1</w:t>
            </w:r>
          </w:p>
        </w:tc>
        <w:tc>
          <w:tcPr>
            <w:tcW w:w="611" w:type="pct"/>
          </w:tcPr>
          <w:p w14:paraId="0026CA1F" w14:textId="0F736C61"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6"/>
                <w14:textFill>
                  <w14:solidFill>
                    <w14:srgbClr w14:val="000000">
                      <w14:alpha w14:val="100000"/>
                    </w14:srgbClr>
                  </w14:solidFill>
                </w14:textFill>
              </w:rPr>
              <w:t xml:space="preserve">　</w:t>
            </w:r>
            <w:r w:rsidRPr="00D265E5">
              <w:rPr>
                <w:color w:val="000000"/>
                <w:w w:val="15"/>
                <w:shd w:val="solid" w:color="000000" w:fill="000000"/>
                <w:fitText w:val="45" w:id="-1168461566"/>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6"/>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01F5B04D" w14:textId="77777777" w:rsidTr="0034009B">
        <w:tc>
          <w:tcPr>
            <w:tcW w:w="1334" w:type="pct"/>
            <w:shd w:val="clear" w:color="auto" w:fill="auto"/>
            <w:vAlign w:val="center"/>
          </w:tcPr>
          <w:p w14:paraId="7ABAFABA" w14:textId="77777777" w:rsidR="00267813" w:rsidRPr="00804648" w:rsidRDefault="00267813" w:rsidP="00C1697C">
            <w:pPr>
              <w:pStyle w:val="TableText0"/>
              <w:keepLines/>
              <w:rPr>
                <w:rFonts w:ascii="Times" w:hAnsi="Times"/>
              </w:rPr>
            </w:pPr>
            <w:r w:rsidRPr="00804648">
              <w:t>Grandfathered patients</w:t>
            </w:r>
          </w:p>
        </w:tc>
        <w:tc>
          <w:tcPr>
            <w:tcW w:w="611" w:type="pct"/>
            <w:shd w:val="clear" w:color="auto" w:fill="auto"/>
            <w:vAlign w:val="center"/>
          </w:tcPr>
          <w:p w14:paraId="7231B25F" w14:textId="714E61B8"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5"/>
                <w14:textFill>
                  <w14:solidFill>
                    <w14:srgbClr w14:val="000000">
                      <w14:alpha w14:val="100000"/>
                    </w14:srgbClr>
                  </w14:solidFill>
                </w14:textFill>
              </w:rPr>
              <w:t xml:space="preserve">　</w:t>
            </w:r>
            <w:r w:rsidRPr="00D265E5">
              <w:rPr>
                <w:color w:val="000000"/>
                <w:w w:val="15"/>
                <w:shd w:val="solid" w:color="000000" w:fill="000000"/>
                <w:fitText w:val="45" w:id="-1168461565"/>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5"/>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7794C9A4" w14:textId="4C5506D9"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4"/>
                <w14:textFill>
                  <w14:solidFill>
                    <w14:srgbClr w14:val="000000">
                      <w14:alpha w14:val="100000"/>
                    </w14:srgbClr>
                  </w14:solidFill>
                </w14:textFill>
              </w:rPr>
              <w:t xml:space="preserve">　</w:t>
            </w:r>
            <w:r w:rsidRPr="00D265E5">
              <w:rPr>
                <w:color w:val="000000"/>
                <w:w w:val="15"/>
                <w:shd w:val="solid" w:color="000000" w:fill="000000"/>
                <w:fitText w:val="45" w:id="-1168461564"/>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4"/>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22087E68" w14:textId="2F711A1E"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3"/>
                <w14:textFill>
                  <w14:solidFill>
                    <w14:srgbClr w14:val="000000">
                      <w14:alpha w14:val="100000"/>
                    </w14:srgbClr>
                  </w14:solidFill>
                </w14:textFill>
              </w:rPr>
              <w:t xml:space="preserve">　</w:t>
            </w:r>
            <w:r w:rsidRPr="00D265E5">
              <w:rPr>
                <w:color w:val="000000"/>
                <w:w w:val="15"/>
                <w:shd w:val="solid" w:color="000000" w:fill="000000"/>
                <w:fitText w:val="45" w:id="-1168461563"/>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3"/>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3AE62FED" w14:textId="7169B335"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2"/>
                <w14:textFill>
                  <w14:solidFill>
                    <w14:srgbClr w14:val="000000">
                      <w14:alpha w14:val="100000"/>
                    </w14:srgbClr>
                  </w14:solidFill>
                </w14:textFill>
              </w:rPr>
              <w:t xml:space="preserve">　</w:t>
            </w:r>
            <w:r w:rsidRPr="00D265E5">
              <w:rPr>
                <w:color w:val="000000"/>
                <w:w w:val="15"/>
                <w:shd w:val="solid" w:color="000000" w:fill="000000"/>
                <w:fitText w:val="45" w:id="-1168461562"/>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2"/>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2BC97044" w14:textId="59607005"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1"/>
                <w14:textFill>
                  <w14:solidFill>
                    <w14:srgbClr w14:val="000000">
                      <w14:alpha w14:val="100000"/>
                    </w14:srgbClr>
                  </w14:solidFill>
                </w14:textFill>
              </w:rPr>
              <w:t xml:space="preserve">　</w:t>
            </w:r>
            <w:r w:rsidRPr="00D265E5">
              <w:rPr>
                <w:color w:val="000000"/>
                <w:w w:val="15"/>
                <w:shd w:val="solid" w:color="000000" w:fill="000000"/>
                <w:fitText w:val="45" w:id="-1168461561"/>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1"/>
                <w14:textFill>
                  <w14:solidFill>
                    <w14:srgbClr w14:val="000000">
                      <w14:alpha w14:val="100000"/>
                    </w14:srgbClr>
                  </w14:solidFill>
                </w14:textFill>
              </w:rPr>
              <w:t xml:space="preserve">　</w:t>
            </w:r>
            <w:r w:rsidR="000508C9" w:rsidRPr="000508C9">
              <w:rPr>
                <w:color w:val="000000"/>
                <w:vertAlign w:val="superscript"/>
              </w:rPr>
              <w:t>1</w:t>
            </w:r>
          </w:p>
        </w:tc>
        <w:tc>
          <w:tcPr>
            <w:tcW w:w="611" w:type="pct"/>
          </w:tcPr>
          <w:p w14:paraId="69E49A05" w14:textId="6C96F526"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0"/>
                <w14:textFill>
                  <w14:solidFill>
                    <w14:srgbClr w14:val="000000">
                      <w14:alpha w14:val="100000"/>
                    </w14:srgbClr>
                  </w14:solidFill>
                </w14:textFill>
              </w:rPr>
              <w:t xml:space="preserve">　</w:t>
            </w:r>
            <w:r w:rsidRPr="00D265E5">
              <w:rPr>
                <w:color w:val="000000"/>
                <w:w w:val="15"/>
                <w:shd w:val="solid" w:color="000000" w:fill="000000"/>
                <w:fitText w:val="45" w:id="-1168461560"/>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0"/>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1C16D8B4" w14:textId="77777777" w:rsidTr="0034009B">
        <w:tc>
          <w:tcPr>
            <w:tcW w:w="1334" w:type="pct"/>
            <w:shd w:val="clear" w:color="auto" w:fill="auto"/>
            <w:vAlign w:val="center"/>
          </w:tcPr>
          <w:p w14:paraId="49791E76" w14:textId="77777777" w:rsidR="00267813" w:rsidRPr="00804648" w:rsidRDefault="00267813" w:rsidP="00C1697C">
            <w:pPr>
              <w:pStyle w:val="TableText0"/>
              <w:keepLines/>
              <w:rPr>
                <w:rFonts w:ascii="Times" w:hAnsi="Times"/>
              </w:rPr>
            </w:pPr>
            <w:r w:rsidRPr="00804648">
              <w:t>Incident patients</w:t>
            </w:r>
          </w:p>
        </w:tc>
        <w:tc>
          <w:tcPr>
            <w:tcW w:w="611" w:type="pct"/>
            <w:shd w:val="clear" w:color="auto" w:fill="auto"/>
            <w:vAlign w:val="center"/>
          </w:tcPr>
          <w:p w14:paraId="46928051" w14:textId="7599DEEE"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9"/>
                <w14:textFill>
                  <w14:solidFill>
                    <w14:srgbClr w14:val="000000">
                      <w14:alpha w14:val="100000"/>
                    </w14:srgbClr>
                  </w14:solidFill>
                </w14:textFill>
              </w:rPr>
              <w:t xml:space="preserve">　</w:t>
            </w:r>
            <w:r w:rsidRPr="00D265E5">
              <w:rPr>
                <w:color w:val="000000"/>
                <w:w w:val="15"/>
                <w:shd w:val="solid" w:color="000000" w:fill="000000"/>
                <w:fitText w:val="45" w:id="-1168461559"/>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9"/>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7D518009" w14:textId="62E957FC"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8"/>
                <w14:textFill>
                  <w14:solidFill>
                    <w14:srgbClr w14:val="000000">
                      <w14:alpha w14:val="100000"/>
                    </w14:srgbClr>
                  </w14:solidFill>
                </w14:textFill>
              </w:rPr>
              <w:t xml:space="preserve">　</w:t>
            </w:r>
            <w:r w:rsidRPr="00D265E5">
              <w:rPr>
                <w:color w:val="000000"/>
                <w:w w:val="15"/>
                <w:shd w:val="solid" w:color="000000" w:fill="000000"/>
                <w:fitText w:val="45" w:id="-1168461558"/>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8"/>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3AA9C697" w14:textId="55E38328"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7"/>
                <w14:textFill>
                  <w14:solidFill>
                    <w14:srgbClr w14:val="000000">
                      <w14:alpha w14:val="100000"/>
                    </w14:srgbClr>
                  </w14:solidFill>
                </w14:textFill>
              </w:rPr>
              <w:t xml:space="preserve">　</w:t>
            </w:r>
            <w:r w:rsidRPr="00D265E5">
              <w:rPr>
                <w:color w:val="000000"/>
                <w:w w:val="15"/>
                <w:shd w:val="solid" w:color="000000" w:fill="000000"/>
                <w:fitText w:val="45" w:id="-1168461557"/>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7"/>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1E34694C" w14:textId="5C6D49D6"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6"/>
                <w14:textFill>
                  <w14:solidFill>
                    <w14:srgbClr w14:val="000000">
                      <w14:alpha w14:val="100000"/>
                    </w14:srgbClr>
                  </w14:solidFill>
                </w14:textFill>
              </w:rPr>
              <w:t xml:space="preserve">　</w:t>
            </w:r>
            <w:r w:rsidRPr="00D265E5">
              <w:rPr>
                <w:color w:val="000000"/>
                <w:w w:val="15"/>
                <w:shd w:val="solid" w:color="000000" w:fill="000000"/>
                <w:fitText w:val="45" w:id="-1168461556"/>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6"/>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5BB8454D" w14:textId="0BFC722E"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5"/>
                <w14:textFill>
                  <w14:solidFill>
                    <w14:srgbClr w14:val="000000">
                      <w14:alpha w14:val="100000"/>
                    </w14:srgbClr>
                  </w14:solidFill>
                </w14:textFill>
              </w:rPr>
              <w:t xml:space="preserve">　</w:t>
            </w:r>
            <w:r w:rsidRPr="00D265E5">
              <w:rPr>
                <w:color w:val="000000"/>
                <w:w w:val="15"/>
                <w:shd w:val="solid" w:color="000000" w:fill="000000"/>
                <w:fitText w:val="45" w:id="-1168461555"/>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5"/>
                <w14:textFill>
                  <w14:solidFill>
                    <w14:srgbClr w14:val="000000">
                      <w14:alpha w14:val="100000"/>
                    </w14:srgbClr>
                  </w14:solidFill>
                </w14:textFill>
              </w:rPr>
              <w:t xml:space="preserve">　</w:t>
            </w:r>
            <w:r w:rsidR="000508C9" w:rsidRPr="000508C9">
              <w:rPr>
                <w:color w:val="000000"/>
                <w:vertAlign w:val="superscript"/>
              </w:rPr>
              <w:t>1</w:t>
            </w:r>
          </w:p>
        </w:tc>
        <w:tc>
          <w:tcPr>
            <w:tcW w:w="611" w:type="pct"/>
          </w:tcPr>
          <w:p w14:paraId="474779C2" w14:textId="1EF42A1F"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4"/>
                <w14:textFill>
                  <w14:solidFill>
                    <w14:srgbClr w14:val="000000">
                      <w14:alpha w14:val="100000"/>
                    </w14:srgbClr>
                  </w14:solidFill>
                </w14:textFill>
              </w:rPr>
              <w:t xml:space="preserve">　</w:t>
            </w:r>
            <w:r w:rsidRPr="00D265E5">
              <w:rPr>
                <w:color w:val="000000"/>
                <w:w w:val="15"/>
                <w:shd w:val="solid" w:color="000000" w:fill="000000"/>
                <w:fitText w:val="45" w:id="-1168461554"/>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4"/>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1F996CFD" w14:textId="77777777" w:rsidTr="0034009B">
        <w:tc>
          <w:tcPr>
            <w:tcW w:w="1334" w:type="pct"/>
            <w:shd w:val="clear" w:color="auto" w:fill="auto"/>
            <w:vAlign w:val="center"/>
          </w:tcPr>
          <w:p w14:paraId="338420F9" w14:textId="77777777" w:rsidR="00267813" w:rsidRPr="00804648" w:rsidRDefault="00267813" w:rsidP="00C1697C">
            <w:pPr>
              <w:pStyle w:val="TableText0"/>
              <w:keepLines/>
            </w:pPr>
            <w:r w:rsidRPr="00804648">
              <w:t>Total patients</w:t>
            </w:r>
          </w:p>
        </w:tc>
        <w:tc>
          <w:tcPr>
            <w:tcW w:w="611" w:type="pct"/>
            <w:shd w:val="clear" w:color="auto" w:fill="auto"/>
            <w:vAlign w:val="center"/>
          </w:tcPr>
          <w:p w14:paraId="6EF1B10B" w14:textId="1BFC35E1"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3"/>
                <w14:textFill>
                  <w14:solidFill>
                    <w14:srgbClr w14:val="000000">
                      <w14:alpha w14:val="100000"/>
                    </w14:srgbClr>
                  </w14:solidFill>
                </w14:textFill>
              </w:rPr>
              <w:t xml:space="preserve">　</w:t>
            </w:r>
            <w:r w:rsidRPr="00D265E5">
              <w:rPr>
                <w:color w:val="000000"/>
                <w:w w:val="15"/>
                <w:shd w:val="solid" w:color="000000" w:fill="000000"/>
                <w:fitText w:val="45" w:id="-1168461553"/>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3"/>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4921E2DD" w14:textId="3E1D6513"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2"/>
                <w14:textFill>
                  <w14:solidFill>
                    <w14:srgbClr w14:val="000000">
                      <w14:alpha w14:val="100000"/>
                    </w14:srgbClr>
                  </w14:solidFill>
                </w14:textFill>
              </w:rPr>
              <w:t xml:space="preserve">　</w:t>
            </w:r>
            <w:r w:rsidRPr="00D265E5">
              <w:rPr>
                <w:color w:val="000000"/>
                <w:w w:val="15"/>
                <w:shd w:val="solid" w:color="000000" w:fill="000000"/>
                <w:fitText w:val="45" w:id="-1168461552"/>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2"/>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34091978" w14:textId="0AE3BD2B"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8"/>
                <w14:textFill>
                  <w14:solidFill>
                    <w14:srgbClr w14:val="000000">
                      <w14:alpha w14:val="100000"/>
                    </w14:srgbClr>
                  </w14:solidFill>
                </w14:textFill>
              </w:rPr>
              <w:t xml:space="preserve">　</w:t>
            </w:r>
            <w:r w:rsidRPr="00D265E5">
              <w:rPr>
                <w:color w:val="000000"/>
                <w:w w:val="15"/>
                <w:shd w:val="solid" w:color="000000" w:fill="000000"/>
                <w:fitText w:val="45" w:id="-1168461568"/>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8"/>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5C22DA9F" w14:textId="6F649785"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7"/>
                <w14:textFill>
                  <w14:solidFill>
                    <w14:srgbClr w14:val="000000">
                      <w14:alpha w14:val="100000"/>
                    </w14:srgbClr>
                  </w14:solidFill>
                </w14:textFill>
              </w:rPr>
              <w:t xml:space="preserve">　</w:t>
            </w:r>
            <w:r w:rsidRPr="00D265E5">
              <w:rPr>
                <w:color w:val="000000"/>
                <w:w w:val="15"/>
                <w:shd w:val="solid" w:color="000000" w:fill="000000"/>
                <w:fitText w:val="45" w:id="-1168461567"/>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7"/>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4029F149" w14:textId="450C5FC3"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6"/>
                <w14:textFill>
                  <w14:solidFill>
                    <w14:srgbClr w14:val="000000">
                      <w14:alpha w14:val="100000"/>
                    </w14:srgbClr>
                  </w14:solidFill>
                </w14:textFill>
              </w:rPr>
              <w:t xml:space="preserve">　</w:t>
            </w:r>
            <w:r w:rsidRPr="00D265E5">
              <w:rPr>
                <w:color w:val="000000"/>
                <w:w w:val="15"/>
                <w:shd w:val="solid" w:color="000000" w:fill="000000"/>
                <w:fitText w:val="45" w:id="-1168461566"/>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6"/>
                <w14:textFill>
                  <w14:solidFill>
                    <w14:srgbClr w14:val="000000">
                      <w14:alpha w14:val="100000"/>
                    </w14:srgbClr>
                  </w14:solidFill>
                </w14:textFill>
              </w:rPr>
              <w:t xml:space="preserve">　</w:t>
            </w:r>
            <w:r w:rsidR="000508C9" w:rsidRPr="000508C9">
              <w:rPr>
                <w:color w:val="000000"/>
                <w:vertAlign w:val="superscript"/>
              </w:rPr>
              <w:t>1</w:t>
            </w:r>
          </w:p>
        </w:tc>
        <w:tc>
          <w:tcPr>
            <w:tcW w:w="611" w:type="pct"/>
          </w:tcPr>
          <w:p w14:paraId="241A4A19" w14:textId="345F86AB"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5"/>
                <w14:textFill>
                  <w14:solidFill>
                    <w14:srgbClr w14:val="000000">
                      <w14:alpha w14:val="100000"/>
                    </w14:srgbClr>
                  </w14:solidFill>
                </w14:textFill>
              </w:rPr>
              <w:t xml:space="preserve">　</w:t>
            </w:r>
            <w:r w:rsidRPr="00D265E5">
              <w:rPr>
                <w:color w:val="000000"/>
                <w:w w:val="15"/>
                <w:shd w:val="solid" w:color="000000" w:fill="000000"/>
                <w:fitText w:val="45" w:id="-1168461565"/>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5"/>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69D53C99" w14:textId="77777777" w:rsidTr="0034009B">
        <w:tc>
          <w:tcPr>
            <w:tcW w:w="1334" w:type="pct"/>
            <w:shd w:val="clear" w:color="auto" w:fill="auto"/>
            <w:vAlign w:val="center"/>
          </w:tcPr>
          <w:p w14:paraId="5BF6D976" w14:textId="77777777" w:rsidR="00267813" w:rsidRPr="00804648" w:rsidRDefault="00267813" w:rsidP="00C1697C">
            <w:pPr>
              <w:pStyle w:val="TableText0"/>
              <w:keepLines/>
              <w:rPr>
                <w:rFonts w:ascii="Times" w:hAnsi="Times"/>
              </w:rPr>
            </w:pPr>
            <w:r w:rsidRPr="00804648">
              <w:t xml:space="preserve">Number of scripts dispensed prevalent patients (including one grandfathered patient) </w:t>
            </w:r>
            <w:r w:rsidRPr="00804648">
              <w:rPr>
                <w:vertAlign w:val="superscript"/>
              </w:rPr>
              <w:t>a</w:t>
            </w:r>
          </w:p>
        </w:tc>
        <w:tc>
          <w:tcPr>
            <w:tcW w:w="611" w:type="pct"/>
            <w:shd w:val="clear" w:color="auto" w:fill="auto"/>
            <w:vAlign w:val="center"/>
          </w:tcPr>
          <w:p w14:paraId="28015C82" w14:textId="370302E5"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4"/>
                <w14:textFill>
                  <w14:solidFill>
                    <w14:srgbClr w14:val="000000">
                      <w14:alpha w14:val="100000"/>
                    </w14:srgbClr>
                  </w14:solidFill>
                </w14:textFill>
              </w:rPr>
              <w:t xml:space="preserve">　</w:t>
            </w:r>
            <w:r w:rsidRPr="00D265E5">
              <w:rPr>
                <w:color w:val="000000"/>
                <w:w w:val="15"/>
                <w:shd w:val="solid" w:color="000000" w:fill="000000"/>
                <w:fitText w:val="45" w:id="-1168461564"/>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4"/>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5746BC7E" w14:textId="2180EB69"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3"/>
                <w14:textFill>
                  <w14:solidFill>
                    <w14:srgbClr w14:val="000000">
                      <w14:alpha w14:val="100000"/>
                    </w14:srgbClr>
                  </w14:solidFill>
                </w14:textFill>
              </w:rPr>
              <w:t xml:space="preserve">　</w:t>
            </w:r>
            <w:r w:rsidRPr="00D265E5">
              <w:rPr>
                <w:color w:val="000000"/>
                <w:w w:val="15"/>
                <w:shd w:val="solid" w:color="000000" w:fill="000000"/>
                <w:fitText w:val="45" w:id="-1168461563"/>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3"/>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4FBA22BC" w14:textId="069FF367"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2"/>
                <w14:textFill>
                  <w14:solidFill>
                    <w14:srgbClr w14:val="000000">
                      <w14:alpha w14:val="100000"/>
                    </w14:srgbClr>
                  </w14:solidFill>
                </w14:textFill>
              </w:rPr>
              <w:t xml:space="preserve">　</w:t>
            </w:r>
            <w:r w:rsidRPr="00D265E5">
              <w:rPr>
                <w:color w:val="000000"/>
                <w:w w:val="15"/>
                <w:shd w:val="solid" w:color="000000" w:fill="000000"/>
                <w:fitText w:val="45" w:id="-1168461562"/>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2"/>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32D374E4" w14:textId="328C765A"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1"/>
                <w14:textFill>
                  <w14:solidFill>
                    <w14:srgbClr w14:val="000000">
                      <w14:alpha w14:val="100000"/>
                    </w14:srgbClr>
                  </w14:solidFill>
                </w14:textFill>
              </w:rPr>
              <w:t xml:space="preserve">　</w:t>
            </w:r>
            <w:r w:rsidRPr="00D265E5">
              <w:rPr>
                <w:color w:val="000000"/>
                <w:w w:val="15"/>
                <w:shd w:val="solid" w:color="000000" w:fill="000000"/>
                <w:fitText w:val="45" w:id="-1168461561"/>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1"/>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75382C8F" w14:textId="619C012D"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60"/>
                <w14:textFill>
                  <w14:solidFill>
                    <w14:srgbClr w14:val="000000">
                      <w14:alpha w14:val="100000"/>
                    </w14:srgbClr>
                  </w14:solidFill>
                </w14:textFill>
              </w:rPr>
              <w:t xml:space="preserve">　</w:t>
            </w:r>
            <w:r w:rsidRPr="00D265E5">
              <w:rPr>
                <w:color w:val="000000"/>
                <w:w w:val="15"/>
                <w:shd w:val="solid" w:color="000000" w:fill="000000"/>
                <w:fitText w:val="45" w:id="-1168461560"/>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0"/>
                <w14:textFill>
                  <w14:solidFill>
                    <w14:srgbClr w14:val="000000">
                      <w14:alpha w14:val="100000"/>
                    </w14:srgbClr>
                  </w14:solidFill>
                </w14:textFill>
              </w:rPr>
              <w:t xml:space="preserve">　</w:t>
            </w:r>
            <w:r w:rsidR="000508C9" w:rsidRPr="000508C9">
              <w:rPr>
                <w:color w:val="000000"/>
                <w:vertAlign w:val="superscript"/>
              </w:rPr>
              <w:t>1</w:t>
            </w:r>
          </w:p>
        </w:tc>
        <w:tc>
          <w:tcPr>
            <w:tcW w:w="611" w:type="pct"/>
            <w:vAlign w:val="center"/>
          </w:tcPr>
          <w:p w14:paraId="07127312" w14:textId="2A42AA57" w:rsidR="00267813" w:rsidRPr="000508C9" w:rsidRDefault="00D265E5" w:rsidP="00C1697C">
            <w:pPr>
              <w:pStyle w:val="TableText0"/>
              <w:keepLines/>
              <w:jc w:val="center"/>
              <w:rPr>
                <w:color w:val="000000"/>
                <w:highlight w:val="darkGray"/>
              </w:rPr>
            </w:pPr>
            <w:r w:rsidRPr="00D265E5">
              <w:rPr>
                <w:rFonts w:hint="eastAsia"/>
                <w:color w:val="000000"/>
                <w:w w:val="15"/>
                <w:shd w:val="solid" w:color="000000" w:fill="000000"/>
                <w:fitText w:val="45" w:id="-1168461559"/>
                <w14:textFill>
                  <w14:solidFill>
                    <w14:srgbClr w14:val="000000">
                      <w14:alpha w14:val="100000"/>
                    </w14:srgbClr>
                  </w14:solidFill>
                </w14:textFill>
              </w:rPr>
              <w:t xml:space="preserve">　</w:t>
            </w:r>
            <w:r w:rsidRPr="00D265E5">
              <w:rPr>
                <w:color w:val="000000"/>
                <w:w w:val="15"/>
                <w:shd w:val="solid" w:color="000000" w:fill="000000"/>
                <w:fitText w:val="45" w:id="-1168461559"/>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9"/>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4C427A17" w14:textId="77777777" w:rsidTr="0034009B">
        <w:tc>
          <w:tcPr>
            <w:tcW w:w="1334" w:type="pct"/>
            <w:shd w:val="clear" w:color="auto" w:fill="auto"/>
            <w:vAlign w:val="center"/>
          </w:tcPr>
          <w:p w14:paraId="3482A93A" w14:textId="77777777" w:rsidR="00267813" w:rsidRPr="00804648" w:rsidRDefault="00267813" w:rsidP="00C1697C">
            <w:pPr>
              <w:pStyle w:val="TableText0"/>
              <w:keepLines/>
              <w:rPr>
                <w:sz w:val="19"/>
                <w:szCs w:val="19"/>
              </w:rPr>
            </w:pPr>
            <w:r w:rsidRPr="00804648">
              <w:t xml:space="preserve">Number of scripts dispensed incident patients </w:t>
            </w:r>
            <w:r w:rsidRPr="00804648">
              <w:rPr>
                <w:vertAlign w:val="superscript"/>
              </w:rPr>
              <w:t>a</w:t>
            </w:r>
          </w:p>
        </w:tc>
        <w:tc>
          <w:tcPr>
            <w:tcW w:w="611" w:type="pct"/>
            <w:shd w:val="clear" w:color="auto" w:fill="auto"/>
            <w:vAlign w:val="center"/>
          </w:tcPr>
          <w:p w14:paraId="13A2E247" w14:textId="43AC9AAE"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8"/>
                <w14:textFill>
                  <w14:solidFill>
                    <w14:srgbClr w14:val="000000">
                      <w14:alpha w14:val="100000"/>
                    </w14:srgbClr>
                  </w14:solidFill>
                </w14:textFill>
              </w:rPr>
              <w:t xml:space="preserve">　</w:t>
            </w:r>
            <w:r w:rsidRPr="00D265E5">
              <w:rPr>
                <w:color w:val="000000"/>
                <w:w w:val="15"/>
                <w:shd w:val="solid" w:color="000000" w:fill="000000"/>
                <w:fitText w:val="45" w:id="-1168461558"/>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8"/>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6ACF66DA" w14:textId="37B36966"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7"/>
                <w14:textFill>
                  <w14:solidFill>
                    <w14:srgbClr w14:val="000000">
                      <w14:alpha w14:val="100000"/>
                    </w14:srgbClr>
                  </w14:solidFill>
                </w14:textFill>
              </w:rPr>
              <w:t xml:space="preserve">　</w:t>
            </w:r>
            <w:r w:rsidRPr="00D265E5">
              <w:rPr>
                <w:color w:val="000000"/>
                <w:w w:val="15"/>
                <w:shd w:val="solid" w:color="000000" w:fill="000000"/>
                <w:fitText w:val="45" w:id="-1168461557"/>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7"/>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31A9A7B7" w14:textId="520EE231"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6"/>
                <w14:textFill>
                  <w14:solidFill>
                    <w14:srgbClr w14:val="000000">
                      <w14:alpha w14:val="100000"/>
                    </w14:srgbClr>
                  </w14:solidFill>
                </w14:textFill>
              </w:rPr>
              <w:t xml:space="preserve">　</w:t>
            </w:r>
            <w:r w:rsidRPr="00D265E5">
              <w:rPr>
                <w:color w:val="000000"/>
                <w:w w:val="15"/>
                <w:shd w:val="solid" w:color="000000" w:fill="000000"/>
                <w:fitText w:val="45" w:id="-1168461556"/>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6"/>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5493EE52" w14:textId="6D2D635E"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5"/>
                <w14:textFill>
                  <w14:solidFill>
                    <w14:srgbClr w14:val="000000">
                      <w14:alpha w14:val="100000"/>
                    </w14:srgbClr>
                  </w14:solidFill>
                </w14:textFill>
              </w:rPr>
              <w:t xml:space="preserve">　</w:t>
            </w:r>
            <w:r w:rsidRPr="00D265E5">
              <w:rPr>
                <w:color w:val="000000"/>
                <w:w w:val="15"/>
                <w:shd w:val="solid" w:color="000000" w:fill="000000"/>
                <w:fitText w:val="45" w:id="-1168461555"/>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5"/>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vAlign w:val="center"/>
          </w:tcPr>
          <w:p w14:paraId="4A2AADA2" w14:textId="65508760"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4"/>
                <w14:textFill>
                  <w14:solidFill>
                    <w14:srgbClr w14:val="000000">
                      <w14:alpha w14:val="100000"/>
                    </w14:srgbClr>
                  </w14:solidFill>
                </w14:textFill>
              </w:rPr>
              <w:t xml:space="preserve">　</w:t>
            </w:r>
            <w:r w:rsidRPr="00D265E5">
              <w:rPr>
                <w:color w:val="000000"/>
                <w:w w:val="15"/>
                <w:shd w:val="solid" w:color="000000" w:fill="000000"/>
                <w:fitText w:val="45" w:id="-1168461554"/>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4"/>
                <w14:textFill>
                  <w14:solidFill>
                    <w14:srgbClr w14:val="000000">
                      <w14:alpha w14:val="100000"/>
                    </w14:srgbClr>
                  </w14:solidFill>
                </w14:textFill>
              </w:rPr>
              <w:t xml:space="preserve">　</w:t>
            </w:r>
            <w:r w:rsidR="000508C9" w:rsidRPr="000508C9">
              <w:rPr>
                <w:color w:val="000000"/>
                <w:vertAlign w:val="superscript"/>
              </w:rPr>
              <w:t>1</w:t>
            </w:r>
          </w:p>
        </w:tc>
        <w:tc>
          <w:tcPr>
            <w:tcW w:w="611" w:type="pct"/>
            <w:vAlign w:val="center"/>
          </w:tcPr>
          <w:p w14:paraId="625404A1" w14:textId="5BC23381"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3"/>
                <w14:textFill>
                  <w14:solidFill>
                    <w14:srgbClr w14:val="000000">
                      <w14:alpha w14:val="100000"/>
                    </w14:srgbClr>
                  </w14:solidFill>
                </w14:textFill>
              </w:rPr>
              <w:t xml:space="preserve">　</w:t>
            </w:r>
            <w:r w:rsidRPr="00D265E5">
              <w:rPr>
                <w:color w:val="000000"/>
                <w:w w:val="15"/>
                <w:shd w:val="solid" w:color="000000" w:fill="000000"/>
                <w:fitText w:val="45" w:id="-1168461553"/>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3"/>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6C8B4DAD" w14:textId="77777777" w:rsidTr="0034009B">
        <w:tc>
          <w:tcPr>
            <w:tcW w:w="1334" w:type="pct"/>
            <w:shd w:val="clear" w:color="auto" w:fill="auto"/>
            <w:vAlign w:val="center"/>
          </w:tcPr>
          <w:p w14:paraId="2D52A9E3" w14:textId="77777777" w:rsidR="00267813" w:rsidRPr="00804648" w:rsidRDefault="00267813" w:rsidP="00C1697C">
            <w:pPr>
              <w:pStyle w:val="TableText0"/>
              <w:keepLines/>
              <w:rPr>
                <w:sz w:val="19"/>
                <w:szCs w:val="19"/>
              </w:rPr>
            </w:pPr>
            <w:r w:rsidRPr="00804648">
              <w:t>Total scripts</w:t>
            </w:r>
          </w:p>
        </w:tc>
        <w:tc>
          <w:tcPr>
            <w:tcW w:w="611" w:type="pct"/>
            <w:shd w:val="clear" w:color="auto" w:fill="auto"/>
          </w:tcPr>
          <w:p w14:paraId="574C21A9" w14:textId="699B3D7C"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52"/>
                <w14:textFill>
                  <w14:solidFill>
                    <w14:srgbClr w14:val="000000">
                      <w14:alpha w14:val="100000"/>
                    </w14:srgbClr>
                  </w14:solidFill>
                </w14:textFill>
              </w:rPr>
              <w:t xml:space="preserve">　</w:t>
            </w:r>
            <w:r w:rsidRPr="00D265E5">
              <w:rPr>
                <w:color w:val="000000"/>
                <w:w w:val="15"/>
                <w:shd w:val="solid" w:color="000000" w:fill="000000"/>
                <w:fitText w:val="45" w:id="-1168461552"/>
                <w14:textFill>
                  <w14:solidFill>
                    <w14:srgbClr w14:val="000000">
                      <w14:alpha w14:val="100000"/>
                    </w14:srgbClr>
                  </w14:solidFill>
                </w14:textFill>
              </w:rPr>
              <w:t>|</w:t>
            </w:r>
            <w:r w:rsidRPr="00D265E5">
              <w:rPr>
                <w:rFonts w:hint="eastAsia"/>
                <w:color w:val="000000"/>
                <w:spacing w:val="-20"/>
                <w:w w:val="15"/>
                <w:shd w:val="solid" w:color="000000" w:fill="000000"/>
                <w:fitText w:val="45" w:id="-1168461552"/>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tcPr>
          <w:p w14:paraId="1EB43314" w14:textId="7D1D29E2"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68"/>
                <w14:textFill>
                  <w14:solidFill>
                    <w14:srgbClr w14:val="000000">
                      <w14:alpha w14:val="100000"/>
                    </w14:srgbClr>
                  </w14:solidFill>
                </w14:textFill>
              </w:rPr>
              <w:t xml:space="preserve">　</w:t>
            </w:r>
            <w:r w:rsidRPr="00D265E5">
              <w:rPr>
                <w:color w:val="000000"/>
                <w:w w:val="15"/>
                <w:shd w:val="solid" w:color="000000" w:fill="000000"/>
                <w:fitText w:val="45" w:id="-1168461568"/>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8"/>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tcPr>
          <w:p w14:paraId="02184236" w14:textId="367A976B"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67"/>
                <w14:textFill>
                  <w14:solidFill>
                    <w14:srgbClr w14:val="000000">
                      <w14:alpha w14:val="100000"/>
                    </w14:srgbClr>
                  </w14:solidFill>
                </w14:textFill>
              </w:rPr>
              <w:t xml:space="preserve">　</w:t>
            </w:r>
            <w:r w:rsidRPr="00D265E5">
              <w:rPr>
                <w:color w:val="000000"/>
                <w:w w:val="15"/>
                <w:shd w:val="solid" w:color="000000" w:fill="000000"/>
                <w:fitText w:val="45" w:id="-1168461567"/>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7"/>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tcPr>
          <w:p w14:paraId="77B0D114" w14:textId="28CD7A47"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66"/>
                <w14:textFill>
                  <w14:solidFill>
                    <w14:srgbClr w14:val="000000">
                      <w14:alpha w14:val="100000"/>
                    </w14:srgbClr>
                  </w14:solidFill>
                </w14:textFill>
              </w:rPr>
              <w:t xml:space="preserve">　</w:t>
            </w:r>
            <w:r w:rsidRPr="00D265E5">
              <w:rPr>
                <w:color w:val="000000"/>
                <w:w w:val="15"/>
                <w:shd w:val="solid" w:color="000000" w:fill="000000"/>
                <w:fitText w:val="45" w:id="-1168461566"/>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6"/>
                <w14:textFill>
                  <w14:solidFill>
                    <w14:srgbClr w14:val="000000">
                      <w14:alpha w14:val="100000"/>
                    </w14:srgbClr>
                  </w14:solidFill>
                </w14:textFill>
              </w:rPr>
              <w:t xml:space="preserve">　</w:t>
            </w:r>
            <w:r w:rsidR="000508C9" w:rsidRPr="000508C9">
              <w:rPr>
                <w:color w:val="000000"/>
                <w:vertAlign w:val="superscript"/>
              </w:rPr>
              <w:t>1</w:t>
            </w:r>
          </w:p>
        </w:tc>
        <w:tc>
          <w:tcPr>
            <w:tcW w:w="611" w:type="pct"/>
            <w:shd w:val="clear" w:color="auto" w:fill="auto"/>
          </w:tcPr>
          <w:p w14:paraId="5551E6B3" w14:textId="3A21614B"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65"/>
                <w14:textFill>
                  <w14:solidFill>
                    <w14:srgbClr w14:val="000000">
                      <w14:alpha w14:val="100000"/>
                    </w14:srgbClr>
                  </w14:solidFill>
                </w14:textFill>
              </w:rPr>
              <w:t xml:space="preserve">　</w:t>
            </w:r>
            <w:r w:rsidRPr="00D265E5">
              <w:rPr>
                <w:color w:val="000000"/>
                <w:w w:val="15"/>
                <w:shd w:val="solid" w:color="000000" w:fill="000000"/>
                <w:fitText w:val="45" w:id="-1168461565"/>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5"/>
                <w14:textFill>
                  <w14:solidFill>
                    <w14:srgbClr w14:val="000000">
                      <w14:alpha w14:val="100000"/>
                    </w14:srgbClr>
                  </w14:solidFill>
                </w14:textFill>
              </w:rPr>
              <w:t xml:space="preserve">　</w:t>
            </w:r>
            <w:r w:rsidR="000508C9" w:rsidRPr="000508C9">
              <w:rPr>
                <w:color w:val="000000"/>
                <w:vertAlign w:val="superscript"/>
              </w:rPr>
              <w:t>1</w:t>
            </w:r>
          </w:p>
        </w:tc>
        <w:tc>
          <w:tcPr>
            <w:tcW w:w="611" w:type="pct"/>
          </w:tcPr>
          <w:p w14:paraId="420C4A4D" w14:textId="68A6330C" w:rsidR="00267813" w:rsidRPr="000508C9" w:rsidRDefault="00D265E5" w:rsidP="00C1697C">
            <w:pPr>
              <w:pStyle w:val="TableText0"/>
              <w:keepLines/>
              <w:jc w:val="center"/>
              <w:rPr>
                <w:highlight w:val="darkGray"/>
              </w:rPr>
            </w:pPr>
            <w:r w:rsidRPr="00D265E5">
              <w:rPr>
                <w:rFonts w:hint="eastAsia"/>
                <w:color w:val="000000"/>
                <w:w w:val="15"/>
                <w:shd w:val="solid" w:color="000000" w:fill="000000"/>
                <w:fitText w:val="45" w:id="-1168461564"/>
                <w14:textFill>
                  <w14:solidFill>
                    <w14:srgbClr w14:val="000000">
                      <w14:alpha w14:val="100000"/>
                    </w14:srgbClr>
                  </w14:solidFill>
                </w14:textFill>
              </w:rPr>
              <w:t xml:space="preserve">　</w:t>
            </w:r>
            <w:r w:rsidRPr="00D265E5">
              <w:rPr>
                <w:color w:val="000000"/>
                <w:w w:val="15"/>
                <w:shd w:val="solid" w:color="000000" w:fill="000000"/>
                <w:fitText w:val="45" w:id="-1168461564"/>
                <w14:textFill>
                  <w14:solidFill>
                    <w14:srgbClr w14:val="000000">
                      <w14:alpha w14:val="100000"/>
                    </w14:srgbClr>
                  </w14:solidFill>
                </w14:textFill>
              </w:rPr>
              <w:t>|</w:t>
            </w:r>
            <w:r w:rsidRPr="00D265E5">
              <w:rPr>
                <w:rFonts w:hint="eastAsia"/>
                <w:color w:val="000000"/>
                <w:spacing w:val="-20"/>
                <w:w w:val="15"/>
                <w:shd w:val="solid" w:color="000000" w:fill="000000"/>
                <w:fitText w:val="45" w:id="-1168461564"/>
                <w14:textFill>
                  <w14:solidFill>
                    <w14:srgbClr w14:val="000000">
                      <w14:alpha w14:val="100000"/>
                    </w14:srgbClr>
                  </w14:solidFill>
                </w14:textFill>
              </w:rPr>
              <w:t xml:space="preserve">　</w:t>
            </w:r>
            <w:r w:rsidR="000508C9" w:rsidRPr="000508C9">
              <w:rPr>
                <w:color w:val="000000"/>
                <w:vertAlign w:val="superscript"/>
              </w:rPr>
              <w:t>1</w:t>
            </w:r>
          </w:p>
        </w:tc>
      </w:tr>
      <w:tr w:rsidR="00267813" w:rsidRPr="00804648" w14:paraId="42CA5BC8" w14:textId="77777777" w:rsidTr="0034009B">
        <w:tc>
          <w:tcPr>
            <w:tcW w:w="5000" w:type="pct"/>
            <w:gridSpan w:val="7"/>
            <w:shd w:val="clear" w:color="auto" w:fill="auto"/>
          </w:tcPr>
          <w:p w14:paraId="372FE0A8" w14:textId="77777777" w:rsidR="00267813" w:rsidRPr="00804648" w:rsidRDefault="00267813" w:rsidP="00C1697C">
            <w:pPr>
              <w:pStyle w:val="In-tableHeading"/>
              <w:keepLines/>
              <w:rPr>
                <w:lang w:val="en-AU"/>
              </w:rPr>
            </w:pPr>
            <w:r w:rsidRPr="00804648">
              <w:rPr>
                <w:lang w:val="en-AU"/>
              </w:rPr>
              <w:t>Estimated financial implications of olipudase alfa</w:t>
            </w:r>
          </w:p>
        </w:tc>
      </w:tr>
      <w:tr w:rsidR="00267813" w:rsidRPr="00804648" w14:paraId="41809860" w14:textId="77777777" w:rsidTr="0034009B">
        <w:tc>
          <w:tcPr>
            <w:tcW w:w="1334" w:type="pct"/>
            <w:shd w:val="clear" w:color="auto" w:fill="auto"/>
          </w:tcPr>
          <w:p w14:paraId="682FDDD2" w14:textId="77777777" w:rsidR="00267813" w:rsidRPr="00804648" w:rsidRDefault="00267813" w:rsidP="00C1697C">
            <w:pPr>
              <w:pStyle w:val="TableText0"/>
              <w:keepLines/>
              <w:rPr>
                <w:sz w:val="19"/>
                <w:szCs w:val="19"/>
              </w:rPr>
            </w:pPr>
            <w:r w:rsidRPr="00804648">
              <w:t>Cost to PBS less co-payments</w:t>
            </w:r>
          </w:p>
        </w:tc>
        <w:tc>
          <w:tcPr>
            <w:tcW w:w="611" w:type="pct"/>
            <w:shd w:val="clear" w:color="auto" w:fill="auto"/>
          </w:tcPr>
          <w:p w14:paraId="0F5DBD26" w14:textId="60BB03E8"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3"/>
                <w14:textFill>
                  <w14:solidFill>
                    <w14:srgbClr w14:val="000000">
                      <w14:alpha w14:val="100000"/>
                    </w14:srgbClr>
                  </w14:solidFill>
                </w14:textFill>
              </w:rPr>
              <w:t xml:space="preserve">　</w:t>
            </w:r>
            <w:r w:rsidRPr="00D265E5">
              <w:rPr>
                <w:color w:val="000000"/>
                <w:w w:val="16"/>
                <w:shd w:val="solid" w:color="000000" w:fill="000000"/>
                <w:fitText w:val="75" w:id="-1168461563"/>
                <w14:textFill>
                  <w14:solidFill>
                    <w14:srgbClr w14:val="000000">
                      <w14:alpha w14:val="100000"/>
                    </w14:srgbClr>
                  </w14:solidFill>
                </w14:textFill>
              </w:rPr>
              <w:t>|</w:t>
            </w:r>
            <w:r w:rsidRPr="00D265E5">
              <w:rPr>
                <w:rFonts w:hint="eastAsia"/>
                <w:color w:val="000000"/>
                <w:spacing w:val="5"/>
                <w:w w:val="16"/>
                <w:shd w:val="solid" w:color="000000" w:fill="000000"/>
                <w:fitText w:val="75" w:id="-1168461563"/>
                <w14:textFill>
                  <w14:solidFill>
                    <w14:srgbClr w14:val="000000">
                      <w14:alpha w14:val="100000"/>
                    </w14:srgbClr>
                  </w14:solidFill>
                </w14:textFill>
              </w:rPr>
              <w:t xml:space="preserve">　</w:t>
            </w:r>
            <w:r w:rsidR="000508C9">
              <w:rPr>
                <w:color w:val="000000"/>
                <w:vertAlign w:val="superscript"/>
              </w:rPr>
              <w:t>2</w:t>
            </w:r>
          </w:p>
        </w:tc>
        <w:tc>
          <w:tcPr>
            <w:tcW w:w="611" w:type="pct"/>
            <w:shd w:val="clear" w:color="auto" w:fill="auto"/>
          </w:tcPr>
          <w:p w14:paraId="1A2E17F3" w14:textId="3DDEC211"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2"/>
                <w14:textFill>
                  <w14:solidFill>
                    <w14:srgbClr w14:val="000000">
                      <w14:alpha w14:val="100000"/>
                    </w14:srgbClr>
                  </w14:solidFill>
                </w14:textFill>
              </w:rPr>
              <w:t xml:space="preserve">　</w:t>
            </w:r>
            <w:r w:rsidRPr="00D265E5">
              <w:rPr>
                <w:color w:val="000000"/>
                <w:w w:val="16"/>
                <w:shd w:val="solid" w:color="000000" w:fill="000000"/>
                <w:fitText w:val="75" w:id="-1168461562"/>
                <w14:textFill>
                  <w14:solidFill>
                    <w14:srgbClr w14:val="000000">
                      <w14:alpha w14:val="100000"/>
                    </w14:srgbClr>
                  </w14:solidFill>
                </w14:textFill>
              </w:rPr>
              <w:t>|</w:t>
            </w:r>
            <w:r w:rsidRPr="00D265E5">
              <w:rPr>
                <w:rFonts w:hint="eastAsia"/>
                <w:color w:val="000000"/>
                <w:spacing w:val="5"/>
                <w:w w:val="16"/>
                <w:shd w:val="solid" w:color="000000" w:fill="000000"/>
                <w:fitText w:val="75" w:id="-1168461562"/>
                <w14:textFill>
                  <w14:solidFill>
                    <w14:srgbClr w14:val="000000">
                      <w14:alpha w14:val="100000"/>
                    </w14:srgbClr>
                  </w14:solidFill>
                </w14:textFill>
              </w:rPr>
              <w:t xml:space="preserve">　</w:t>
            </w:r>
            <w:r w:rsidR="000508C9">
              <w:rPr>
                <w:color w:val="000000"/>
                <w:vertAlign w:val="superscript"/>
              </w:rPr>
              <w:t>2</w:t>
            </w:r>
          </w:p>
        </w:tc>
        <w:tc>
          <w:tcPr>
            <w:tcW w:w="611" w:type="pct"/>
            <w:shd w:val="clear" w:color="auto" w:fill="auto"/>
          </w:tcPr>
          <w:p w14:paraId="75598124" w14:textId="75AECC2C"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1"/>
                <w14:textFill>
                  <w14:solidFill>
                    <w14:srgbClr w14:val="000000">
                      <w14:alpha w14:val="100000"/>
                    </w14:srgbClr>
                  </w14:solidFill>
                </w14:textFill>
              </w:rPr>
              <w:t xml:space="preserve">　</w:t>
            </w:r>
            <w:r w:rsidRPr="00D265E5">
              <w:rPr>
                <w:color w:val="000000"/>
                <w:w w:val="16"/>
                <w:shd w:val="solid" w:color="000000" w:fill="000000"/>
                <w:fitText w:val="75" w:id="-1168461561"/>
                <w14:textFill>
                  <w14:solidFill>
                    <w14:srgbClr w14:val="000000">
                      <w14:alpha w14:val="100000"/>
                    </w14:srgbClr>
                  </w14:solidFill>
                </w14:textFill>
              </w:rPr>
              <w:t>|</w:t>
            </w:r>
            <w:r w:rsidRPr="00D265E5">
              <w:rPr>
                <w:rFonts w:hint="eastAsia"/>
                <w:color w:val="000000"/>
                <w:spacing w:val="5"/>
                <w:w w:val="16"/>
                <w:shd w:val="solid" w:color="000000" w:fill="000000"/>
                <w:fitText w:val="75" w:id="-1168461561"/>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05BC474E" w14:textId="0DE7D822"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0"/>
                <w14:textFill>
                  <w14:solidFill>
                    <w14:srgbClr w14:val="000000">
                      <w14:alpha w14:val="100000"/>
                    </w14:srgbClr>
                  </w14:solidFill>
                </w14:textFill>
              </w:rPr>
              <w:t xml:space="preserve">　</w:t>
            </w:r>
            <w:r w:rsidRPr="00D265E5">
              <w:rPr>
                <w:color w:val="000000"/>
                <w:w w:val="16"/>
                <w:shd w:val="solid" w:color="000000" w:fill="000000"/>
                <w:fitText w:val="75" w:id="-1168461560"/>
                <w14:textFill>
                  <w14:solidFill>
                    <w14:srgbClr w14:val="000000">
                      <w14:alpha w14:val="100000"/>
                    </w14:srgbClr>
                  </w14:solidFill>
                </w14:textFill>
              </w:rPr>
              <w:t>|</w:t>
            </w:r>
            <w:r w:rsidRPr="00D265E5">
              <w:rPr>
                <w:rFonts w:hint="eastAsia"/>
                <w:color w:val="000000"/>
                <w:spacing w:val="5"/>
                <w:w w:val="16"/>
                <w:shd w:val="solid" w:color="000000" w:fill="000000"/>
                <w:fitText w:val="75" w:id="-1168461560"/>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23082D51" w14:textId="51E358A5"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9"/>
                <w14:textFill>
                  <w14:solidFill>
                    <w14:srgbClr w14:val="000000">
                      <w14:alpha w14:val="100000"/>
                    </w14:srgbClr>
                  </w14:solidFill>
                </w14:textFill>
              </w:rPr>
              <w:t xml:space="preserve">　</w:t>
            </w:r>
            <w:r w:rsidRPr="00D265E5">
              <w:rPr>
                <w:color w:val="000000"/>
                <w:w w:val="16"/>
                <w:shd w:val="solid" w:color="000000" w:fill="000000"/>
                <w:fitText w:val="75" w:id="-1168461559"/>
                <w14:textFill>
                  <w14:solidFill>
                    <w14:srgbClr w14:val="000000">
                      <w14:alpha w14:val="100000"/>
                    </w14:srgbClr>
                  </w14:solidFill>
                </w14:textFill>
              </w:rPr>
              <w:t>|</w:t>
            </w:r>
            <w:r w:rsidRPr="00D265E5">
              <w:rPr>
                <w:rFonts w:hint="eastAsia"/>
                <w:color w:val="000000"/>
                <w:spacing w:val="5"/>
                <w:w w:val="16"/>
                <w:shd w:val="solid" w:color="000000" w:fill="000000"/>
                <w:fitText w:val="75" w:id="-1168461559"/>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tcPr>
          <w:p w14:paraId="0BBF35D3" w14:textId="0DDFC096"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8"/>
                <w14:textFill>
                  <w14:solidFill>
                    <w14:srgbClr w14:val="000000">
                      <w14:alpha w14:val="100000"/>
                    </w14:srgbClr>
                  </w14:solidFill>
                </w14:textFill>
              </w:rPr>
              <w:t xml:space="preserve">　</w:t>
            </w:r>
            <w:r w:rsidRPr="00D265E5">
              <w:rPr>
                <w:color w:val="000000"/>
                <w:w w:val="16"/>
                <w:shd w:val="solid" w:color="000000" w:fill="000000"/>
                <w:fitText w:val="75" w:id="-1168461558"/>
                <w14:textFill>
                  <w14:solidFill>
                    <w14:srgbClr w14:val="000000">
                      <w14:alpha w14:val="100000"/>
                    </w14:srgbClr>
                  </w14:solidFill>
                </w14:textFill>
              </w:rPr>
              <w:t>|</w:t>
            </w:r>
            <w:r w:rsidRPr="00D265E5">
              <w:rPr>
                <w:rFonts w:hint="eastAsia"/>
                <w:color w:val="000000"/>
                <w:spacing w:val="5"/>
                <w:w w:val="16"/>
                <w:shd w:val="solid" w:color="000000" w:fill="000000"/>
                <w:fitText w:val="75" w:id="-1168461558"/>
                <w14:textFill>
                  <w14:solidFill>
                    <w14:srgbClr w14:val="000000">
                      <w14:alpha w14:val="100000"/>
                    </w14:srgbClr>
                  </w14:solidFill>
                </w14:textFill>
              </w:rPr>
              <w:t xml:space="preserve">　</w:t>
            </w:r>
            <w:r w:rsidR="000508C9">
              <w:rPr>
                <w:color w:val="000000"/>
                <w:vertAlign w:val="superscript"/>
              </w:rPr>
              <w:t>2</w:t>
            </w:r>
            <w:r w:rsidRPr="00D265E5">
              <w:t xml:space="preserve"> </w:t>
            </w:r>
          </w:p>
        </w:tc>
      </w:tr>
      <w:tr w:rsidR="00267813" w:rsidRPr="00804648" w14:paraId="42476321" w14:textId="77777777" w:rsidTr="0034009B">
        <w:tc>
          <w:tcPr>
            <w:tcW w:w="5000" w:type="pct"/>
            <w:gridSpan w:val="7"/>
            <w:shd w:val="clear" w:color="auto" w:fill="auto"/>
            <w:vAlign w:val="center"/>
          </w:tcPr>
          <w:p w14:paraId="7D62619B" w14:textId="77777777" w:rsidR="00267813" w:rsidRPr="00804648" w:rsidRDefault="00267813" w:rsidP="00C1697C">
            <w:pPr>
              <w:pStyle w:val="TableText0"/>
              <w:keepLines/>
              <w:rPr>
                <w:b/>
                <w:bCs w:val="0"/>
              </w:rPr>
            </w:pPr>
            <w:r w:rsidRPr="00804648">
              <w:rPr>
                <w:b/>
                <w:bCs w:val="0"/>
              </w:rPr>
              <w:t>Net financial implications</w:t>
            </w:r>
            <w:r w:rsidRPr="00804648">
              <w:rPr>
                <w:b/>
                <w:bCs w:val="0"/>
                <w:color w:val="4BACC6" w:themeColor="accent5"/>
              </w:rPr>
              <w:t xml:space="preserve"> </w:t>
            </w:r>
          </w:p>
        </w:tc>
      </w:tr>
      <w:tr w:rsidR="00267813" w:rsidRPr="00804648" w14:paraId="2A00639E" w14:textId="77777777" w:rsidTr="00D265E5">
        <w:tc>
          <w:tcPr>
            <w:tcW w:w="1334" w:type="pct"/>
            <w:shd w:val="clear" w:color="auto" w:fill="auto"/>
            <w:vAlign w:val="center"/>
          </w:tcPr>
          <w:p w14:paraId="47B2D183" w14:textId="77777777" w:rsidR="00267813" w:rsidRPr="00804648" w:rsidRDefault="00267813" w:rsidP="00C1697C">
            <w:pPr>
              <w:pStyle w:val="TableText0"/>
              <w:keepLines/>
            </w:pPr>
            <w:bookmarkStart w:id="95" w:name="_Hlk150252591"/>
            <w:r w:rsidRPr="00804648">
              <w:t>Net cost to PBS</w:t>
            </w:r>
          </w:p>
        </w:tc>
        <w:tc>
          <w:tcPr>
            <w:tcW w:w="611" w:type="pct"/>
            <w:shd w:val="clear" w:color="auto" w:fill="auto"/>
          </w:tcPr>
          <w:p w14:paraId="321C7757" w14:textId="7F41EB5C"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7"/>
                <w14:textFill>
                  <w14:solidFill>
                    <w14:srgbClr w14:val="000000">
                      <w14:alpha w14:val="100000"/>
                    </w14:srgbClr>
                  </w14:solidFill>
                </w14:textFill>
              </w:rPr>
              <w:t xml:space="preserve">　</w:t>
            </w:r>
            <w:r w:rsidRPr="00D265E5">
              <w:rPr>
                <w:color w:val="000000"/>
                <w:w w:val="16"/>
                <w:shd w:val="solid" w:color="000000" w:fill="000000"/>
                <w:fitText w:val="75" w:id="-1168461557"/>
                <w14:textFill>
                  <w14:solidFill>
                    <w14:srgbClr w14:val="000000">
                      <w14:alpha w14:val="100000"/>
                    </w14:srgbClr>
                  </w14:solidFill>
                </w14:textFill>
              </w:rPr>
              <w:t>|</w:t>
            </w:r>
            <w:r w:rsidRPr="00D265E5">
              <w:rPr>
                <w:rFonts w:hint="eastAsia"/>
                <w:color w:val="000000"/>
                <w:spacing w:val="5"/>
                <w:w w:val="16"/>
                <w:shd w:val="solid" w:color="000000" w:fill="000000"/>
                <w:fitText w:val="75" w:id="-1168461557"/>
                <w14:textFill>
                  <w14:solidFill>
                    <w14:srgbClr w14:val="000000">
                      <w14:alpha w14:val="100000"/>
                    </w14:srgbClr>
                  </w14:solidFill>
                </w14:textFill>
              </w:rPr>
              <w:t xml:space="preserve">　</w:t>
            </w:r>
            <w:r w:rsidR="000508C9">
              <w:rPr>
                <w:color w:val="000000"/>
                <w:vertAlign w:val="superscript"/>
              </w:rPr>
              <w:t>2</w:t>
            </w:r>
          </w:p>
        </w:tc>
        <w:tc>
          <w:tcPr>
            <w:tcW w:w="611" w:type="pct"/>
            <w:shd w:val="clear" w:color="auto" w:fill="auto"/>
          </w:tcPr>
          <w:p w14:paraId="091B1BE7" w14:textId="46EF05EE"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6"/>
                <w14:textFill>
                  <w14:solidFill>
                    <w14:srgbClr w14:val="000000">
                      <w14:alpha w14:val="100000"/>
                    </w14:srgbClr>
                  </w14:solidFill>
                </w14:textFill>
              </w:rPr>
              <w:t xml:space="preserve">　</w:t>
            </w:r>
            <w:r w:rsidRPr="00D265E5">
              <w:rPr>
                <w:color w:val="000000"/>
                <w:w w:val="16"/>
                <w:shd w:val="solid" w:color="000000" w:fill="000000"/>
                <w:fitText w:val="75" w:id="-1168461556"/>
                <w14:textFill>
                  <w14:solidFill>
                    <w14:srgbClr w14:val="000000">
                      <w14:alpha w14:val="100000"/>
                    </w14:srgbClr>
                  </w14:solidFill>
                </w14:textFill>
              </w:rPr>
              <w:t>|</w:t>
            </w:r>
            <w:r w:rsidRPr="00D265E5">
              <w:rPr>
                <w:rFonts w:hint="eastAsia"/>
                <w:color w:val="000000"/>
                <w:spacing w:val="5"/>
                <w:w w:val="16"/>
                <w:shd w:val="solid" w:color="000000" w:fill="000000"/>
                <w:fitText w:val="75" w:id="-1168461556"/>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700A117B" w14:textId="3DE0451D"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5"/>
                <w14:textFill>
                  <w14:solidFill>
                    <w14:srgbClr w14:val="000000">
                      <w14:alpha w14:val="100000"/>
                    </w14:srgbClr>
                  </w14:solidFill>
                </w14:textFill>
              </w:rPr>
              <w:t xml:space="preserve">　</w:t>
            </w:r>
            <w:r w:rsidRPr="00D265E5">
              <w:rPr>
                <w:color w:val="000000"/>
                <w:w w:val="16"/>
                <w:shd w:val="solid" w:color="000000" w:fill="000000"/>
                <w:fitText w:val="75" w:id="-1168461555"/>
                <w14:textFill>
                  <w14:solidFill>
                    <w14:srgbClr w14:val="000000">
                      <w14:alpha w14:val="100000"/>
                    </w14:srgbClr>
                  </w14:solidFill>
                </w14:textFill>
              </w:rPr>
              <w:t>|</w:t>
            </w:r>
            <w:r w:rsidRPr="00D265E5">
              <w:rPr>
                <w:rFonts w:hint="eastAsia"/>
                <w:color w:val="000000"/>
                <w:spacing w:val="5"/>
                <w:w w:val="16"/>
                <w:shd w:val="solid" w:color="000000" w:fill="000000"/>
                <w:fitText w:val="75" w:id="-1168461555"/>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tcBorders>
              <w:bottom w:val="single" w:sz="4" w:space="0" w:color="auto"/>
            </w:tcBorders>
            <w:shd w:val="clear" w:color="auto" w:fill="auto"/>
          </w:tcPr>
          <w:p w14:paraId="4D4D8E19" w14:textId="1A135CE6"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4"/>
                <w14:textFill>
                  <w14:solidFill>
                    <w14:srgbClr w14:val="000000">
                      <w14:alpha w14:val="100000"/>
                    </w14:srgbClr>
                  </w14:solidFill>
                </w14:textFill>
              </w:rPr>
              <w:t xml:space="preserve">　</w:t>
            </w:r>
            <w:r w:rsidRPr="00D265E5">
              <w:rPr>
                <w:color w:val="000000"/>
                <w:w w:val="16"/>
                <w:shd w:val="solid" w:color="000000" w:fill="000000"/>
                <w:fitText w:val="75" w:id="-1168461554"/>
                <w14:textFill>
                  <w14:solidFill>
                    <w14:srgbClr w14:val="000000">
                      <w14:alpha w14:val="100000"/>
                    </w14:srgbClr>
                  </w14:solidFill>
                </w14:textFill>
              </w:rPr>
              <w:t>|</w:t>
            </w:r>
            <w:r w:rsidRPr="00D265E5">
              <w:rPr>
                <w:rFonts w:hint="eastAsia"/>
                <w:color w:val="000000"/>
                <w:spacing w:val="5"/>
                <w:w w:val="16"/>
                <w:shd w:val="solid" w:color="000000" w:fill="000000"/>
                <w:fitText w:val="75" w:id="-1168461554"/>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tcBorders>
              <w:bottom w:val="single" w:sz="4" w:space="0" w:color="auto"/>
            </w:tcBorders>
            <w:shd w:val="clear" w:color="auto" w:fill="auto"/>
          </w:tcPr>
          <w:p w14:paraId="33513D02" w14:textId="7D6B38FA"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3"/>
                <w14:textFill>
                  <w14:solidFill>
                    <w14:srgbClr w14:val="000000">
                      <w14:alpha w14:val="100000"/>
                    </w14:srgbClr>
                  </w14:solidFill>
                </w14:textFill>
              </w:rPr>
              <w:t xml:space="preserve">　</w:t>
            </w:r>
            <w:r w:rsidRPr="00D265E5">
              <w:rPr>
                <w:color w:val="000000"/>
                <w:w w:val="16"/>
                <w:shd w:val="solid" w:color="000000" w:fill="000000"/>
                <w:fitText w:val="75" w:id="-1168461553"/>
                <w14:textFill>
                  <w14:solidFill>
                    <w14:srgbClr w14:val="000000">
                      <w14:alpha w14:val="100000"/>
                    </w14:srgbClr>
                  </w14:solidFill>
                </w14:textFill>
              </w:rPr>
              <w:t>|</w:t>
            </w:r>
            <w:r w:rsidRPr="00D265E5">
              <w:rPr>
                <w:rFonts w:hint="eastAsia"/>
                <w:color w:val="000000"/>
                <w:spacing w:val="5"/>
                <w:w w:val="16"/>
                <w:shd w:val="solid" w:color="000000" w:fill="000000"/>
                <w:fitText w:val="75" w:id="-1168461553"/>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tcBorders>
              <w:bottom w:val="single" w:sz="4" w:space="0" w:color="auto"/>
            </w:tcBorders>
          </w:tcPr>
          <w:p w14:paraId="4E9E4D18" w14:textId="7EB4247B"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2"/>
                <w14:textFill>
                  <w14:solidFill>
                    <w14:srgbClr w14:val="000000">
                      <w14:alpha w14:val="100000"/>
                    </w14:srgbClr>
                  </w14:solidFill>
                </w14:textFill>
              </w:rPr>
              <w:t xml:space="preserve">　</w:t>
            </w:r>
            <w:r w:rsidRPr="00D265E5">
              <w:rPr>
                <w:color w:val="000000"/>
                <w:w w:val="16"/>
                <w:shd w:val="solid" w:color="000000" w:fill="000000"/>
                <w:fitText w:val="75" w:id="-1168461552"/>
                <w14:textFill>
                  <w14:solidFill>
                    <w14:srgbClr w14:val="000000">
                      <w14:alpha w14:val="100000"/>
                    </w14:srgbClr>
                  </w14:solidFill>
                </w14:textFill>
              </w:rPr>
              <w:t>|</w:t>
            </w:r>
            <w:r w:rsidRPr="00D265E5">
              <w:rPr>
                <w:rFonts w:hint="eastAsia"/>
                <w:color w:val="000000"/>
                <w:spacing w:val="5"/>
                <w:w w:val="16"/>
                <w:shd w:val="solid" w:color="000000" w:fill="000000"/>
                <w:fitText w:val="75" w:id="-1168461552"/>
                <w14:textFill>
                  <w14:solidFill>
                    <w14:srgbClr w14:val="000000">
                      <w14:alpha w14:val="100000"/>
                    </w14:srgbClr>
                  </w14:solidFill>
                </w14:textFill>
              </w:rPr>
              <w:t xml:space="preserve">　</w:t>
            </w:r>
            <w:r w:rsidR="000508C9">
              <w:rPr>
                <w:color w:val="000000"/>
                <w:vertAlign w:val="superscript"/>
              </w:rPr>
              <w:t>2</w:t>
            </w:r>
            <w:r w:rsidRPr="00D265E5">
              <w:t xml:space="preserve"> </w:t>
            </w:r>
          </w:p>
        </w:tc>
      </w:tr>
      <w:bookmarkEnd w:id="95"/>
      <w:tr w:rsidR="00B531B4" w:rsidRPr="000508C9" w14:paraId="6785563B" w14:textId="77777777" w:rsidTr="00420708">
        <w:tc>
          <w:tcPr>
            <w:tcW w:w="1334" w:type="pct"/>
            <w:shd w:val="clear" w:color="auto" w:fill="auto"/>
            <w:vAlign w:val="center"/>
          </w:tcPr>
          <w:p w14:paraId="657D6EC5" w14:textId="2395553B" w:rsidR="00B531B4" w:rsidRPr="00804648" w:rsidRDefault="00B531B4" w:rsidP="00420708">
            <w:pPr>
              <w:pStyle w:val="TableText0"/>
              <w:keepLines/>
            </w:pPr>
            <w:r w:rsidRPr="00804648">
              <w:t>Net cost to MBS</w:t>
            </w:r>
          </w:p>
        </w:tc>
        <w:tc>
          <w:tcPr>
            <w:tcW w:w="611" w:type="pct"/>
            <w:shd w:val="clear" w:color="auto" w:fill="auto"/>
          </w:tcPr>
          <w:p w14:paraId="180F7002" w14:textId="77777777" w:rsidR="00B531B4" w:rsidRPr="000508C9" w:rsidRDefault="00B531B4" w:rsidP="00420708">
            <w:pPr>
              <w:pStyle w:val="TableText0"/>
              <w:keepLines/>
              <w:jc w:val="center"/>
              <w:rPr>
                <w:highlight w:val="darkGray"/>
              </w:rPr>
            </w:pPr>
            <w:r w:rsidRPr="00D265E5">
              <w:t xml:space="preserve"> </w:t>
            </w:r>
            <w:r w:rsidRPr="00B531B4">
              <w:rPr>
                <w:rFonts w:hint="eastAsia"/>
                <w:color w:val="000000"/>
                <w:w w:val="16"/>
                <w:shd w:val="solid" w:color="000000" w:fill="000000"/>
                <w:fitText w:val="75" w:id="-1153753844"/>
                <w14:textFill>
                  <w14:solidFill>
                    <w14:srgbClr w14:val="000000">
                      <w14:alpha w14:val="100000"/>
                    </w14:srgbClr>
                  </w14:solidFill>
                </w14:textFill>
              </w:rPr>
              <w:t xml:space="preserve">　</w:t>
            </w:r>
            <w:r w:rsidRPr="00B531B4">
              <w:rPr>
                <w:color w:val="000000"/>
                <w:w w:val="16"/>
                <w:shd w:val="solid" w:color="000000" w:fill="000000"/>
                <w:fitText w:val="75" w:id="-1153753844"/>
                <w14:textFill>
                  <w14:solidFill>
                    <w14:srgbClr w14:val="000000">
                      <w14:alpha w14:val="100000"/>
                    </w14:srgbClr>
                  </w14:solidFill>
                </w14:textFill>
              </w:rPr>
              <w:t>|</w:t>
            </w:r>
            <w:r w:rsidRPr="00B531B4">
              <w:rPr>
                <w:rFonts w:hint="eastAsia"/>
                <w:color w:val="000000"/>
                <w:spacing w:val="5"/>
                <w:w w:val="16"/>
                <w:shd w:val="solid" w:color="000000" w:fill="000000"/>
                <w:fitText w:val="75" w:id="-1153753844"/>
                <w14:textFill>
                  <w14:solidFill>
                    <w14:srgbClr w14:val="000000">
                      <w14:alpha w14:val="100000"/>
                    </w14:srgbClr>
                  </w14:solidFill>
                </w14:textFill>
              </w:rPr>
              <w:t xml:space="preserve">　</w:t>
            </w:r>
            <w:r>
              <w:rPr>
                <w:color w:val="000000"/>
                <w:vertAlign w:val="superscript"/>
              </w:rPr>
              <w:t>2</w:t>
            </w:r>
          </w:p>
        </w:tc>
        <w:tc>
          <w:tcPr>
            <w:tcW w:w="611" w:type="pct"/>
            <w:shd w:val="clear" w:color="auto" w:fill="auto"/>
          </w:tcPr>
          <w:p w14:paraId="2348BA8B" w14:textId="77777777" w:rsidR="00B531B4" w:rsidRPr="000508C9" w:rsidRDefault="00B531B4" w:rsidP="00420708">
            <w:pPr>
              <w:pStyle w:val="TableText0"/>
              <w:keepLines/>
              <w:jc w:val="center"/>
              <w:rPr>
                <w:highlight w:val="darkGray"/>
              </w:rPr>
            </w:pPr>
            <w:r w:rsidRPr="00D265E5">
              <w:t xml:space="preserve"> </w:t>
            </w:r>
            <w:r w:rsidRPr="00B531B4">
              <w:rPr>
                <w:rFonts w:hint="eastAsia"/>
                <w:color w:val="000000"/>
                <w:w w:val="16"/>
                <w:shd w:val="solid" w:color="000000" w:fill="000000"/>
                <w:fitText w:val="75" w:id="-1153753843"/>
                <w14:textFill>
                  <w14:solidFill>
                    <w14:srgbClr w14:val="000000">
                      <w14:alpha w14:val="100000"/>
                    </w14:srgbClr>
                  </w14:solidFill>
                </w14:textFill>
              </w:rPr>
              <w:t xml:space="preserve">　</w:t>
            </w:r>
            <w:r w:rsidRPr="00B531B4">
              <w:rPr>
                <w:color w:val="000000"/>
                <w:w w:val="16"/>
                <w:shd w:val="solid" w:color="000000" w:fill="000000"/>
                <w:fitText w:val="75" w:id="-1153753843"/>
                <w14:textFill>
                  <w14:solidFill>
                    <w14:srgbClr w14:val="000000">
                      <w14:alpha w14:val="100000"/>
                    </w14:srgbClr>
                  </w14:solidFill>
                </w14:textFill>
              </w:rPr>
              <w:t>|</w:t>
            </w:r>
            <w:r w:rsidRPr="00B531B4">
              <w:rPr>
                <w:rFonts w:hint="eastAsia"/>
                <w:color w:val="000000"/>
                <w:spacing w:val="5"/>
                <w:w w:val="16"/>
                <w:shd w:val="solid" w:color="000000" w:fill="000000"/>
                <w:fitText w:val="75" w:id="-1153753843"/>
                <w14:textFill>
                  <w14:solidFill>
                    <w14:srgbClr w14:val="000000">
                      <w14:alpha w14:val="100000"/>
                    </w14:srgbClr>
                  </w14:solidFill>
                </w14:textFill>
              </w:rPr>
              <w:t xml:space="preserve">　</w:t>
            </w:r>
            <w:r>
              <w:rPr>
                <w:color w:val="000000"/>
                <w:vertAlign w:val="superscript"/>
              </w:rPr>
              <w:t>2</w:t>
            </w:r>
            <w:r w:rsidRPr="00D265E5">
              <w:t xml:space="preserve"> </w:t>
            </w:r>
          </w:p>
        </w:tc>
        <w:tc>
          <w:tcPr>
            <w:tcW w:w="611" w:type="pct"/>
            <w:shd w:val="clear" w:color="auto" w:fill="auto"/>
          </w:tcPr>
          <w:p w14:paraId="38293AB7" w14:textId="77777777" w:rsidR="00B531B4" w:rsidRPr="000508C9" w:rsidRDefault="00B531B4" w:rsidP="00420708">
            <w:pPr>
              <w:pStyle w:val="TableText0"/>
              <w:keepLines/>
              <w:jc w:val="center"/>
              <w:rPr>
                <w:highlight w:val="darkGray"/>
              </w:rPr>
            </w:pPr>
            <w:r w:rsidRPr="00D265E5">
              <w:t xml:space="preserve"> </w:t>
            </w:r>
            <w:r w:rsidRPr="00B531B4">
              <w:rPr>
                <w:rFonts w:hint="eastAsia"/>
                <w:color w:val="000000"/>
                <w:w w:val="16"/>
                <w:shd w:val="solid" w:color="000000" w:fill="000000"/>
                <w:fitText w:val="75" w:id="-1153753842"/>
                <w14:textFill>
                  <w14:solidFill>
                    <w14:srgbClr w14:val="000000">
                      <w14:alpha w14:val="100000"/>
                    </w14:srgbClr>
                  </w14:solidFill>
                </w14:textFill>
              </w:rPr>
              <w:t xml:space="preserve">　</w:t>
            </w:r>
            <w:r w:rsidRPr="00B531B4">
              <w:rPr>
                <w:color w:val="000000"/>
                <w:w w:val="16"/>
                <w:shd w:val="solid" w:color="000000" w:fill="000000"/>
                <w:fitText w:val="75" w:id="-1153753842"/>
                <w14:textFill>
                  <w14:solidFill>
                    <w14:srgbClr w14:val="000000">
                      <w14:alpha w14:val="100000"/>
                    </w14:srgbClr>
                  </w14:solidFill>
                </w14:textFill>
              </w:rPr>
              <w:t>|</w:t>
            </w:r>
            <w:r w:rsidRPr="00B531B4">
              <w:rPr>
                <w:rFonts w:hint="eastAsia"/>
                <w:color w:val="000000"/>
                <w:spacing w:val="5"/>
                <w:w w:val="16"/>
                <w:shd w:val="solid" w:color="000000" w:fill="000000"/>
                <w:fitText w:val="75" w:id="-1153753842"/>
                <w14:textFill>
                  <w14:solidFill>
                    <w14:srgbClr w14:val="000000">
                      <w14:alpha w14:val="100000"/>
                    </w14:srgbClr>
                  </w14:solidFill>
                </w14:textFill>
              </w:rPr>
              <w:t xml:space="preserve">　</w:t>
            </w:r>
            <w:r>
              <w:rPr>
                <w:color w:val="000000"/>
                <w:vertAlign w:val="superscript"/>
              </w:rPr>
              <w:t>2</w:t>
            </w:r>
            <w:r w:rsidRPr="00D265E5">
              <w:t xml:space="preserve"> </w:t>
            </w:r>
          </w:p>
        </w:tc>
        <w:tc>
          <w:tcPr>
            <w:tcW w:w="611" w:type="pct"/>
            <w:tcBorders>
              <w:bottom w:val="single" w:sz="4" w:space="0" w:color="auto"/>
            </w:tcBorders>
            <w:shd w:val="clear" w:color="auto" w:fill="auto"/>
          </w:tcPr>
          <w:p w14:paraId="20BE5E9E" w14:textId="77777777" w:rsidR="00B531B4" w:rsidRPr="000508C9" w:rsidRDefault="00B531B4" w:rsidP="00420708">
            <w:pPr>
              <w:pStyle w:val="TableText0"/>
              <w:keepLines/>
              <w:jc w:val="center"/>
              <w:rPr>
                <w:highlight w:val="darkGray"/>
              </w:rPr>
            </w:pPr>
            <w:r w:rsidRPr="00D265E5">
              <w:t xml:space="preserve"> </w:t>
            </w:r>
            <w:r w:rsidRPr="00B531B4">
              <w:rPr>
                <w:rFonts w:hint="eastAsia"/>
                <w:color w:val="000000"/>
                <w:w w:val="16"/>
                <w:shd w:val="solid" w:color="000000" w:fill="000000"/>
                <w:fitText w:val="75" w:id="-1153753841"/>
                <w14:textFill>
                  <w14:solidFill>
                    <w14:srgbClr w14:val="000000">
                      <w14:alpha w14:val="100000"/>
                    </w14:srgbClr>
                  </w14:solidFill>
                </w14:textFill>
              </w:rPr>
              <w:t xml:space="preserve">　</w:t>
            </w:r>
            <w:r w:rsidRPr="00B531B4">
              <w:rPr>
                <w:color w:val="000000"/>
                <w:w w:val="16"/>
                <w:shd w:val="solid" w:color="000000" w:fill="000000"/>
                <w:fitText w:val="75" w:id="-1153753841"/>
                <w14:textFill>
                  <w14:solidFill>
                    <w14:srgbClr w14:val="000000">
                      <w14:alpha w14:val="100000"/>
                    </w14:srgbClr>
                  </w14:solidFill>
                </w14:textFill>
              </w:rPr>
              <w:t>|</w:t>
            </w:r>
            <w:r w:rsidRPr="00B531B4">
              <w:rPr>
                <w:rFonts w:hint="eastAsia"/>
                <w:color w:val="000000"/>
                <w:spacing w:val="5"/>
                <w:w w:val="16"/>
                <w:shd w:val="solid" w:color="000000" w:fill="000000"/>
                <w:fitText w:val="75" w:id="-1153753841"/>
                <w14:textFill>
                  <w14:solidFill>
                    <w14:srgbClr w14:val="000000">
                      <w14:alpha w14:val="100000"/>
                    </w14:srgbClr>
                  </w14:solidFill>
                </w14:textFill>
              </w:rPr>
              <w:t xml:space="preserve">　</w:t>
            </w:r>
            <w:r>
              <w:rPr>
                <w:color w:val="000000"/>
                <w:vertAlign w:val="superscript"/>
              </w:rPr>
              <w:t>2</w:t>
            </w:r>
            <w:r w:rsidRPr="00D265E5">
              <w:t xml:space="preserve"> </w:t>
            </w:r>
          </w:p>
        </w:tc>
        <w:tc>
          <w:tcPr>
            <w:tcW w:w="611" w:type="pct"/>
            <w:tcBorders>
              <w:bottom w:val="single" w:sz="4" w:space="0" w:color="auto"/>
            </w:tcBorders>
            <w:shd w:val="clear" w:color="auto" w:fill="auto"/>
          </w:tcPr>
          <w:p w14:paraId="42408899" w14:textId="77777777" w:rsidR="00B531B4" w:rsidRPr="000508C9" w:rsidRDefault="00B531B4" w:rsidP="00420708">
            <w:pPr>
              <w:pStyle w:val="TableText0"/>
              <w:keepLines/>
              <w:jc w:val="center"/>
              <w:rPr>
                <w:highlight w:val="darkGray"/>
              </w:rPr>
            </w:pPr>
            <w:r w:rsidRPr="00D265E5">
              <w:t xml:space="preserve"> </w:t>
            </w:r>
            <w:r w:rsidRPr="00B531B4">
              <w:rPr>
                <w:rFonts w:hint="eastAsia"/>
                <w:color w:val="000000"/>
                <w:w w:val="16"/>
                <w:shd w:val="solid" w:color="000000" w:fill="000000"/>
                <w:fitText w:val="75" w:id="-1153753840"/>
                <w14:textFill>
                  <w14:solidFill>
                    <w14:srgbClr w14:val="000000">
                      <w14:alpha w14:val="100000"/>
                    </w14:srgbClr>
                  </w14:solidFill>
                </w14:textFill>
              </w:rPr>
              <w:t xml:space="preserve">　</w:t>
            </w:r>
            <w:r w:rsidRPr="00B531B4">
              <w:rPr>
                <w:color w:val="000000"/>
                <w:w w:val="16"/>
                <w:shd w:val="solid" w:color="000000" w:fill="000000"/>
                <w:fitText w:val="75" w:id="-1153753840"/>
                <w14:textFill>
                  <w14:solidFill>
                    <w14:srgbClr w14:val="000000">
                      <w14:alpha w14:val="100000"/>
                    </w14:srgbClr>
                  </w14:solidFill>
                </w14:textFill>
              </w:rPr>
              <w:t>|</w:t>
            </w:r>
            <w:r w:rsidRPr="00B531B4">
              <w:rPr>
                <w:rFonts w:hint="eastAsia"/>
                <w:color w:val="000000"/>
                <w:spacing w:val="5"/>
                <w:w w:val="16"/>
                <w:shd w:val="solid" w:color="000000" w:fill="000000"/>
                <w:fitText w:val="75" w:id="-1153753840"/>
                <w14:textFill>
                  <w14:solidFill>
                    <w14:srgbClr w14:val="000000">
                      <w14:alpha w14:val="100000"/>
                    </w14:srgbClr>
                  </w14:solidFill>
                </w14:textFill>
              </w:rPr>
              <w:t xml:space="preserve">　</w:t>
            </w:r>
            <w:r>
              <w:rPr>
                <w:color w:val="000000"/>
                <w:vertAlign w:val="superscript"/>
              </w:rPr>
              <w:t>2</w:t>
            </w:r>
            <w:r w:rsidRPr="00D265E5">
              <w:t xml:space="preserve"> </w:t>
            </w:r>
          </w:p>
        </w:tc>
        <w:tc>
          <w:tcPr>
            <w:tcW w:w="611" w:type="pct"/>
            <w:tcBorders>
              <w:bottom w:val="single" w:sz="4" w:space="0" w:color="auto"/>
            </w:tcBorders>
          </w:tcPr>
          <w:p w14:paraId="40C52E13" w14:textId="77777777" w:rsidR="00B531B4" w:rsidRPr="000508C9" w:rsidRDefault="00B531B4" w:rsidP="00420708">
            <w:pPr>
              <w:pStyle w:val="TableText0"/>
              <w:keepLines/>
              <w:jc w:val="center"/>
              <w:rPr>
                <w:highlight w:val="darkGray"/>
              </w:rPr>
            </w:pPr>
            <w:r w:rsidRPr="00D265E5">
              <w:t xml:space="preserve"> </w:t>
            </w:r>
            <w:r w:rsidRPr="00B531B4">
              <w:rPr>
                <w:rFonts w:hint="eastAsia"/>
                <w:color w:val="000000"/>
                <w:w w:val="16"/>
                <w:shd w:val="solid" w:color="000000" w:fill="000000"/>
                <w:fitText w:val="75" w:id="-1153753856"/>
                <w14:textFill>
                  <w14:solidFill>
                    <w14:srgbClr w14:val="000000">
                      <w14:alpha w14:val="100000"/>
                    </w14:srgbClr>
                  </w14:solidFill>
                </w14:textFill>
              </w:rPr>
              <w:t xml:space="preserve">　</w:t>
            </w:r>
            <w:r w:rsidRPr="00B531B4">
              <w:rPr>
                <w:color w:val="000000"/>
                <w:w w:val="16"/>
                <w:shd w:val="solid" w:color="000000" w:fill="000000"/>
                <w:fitText w:val="75" w:id="-1153753856"/>
                <w14:textFill>
                  <w14:solidFill>
                    <w14:srgbClr w14:val="000000">
                      <w14:alpha w14:val="100000"/>
                    </w14:srgbClr>
                  </w14:solidFill>
                </w14:textFill>
              </w:rPr>
              <w:t>|</w:t>
            </w:r>
            <w:r w:rsidRPr="00B531B4">
              <w:rPr>
                <w:rFonts w:hint="eastAsia"/>
                <w:color w:val="000000"/>
                <w:spacing w:val="5"/>
                <w:w w:val="16"/>
                <w:shd w:val="solid" w:color="000000" w:fill="000000"/>
                <w:fitText w:val="75" w:id="-1153753856"/>
                <w14:textFill>
                  <w14:solidFill>
                    <w14:srgbClr w14:val="000000">
                      <w14:alpha w14:val="100000"/>
                    </w14:srgbClr>
                  </w14:solidFill>
                </w14:textFill>
              </w:rPr>
              <w:t xml:space="preserve">　</w:t>
            </w:r>
            <w:r>
              <w:rPr>
                <w:color w:val="000000"/>
                <w:vertAlign w:val="superscript"/>
              </w:rPr>
              <w:t>2</w:t>
            </w:r>
            <w:r w:rsidRPr="00D265E5">
              <w:t xml:space="preserve"> </w:t>
            </w:r>
          </w:p>
        </w:tc>
      </w:tr>
      <w:tr w:rsidR="00267813" w:rsidRPr="00804648" w14:paraId="1FA0C1CE" w14:textId="77777777" w:rsidTr="0034009B">
        <w:tc>
          <w:tcPr>
            <w:tcW w:w="1334" w:type="pct"/>
            <w:shd w:val="clear" w:color="auto" w:fill="auto"/>
            <w:vAlign w:val="center"/>
          </w:tcPr>
          <w:p w14:paraId="21FB2BA5" w14:textId="77777777" w:rsidR="00267813" w:rsidRPr="00804648" w:rsidRDefault="00267813" w:rsidP="00C1697C">
            <w:pPr>
              <w:pStyle w:val="TableText0"/>
              <w:keepLines/>
            </w:pPr>
            <w:r w:rsidRPr="00804648">
              <w:t>Net cost to Government</w:t>
            </w:r>
          </w:p>
        </w:tc>
        <w:tc>
          <w:tcPr>
            <w:tcW w:w="611" w:type="pct"/>
            <w:shd w:val="clear" w:color="auto" w:fill="auto"/>
          </w:tcPr>
          <w:p w14:paraId="3BC62B23" w14:textId="0E8FABC5"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2"/>
                <w14:textFill>
                  <w14:solidFill>
                    <w14:srgbClr w14:val="000000">
                      <w14:alpha w14:val="100000"/>
                    </w14:srgbClr>
                  </w14:solidFill>
                </w14:textFill>
              </w:rPr>
              <w:t xml:space="preserve">　</w:t>
            </w:r>
            <w:r w:rsidRPr="00D265E5">
              <w:rPr>
                <w:color w:val="000000"/>
                <w:w w:val="16"/>
                <w:shd w:val="solid" w:color="000000" w:fill="000000"/>
                <w:fitText w:val="75" w:id="-1168461562"/>
                <w14:textFill>
                  <w14:solidFill>
                    <w14:srgbClr w14:val="000000">
                      <w14:alpha w14:val="100000"/>
                    </w14:srgbClr>
                  </w14:solidFill>
                </w14:textFill>
              </w:rPr>
              <w:t>|</w:t>
            </w:r>
            <w:r w:rsidRPr="00D265E5">
              <w:rPr>
                <w:rFonts w:hint="eastAsia"/>
                <w:color w:val="000000"/>
                <w:spacing w:val="5"/>
                <w:w w:val="16"/>
                <w:shd w:val="solid" w:color="000000" w:fill="000000"/>
                <w:fitText w:val="75" w:id="-1168461562"/>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3C71C185" w14:textId="207743ED"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1"/>
                <w14:textFill>
                  <w14:solidFill>
                    <w14:srgbClr w14:val="000000">
                      <w14:alpha w14:val="100000"/>
                    </w14:srgbClr>
                  </w14:solidFill>
                </w14:textFill>
              </w:rPr>
              <w:t xml:space="preserve">　</w:t>
            </w:r>
            <w:r w:rsidRPr="00D265E5">
              <w:rPr>
                <w:color w:val="000000"/>
                <w:w w:val="16"/>
                <w:shd w:val="solid" w:color="000000" w:fill="000000"/>
                <w:fitText w:val="75" w:id="-1168461561"/>
                <w14:textFill>
                  <w14:solidFill>
                    <w14:srgbClr w14:val="000000">
                      <w14:alpha w14:val="100000"/>
                    </w14:srgbClr>
                  </w14:solidFill>
                </w14:textFill>
              </w:rPr>
              <w:t>|</w:t>
            </w:r>
            <w:r w:rsidRPr="00D265E5">
              <w:rPr>
                <w:rFonts w:hint="eastAsia"/>
                <w:color w:val="000000"/>
                <w:spacing w:val="5"/>
                <w:w w:val="16"/>
                <w:shd w:val="solid" w:color="000000" w:fill="000000"/>
                <w:fitText w:val="75" w:id="-1168461561"/>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7319E30E" w14:textId="25D0578B"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60"/>
                <w14:textFill>
                  <w14:solidFill>
                    <w14:srgbClr w14:val="000000">
                      <w14:alpha w14:val="100000"/>
                    </w14:srgbClr>
                  </w14:solidFill>
                </w14:textFill>
              </w:rPr>
              <w:t xml:space="preserve">　</w:t>
            </w:r>
            <w:r w:rsidRPr="00D265E5">
              <w:rPr>
                <w:color w:val="000000"/>
                <w:w w:val="16"/>
                <w:shd w:val="solid" w:color="000000" w:fill="000000"/>
                <w:fitText w:val="75" w:id="-1168461560"/>
                <w14:textFill>
                  <w14:solidFill>
                    <w14:srgbClr w14:val="000000">
                      <w14:alpha w14:val="100000"/>
                    </w14:srgbClr>
                  </w14:solidFill>
                </w14:textFill>
              </w:rPr>
              <w:t>|</w:t>
            </w:r>
            <w:r w:rsidRPr="00D265E5">
              <w:rPr>
                <w:rFonts w:hint="eastAsia"/>
                <w:color w:val="000000"/>
                <w:spacing w:val="5"/>
                <w:w w:val="16"/>
                <w:shd w:val="solid" w:color="000000" w:fill="000000"/>
                <w:fitText w:val="75" w:id="-1168461560"/>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432884D3" w14:textId="4B668CB0"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9"/>
                <w14:textFill>
                  <w14:solidFill>
                    <w14:srgbClr w14:val="000000">
                      <w14:alpha w14:val="100000"/>
                    </w14:srgbClr>
                  </w14:solidFill>
                </w14:textFill>
              </w:rPr>
              <w:t xml:space="preserve">　</w:t>
            </w:r>
            <w:r w:rsidRPr="00D265E5">
              <w:rPr>
                <w:color w:val="000000"/>
                <w:w w:val="16"/>
                <w:shd w:val="solid" w:color="000000" w:fill="000000"/>
                <w:fitText w:val="75" w:id="-1168461559"/>
                <w14:textFill>
                  <w14:solidFill>
                    <w14:srgbClr w14:val="000000">
                      <w14:alpha w14:val="100000"/>
                    </w14:srgbClr>
                  </w14:solidFill>
                </w14:textFill>
              </w:rPr>
              <w:t>|</w:t>
            </w:r>
            <w:r w:rsidRPr="00D265E5">
              <w:rPr>
                <w:rFonts w:hint="eastAsia"/>
                <w:color w:val="000000"/>
                <w:spacing w:val="5"/>
                <w:w w:val="16"/>
                <w:shd w:val="solid" w:color="000000" w:fill="000000"/>
                <w:fitText w:val="75" w:id="-1168461559"/>
                <w14:textFill>
                  <w14:solidFill>
                    <w14:srgbClr w14:val="000000">
                      <w14:alpha w14:val="100000"/>
                    </w14:srgbClr>
                  </w14:solidFill>
                </w14:textFill>
              </w:rPr>
              <w:t xml:space="preserve">　</w:t>
            </w:r>
            <w:r w:rsidR="000508C9">
              <w:rPr>
                <w:color w:val="000000"/>
                <w:vertAlign w:val="superscript"/>
              </w:rPr>
              <w:t>2</w:t>
            </w:r>
            <w:r w:rsidRPr="00D265E5">
              <w:t xml:space="preserve"> </w:t>
            </w:r>
          </w:p>
        </w:tc>
        <w:tc>
          <w:tcPr>
            <w:tcW w:w="611" w:type="pct"/>
            <w:shd w:val="clear" w:color="auto" w:fill="auto"/>
          </w:tcPr>
          <w:p w14:paraId="047C6C7F" w14:textId="7B6BCFDA"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8"/>
                <w14:textFill>
                  <w14:solidFill>
                    <w14:srgbClr w14:val="000000">
                      <w14:alpha w14:val="100000"/>
                    </w14:srgbClr>
                  </w14:solidFill>
                </w14:textFill>
              </w:rPr>
              <w:t xml:space="preserve">　</w:t>
            </w:r>
            <w:r w:rsidRPr="00D265E5">
              <w:rPr>
                <w:color w:val="000000"/>
                <w:w w:val="16"/>
                <w:shd w:val="solid" w:color="000000" w:fill="000000"/>
                <w:fitText w:val="75" w:id="-1168461558"/>
                <w14:textFill>
                  <w14:solidFill>
                    <w14:srgbClr w14:val="000000">
                      <w14:alpha w14:val="100000"/>
                    </w14:srgbClr>
                  </w14:solidFill>
                </w14:textFill>
              </w:rPr>
              <w:t>|</w:t>
            </w:r>
            <w:r w:rsidRPr="00D265E5">
              <w:rPr>
                <w:rFonts w:hint="eastAsia"/>
                <w:color w:val="000000"/>
                <w:spacing w:val="5"/>
                <w:w w:val="16"/>
                <w:shd w:val="solid" w:color="000000" w:fill="000000"/>
                <w:fitText w:val="75" w:id="-1168461558"/>
                <w14:textFill>
                  <w14:solidFill>
                    <w14:srgbClr w14:val="000000">
                      <w14:alpha w14:val="100000"/>
                    </w14:srgbClr>
                  </w14:solidFill>
                </w14:textFill>
              </w:rPr>
              <w:t xml:space="preserve">　</w:t>
            </w:r>
            <w:r w:rsidR="000508C9">
              <w:rPr>
                <w:color w:val="000000"/>
                <w:vertAlign w:val="superscript"/>
              </w:rPr>
              <w:t>2</w:t>
            </w:r>
          </w:p>
        </w:tc>
        <w:tc>
          <w:tcPr>
            <w:tcW w:w="611" w:type="pct"/>
          </w:tcPr>
          <w:p w14:paraId="345AEF72" w14:textId="702525E7" w:rsidR="00267813" w:rsidRPr="000508C9" w:rsidRDefault="00D265E5" w:rsidP="00C1697C">
            <w:pPr>
              <w:pStyle w:val="TableText0"/>
              <w:keepLines/>
              <w:jc w:val="center"/>
              <w:rPr>
                <w:highlight w:val="darkGray"/>
              </w:rPr>
            </w:pPr>
            <w:r w:rsidRPr="00D265E5">
              <w:t xml:space="preserve"> </w:t>
            </w:r>
            <w:r w:rsidRPr="00D265E5">
              <w:rPr>
                <w:rFonts w:hint="eastAsia"/>
                <w:color w:val="000000"/>
                <w:w w:val="16"/>
                <w:shd w:val="solid" w:color="000000" w:fill="000000"/>
                <w:fitText w:val="75" w:id="-1168461557"/>
                <w14:textFill>
                  <w14:solidFill>
                    <w14:srgbClr w14:val="000000">
                      <w14:alpha w14:val="100000"/>
                    </w14:srgbClr>
                  </w14:solidFill>
                </w14:textFill>
              </w:rPr>
              <w:t xml:space="preserve">　</w:t>
            </w:r>
            <w:r w:rsidRPr="00D265E5">
              <w:rPr>
                <w:color w:val="000000"/>
                <w:w w:val="16"/>
                <w:shd w:val="solid" w:color="000000" w:fill="000000"/>
                <w:fitText w:val="75" w:id="-1168461557"/>
                <w14:textFill>
                  <w14:solidFill>
                    <w14:srgbClr w14:val="000000">
                      <w14:alpha w14:val="100000"/>
                    </w14:srgbClr>
                  </w14:solidFill>
                </w14:textFill>
              </w:rPr>
              <w:t>|</w:t>
            </w:r>
            <w:r w:rsidRPr="00D265E5">
              <w:rPr>
                <w:rFonts w:hint="eastAsia"/>
                <w:color w:val="000000"/>
                <w:spacing w:val="5"/>
                <w:w w:val="16"/>
                <w:shd w:val="solid" w:color="000000" w:fill="000000"/>
                <w:fitText w:val="75" w:id="-1168461557"/>
                <w14:textFill>
                  <w14:solidFill>
                    <w14:srgbClr w14:val="000000">
                      <w14:alpha w14:val="100000"/>
                    </w14:srgbClr>
                  </w14:solidFill>
                </w14:textFill>
              </w:rPr>
              <w:t xml:space="preserve">　</w:t>
            </w:r>
            <w:r w:rsidR="000508C9">
              <w:rPr>
                <w:color w:val="000000"/>
                <w:vertAlign w:val="superscript"/>
              </w:rPr>
              <w:t>2</w:t>
            </w:r>
            <w:r w:rsidRPr="00D265E5">
              <w:t xml:space="preserve"> </w:t>
            </w:r>
          </w:p>
        </w:tc>
      </w:tr>
    </w:tbl>
    <w:p w14:paraId="7537CA0F" w14:textId="77777777" w:rsidR="00267813" w:rsidRPr="00804648" w:rsidRDefault="00267813" w:rsidP="00C1697C">
      <w:pPr>
        <w:pStyle w:val="FooterTableFigure"/>
        <w:keepNext/>
        <w:keepLines/>
      </w:pPr>
      <w:r w:rsidRPr="00804648">
        <w:t>Source: Table 4.2.1, p214, Table 4.2.2, p214, Table 4.4.1, p218, and Table 4.5.2, p218 of the submission.</w:t>
      </w:r>
    </w:p>
    <w:p w14:paraId="784F9390" w14:textId="77777777" w:rsidR="00267813" w:rsidRPr="00804648" w:rsidRDefault="00267813" w:rsidP="00C1697C">
      <w:pPr>
        <w:pStyle w:val="FooterTableFigure"/>
        <w:keepNext/>
        <w:keepLines/>
      </w:pPr>
      <w:r w:rsidRPr="00804648">
        <w:t>MBS = Medicare Benefits Schedule, PBS = Pharmaceutical Benefits Schedule</w:t>
      </w:r>
    </w:p>
    <w:p w14:paraId="1FDCEDBB" w14:textId="77777777" w:rsidR="00267813" w:rsidRPr="00804648" w:rsidRDefault="00267813" w:rsidP="00C1697C">
      <w:pPr>
        <w:pStyle w:val="FooterTableFigure"/>
        <w:keepNext/>
        <w:keepLines/>
      </w:pPr>
      <w:r w:rsidRPr="00DD6529">
        <w:rPr>
          <w:vertAlign w:val="superscript"/>
        </w:rPr>
        <w:t>a</w:t>
      </w:r>
      <w:r w:rsidRPr="00804648">
        <w:t xml:space="preserve"> Assuming 13 scripts for 20 mg olipudase alfa in initial treatment (26 weeks) and 26 scripts per year for 20 mg olipudase alfa in the maintenance phase.</w:t>
      </w:r>
    </w:p>
    <w:p w14:paraId="7998E07E" w14:textId="2C0D0D68" w:rsidR="00267813" w:rsidRDefault="00EB6528" w:rsidP="00C1697C">
      <w:pPr>
        <w:pStyle w:val="FooterTableFigure"/>
        <w:keepNext/>
        <w:keepLines/>
      </w:pPr>
      <w:r w:rsidRPr="00804648">
        <w:t xml:space="preserve">Values in this table were corrected during evaluation to reflect </w:t>
      </w:r>
      <w:r w:rsidR="00267813" w:rsidRPr="00804648">
        <w:t xml:space="preserve">the availability of </w:t>
      </w:r>
      <w:r w:rsidRPr="00804648">
        <w:t>the</w:t>
      </w:r>
      <w:r w:rsidR="00267813" w:rsidRPr="00804648">
        <w:t xml:space="preserve"> 20 mg vial</w:t>
      </w:r>
      <w:r w:rsidRPr="00804648">
        <w:t xml:space="preserve"> only</w:t>
      </w:r>
      <w:r w:rsidR="00424F78" w:rsidRPr="00804648">
        <w:t>.</w:t>
      </w:r>
    </w:p>
    <w:p w14:paraId="0BC82241" w14:textId="0ECD6E46" w:rsidR="000508C9" w:rsidRPr="000508C9" w:rsidRDefault="000508C9" w:rsidP="00C1697C">
      <w:pPr>
        <w:pStyle w:val="FooterTableFigure"/>
        <w:keepNext/>
        <w:keepLines/>
        <w:rPr>
          <w:i/>
          <w:iCs/>
        </w:rPr>
      </w:pPr>
      <w:r w:rsidRPr="000508C9">
        <w:rPr>
          <w:i/>
          <w:iCs/>
        </w:rPr>
        <w:t>The redacted values correspond to the following ranges:</w:t>
      </w:r>
    </w:p>
    <w:p w14:paraId="7A0C38A9" w14:textId="7A754BA5" w:rsidR="000508C9" w:rsidRDefault="000508C9" w:rsidP="00C1697C">
      <w:pPr>
        <w:pStyle w:val="FooterTableFigure"/>
        <w:keepNext/>
        <w:keepLines/>
        <w:rPr>
          <w:i/>
          <w:iCs/>
        </w:rPr>
      </w:pPr>
      <w:r w:rsidRPr="000508C9">
        <w:rPr>
          <w:i/>
          <w:iCs/>
          <w:vertAlign w:val="superscript"/>
        </w:rPr>
        <w:t>1</w:t>
      </w:r>
      <w:r>
        <w:rPr>
          <w:vertAlign w:val="superscript"/>
        </w:rPr>
        <w:t xml:space="preserve"> </w:t>
      </w:r>
      <w:r w:rsidRPr="000508C9">
        <w:rPr>
          <w:i/>
          <w:iCs/>
        </w:rPr>
        <w:t>&lt; 500</w:t>
      </w:r>
    </w:p>
    <w:p w14:paraId="78E93F80" w14:textId="35F1C55C" w:rsidR="00267813" w:rsidRPr="00804648" w:rsidRDefault="000508C9" w:rsidP="00267813">
      <w:pPr>
        <w:pStyle w:val="FooterTableFigure"/>
      </w:pPr>
      <w:r>
        <w:rPr>
          <w:i/>
          <w:iCs/>
          <w:vertAlign w:val="superscript"/>
        </w:rPr>
        <w:t>2</w:t>
      </w:r>
      <w:r>
        <w:rPr>
          <w:i/>
          <w:iCs/>
        </w:rPr>
        <w:t xml:space="preserve"> $0 to &lt; $10 million</w:t>
      </w:r>
    </w:p>
    <w:p w14:paraId="273609E9" w14:textId="0800CAA2" w:rsidR="00267813" w:rsidRPr="00BC52CC" w:rsidRDefault="00267813" w:rsidP="00267813">
      <w:pPr>
        <w:pStyle w:val="3-BodyText"/>
      </w:pPr>
      <w:r w:rsidRPr="00804648">
        <w:lastRenderedPageBreak/>
        <w:t xml:space="preserve">The submission estimated that </w:t>
      </w:r>
      <w:r w:rsidR="000508C9">
        <w:t>&lt;</w:t>
      </w:r>
      <w:r w:rsidR="00EB4409">
        <w:t> </w:t>
      </w:r>
      <w:r w:rsidR="000508C9">
        <w:t>500</w:t>
      </w:r>
      <w:r w:rsidRPr="00804648">
        <w:t xml:space="preserve"> prevalent, </w:t>
      </w:r>
      <w:r w:rsidR="000508C9">
        <w:t>&lt;</w:t>
      </w:r>
      <w:r w:rsidR="00EB4409">
        <w:t> </w:t>
      </w:r>
      <w:r w:rsidR="000508C9">
        <w:t>500</w:t>
      </w:r>
      <w:r w:rsidRPr="00804648">
        <w:t xml:space="preserve"> grandfathered patient and </w:t>
      </w:r>
      <w:r w:rsidR="000508C9">
        <w:t>&lt;</w:t>
      </w:r>
      <w:r w:rsidR="00405740">
        <w:t> </w:t>
      </w:r>
      <w:r w:rsidR="000508C9">
        <w:t>500</w:t>
      </w:r>
      <w:r w:rsidR="000508C9" w:rsidRPr="00804648">
        <w:t xml:space="preserve"> </w:t>
      </w:r>
      <w:r w:rsidRPr="00804648">
        <w:t xml:space="preserve">incident </w:t>
      </w:r>
      <w:r w:rsidRPr="00BC52CC">
        <w:t>patients (</w:t>
      </w:r>
      <w:r w:rsidR="00405740" w:rsidRPr="00BC52CC">
        <w:t>&lt;</w:t>
      </w:r>
      <w:r w:rsidR="00EB4409">
        <w:t> </w:t>
      </w:r>
      <w:r w:rsidR="00405740" w:rsidRPr="00BC52CC">
        <w:t xml:space="preserve">500 </w:t>
      </w:r>
      <w:r w:rsidRPr="00BC52CC">
        <w:t>every two years) would be treated with olipudase alfa over the first six years of listing.</w:t>
      </w:r>
      <w:r w:rsidR="00EB6528" w:rsidRPr="00BC52CC">
        <w:t xml:space="preserve"> The net cost to the PBS/RPBS of listing olipudase alfa was estimated to be $</w:t>
      </w:r>
      <w:r w:rsidR="000508C9" w:rsidRPr="00BC52CC">
        <w:t>0</w:t>
      </w:r>
      <w:r w:rsidR="00EB4409">
        <w:t> </w:t>
      </w:r>
      <w:r w:rsidR="000508C9" w:rsidRPr="00BC52CC">
        <w:t>to</w:t>
      </w:r>
      <w:r w:rsidR="00EB4409">
        <w:t> </w:t>
      </w:r>
      <w:r w:rsidR="000508C9" w:rsidRPr="00BC52CC">
        <w:t>&lt;</w:t>
      </w:r>
      <w:r w:rsidR="00EB4409">
        <w:t> </w:t>
      </w:r>
      <w:r w:rsidR="000508C9" w:rsidRPr="00BC52CC">
        <w:t>$10</w:t>
      </w:r>
      <w:r w:rsidR="00C1697C">
        <w:t> </w:t>
      </w:r>
      <w:r w:rsidR="00EB6528" w:rsidRPr="00BC52CC">
        <w:t>million in Year 1, and a total of $</w:t>
      </w:r>
      <w:r w:rsidR="000508C9" w:rsidRPr="00BC52CC">
        <w:t>30</w:t>
      </w:r>
      <w:r w:rsidR="00F26ED8">
        <w:t> </w:t>
      </w:r>
      <w:r w:rsidR="000508C9" w:rsidRPr="00BC52CC">
        <w:t>million</w:t>
      </w:r>
      <w:r w:rsidR="00EB4409">
        <w:t> </w:t>
      </w:r>
      <w:r w:rsidR="000508C9" w:rsidRPr="00BC52CC">
        <w:t>to</w:t>
      </w:r>
      <w:r w:rsidR="00EB4409">
        <w:t> </w:t>
      </w:r>
      <w:r w:rsidR="000508C9" w:rsidRPr="00BC52CC">
        <w:t>&lt;</w:t>
      </w:r>
      <w:r w:rsidR="00EB4409">
        <w:t> </w:t>
      </w:r>
      <w:r w:rsidR="000508C9" w:rsidRPr="00BC52CC">
        <w:t>$40</w:t>
      </w:r>
      <w:r w:rsidR="00F26ED8">
        <w:t> </w:t>
      </w:r>
      <w:r w:rsidR="00EB6528" w:rsidRPr="00BC52CC">
        <w:t>million in the first 6 years of listing</w:t>
      </w:r>
      <w:r w:rsidR="006A428C" w:rsidRPr="00BC52CC">
        <w:t xml:space="preserve"> (reflects the availability of the 20 mg vial only)</w:t>
      </w:r>
      <w:r w:rsidR="00EB6528" w:rsidRPr="00BC52CC">
        <w:t>.</w:t>
      </w:r>
    </w:p>
    <w:p w14:paraId="770E3271" w14:textId="77777777" w:rsidR="00267813" w:rsidRPr="00BC52CC" w:rsidRDefault="00267813" w:rsidP="00267813">
      <w:pPr>
        <w:pStyle w:val="3-BodyText"/>
      </w:pPr>
      <w:r w:rsidRPr="00BC52CC">
        <w:t>The main sources of uncertainty relating to the estimated use of olipudase alfa were:</w:t>
      </w:r>
    </w:p>
    <w:p w14:paraId="76B208EA" w14:textId="0D01CFC4" w:rsidR="00267813" w:rsidRPr="00BC52CC" w:rsidRDefault="00EE4A2A" w:rsidP="006A428C">
      <w:pPr>
        <w:pStyle w:val="ListParagraph"/>
        <w:ind w:left="1134" w:hanging="283"/>
      </w:pPr>
      <w:bookmarkStart w:id="96" w:name="_Hlk133233190"/>
      <w:r w:rsidRPr="00BC52CC">
        <w:t>T</w:t>
      </w:r>
      <w:r w:rsidR="00267813" w:rsidRPr="00BC52CC">
        <w:t xml:space="preserve">he absence of the 4 mg vial will increase wastage in the dose escalation phase, especially in paediatric patients. </w:t>
      </w:r>
    </w:p>
    <w:p w14:paraId="270D008E" w14:textId="5397BF2F" w:rsidR="00267813" w:rsidRPr="00804648" w:rsidRDefault="00267813" w:rsidP="006A428C">
      <w:pPr>
        <w:pStyle w:val="ListParagraph"/>
        <w:ind w:left="1134" w:hanging="283"/>
      </w:pPr>
      <w:r w:rsidRPr="00BC52CC">
        <w:t xml:space="preserve">The assumption that </w:t>
      </w:r>
      <w:r w:rsidR="00405740" w:rsidRPr="00BC52CC">
        <w:t>&lt;</w:t>
      </w:r>
      <w:r w:rsidR="00EB4409">
        <w:t> </w:t>
      </w:r>
      <w:r w:rsidR="00405740" w:rsidRPr="00BC52CC">
        <w:t xml:space="preserve">500 </w:t>
      </w:r>
      <w:r w:rsidRPr="00BC52CC">
        <w:t>new patient will be diagnosed and commence treatment with olipudase alfa every</w:t>
      </w:r>
      <w:r w:rsidRPr="00804648">
        <w:t xml:space="preserve"> other year was uncertain given that the number of new patients added could be higher or lower.</w:t>
      </w:r>
    </w:p>
    <w:bookmarkEnd w:id="96"/>
    <w:p w14:paraId="38DB11B1" w14:textId="64AF3D17" w:rsidR="00267813" w:rsidRPr="00804648" w:rsidRDefault="00267813" w:rsidP="006A428C">
      <w:pPr>
        <w:pStyle w:val="ListParagraph"/>
        <w:ind w:left="1134" w:hanging="283"/>
      </w:pPr>
      <w:r w:rsidRPr="00804648">
        <w:t xml:space="preserve">The drug cost per patient varies greatly based on body weight and age. Based on the 2023 Australian clinician survey, the body weight of </w:t>
      </w:r>
      <w:r w:rsidRPr="00BC52CC">
        <w:t xml:space="preserve">the </w:t>
      </w:r>
      <w:r w:rsidR="00405740" w:rsidRPr="00BC52CC">
        <w:t>&lt;</w:t>
      </w:r>
      <w:r w:rsidR="00EB4409">
        <w:t> </w:t>
      </w:r>
      <w:r w:rsidR="00405740" w:rsidRPr="00BC52CC">
        <w:t>500</w:t>
      </w:r>
      <w:r w:rsidR="00405740" w:rsidRPr="00804648">
        <w:t xml:space="preserve"> </w:t>
      </w:r>
      <w:r w:rsidRPr="00804648">
        <w:t>identified patients ranged from 48 kg to 72 kg and the age at diagnosis ranged from 3 years to 43 years.</w:t>
      </w:r>
    </w:p>
    <w:p w14:paraId="7631FA62" w14:textId="77777777" w:rsidR="00574411" w:rsidRPr="00804648" w:rsidRDefault="00574411" w:rsidP="00574411">
      <w:pPr>
        <w:pStyle w:val="3-BodyText"/>
        <w:rPr>
          <w:color w:val="0066FF"/>
        </w:rPr>
      </w:pPr>
      <w:r w:rsidRPr="00804648">
        <w:t>The DUSC considered the estimates in the submission to be reasonable in the overall context of the data available. However, it considered that the following issues should be noted:</w:t>
      </w:r>
    </w:p>
    <w:p w14:paraId="765F6B19" w14:textId="77777777" w:rsidR="00574411" w:rsidRPr="00804648" w:rsidRDefault="00574411" w:rsidP="00F26ED8">
      <w:pPr>
        <w:pStyle w:val="ListParagraph"/>
        <w:numPr>
          <w:ilvl w:val="0"/>
          <w:numId w:val="13"/>
        </w:numPr>
        <w:ind w:left="1134" w:hanging="283"/>
        <w:rPr>
          <w:bCs/>
        </w:rPr>
      </w:pPr>
      <w:r w:rsidRPr="00804648">
        <w:rPr>
          <w:bCs/>
        </w:rPr>
        <w:t xml:space="preserve">The incident patient population estimates are highly uncertain; </w:t>
      </w:r>
    </w:p>
    <w:p w14:paraId="459C94B2" w14:textId="77777777" w:rsidR="00574411" w:rsidRPr="00804648" w:rsidRDefault="00574411" w:rsidP="00F26ED8">
      <w:pPr>
        <w:pStyle w:val="ListParagraph"/>
        <w:numPr>
          <w:ilvl w:val="0"/>
          <w:numId w:val="13"/>
        </w:numPr>
        <w:ind w:left="1134" w:hanging="283"/>
        <w:rPr>
          <w:bCs/>
        </w:rPr>
      </w:pPr>
      <w:r w:rsidRPr="00804648">
        <w:rPr>
          <w:bCs/>
        </w:rPr>
        <w:t>The body weight estimates are uncertain due to the large variation in the age of the patient population and the use of the average body weight for the Australian population may not be representative of the patient population;</w:t>
      </w:r>
    </w:p>
    <w:p w14:paraId="14ECA840" w14:textId="3EC1DB6F" w:rsidR="00D23EB2" w:rsidRPr="00804648" w:rsidRDefault="00574411" w:rsidP="00F26ED8">
      <w:pPr>
        <w:pStyle w:val="ListParagraph"/>
        <w:numPr>
          <w:ilvl w:val="0"/>
          <w:numId w:val="13"/>
        </w:numPr>
        <w:ind w:left="1134" w:hanging="283"/>
        <w:rPr>
          <w:bCs/>
        </w:rPr>
      </w:pPr>
      <w:r w:rsidRPr="00804648">
        <w:rPr>
          <w:bCs/>
        </w:rPr>
        <w:t>There was limited evidence of treatment effectiveness in ASMD type A/B;</w:t>
      </w:r>
    </w:p>
    <w:p w14:paraId="415B6F05" w14:textId="051EA37B" w:rsidR="00D23EB2" w:rsidRPr="00804648" w:rsidRDefault="00574411" w:rsidP="00F26ED8">
      <w:pPr>
        <w:pStyle w:val="ListParagraph"/>
        <w:numPr>
          <w:ilvl w:val="0"/>
          <w:numId w:val="13"/>
        </w:numPr>
        <w:ind w:left="1135" w:hanging="284"/>
        <w:rPr>
          <w:bCs/>
        </w:rPr>
      </w:pPr>
      <w:r w:rsidRPr="00804648">
        <w:rPr>
          <w:bCs/>
        </w:rPr>
        <w:t>The current TGA regulatory status of the 4 mg dosage form impacts the financial estimates.</w:t>
      </w:r>
    </w:p>
    <w:p w14:paraId="5B8321A4" w14:textId="69D79EB0" w:rsidR="00D23EB2" w:rsidRPr="00804648" w:rsidRDefault="00D23EB2" w:rsidP="00F26ED8">
      <w:pPr>
        <w:pStyle w:val="ListBullet"/>
        <w:numPr>
          <w:ilvl w:val="0"/>
          <w:numId w:val="13"/>
        </w:numPr>
        <w:spacing w:after="120"/>
        <w:ind w:left="1134" w:hanging="283"/>
        <w:contextualSpacing w:val="0"/>
      </w:pPr>
      <w:r w:rsidRPr="00804648">
        <w:t>While is unlikely that olipudase alfa would currently be used outside the requested restriction, previously undiagnosed patients with mild or moderate disease may be treated if new and more sensitive screening tests for ASMD become available.</w:t>
      </w:r>
    </w:p>
    <w:p w14:paraId="71618844" w14:textId="15BCF372" w:rsidR="00574411" w:rsidRPr="00804648" w:rsidRDefault="00574411" w:rsidP="00574411">
      <w:pPr>
        <w:pStyle w:val="3-BodyText"/>
      </w:pPr>
      <w:r w:rsidRPr="00804648">
        <w:t>DUSC advised that minor changes to the methods used to derive the utilisation and financial estimates and structure of the estimates model should be considered including inputs and/or assumptions to estimate the eligible and treated populations, availability of the 4 mg dosage form, and cost associated with outpatient treatment.</w:t>
      </w:r>
    </w:p>
    <w:p w14:paraId="4F7E00AF" w14:textId="5531710B" w:rsidR="00586E86" w:rsidRPr="00804648" w:rsidRDefault="00267813" w:rsidP="00267813">
      <w:pPr>
        <w:pStyle w:val="3-BodyText"/>
        <w:numPr>
          <w:ilvl w:val="0"/>
          <w:numId w:val="0"/>
        </w:numPr>
        <w:ind w:left="720"/>
        <w:rPr>
          <w:i/>
          <w:iCs/>
          <w:color w:val="0066FF"/>
        </w:rPr>
      </w:pPr>
      <w:r w:rsidRPr="00804648">
        <w:rPr>
          <w:i/>
          <w:iCs/>
        </w:rPr>
        <w:t>For more detail on PBAC’s view, see section 7 PBAC outcome.</w:t>
      </w:r>
      <w:r w:rsidR="008660D4" w:rsidRPr="00804648">
        <w:rPr>
          <w:i/>
          <w:iCs/>
        </w:rPr>
        <w:t xml:space="preserve"> </w:t>
      </w:r>
    </w:p>
    <w:p w14:paraId="486A4C59" w14:textId="0FEFBD27" w:rsidR="00267813" w:rsidRPr="00804648" w:rsidRDefault="00267813">
      <w:pPr>
        <w:jc w:val="left"/>
        <w:rPr>
          <w:rFonts w:asciiTheme="minorHAnsi" w:hAnsiTheme="minorHAnsi"/>
          <w:b/>
          <w:snapToGrid w:val="0"/>
          <w:sz w:val="32"/>
          <w:szCs w:val="32"/>
        </w:rPr>
      </w:pPr>
      <w:bookmarkStart w:id="97" w:name="_Hlk76381249"/>
      <w:bookmarkStart w:id="98" w:name="_Hlk76377955"/>
    </w:p>
    <w:p w14:paraId="33FF4907" w14:textId="64CA8557" w:rsidR="00267813" w:rsidRPr="00804648" w:rsidRDefault="00267813" w:rsidP="00B531B4">
      <w:pPr>
        <w:pStyle w:val="2-SectionHeading"/>
        <w:numPr>
          <w:ilvl w:val="0"/>
          <w:numId w:val="1"/>
        </w:numPr>
      </w:pPr>
      <w:r w:rsidRPr="00804648">
        <w:lastRenderedPageBreak/>
        <w:t>PBAC Outcome</w:t>
      </w:r>
    </w:p>
    <w:p w14:paraId="080FB878" w14:textId="42FC2329" w:rsidR="00C13CB3" w:rsidRPr="00804648" w:rsidRDefault="00C13CB3" w:rsidP="00C13CB3">
      <w:pPr>
        <w:pStyle w:val="ListParagraph"/>
        <w:numPr>
          <w:ilvl w:val="1"/>
          <w:numId w:val="1"/>
        </w:numPr>
      </w:pPr>
      <w:bookmarkStart w:id="99" w:name="_Hlk111543188"/>
      <w:r w:rsidRPr="00804648">
        <w:t>The PBAC did not recommend the Section 100 (Highly Specialised Drugs Program) listing of olipudase alfa for the treatment of acid sphingomyelinase (ASMD) type A/B or type B. The PBAC considered olipudase alfa was an effective treatment</w:t>
      </w:r>
      <w:r w:rsidR="006B4F32" w:rsidRPr="00804648">
        <w:t xml:space="preserve"> for</w:t>
      </w:r>
      <w:r w:rsidRPr="00804648">
        <w:t xml:space="preserve"> ASMD type A/B or type B; however, the incremental cost effectiveness ratio (ICER) for olipudase alfa compared to best supportive care was extremely high and uncertain.</w:t>
      </w:r>
    </w:p>
    <w:p w14:paraId="7816620E" w14:textId="77777777" w:rsidR="006B4F32" w:rsidRPr="00804648" w:rsidRDefault="006B4F32" w:rsidP="006B4F32">
      <w:pPr>
        <w:widowControl w:val="0"/>
        <w:numPr>
          <w:ilvl w:val="1"/>
          <w:numId w:val="1"/>
        </w:numPr>
        <w:spacing w:after="120"/>
        <w:rPr>
          <w:rFonts w:asciiTheme="minorHAnsi" w:hAnsiTheme="minorHAnsi"/>
          <w:snapToGrid w:val="0"/>
          <w:lang w:eastAsia="en-US"/>
        </w:rPr>
      </w:pPr>
      <w:r w:rsidRPr="00804648">
        <w:rPr>
          <w:rFonts w:asciiTheme="minorHAnsi" w:hAnsiTheme="minorHAnsi"/>
          <w:snapToGrid w:val="0"/>
          <w:lang w:eastAsia="en-US"/>
        </w:rPr>
        <w:t>The PBAC considered the primary reason for this outcome was due to the economic evaluation provided.</w:t>
      </w:r>
    </w:p>
    <w:p w14:paraId="3FC8206B" w14:textId="54A52DCC" w:rsidR="00D07552" w:rsidRPr="00804648" w:rsidRDefault="00C9594C" w:rsidP="002B7A56">
      <w:pPr>
        <w:widowControl w:val="0"/>
        <w:numPr>
          <w:ilvl w:val="1"/>
          <w:numId w:val="1"/>
        </w:numPr>
        <w:spacing w:after="120"/>
        <w:rPr>
          <w:rFonts w:asciiTheme="minorHAnsi" w:hAnsiTheme="minorHAnsi"/>
          <w:snapToGrid w:val="0"/>
        </w:rPr>
      </w:pPr>
      <w:r w:rsidRPr="00804648">
        <w:rPr>
          <w:rFonts w:asciiTheme="minorHAnsi" w:hAnsiTheme="minorHAnsi"/>
          <w:snapToGrid w:val="0"/>
        </w:rPr>
        <w:t xml:space="preserve">The PBAC noted the high clinical need for olipudase alfa, in that </w:t>
      </w:r>
      <w:r w:rsidRPr="00804648">
        <w:t>there is</w:t>
      </w:r>
      <w:r w:rsidR="00BC418B" w:rsidRPr="00804648">
        <w:t xml:space="preserve"> currently</w:t>
      </w:r>
      <w:r w:rsidRPr="00804648">
        <w:t xml:space="preserve"> no </w:t>
      </w:r>
      <w:r w:rsidR="00BC418B" w:rsidRPr="00804648">
        <w:t xml:space="preserve">other </w:t>
      </w:r>
      <w:r w:rsidRPr="00804648">
        <w:t xml:space="preserve">treatment that modifies the natural course or alters the progression of ASMD, and that splenectomy, liver transplantation, and allogenic stem cell transplantation are avoided in most cases due to the unfavourable risk/benefit profile. </w:t>
      </w:r>
      <w:r w:rsidRPr="00804648">
        <w:rPr>
          <w:rFonts w:asciiTheme="minorHAnsi" w:hAnsiTheme="minorHAnsi"/>
          <w:snapToGrid w:val="0"/>
        </w:rPr>
        <w:t xml:space="preserve">The PBAC acknowledged the unmet clinical need described in the Consumer Comments from health care professionals and individuals. </w:t>
      </w:r>
    </w:p>
    <w:p w14:paraId="6BABB878" w14:textId="3033314A" w:rsidR="002B7A56" w:rsidRPr="00804648" w:rsidRDefault="002B7A56" w:rsidP="002B7A56">
      <w:pPr>
        <w:widowControl w:val="0"/>
        <w:numPr>
          <w:ilvl w:val="1"/>
          <w:numId w:val="1"/>
        </w:numPr>
        <w:spacing w:after="120"/>
        <w:rPr>
          <w:rFonts w:asciiTheme="minorHAnsi" w:hAnsiTheme="minorHAnsi"/>
          <w:snapToGrid w:val="0"/>
        </w:rPr>
      </w:pPr>
      <w:r w:rsidRPr="00804648">
        <w:rPr>
          <w:rFonts w:asciiTheme="minorHAnsi" w:hAnsiTheme="minorHAnsi"/>
          <w:snapToGrid w:val="0"/>
        </w:rPr>
        <w:t xml:space="preserve">In the </w:t>
      </w:r>
      <w:r w:rsidR="00D07552" w:rsidRPr="00804648">
        <w:rPr>
          <w:rFonts w:asciiTheme="minorHAnsi" w:hAnsiTheme="minorHAnsi"/>
          <w:snapToGrid w:val="0"/>
        </w:rPr>
        <w:t>absence</w:t>
      </w:r>
      <w:r w:rsidRPr="00804648">
        <w:rPr>
          <w:rFonts w:asciiTheme="minorHAnsi" w:hAnsiTheme="minorHAnsi"/>
          <w:snapToGrid w:val="0"/>
        </w:rPr>
        <w:t xml:space="preserve"> of a lack of other treatment options for ASMD being available, the PBAC </w:t>
      </w:r>
      <w:r w:rsidR="006F4C12" w:rsidRPr="00804648">
        <w:rPr>
          <w:rFonts w:asciiTheme="minorHAnsi" w:hAnsiTheme="minorHAnsi"/>
          <w:snapToGrid w:val="0"/>
        </w:rPr>
        <w:t>considered</w:t>
      </w:r>
      <w:r w:rsidRPr="00804648">
        <w:rPr>
          <w:rFonts w:asciiTheme="minorHAnsi" w:hAnsiTheme="minorHAnsi"/>
          <w:snapToGrid w:val="0"/>
        </w:rPr>
        <w:t xml:space="preserve"> that </w:t>
      </w:r>
      <w:r w:rsidRPr="00804648">
        <w:t>the submission’s nomination of BSC as the main comparator was appropriate.</w:t>
      </w:r>
    </w:p>
    <w:p w14:paraId="56566688" w14:textId="36A56A5D" w:rsidR="00E80779" w:rsidRPr="00804648" w:rsidRDefault="002B7C41" w:rsidP="00934A08">
      <w:pPr>
        <w:widowControl w:val="0"/>
        <w:numPr>
          <w:ilvl w:val="1"/>
          <w:numId w:val="1"/>
        </w:numPr>
        <w:spacing w:after="120"/>
        <w:rPr>
          <w:rFonts w:asciiTheme="minorHAnsi" w:hAnsiTheme="minorHAnsi"/>
          <w:snapToGrid w:val="0"/>
        </w:rPr>
      </w:pPr>
      <w:r w:rsidRPr="00804648">
        <w:rPr>
          <w:rFonts w:asciiTheme="minorHAnsi" w:hAnsiTheme="minorHAnsi"/>
          <w:snapToGrid w:val="0"/>
        </w:rPr>
        <w:t>In contrast to the requested written authority, t</w:t>
      </w:r>
      <w:r w:rsidR="00760746" w:rsidRPr="00804648">
        <w:rPr>
          <w:rFonts w:asciiTheme="minorHAnsi" w:hAnsiTheme="minorHAnsi"/>
          <w:snapToGrid w:val="0"/>
        </w:rPr>
        <w:t xml:space="preserve">he PBAC </w:t>
      </w:r>
      <w:r w:rsidRPr="00804648">
        <w:rPr>
          <w:rFonts w:asciiTheme="minorHAnsi" w:hAnsiTheme="minorHAnsi"/>
          <w:snapToGrid w:val="0"/>
        </w:rPr>
        <w:t>noted</w:t>
      </w:r>
      <w:r w:rsidR="00760746" w:rsidRPr="00804648">
        <w:rPr>
          <w:rFonts w:asciiTheme="minorHAnsi" w:hAnsiTheme="minorHAnsi"/>
          <w:snapToGrid w:val="0"/>
        </w:rPr>
        <w:t xml:space="preserve"> that </w:t>
      </w:r>
      <w:r w:rsidRPr="00804648">
        <w:rPr>
          <w:rFonts w:asciiTheme="minorHAnsi" w:hAnsiTheme="minorHAnsi"/>
          <w:snapToGrid w:val="0"/>
        </w:rPr>
        <w:t>a</w:t>
      </w:r>
      <w:r w:rsidR="00215A1F" w:rsidRPr="00804648">
        <w:rPr>
          <w:rFonts w:asciiTheme="minorHAnsi" w:hAnsiTheme="minorHAnsi"/>
          <w:snapToGrid w:val="0"/>
        </w:rPr>
        <w:t xml:space="preserve"> telephone/online listing would provide immediate </w:t>
      </w:r>
      <w:r w:rsidRPr="00804648">
        <w:rPr>
          <w:rFonts w:asciiTheme="minorHAnsi" w:hAnsiTheme="minorHAnsi"/>
          <w:snapToGrid w:val="0"/>
        </w:rPr>
        <w:t xml:space="preserve">approval </w:t>
      </w:r>
      <w:r w:rsidR="00215A1F" w:rsidRPr="00804648">
        <w:rPr>
          <w:rFonts w:asciiTheme="minorHAnsi" w:hAnsiTheme="minorHAnsi"/>
          <w:snapToGrid w:val="0"/>
        </w:rPr>
        <w:t>to the medicine and</w:t>
      </w:r>
      <w:r w:rsidR="00866E49" w:rsidRPr="00804648">
        <w:rPr>
          <w:rFonts w:asciiTheme="minorHAnsi" w:hAnsiTheme="minorHAnsi"/>
          <w:snapToGrid w:val="0"/>
        </w:rPr>
        <w:t xml:space="preserve"> avoid the need to digitally transform an ‘in-writing only’ Authority Required listing in </w:t>
      </w:r>
      <w:r w:rsidR="00683508" w:rsidRPr="00804648">
        <w:rPr>
          <w:rFonts w:asciiTheme="minorHAnsi" w:hAnsiTheme="minorHAnsi"/>
          <w:snapToGrid w:val="0"/>
        </w:rPr>
        <w:t xml:space="preserve">the </w:t>
      </w:r>
      <w:r w:rsidR="00866E49" w:rsidRPr="00804648">
        <w:rPr>
          <w:rFonts w:asciiTheme="minorHAnsi" w:hAnsiTheme="minorHAnsi"/>
          <w:snapToGrid w:val="0"/>
        </w:rPr>
        <w:t>future</w:t>
      </w:r>
      <w:r w:rsidR="00215A1F" w:rsidRPr="00804648">
        <w:rPr>
          <w:rFonts w:asciiTheme="minorHAnsi" w:hAnsiTheme="minorHAnsi"/>
          <w:snapToGrid w:val="0"/>
        </w:rPr>
        <w:t>.</w:t>
      </w:r>
      <w:r w:rsidR="00934A08" w:rsidRPr="00804648">
        <w:rPr>
          <w:rFonts w:asciiTheme="minorHAnsi" w:hAnsiTheme="minorHAnsi"/>
          <w:snapToGrid w:val="0"/>
        </w:rPr>
        <w:t xml:space="preserve"> </w:t>
      </w:r>
      <w:r w:rsidR="00E80779" w:rsidRPr="00804648">
        <w:rPr>
          <w:rFonts w:asciiTheme="minorHAnsi" w:hAnsiTheme="minorHAnsi"/>
          <w:snapToGrid w:val="0"/>
        </w:rPr>
        <w:t xml:space="preserve">The PBAC </w:t>
      </w:r>
      <w:r w:rsidR="00934A08" w:rsidRPr="00804648">
        <w:rPr>
          <w:rFonts w:asciiTheme="minorHAnsi" w:hAnsiTheme="minorHAnsi"/>
          <w:snapToGrid w:val="0"/>
        </w:rPr>
        <w:t xml:space="preserve">also </w:t>
      </w:r>
      <w:r w:rsidR="00E80779" w:rsidRPr="00804648">
        <w:rPr>
          <w:rFonts w:asciiTheme="minorHAnsi" w:hAnsiTheme="minorHAnsi"/>
          <w:snapToGrid w:val="0"/>
        </w:rPr>
        <w:t xml:space="preserve">commented on other elements of the proposed restriction: </w:t>
      </w:r>
      <w:r w:rsidR="00731BBC" w:rsidRPr="00804648">
        <w:rPr>
          <w:rFonts w:asciiTheme="minorHAnsi" w:hAnsiTheme="minorHAnsi"/>
          <w:snapToGrid w:val="0"/>
        </w:rPr>
        <w:t xml:space="preserve">(i) it supported </w:t>
      </w:r>
      <w:r w:rsidR="00A21AC4" w:rsidRPr="00804648">
        <w:rPr>
          <w:rFonts w:asciiTheme="minorHAnsi" w:hAnsiTheme="minorHAnsi"/>
          <w:snapToGrid w:val="0"/>
        </w:rPr>
        <w:t>combining</w:t>
      </w:r>
      <w:r w:rsidR="00731BBC" w:rsidRPr="00804648">
        <w:rPr>
          <w:rFonts w:asciiTheme="minorHAnsi" w:hAnsiTheme="minorHAnsi"/>
          <w:snapToGrid w:val="0"/>
        </w:rPr>
        <w:t xml:space="preserve"> the adult and paediatric restrictions; (ii) it supported </w:t>
      </w:r>
      <w:r w:rsidR="00A21AC4" w:rsidRPr="00804648">
        <w:rPr>
          <w:rFonts w:asciiTheme="minorHAnsi" w:hAnsiTheme="minorHAnsi"/>
          <w:snapToGrid w:val="0"/>
        </w:rPr>
        <w:t>noting specific conditions of similar presentation for exclusion in the restriction;</w:t>
      </w:r>
      <w:r w:rsidR="00934A08" w:rsidRPr="00804648">
        <w:rPr>
          <w:rFonts w:asciiTheme="minorHAnsi" w:hAnsiTheme="minorHAnsi"/>
          <w:snapToGrid w:val="0"/>
        </w:rPr>
        <w:t xml:space="preserve"> and</w:t>
      </w:r>
      <w:r w:rsidR="00A21AC4" w:rsidRPr="00804648">
        <w:rPr>
          <w:rFonts w:asciiTheme="minorHAnsi" w:hAnsiTheme="minorHAnsi"/>
          <w:snapToGrid w:val="0"/>
        </w:rPr>
        <w:t xml:space="preserve"> (i</w:t>
      </w:r>
      <w:r w:rsidR="00514AA8" w:rsidRPr="00804648">
        <w:rPr>
          <w:rFonts w:asciiTheme="minorHAnsi" w:hAnsiTheme="minorHAnsi"/>
          <w:snapToGrid w:val="0"/>
        </w:rPr>
        <w:t>ii</w:t>
      </w:r>
      <w:r w:rsidR="00A21AC4" w:rsidRPr="00804648">
        <w:rPr>
          <w:rFonts w:asciiTheme="minorHAnsi" w:hAnsiTheme="minorHAnsi"/>
          <w:snapToGrid w:val="0"/>
        </w:rPr>
        <w:t xml:space="preserve">) </w:t>
      </w:r>
      <w:r w:rsidR="00934A08" w:rsidRPr="00804648">
        <w:rPr>
          <w:rFonts w:asciiTheme="minorHAnsi" w:hAnsiTheme="minorHAnsi"/>
          <w:snapToGrid w:val="0"/>
        </w:rPr>
        <w:t>it supported specifying that patients must be treated by or in conjunction with a specialist physician with expertise in the management of inherited metabolic disorders</w:t>
      </w:r>
      <w:r w:rsidR="00A21AC4" w:rsidRPr="00804648">
        <w:rPr>
          <w:rFonts w:eastAsia="Calibri" w:cstheme="minorHAnsi"/>
        </w:rPr>
        <w:t>.</w:t>
      </w:r>
      <w:r w:rsidR="00934A08" w:rsidRPr="00804648">
        <w:rPr>
          <w:rFonts w:eastAsia="Calibri" w:cstheme="minorHAnsi"/>
        </w:rPr>
        <w:t xml:space="preserve"> </w:t>
      </w:r>
      <w:r w:rsidR="0059137E" w:rsidRPr="00804648">
        <w:rPr>
          <w:rFonts w:eastAsia="Calibri" w:cstheme="minorHAnsi"/>
        </w:rPr>
        <w:t>The PBAC noted the recommendation from the Secretariat regarding comb</w:t>
      </w:r>
      <w:r w:rsidR="000B276E" w:rsidRPr="00804648">
        <w:rPr>
          <w:rFonts w:eastAsia="Calibri" w:cstheme="minorHAnsi"/>
        </w:rPr>
        <w:t>in</w:t>
      </w:r>
      <w:r w:rsidR="0059137E" w:rsidRPr="00804648">
        <w:rPr>
          <w:rFonts w:eastAsia="Calibri" w:cstheme="minorHAnsi"/>
        </w:rPr>
        <w:t xml:space="preserve">ing initial and continuing treatment criteria into one treatment phase and considered this may be reasonable given the lack of a defined continuation rule. The PBAC noted the sponsor’s suggested changes proposed in the PSCR (see paragraph </w:t>
      </w:r>
      <w:r w:rsidR="0059137E" w:rsidRPr="00804648">
        <w:rPr>
          <w:rFonts w:eastAsia="Calibri" w:cstheme="minorHAnsi"/>
        </w:rPr>
        <w:fldChar w:fldCharType="begin" w:fldLock="1"/>
      </w:r>
      <w:r w:rsidR="0059137E" w:rsidRPr="00804648">
        <w:rPr>
          <w:rFonts w:eastAsia="Calibri" w:cstheme="minorHAnsi"/>
        </w:rPr>
        <w:instrText xml:space="preserve"> REF _Ref142292857 \r \h </w:instrText>
      </w:r>
      <w:r w:rsidR="0059137E" w:rsidRPr="00804648">
        <w:rPr>
          <w:rFonts w:eastAsia="Calibri" w:cstheme="minorHAnsi"/>
        </w:rPr>
      </w:r>
      <w:r w:rsidR="0059137E" w:rsidRPr="00804648">
        <w:rPr>
          <w:rFonts w:eastAsia="Calibri" w:cstheme="minorHAnsi"/>
        </w:rPr>
        <w:fldChar w:fldCharType="separate"/>
      </w:r>
      <w:r w:rsidR="005D02DA" w:rsidRPr="00804648">
        <w:rPr>
          <w:rFonts w:eastAsia="Calibri" w:cstheme="minorHAnsi"/>
        </w:rPr>
        <w:t>3.6</w:t>
      </w:r>
      <w:r w:rsidR="0059137E" w:rsidRPr="00804648">
        <w:rPr>
          <w:rFonts w:eastAsia="Calibri" w:cstheme="minorHAnsi"/>
        </w:rPr>
        <w:fldChar w:fldCharType="end"/>
      </w:r>
      <w:r w:rsidR="0059137E" w:rsidRPr="00804648">
        <w:rPr>
          <w:rFonts w:eastAsia="Calibri" w:cstheme="minorHAnsi"/>
        </w:rPr>
        <w:t xml:space="preserve">) but considered they had not been adequately justified. </w:t>
      </w:r>
    </w:p>
    <w:p w14:paraId="5574C30D" w14:textId="7DA96A66" w:rsidR="00C13CB3" w:rsidRPr="00804648" w:rsidRDefault="00F9696B" w:rsidP="00F9696B">
      <w:pPr>
        <w:widowControl w:val="0"/>
        <w:numPr>
          <w:ilvl w:val="1"/>
          <w:numId w:val="1"/>
        </w:numPr>
        <w:spacing w:after="120"/>
        <w:rPr>
          <w:rFonts w:asciiTheme="minorHAnsi" w:hAnsiTheme="minorHAnsi"/>
          <w:snapToGrid w:val="0"/>
        </w:rPr>
      </w:pPr>
      <w:r w:rsidRPr="00804648">
        <w:rPr>
          <w:rFonts w:asciiTheme="minorHAnsi" w:hAnsiTheme="minorHAnsi"/>
          <w:iCs/>
          <w:snapToGrid w:val="0"/>
        </w:rPr>
        <w:t>While the</w:t>
      </w:r>
      <w:r w:rsidRPr="00804648">
        <w:rPr>
          <w:rFonts w:asciiTheme="minorHAnsi" w:hAnsiTheme="minorHAnsi"/>
          <w:snapToGrid w:val="0"/>
          <w:szCs w:val="20"/>
        </w:rPr>
        <w:t xml:space="preserve"> PBAC considered that the claim of superior comparative effectiveness of olipudase alfa compared to BSC was reasonable </w:t>
      </w:r>
      <w:r w:rsidRPr="00804648">
        <w:rPr>
          <w:rFonts w:eastAsia="Calibri"/>
        </w:rPr>
        <w:t xml:space="preserve">in terms of the change </w:t>
      </w:r>
      <w:r w:rsidR="00F31DC4" w:rsidRPr="00804648">
        <w:rPr>
          <w:rFonts w:eastAsia="Calibri"/>
        </w:rPr>
        <w:t xml:space="preserve">in </w:t>
      </w:r>
      <w:r w:rsidRPr="00804648">
        <w:rPr>
          <w:rFonts w:eastAsia="Calibri"/>
        </w:rPr>
        <w:t>spleen volume and DLco</w:t>
      </w:r>
      <w:r w:rsidRPr="00804648">
        <w:rPr>
          <w:rFonts w:asciiTheme="minorHAnsi" w:hAnsiTheme="minorHAnsi"/>
          <w:snapToGrid w:val="0"/>
          <w:szCs w:val="20"/>
        </w:rPr>
        <w:t>, it noted the uncertainty associated with extending this finding to a survival benefit. The PBAC noted the reduced life expectancy associated with ASMD (</w:t>
      </w:r>
      <w:r w:rsidRPr="00804648">
        <w:t xml:space="preserve">the median age at death was 23.5 years for ASMD type B and 8.5 years for ASMD type A/B according to Cassiman et al. 2017). </w:t>
      </w:r>
      <w:r w:rsidR="006C0640" w:rsidRPr="00804648">
        <w:t xml:space="preserve">The PBAC </w:t>
      </w:r>
      <w:r w:rsidRPr="00804648">
        <w:t xml:space="preserve">noted that comparative survival curves are </w:t>
      </w:r>
      <w:r w:rsidR="001F63F2" w:rsidRPr="00804648">
        <w:t>challenging</w:t>
      </w:r>
      <w:r w:rsidRPr="00804648">
        <w:t xml:space="preserve"> to construct due to heterogeneity of patients and limited available data</w:t>
      </w:r>
      <w:r w:rsidR="006C0640" w:rsidRPr="00804648">
        <w:t xml:space="preserve">, but considered it likely </w:t>
      </w:r>
      <w:r w:rsidR="00F2769C" w:rsidRPr="00804648">
        <w:t>that treatment with</w:t>
      </w:r>
      <w:r w:rsidR="006C0640" w:rsidRPr="00804648">
        <w:t xml:space="preserve"> olipudase alfa </w:t>
      </w:r>
      <w:r w:rsidR="00F2769C" w:rsidRPr="00804648">
        <w:t>would</w:t>
      </w:r>
      <w:r w:rsidR="006C0640" w:rsidRPr="00804648">
        <w:t xml:space="preserve"> extend life if it </w:t>
      </w:r>
      <w:proofErr w:type="gramStart"/>
      <w:r w:rsidR="004C1267" w:rsidRPr="00804648">
        <w:t>is</w:t>
      </w:r>
      <w:proofErr w:type="gramEnd"/>
      <w:r w:rsidR="004C1267" w:rsidRPr="00804648">
        <w:t xml:space="preserve"> accepted</w:t>
      </w:r>
      <w:r w:rsidR="006C0640" w:rsidRPr="00804648">
        <w:t xml:space="preserve"> that reducing spleen size improves survival</w:t>
      </w:r>
      <w:r w:rsidRPr="00804648">
        <w:t>.</w:t>
      </w:r>
      <w:r w:rsidRPr="00804648">
        <w:rPr>
          <w:rFonts w:asciiTheme="minorHAnsi" w:hAnsiTheme="minorHAnsi"/>
          <w:snapToGrid w:val="0"/>
          <w:szCs w:val="20"/>
        </w:rPr>
        <w:t xml:space="preserve"> The PBAC acknowledged the difficulty of providing data for an ultra-rare condition like ASMD.</w:t>
      </w:r>
    </w:p>
    <w:p w14:paraId="1F82D846" w14:textId="6E26772B" w:rsidR="00250F32" w:rsidRPr="00804648" w:rsidRDefault="00250F32" w:rsidP="00F9696B">
      <w:pPr>
        <w:widowControl w:val="0"/>
        <w:numPr>
          <w:ilvl w:val="1"/>
          <w:numId w:val="1"/>
        </w:numPr>
        <w:spacing w:after="120"/>
        <w:rPr>
          <w:rFonts w:asciiTheme="minorHAnsi" w:hAnsiTheme="minorHAnsi"/>
          <w:snapToGrid w:val="0"/>
        </w:rPr>
      </w:pPr>
      <w:r w:rsidRPr="00804648">
        <w:rPr>
          <w:rFonts w:asciiTheme="minorHAnsi" w:hAnsiTheme="minorHAnsi"/>
          <w:snapToGrid w:val="0"/>
          <w:szCs w:val="20"/>
        </w:rPr>
        <w:lastRenderedPageBreak/>
        <w:t xml:space="preserve">The PBAC did not consider that the claim of non-inferior safety was supported, noting that randomised trial data in adults showed a greater proportion of olipudase alfa patients experienced TEAEs potentially related to study drug and infusion related reactions, compared to BSC. </w:t>
      </w:r>
    </w:p>
    <w:p w14:paraId="54B6A7F4" w14:textId="428C5533" w:rsidR="006C0640" w:rsidRPr="00804648" w:rsidRDefault="006C0640" w:rsidP="00F9696B">
      <w:pPr>
        <w:widowControl w:val="0"/>
        <w:numPr>
          <w:ilvl w:val="1"/>
          <w:numId w:val="1"/>
        </w:numPr>
        <w:spacing w:after="120"/>
        <w:rPr>
          <w:rFonts w:asciiTheme="minorHAnsi" w:hAnsiTheme="minorHAnsi"/>
          <w:snapToGrid w:val="0"/>
        </w:rPr>
      </w:pPr>
      <w:r w:rsidRPr="00804648">
        <w:rPr>
          <w:rFonts w:asciiTheme="minorHAnsi" w:hAnsiTheme="minorHAnsi"/>
          <w:snapToGrid w:val="0"/>
        </w:rPr>
        <w:t>The PBAC noted that the</w:t>
      </w:r>
      <w:r w:rsidR="008458AA" w:rsidRPr="00804648">
        <w:rPr>
          <w:rFonts w:asciiTheme="minorHAnsi" w:hAnsiTheme="minorHAnsi"/>
          <w:snapToGrid w:val="0"/>
        </w:rPr>
        <w:t xml:space="preserve"> randomised ASCEND</w:t>
      </w:r>
      <w:r w:rsidRPr="00804648">
        <w:rPr>
          <w:rFonts w:asciiTheme="minorHAnsi" w:hAnsiTheme="minorHAnsi"/>
          <w:snapToGrid w:val="0"/>
        </w:rPr>
        <w:t xml:space="preserve"> trial </w:t>
      </w:r>
      <w:r w:rsidR="008458AA" w:rsidRPr="00804648">
        <w:rPr>
          <w:rFonts w:asciiTheme="minorHAnsi" w:hAnsiTheme="minorHAnsi"/>
          <w:snapToGrid w:val="0"/>
        </w:rPr>
        <w:t xml:space="preserve">only included patients </w:t>
      </w:r>
      <w:r w:rsidRPr="00804648">
        <w:rPr>
          <w:rFonts w:asciiTheme="minorHAnsi" w:hAnsiTheme="minorHAnsi"/>
          <w:snapToGrid w:val="0"/>
        </w:rPr>
        <w:t xml:space="preserve">diagnosed </w:t>
      </w:r>
      <w:r w:rsidR="0094750E" w:rsidRPr="00804648">
        <w:rPr>
          <w:rFonts w:asciiTheme="minorHAnsi" w:hAnsiTheme="minorHAnsi"/>
          <w:snapToGrid w:val="0"/>
        </w:rPr>
        <w:t xml:space="preserve">with ASMD type B. The PBAC considered the applicability of the trial data to Australian patients with type A/B disease to be </w:t>
      </w:r>
      <w:r w:rsidR="00844D93" w:rsidRPr="00804648">
        <w:rPr>
          <w:rFonts w:asciiTheme="minorHAnsi" w:hAnsiTheme="minorHAnsi"/>
          <w:snapToGrid w:val="0"/>
        </w:rPr>
        <w:t>uncertain but</w:t>
      </w:r>
      <w:r w:rsidR="0094750E" w:rsidRPr="00804648">
        <w:rPr>
          <w:rFonts w:asciiTheme="minorHAnsi" w:hAnsiTheme="minorHAnsi"/>
          <w:snapToGrid w:val="0"/>
        </w:rPr>
        <w:t xml:space="preserve"> noted</w:t>
      </w:r>
      <w:r w:rsidR="006735E5" w:rsidRPr="00804648">
        <w:rPr>
          <w:rFonts w:asciiTheme="minorHAnsi" w:hAnsiTheme="minorHAnsi"/>
          <w:snapToGrid w:val="0"/>
        </w:rPr>
        <w:t xml:space="preserve">: (i) </w:t>
      </w:r>
      <w:r w:rsidR="009A2D39" w:rsidRPr="00804648">
        <w:rPr>
          <w:rFonts w:asciiTheme="minorHAnsi" w:hAnsiTheme="minorHAnsi"/>
          <w:snapToGrid w:val="0"/>
        </w:rPr>
        <w:t xml:space="preserve">that </w:t>
      </w:r>
      <w:r w:rsidR="006735E5" w:rsidRPr="00804648">
        <w:rPr>
          <w:rFonts w:asciiTheme="minorHAnsi" w:hAnsiTheme="minorHAnsi"/>
          <w:snapToGrid w:val="0"/>
        </w:rPr>
        <w:t>the</w:t>
      </w:r>
      <w:r w:rsidR="009A2D39" w:rsidRPr="00804648">
        <w:rPr>
          <w:rFonts w:asciiTheme="minorHAnsi" w:hAnsiTheme="minorHAnsi"/>
          <w:snapToGrid w:val="0"/>
        </w:rPr>
        <w:t>re is</w:t>
      </w:r>
      <w:r w:rsidR="006735E5" w:rsidRPr="00804648">
        <w:rPr>
          <w:rFonts w:asciiTheme="minorHAnsi" w:hAnsiTheme="minorHAnsi"/>
          <w:snapToGrid w:val="0"/>
        </w:rPr>
        <w:t xml:space="preserve"> high clinical need; (ii) that </w:t>
      </w:r>
      <w:r w:rsidR="0094750E" w:rsidRPr="00804648">
        <w:rPr>
          <w:rFonts w:asciiTheme="minorHAnsi" w:hAnsiTheme="minorHAnsi"/>
          <w:snapToGrid w:val="0"/>
        </w:rPr>
        <w:t>type A/B has features of type B disease, and</w:t>
      </w:r>
      <w:r w:rsidR="006735E5" w:rsidRPr="00804648">
        <w:rPr>
          <w:rFonts w:asciiTheme="minorHAnsi" w:hAnsiTheme="minorHAnsi"/>
          <w:snapToGrid w:val="0"/>
        </w:rPr>
        <w:t xml:space="preserve"> (iii)</w:t>
      </w:r>
      <w:r w:rsidR="0094750E" w:rsidRPr="00804648">
        <w:rPr>
          <w:rFonts w:asciiTheme="minorHAnsi" w:hAnsiTheme="minorHAnsi"/>
          <w:snapToGrid w:val="0"/>
        </w:rPr>
        <w:t xml:space="preserve"> that the TGA approved olipudase alfa for ASMD ‘</w:t>
      </w:r>
      <w:r w:rsidR="00D65F59" w:rsidRPr="00804648">
        <w:t>t</w:t>
      </w:r>
      <w:r w:rsidR="0094750E" w:rsidRPr="00804648">
        <w:t>ype B and intermediate form [</w:t>
      </w:r>
      <w:r w:rsidR="006735E5" w:rsidRPr="00804648">
        <w:t xml:space="preserve">i.e. </w:t>
      </w:r>
      <w:r w:rsidR="0094750E" w:rsidRPr="00804648">
        <w:t>type A/B]’.</w:t>
      </w:r>
      <w:r w:rsidR="00686064" w:rsidRPr="00804648">
        <w:t xml:space="preserve"> While the PBAC accepted that olipudase alfa may be effective in ASMD type A/B, </w:t>
      </w:r>
      <w:r w:rsidR="006735E5" w:rsidRPr="00804648">
        <w:t>it</w:t>
      </w:r>
      <w:r w:rsidR="00A2790A" w:rsidRPr="00804648">
        <w:t xml:space="preserve"> considered </w:t>
      </w:r>
      <w:r w:rsidR="00686064" w:rsidRPr="00804648">
        <w:t xml:space="preserve">the clinical benefit in </w:t>
      </w:r>
      <w:r w:rsidR="00A2790A" w:rsidRPr="00804648">
        <w:t>type A/B patients</w:t>
      </w:r>
      <w:r w:rsidR="00686064" w:rsidRPr="00804648">
        <w:t xml:space="preserve"> </w:t>
      </w:r>
      <w:r w:rsidR="006735E5" w:rsidRPr="00804648">
        <w:t>to</w:t>
      </w:r>
      <w:r w:rsidR="00A2790A" w:rsidRPr="00804648">
        <w:t xml:space="preserve"> be</w:t>
      </w:r>
      <w:r w:rsidR="00686064" w:rsidRPr="00804648">
        <w:t xml:space="preserve"> </w:t>
      </w:r>
      <w:r w:rsidR="00A2790A" w:rsidRPr="00804648">
        <w:t>less certain compared with type B</w:t>
      </w:r>
      <w:r w:rsidR="00686064" w:rsidRPr="00804648">
        <w:t>, given</w:t>
      </w:r>
      <w:r w:rsidR="006735E5" w:rsidRPr="00804648">
        <w:t xml:space="preserve"> the</w:t>
      </w:r>
      <w:r w:rsidR="00686064" w:rsidRPr="00804648">
        <w:t xml:space="preserve"> lack of</w:t>
      </w:r>
      <w:r w:rsidR="00A2790A" w:rsidRPr="00804648">
        <w:t xml:space="preserve"> clinical</w:t>
      </w:r>
      <w:r w:rsidR="00686064" w:rsidRPr="00804648">
        <w:t xml:space="preserve"> evidence </w:t>
      </w:r>
      <w:r w:rsidR="00A2790A" w:rsidRPr="00804648">
        <w:t>and the lower</w:t>
      </w:r>
      <w:r w:rsidR="00686064" w:rsidRPr="00804648">
        <w:t xml:space="preserve"> </w:t>
      </w:r>
      <w:r w:rsidR="00A2790A" w:rsidRPr="00804648">
        <w:t xml:space="preserve">expected untreated patient </w:t>
      </w:r>
      <w:r w:rsidR="00686064" w:rsidRPr="00804648">
        <w:t>survival.</w:t>
      </w:r>
    </w:p>
    <w:p w14:paraId="13AAE9AA" w14:textId="61A341C5" w:rsidR="00667770" w:rsidRPr="00804648" w:rsidRDefault="00667770" w:rsidP="00F9696B">
      <w:pPr>
        <w:widowControl w:val="0"/>
        <w:numPr>
          <w:ilvl w:val="1"/>
          <w:numId w:val="1"/>
        </w:numPr>
        <w:spacing w:after="120"/>
        <w:rPr>
          <w:rFonts w:asciiTheme="minorHAnsi" w:hAnsiTheme="minorHAnsi"/>
          <w:snapToGrid w:val="0"/>
        </w:rPr>
      </w:pPr>
      <w:r w:rsidRPr="00804648">
        <w:rPr>
          <w:rFonts w:asciiTheme="minorHAnsi" w:hAnsiTheme="minorHAnsi"/>
          <w:snapToGrid w:val="0"/>
        </w:rPr>
        <w:t xml:space="preserve">The PBAC </w:t>
      </w:r>
      <w:r w:rsidR="0059137E" w:rsidRPr="00804648">
        <w:rPr>
          <w:rFonts w:asciiTheme="minorHAnsi" w:hAnsiTheme="minorHAnsi"/>
          <w:snapToGrid w:val="0"/>
        </w:rPr>
        <w:t xml:space="preserve">noted the base case ICER was over </w:t>
      </w:r>
      <w:r w:rsidR="000508C9">
        <w:rPr>
          <w:rFonts w:asciiTheme="minorHAnsi" w:hAnsiTheme="minorHAnsi"/>
          <w:snapToGrid w:val="0"/>
        </w:rPr>
        <w:t>&gt;</w:t>
      </w:r>
      <w:r w:rsidR="00EB4409">
        <w:rPr>
          <w:rFonts w:asciiTheme="minorHAnsi" w:hAnsiTheme="minorHAnsi"/>
          <w:snapToGrid w:val="0"/>
        </w:rPr>
        <w:t> </w:t>
      </w:r>
      <w:r w:rsidR="000508C9">
        <w:rPr>
          <w:rFonts w:asciiTheme="minorHAnsi" w:hAnsiTheme="minorHAnsi"/>
          <w:snapToGrid w:val="0"/>
        </w:rPr>
        <w:t>$1,055,000</w:t>
      </w:r>
      <w:r w:rsidR="0059137E" w:rsidRPr="00804648">
        <w:rPr>
          <w:rFonts w:asciiTheme="minorHAnsi" w:hAnsiTheme="minorHAnsi"/>
          <w:snapToGrid w:val="0"/>
        </w:rPr>
        <w:t xml:space="preserve"> per QALY for the adult and paediatric population. The PBAC </w:t>
      </w:r>
      <w:r w:rsidRPr="00804648">
        <w:rPr>
          <w:rFonts w:asciiTheme="minorHAnsi" w:hAnsiTheme="minorHAnsi"/>
          <w:snapToGrid w:val="0"/>
        </w:rPr>
        <w:t xml:space="preserve">agreed with the ESC and the evaluation that the </w:t>
      </w:r>
      <w:r w:rsidR="0063040F" w:rsidRPr="00804648">
        <w:rPr>
          <w:rFonts w:asciiTheme="minorHAnsi" w:hAnsiTheme="minorHAnsi"/>
          <w:snapToGrid w:val="0"/>
        </w:rPr>
        <w:t xml:space="preserve">economic </w:t>
      </w:r>
      <w:r w:rsidRPr="00804648">
        <w:rPr>
          <w:rFonts w:asciiTheme="minorHAnsi" w:hAnsiTheme="minorHAnsi"/>
          <w:snapToGrid w:val="0"/>
        </w:rPr>
        <w:t>model structure with multiple health states defined by mild/moderate/severe splenomegaly and lung function</w:t>
      </w:r>
      <w:r w:rsidR="00DB7D8A" w:rsidRPr="00804648">
        <w:rPr>
          <w:rFonts w:asciiTheme="minorHAnsi" w:hAnsiTheme="minorHAnsi"/>
          <w:snapToGrid w:val="0"/>
        </w:rPr>
        <w:t xml:space="preserve"> (9 health states in total)</w:t>
      </w:r>
      <w:r w:rsidRPr="00804648">
        <w:rPr>
          <w:rFonts w:asciiTheme="minorHAnsi" w:hAnsiTheme="minorHAnsi"/>
          <w:snapToGrid w:val="0"/>
        </w:rPr>
        <w:t xml:space="preserve"> was overly complex and not well justified</w:t>
      </w:r>
      <w:r w:rsidR="00DB7D8A" w:rsidRPr="00804648">
        <w:rPr>
          <w:rFonts w:asciiTheme="minorHAnsi" w:hAnsiTheme="minorHAnsi"/>
          <w:snapToGrid w:val="0"/>
        </w:rPr>
        <w:t>, given the very small patient numbers and insufficient evidence to populate transition probabilities and utilities</w:t>
      </w:r>
      <w:r w:rsidRPr="00804648">
        <w:rPr>
          <w:rFonts w:asciiTheme="minorHAnsi" w:hAnsiTheme="minorHAnsi"/>
          <w:snapToGrid w:val="0"/>
        </w:rPr>
        <w:t>.</w:t>
      </w:r>
      <w:r w:rsidR="00DB7D8A" w:rsidRPr="00804648">
        <w:rPr>
          <w:rFonts w:asciiTheme="minorHAnsi" w:hAnsiTheme="minorHAnsi"/>
          <w:snapToGrid w:val="0"/>
        </w:rPr>
        <w:t xml:space="preserve"> The PBAC noted that the model appears overly optimistic for olipudase alfa and does not generate clinically plausible estimates of survival.</w:t>
      </w:r>
      <w:r w:rsidR="00644B30" w:rsidRPr="00804648">
        <w:rPr>
          <w:rFonts w:asciiTheme="minorHAnsi" w:hAnsiTheme="minorHAnsi"/>
          <w:snapToGrid w:val="0"/>
        </w:rPr>
        <w:t xml:space="preserve"> The PBAC considered </w:t>
      </w:r>
      <w:r w:rsidR="00820735" w:rsidRPr="00804648">
        <w:rPr>
          <w:rFonts w:asciiTheme="minorHAnsi" w:hAnsiTheme="minorHAnsi"/>
          <w:snapToGrid w:val="0"/>
        </w:rPr>
        <w:t xml:space="preserve">the </w:t>
      </w:r>
      <w:r w:rsidR="000D0046" w:rsidRPr="00804648">
        <w:rPr>
          <w:rFonts w:asciiTheme="minorHAnsi" w:hAnsiTheme="minorHAnsi"/>
          <w:snapToGrid w:val="0"/>
        </w:rPr>
        <w:t xml:space="preserve">ICER </w:t>
      </w:r>
      <w:r w:rsidR="0059137E" w:rsidRPr="00804648">
        <w:rPr>
          <w:rFonts w:asciiTheme="minorHAnsi" w:hAnsiTheme="minorHAnsi"/>
          <w:snapToGrid w:val="0"/>
        </w:rPr>
        <w:t>to be</w:t>
      </w:r>
      <w:r w:rsidR="000D0046" w:rsidRPr="00804648">
        <w:rPr>
          <w:rFonts w:asciiTheme="minorHAnsi" w:hAnsiTheme="minorHAnsi"/>
          <w:snapToGrid w:val="0"/>
        </w:rPr>
        <w:t xml:space="preserve"> extremely high and uncertain.</w:t>
      </w:r>
    </w:p>
    <w:p w14:paraId="14CCDA12" w14:textId="28D2F55B" w:rsidR="00D72BD4" w:rsidRPr="00804648" w:rsidRDefault="00D72BD4" w:rsidP="002F50E6">
      <w:pPr>
        <w:pStyle w:val="ListParagraph"/>
        <w:numPr>
          <w:ilvl w:val="1"/>
          <w:numId w:val="1"/>
        </w:numPr>
      </w:pPr>
      <w:r w:rsidRPr="00804648">
        <w:t xml:space="preserve">The PBAC </w:t>
      </w:r>
      <w:r w:rsidR="00C9594C" w:rsidRPr="00804648">
        <w:t>agreed with the DUSC</w:t>
      </w:r>
      <w:r w:rsidRPr="00804648">
        <w:t xml:space="preserve"> that while the </w:t>
      </w:r>
      <w:r w:rsidR="009F45B4" w:rsidRPr="00804648">
        <w:t>utilisation</w:t>
      </w:r>
      <w:r w:rsidRPr="00804648">
        <w:t xml:space="preserve"> estimates presented in the submission </w:t>
      </w:r>
      <w:r w:rsidR="00D23EB2" w:rsidRPr="00804648">
        <w:t>were</w:t>
      </w:r>
      <w:r w:rsidRPr="00804648">
        <w:t xml:space="preserve"> reasonable</w:t>
      </w:r>
      <w:r w:rsidR="009F45B4" w:rsidRPr="00804648">
        <w:t xml:space="preserve"> in the context of th</w:t>
      </w:r>
      <w:r w:rsidR="0063040F" w:rsidRPr="00804648">
        <w:t>e</w:t>
      </w:r>
      <w:r w:rsidR="009F45B4" w:rsidRPr="00804648">
        <w:t xml:space="preserve"> data available, </w:t>
      </w:r>
      <w:r w:rsidR="00C9594C" w:rsidRPr="00804648">
        <w:t xml:space="preserve">there were </w:t>
      </w:r>
      <w:r w:rsidR="009F45B4" w:rsidRPr="00804648">
        <w:t xml:space="preserve">several uncertainties regarding </w:t>
      </w:r>
      <w:r w:rsidR="0063040F" w:rsidRPr="00804648">
        <w:t xml:space="preserve">the </w:t>
      </w:r>
      <w:r w:rsidR="009F45B4" w:rsidRPr="00804648">
        <w:t xml:space="preserve">incident patient population, body weight estimates, and regulatory status of the 4 mg </w:t>
      </w:r>
      <w:r w:rsidR="004702C3" w:rsidRPr="00804648">
        <w:t>vial</w:t>
      </w:r>
      <w:r w:rsidR="009F45B4" w:rsidRPr="00804648">
        <w:t>. The PBAC also noted DUSC’s view that with the availability of new and more sensitive screening tests in the future, olipudase alfa may be utilised beyond the currently identified population.</w:t>
      </w:r>
    </w:p>
    <w:p w14:paraId="6EDE7298" w14:textId="3E54E751" w:rsidR="002F50E6" w:rsidRPr="00804648" w:rsidRDefault="002F50E6" w:rsidP="002F50E6">
      <w:pPr>
        <w:pStyle w:val="ListParagraph"/>
        <w:numPr>
          <w:ilvl w:val="1"/>
          <w:numId w:val="1"/>
        </w:numPr>
      </w:pPr>
      <w:r w:rsidRPr="00804648">
        <w:t>The PBAC noted that this submission is eligible for an Independent Review.</w:t>
      </w:r>
    </w:p>
    <w:p w14:paraId="0FB43992" w14:textId="77777777" w:rsidR="002F50E6" w:rsidRPr="00804648" w:rsidRDefault="002F50E6" w:rsidP="002F50E6">
      <w:pPr>
        <w:spacing w:before="240"/>
        <w:rPr>
          <w:rFonts w:asciiTheme="minorHAnsi" w:hAnsiTheme="minorHAnsi"/>
          <w:b/>
          <w:bCs/>
          <w:snapToGrid w:val="0"/>
        </w:rPr>
      </w:pPr>
      <w:r w:rsidRPr="00804648">
        <w:rPr>
          <w:rFonts w:asciiTheme="minorHAnsi" w:hAnsiTheme="minorHAnsi"/>
          <w:b/>
          <w:bCs/>
          <w:snapToGrid w:val="0"/>
        </w:rPr>
        <w:t>Outcome:</w:t>
      </w:r>
    </w:p>
    <w:p w14:paraId="18EB44AC" w14:textId="7B383444" w:rsidR="00973855" w:rsidRDefault="002F50E6" w:rsidP="00B526B7">
      <w:pPr>
        <w:rPr>
          <w:rFonts w:asciiTheme="minorHAnsi" w:hAnsiTheme="minorHAnsi"/>
          <w:bCs/>
          <w:snapToGrid w:val="0"/>
        </w:rPr>
      </w:pPr>
      <w:r w:rsidRPr="00804648">
        <w:rPr>
          <w:rFonts w:asciiTheme="minorHAnsi" w:hAnsiTheme="minorHAnsi"/>
          <w:bCs/>
          <w:snapToGrid w:val="0"/>
        </w:rPr>
        <w:t>Not recommended</w:t>
      </w:r>
      <w:bookmarkEnd w:id="97"/>
      <w:bookmarkEnd w:id="98"/>
      <w:bookmarkEnd w:id="99"/>
    </w:p>
    <w:p w14:paraId="6F48B25C" w14:textId="4CC88403" w:rsidR="00973855" w:rsidRPr="00973855" w:rsidRDefault="00973855" w:rsidP="00B531B4">
      <w:pPr>
        <w:pStyle w:val="2-SectionHeading"/>
        <w:numPr>
          <w:ilvl w:val="0"/>
          <w:numId w:val="1"/>
        </w:numPr>
      </w:pPr>
      <w:r w:rsidRPr="00C07617">
        <w:t>Context for Decision</w:t>
      </w:r>
    </w:p>
    <w:p w14:paraId="52EF7532" w14:textId="77777777" w:rsidR="00973855" w:rsidRPr="007129F2" w:rsidRDefault="00973855" w:rsidP="0097385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6FF015" w14:textId="4E45FC9C" w:rsidR="00973855" w:rsidRPr="00973855" w:rsidRDefault="00973855" w:rsidP="00B531B4">
      <w:pPr>
        <w:pStyle w:val="2-SectionHeading"/>
        <w:numPr>
          <w:ilvl w:val="0"/>
          <w:numId w:val="1"/>
        </w:numPr>
      </w:pPr>
      <w:r>
        <w:lastRenderedPageBreak/>
        <w:t>Sponsor’s Comment</w:t>
      </w:r>
    </w:p>
    <w:p w14:paraId="62443F99" w14:textId="363A1043" w:rsidR="00973855" w:rsidRPr="00F26ED8" w:rsidRDefault="00973855" w:rsidP="00F26ED8">
      <w:pPr>
        <w:spacing w:after="120"/>
        <w:ind w:left="426" w:firstLine="294"/>
        <w:rPr>
          <w:rFonts w:asciiTheme="minorHAnsi" w:hAnsiTheme="minorHAnsi"/>
          <w:bCs/>
        </w:rPr>
      </w:pPr>
      <w:r w:rsidRPr="00C07617">
        <w:rPr>
          <w:rFonts w:asciiTheme="minorHAnsi" w:hAnsiTheme="minorHAnsi"/>
          <w:bCs/>
        </w:rPr>
        <w:t>The sponsor had no comment.</w:t>
      </w:r>
    </w:p>
    <w:sectPr w:rsidR="00973855" w:rsidRPr="00F26ED8" w:rsidSect="00582B70">
      <w:headerReference w:type="default" r:id="rId19"/>
      <w:footerReference w:type="defaul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7AC73" w14:textId="77777777" w:rsidR="00E37023" w:rsidRDefault="00E37023" w:rsidP="00124A51">
      <w:r>
        <w:separator/>
      </w:r>
    </w:p>
    <w:p w14:paraId="069F736D" w14:textId="77777777" w:rsidR="00E37023" w:rsidRDefault="00E37023"/>
  </w:endnote>
  <w:endnote w:type="continuationSeparator" w:id="0">
    <w:p w14:paraId="79A8D5FD" w14:textId="77777777" w:rsidR="00E37023" w:rsidRDefault="00E37023" w:rsidP="00124A51">
      <w:r>
        <w:continuationSeparator/>
      </w:r>
    </w:p>
    <w:p w14:paraId="5D2641F8" w14:textId="77777777" w:rsidR="00E37023" w:rsidRDefault="00E37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34009B" w:rsidRDefault="0034009B" w:rsidP="00753B29">
    <w:pPr>
      <w:pStyle w:val="Footer"/>
      <w:jc w:val="center"/>
    </w:pPr>
  </w:p>
  <w:p w14:paraId="37484CD3" w14:textId="50D59524" w:rsidR="0034009B" w:rsidRPr="00CD482D" w:rsidRDefault="00E42CEA" w:rsidP="00753B29">
    <w:pPr>
      <w:pStyle w:val="Footer"/>
      <w:jc w:val="center"/>
      <w:rPr>
        <w:b/>
        <w:bCs/>
      </w:rPr>
    </w:pPr>
    <w:sdt>
      <w:sdtPr>
        <w:id w:val="1036156457"/>
        <w:docPartObj>
          <w:docPartGallery w:val="Page Numbers (Bottom of Page)"/>
          <w:docPartUnique/>
        </w:docPartObj>
      </w:sdtPr>
      <w:sdtEndPr>
        <w:rPr>
          <w:b/>
          <w:bCs/>
          <w:noProof/>
        </w:rPr>
      </w:sdtEndPr>
      <w:sdtContent>
        <w:r w:rsidR="0034009B" w:rsidRPr="00CD482D">
          <w:rPr>
            <w:b/>
            <w:bCs/>
          </w:rPr>
          <w:fldChar w:fldCharType="begin"/>
        </w:r>
        <w:r w:rsidR="0034009B" w:rsidRPr="00CD482D">
          <w:rPr>
            <w:b/>
            <w:bCs/>
          </w:rPr>
          <w:instrText xml:space="preserve"> PAGE   \* MERGEFORMAT </w:instrText>
        </w:r>
        <w:r w:rsidR="0034009B" w:rsidRPr="00CD482D">
          <w:rPr>
            <w:b/>
            <w:bCs/>
          </w:rPr>
          <w:fldChar w:fldCharType="separate"/>
        </w:r>
        <w:r w:rsidR="0034009B" w:rsidRPr="00CD482D">
          <w:rPr>
            <w:b/>
            <w:bCs/>
            <w:noProof/>
          </w:rPr>
          <w:t>2</w:t>
        </w:r>
        <w:r w:rsidR="0034009B" w:rsidRPr="00CD482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DFD8F" w14:textId="77777777" w:rsidR="00E37023" w:rsidRDefault="00E37023" w:rsidP="00124A51">
      <w:r>
        <w:separator/>
      </w:r>
    </w:p>
    <w:p w14:paraId="5A552ED7" w14:textId="77777777" w:rsidR="00E37023" w:rsidRDefault="00E37023"/>
  </w:footnote>
  <w:footnote w:type="continuationSeparator" w:id="0">
    <w:p w14:paraId="4D4C3C51" w14:textId="77777777" w:rsidR="00E37023" w:rsidRDefault="00E37023" w:rsidP="00124A51">
      <w:r>
        <w:continuationSeparator/>
      </w:r>
    </w:p>
    <w:p w14:paraId="00B2DA47" w14:textId="77777777" w:rsidR="00E37023" w:rsidRDefault="00E37023"/>
  </w:footnote>
  <w:footnote w:id="1">
    <w:p w14:paraId="30B6B40A" w14:textId="3A1EC244" w:rsidR="0034009B" w:rsidRDefault="0034009B">
      <w:pPr>
        <w:pStyle w:val="FootnoteText"/>
      </w:pPr>
      <w:r>
        <w:rPr>
          <w:rStyle w:val="FootnoteReference"/>
        </w:rPr>
        <w:footnoteRef/>
      </w:r>
      <w:r>
        <w:t xml:space="preserve"> Delegate’s Overview Xenpozyme (olipudase alfa) Version 1.1, 28 February 2023.</w:t>
      </w:r>
    </w:p>
  </w:footnote>
  <w:footnote w:id="2">
    <w:p w14:paraId="7589477F" w14:textId="77777777" w:rsidR="0034009B" w:rsidRDefault="0034009B" w:rsidP="00197A49">
      <w:pPr>
        <w:pStyle w:val="FootnoteText"/>
      </w:pPr>
      <w:r>
        <w:rPr>
          <w:rStyle w:val="FootnoteReference"/>
        </w:rPr>
        <w:footnoteRef/>
      </w:r>
      <w:r>
        <w:t xml:space="preserve"> Chin S. and Fuller M., (2021), ‘</w:t>
      </w:r>
      <w:r w:rsidRPr="00F13EDC">
        <w:t>Prevalence of lysosomal storage disorders in Australia from 2009 to 2020</w:t>
      </w:r>
      <w:r>
        <w:t>’, Lancet Regional Health Western Pacific, 19.</w:t>
      </w:r>
    </w:p>
  </w:footnote>
  <w:footnote w:id="3">
    <w:p w14:paraId="0036BBE6" w14:textId="44036DBD" w:rsidR="0034009B" w:rsidRDefault="0034009B">
      <w:pPr>
        <w:pStyle w:val="FootnoteText"/>
      </w:pPr>
      <w:r>
        <w:rPr>
          <w:rStyle w:val="FootnoteReference"/>
        </w:rPr>
        <w:footnoteRef/>
      </w:r>
      <w:r>
        <w:t xml:space="preserve"> Cassiman D. et al. (2016),</w:t>
      </w:r>
      <w:r w:rsidRPr="00A23E77">
        <w:t xml:space="preserve"> </w:t>
      </w:r>
      <w:r>
        <w:t>‘Cause of death in patients with chronic visceral and chronic neurovisceral acid sphingomyelinase deficiency (Niemann-Pick disease type B and B variant): Literature review and report of new cases’,</w:t>
      </w:r>
      <w:r w:rsidRPr="00A23E77">
        <w:t xml:space="preserve"> Molecular Genetics and Metabolism</w:t>
      </w:r>
      <w:r>
        <w:t>,</w:t>
      </w:r>
      <w:r w:rsidRPr="00A23E77">
        <w:t xml:space="preserve"> 206–213</w:t>
      </w:r>
      <w:r>
        <w:t>.</w:t>
      </w:r>
    </w:p>
  </w:footnote>
  <w:footnote w:id="4">
    <w:p w14:paraId="7EC3E1E0" w14:textId="3EF06DA0" w:rsidR="0034009B" w:rsidRDefault="0034009B">
      <w:pPr>
        <w:pStyle w:val="FootnoteText"/>
      </w:pPr>
      <w:r>
        <w:rPr>
          <w:rStyle w:val="FootnoteReference"/>
        </w:rPr>
        <w:footnoteRef/>
      </w:r>
      <w:r>
        <w:t xml:space="preserve"> McGovern et al. (2013), ‘</w:t>
      </w:r>
      <w:r w:rsidRPr="00B427BC">
        <w:t>Morbidity and mortality in type B Niemann–Pick disease</w:t>
      </w:r>
      <w:r>
        <w:t xml:space="preserve">’, Genetics in Medicine, </w:t>
      </w:r>
      <w:r w:rsidRPr="00E75E23">
        <w:t>15(8):618–623</w:t>
      </w:r>
      <w:r>
        <w:t>.</w:t>
      </w:r>
    </w:p>
  </w:footnote>
  <w:footnote w:id="5">
    <w:p w14:paraId="000ED8F7" w14:textId="4E7886A2" w:rsidR="0034009B" w:rsidRDefault="0034009B" w:rsidP="00197A49">
      <w:pPr>
        <w:pStyle w:val="FootnoteText"/>
      </w:pPr>
      <w:r>
        <w:rPr>
          <w:rStyle w:val="FootnoteReference"/>
        </w:rPr>
        <w:footnoteRef/>
      </w:r>
      <w:r>
        <w:t xml:space="preserve"> Kapetanakis V. et al. (2021), ‘Analysis of Overall Survival (OS) in Patients with Acid Sphingomyelinase Deficiency Type B Using the Standardized Mortality Ratio Method’, 14TH INTERNATIONAL CONGRESS OF INBORN ERRORS OF METABOLISM, Sydney, Australia.</w:t>
      </w:r>
    </w:p>
  </w:footnote>
  <w:footnote w:id="6">
    <w:p w14:paraId="68615BC2" w14:textId="77777777" w:rsidR="0034009B" w:rsidRDefault="0034009B" w:rsidP="00C02F24">
      <w:pPr>
        <w:pStyle w:val="FootnoteText"/>
        <w:jc w:val="left"/>
      </w:pPr>
      <w:r>
        <w:rPr>
          <w:rStyle w:val="FootnoteReference"/>
        </w:rPr>
        <w:footnoteRef/>
      </w:r>
      <w:r>
        <w:t xml:space="preserve"> European Medicines Agency (EMA), (2022), ‘Assessment report – Xenpozyme’, </w:t>
      </w:r>
      <w:hyperlink r:id="rId1" w:history="1">
        <w:r w:rsidRPr="00F06869">
          <w:rPr>
            <w:rStyle w:val="Hyperlink"/>
          </w:rPr>
          <w:t>https://www.ema.europa.eu/en/documents/assessment-report/xenpozyme-epar-public-assessment-report_en.pdf</w:t>
        </w:r>
      </w:hyperlink>
    </w:p>
  </w:footnote>
  <w:footnote w:id="7">
    <w:p w14:paraId="660537EF" w14:textId="139D48D8" w:rsidR="0034009B" w:rsidRDefault="0034009B" w:rsidP="00BB0E82">
      <w:pPr>
        <w:pStyle w:val="FootnoteText"/>
      </w:pPr>
      <w:r>
        <w:rPr>
          <w:rStyle w:val="FootnoteReference"/>
        </w:rPr>
        <w:footnoteRef/>
      </w:r>
      <w:r>
        <w:t xml:space="preserve"> </w:t>
      </w:r>
      <w:r w:rsidRPr="00BB0E82">
        <w:t>Geberhiwot</w:t>
      </w:r>
      <w:r>
        <w:t xml:space="preserve"> et al. (2023), ‘Consensus clinical management guidelines for acid sphingomyelinase deficiency (Niemann–Pick disease types A, B and A/B)’, </w:t>
      </w:r>
      <w:r w:rsidRPr="00BB0E82">
        <w:rPr>
          <w:i/>
          <w:iCs/>
        </w:rPr>
        <w:t>Orphanet Journal of Rare Diseases</w:t>
      </w:r>
      <w:r>
        <w:t>, 18:85</w:t>
      </w:r>
    </w:p>
  </w:footnote>
  <w:footnote w:id="8">
    <w:p w14:paraId="218C0D30" w14:textId="77777777" w:rsidR="0034009B" w:rsidRDefault="0034009B" w:rsidP="00E164AC">
      <w:pPr>
        <w:pStyle w:val="FootnoteText"/>
      </w:pPr>
      <w:r>
        <w:rPr>
          <w:rStyle w:val="FootnoteReference"/>
        </w:rPr>
        <w:footnoteRef/>
      </w:r>
      <w:r>
        <w:t xml:space="preserve"> Jones et al. (2020), ‘Clinical relevance of endpoints in clinical trials for acid sphingomyelinase</w:t>
      </w:r>
    </w:p>
    <w:p w14:paraId="05095316" w14:textId="6B2B9D11" w:rsidR="0034009B" w:rsidRDefault="0034009B" w:rsidP="00E164AC">
      <w:pPr>
        <w:pStyle w:val="FootnoteText"/>
      </w:pPr>
      <w:r>
        <w:t>deficiency enzyme replacement therapy’, Molecular Genetics and Metabolism, 131</w:t>
      </w:r>
      <w:r w:rsidRPr="00E75E23">
        <w:t>:</w:t>
      </w:r>
      <w:r>
        <w:t>116</w:t>
      </w:r>
      <w:r w:rsidRPr="00E75E23">
        <w:t>–</w:t>
      </w:r>
      <w:r>
        <w:t>1</w:t>
      </w:r>
      <w:r w:rsidRPr="00E75E23">
        <w:t>23</w:t>
      </w:r>
      <w:r>
        <w:t>.</w:t>
      </w:r>
    </w:p>
  </w:footnote>
  <w:footnote w:id="9">
    <w:p w14:paraId="67A7B7F1" w14:textId="45737601" w:rsidR="0034009B" w:rsidRDefault="0034009B" w:rsidP="00E164AC">
      <w:pPr>
        <w:pStyle w:val="FootnoteText"/>
      </w:pPr>
      <w:r>
        <w:rPr>
          <w:rStyle w:val="FootnoteReference"/>
        </w:rPr>
        <w:footnoteRef/>
      </w:r>
      <w:r>
        <w:t xml:space="preserve"> Mengel et al. (2022), ‘Clinical relevance of diffusing capacity of the lungs for carbon monoxide (DLco) in patients with chronic acid sphingomyelinase deficiency (ASMD)’, SSIEM Annual Symposium 2022 Abstract no.: SSIEM22</w:t>
      </w:r>
      <w:r>
        <w:noBreakHyphen/>
        <w:t>2622.</w:t>
      </w:r>
    </w:p>
  </w:footnote>
  <w:footnote w:id="10">
    <w:p w14:paraId="232DE25A" w14:textId="7CBA170D" w:rsidR="0034009B" w:rsidRDefault="0034009B" w:rsidP="008509A1">
      <w:pPr>
        <w:pStyle w:val="FootnoteText"/>
      </w:pPr>
      <w:r>
        <w:rPr>
          <w:rStyle w:val="FootnoteReference"/>
        </w:rPr>
        <w:footnoteRef/>
      </w:r>
      <w:r>
        <w:t xml:space="preserve"> </w:t>
      </w:r>
      <w:r>
        <w:rPr>
          <w:rFonts w:eastAsia="Calibri"/>
          <w:iCs/>
        </w:rPr>
        <w:t xml:space="preserve">McGovern </w:t>
      </w:r>
      <w:r>
        <w:t xml:space="preserve">et al. (2017), ‘Disease manifestations and burden of illness in patients with acid sphingomyelinase deficiency (ASMD)’, </w:t>
      </w:r>
      <w:r w:rsidRPr="008509A1">
        <w:t>Orphanet Journal of Rare Diseases</w:t>
      </w:r>
      <w:r>
        <w:t>, 12</w:t>
      </w:r>
      <w:r w:rsidRPr="00E75E23">
        <w:t>:</w:t>
      </w:r>
      <w:r>
        <w:t>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4142EBB8" w:rsidR="0034009B" w:rsidRPr="00973855" w:rsidRDefault="00973855" w:rsidP="00973855">
    <w:pPr>
      <w:pStyle w:val="Header"/>
      <w:rPr>
        <w:rFonts w:asciiTheme="minorHAnsi" w:hAnsiTheme="minorHAnsi"/>
        <w:i/>
        <w:color w:val="808080"/>
      </w:rPr>
    </w:pPr>
    <w:r>
      <w:rPr>
        <w:rFonts w:asciiTheme="minorHAnsi" w:hAnsiTheme="minorHAnsi"/>
        <w:i/>
        <w:color w:val="808080"/>
      </w:rPr>
      <w:t>Public Summary Document</w:t>
    </w:r>
    <w:r w:rsidR="0034009B" w:rsidRPr="00056684">
      <w:rPr>
        <w:rFonts w:asciiTheme="minorHAnsi" w:hAnsiTheme="minorHAnsi"/>
        <w:i/>
        <w:color w:val="808080"/>
      </w:rPr>
      <w:t xml:space="preserve"> – </w:t>
    </w:r>
    <w:r w:rsidR="0034009B">
      <w:rPr>
        <w:rFonts w:asciiTheme="minorHAnsi" w:hAnsiTheme="minorHAnsi"/>
        <w:i/>
        <w:color w:val="808080"/>
      </w:rPr>
      <w:t>July 2023</w:t>
    </w:r>
    <w:r w:rsidR="0034009B" w:rsidRPr="00056684">
      <w:rPr>
        <w:rFonts w:asciiTheme="minorHAnsi" w:hAnsiTheme="minorHAnsi"/>
        <w:i/>
        <w:color w:val="808080"/>
      </w:rPr>
      <w:t xml:space="preserve"> PBAC Meeting</w:t>
    </w:r>
    <w:r w:rsidR="00780682">
      <w:rPr>
        <w:rFonts w:asciiTheme="minorHAnsi" w:hAnsiTheme="minorHAnsi"/>
        <w:i/>
        <w:color w:val="80808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65836"/>
    <w:multiLevelType w:val="hybridMultilevel"/>
    <w:tmpl w:val="D0829A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32E77D9A"/>
    <w:multiLevelType w:val="hybridMultilevel"/>
    <w:tmpl w:val="A65EDC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42376C72"/>
    <w:multiLevelType w:val="hybridMultilevel"/>
    <w:tmpl w:val="B9C4376E"/>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FDF6765A">
      <w:start w:val="1"/>
      <w:numFmt w:val="bullet"/>
      <w:lvlText w:val="-"/>
      <w:lvlJc w:val="left"/>
      <w:pPr>
        <w:ind w:left="1446" w:hanging="360"/>
      </w:pPr>
      <w:rPr>
        <w:rFonts w:ascii="Calibri" w:eastAsia="Times New Roman" w:hAnsi="Calibri" w:cs="Calibri" w:hint="default"/>
        <w:i w:val="0"/>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D67A6"/>
    <w:multiLevelType w:val="hybridMultilevel"/>
    <w:tmpl w:val="69043EFE"/>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13C23"/>
    <w:multiLevelType w:val="hybridMultilevel"/>
    <w:tmpl w:val="B016A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FA5810"/>
    <w:multiLevelType w:val="hybridMultilevel"/>
    <w:tmpl w:val="40B6E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6AFA3C06"/>
    <w:multiLevelType w:val="hybridMultilevel"/>
    <w:tmpl w:val="BF1C1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3F633E"/>
    <w:multiLevelType w:val="hybridMultilevel"/>
    <w:tmpl w:val="BE288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D766A6"/>
    <w:multiLevelType w:val="multilevel"/>
    <w:tmpl w:val="941210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01471450">
    <w:abstractNumId w:val="11"/>
  </w:num>
  <w:num w:numId="2" w16cid:durableId="1298876301">
    <w:abstractNumId w:val="3"/>
  </w:num>
  <w:num w:numId="3" w16cid:durableId="881864836">
    <w:abstractNumId w:val="4"/>
  </w:num>
  <w:num w:numId="4" w16cid:durableId="141311472">
    <w:abstractNumId w:val="11"/>
  </w:num>
  <w:num w:numId="5" w16cid:durableId="2067752134">
    <w:abstractNumId w:val="2"/>
  </w:num>
  <w:num w:numId="6" w16cid:durableId="1982879666">
    <w:abstractNumId w:val="7"/>
  </w:num>
  <w:num w:numId="7" w16cid:durableId="84695616">
    <w:abstractNumId w:val="6"/>
  </w:num>
  <w:num w:numId="8" w16cid:durableId="52698899">
    <w:abstractNumId w:val="5"/>
  </w:num>
  <w:num w:numId="9" w16cid:durableId="2082290720">
    <w:abstractNumId w:val="9"/>
  </w:num>
  <w:num w:numId="10" w16cid:durableId="246697721">
    <w:abstractNumId w:val="0"/>
  </w:num>
  <w:num w:numId="11" w16cid:durableId="1583417626">
    <w:abstractNumId w:val="1"/>
  </w:num>
  <w:num w:numId="12" w16cid:durableId="1444762539">
    <w:abstractNumId w:val="10"/>
  </w:num>
  <w:num w:numId="13" w16cid:durableId="725838695">
    <w:abstractNumId w:val="8"/>
  </w:num>
  <w:num w:numId="14" w16cid:durableId="1866401389">
    <w:abstractNumId w:val="11"/>
  </w:num>
  <w:num w:numId="15" w16cid:durableId="1720547683">
    <w:abstractNumId w:val="11"/>
  </w:num>
  <w:num w:numId="16" w16cid:durableId="118046152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MTIxMDW2MAIBJR2l4NTi4sz8PJACw1oAlg6LgywAAAA="/>
  </w:docVars>
  <w:rsids>
    <w:rsidRoot w:val="00E65E79"/>
    <w:rsid w:val="000001E9"/>
    <w:rsid w:val="00000790"/>
    <w:rsid w:val="00000A16"/>
    <w:rsid w:val="0000110B"/>
    <w:rsid w:val="0000254A"/>
    <w:rsid w:val="00002623"/>
    <w:rsid w:val="00002FCA"/>
    <w:rsid w:val="00003038"/>
    <w:rsid w:val="0000337C"/>
    <w:rsid w:val="00003452"/>
    <w:rsid w:val="00003499"/>
    <w:rsid w:val="000039B7"/>
    <w:rsid w:val="00003CC7"/>
    <w:rsid w:val="00004A22"/>
    <w:rsid w:val="000056B9"/>
    <w:rsid w:val="00005989"/>
    <w:rsid w:val="000060CE"/>
    <w:rsid w:val="0000639A"/>
    <w:rsid w:val="000075CF"/>
    <w:rsid w:val="00012189"/>
    <w:rsid w:val="00013247"/>
    <w:rsid w:val="000146C7"/>
    <w:rsid w:val="00015886"/>
    <w:rsid w:val="000162EF"/>
    <w:rsid w:val="000203AA"/>
    <w:rsid w:val="000203F4"/>
    <w:rsid w:val="000207C9"/>
    <w:rsid w:val="0002225F"/>
    <w:rsid w:val="000223A4"/>
    <w:rsid w:val="000228C7"/>
    <w:rsid w:val="00023763"/>
    <w:rsid w:val="00024EB5"/>
    <w:rsid w:val="00026066"/>
    <w:rsid w:val="00026796"/>
    <w:rsid w:val="000274B8"/>
    <w:rsid w:val="00032762"/>
    <w:rsid w:val="00033863"/>
    <w:rsid w:val="00034571"/>
    <w:rsid w:val="00035A3E"/>
    <w:rsid w:val="00035DC0"/>
    <w:rsid w:val="00036025"/>
    <w:rsid w:val="00036829"/>
    <w:rsid w:val="000368FB"/>
    <w:rsid w:val="00040895"/>
    <w:rsid w:val="000410A0"/>
    <w:rsid w:val="000414D8"/>
    <w:rsid w:val="00043342"/>
    <w:rsid w:val="000435EE"/>
    <w:rsid w:val="00043C37"/>
    <w:rsid w:val="00043DA3"/>
    <w:rsid w:val="00044122"/>
    <w:rsid w:val="00044E64"/>
    <w:rsid w:val="00045017"/>
    <w:rsid w:val="00045142"/>
    <w:rsid w:val="000452F7"/>
    <w:rsid w:val="00045A2B"/>
    <w:rsid w:val="00046342"/>
    <w:rsid w:val="0004698F"/>
    <w:rsid w:val="00046A64"/>
    <w:rsid w:val="00046D64"/>
    <w:rsid w:val="000477AA"/>
    <w:rsid w:val="000508C2"/>
    <w:rsid w:val="000508C9"/>
    <w:rsid w:val="00051812"/>
    <w:rsid w:val="00053277"/>
    <w:rsid w:val="000539D0"/>
    <w:rsid w:val="00054621"/>
    <w:rsid w:val="000546D7"/>
    <w:rsid w:val="00054A8D"/>
    <w:rsid w:val="00054C3B"/>
    <w:rsid w:val="00056683"/>
    <w:rsid w:val="000568DC"/>
    <w:rsid w:val="00056ECF"/>
    <w:rsid w:val="000604DF"/>
    <w:rsid w:val="00060B78"/>
    <w:rsid w:val="00061707"/>
    <w:rsid w:val="00062324"/>
    <w:rsid w:val="00064493"/>
    <w:rsid w:val="000653B5"/>
    <w:rsid w:val="00066360"/>
    <w:rsid w:val="00066AF8"/>
    <w:rsid w:val="00067651"/>
    <w:rsid w:val="00071248"/>
    <w:rsid w:val="0007172C"/>
    <w:rsid w:val="00071E5D"/>
    <w:rsid w:val="000720B9"/>
    <w:rsid w:val="000722AA"/>
    <w:rsid w:val="0007296C"/>
    <w:rsid w:val="000734C6"/>
    <w:rsid w:val="000737F7"/>
    <w:rsid w:val="00073E04"/>
    <w:rsid w:val="000743A2"/>
    <w:rsid w:val="0007531C"/>
    <w:rsid w:val="00075C0D"/>
    <w:rsid w:val="0007672F"/>
    <w:rsid w:val="00076B54"/>
    <w:rsid w:val="000774F0"/>
    <w:rsid w:val="000775D5"/>
    <w:rsid w:val="000802AA"/>
    <w:rsid w:val="00080909"/>
    <w:rsid w:val="000812CA"/>
    <w:rsid w:val="00081E63"/>
    <w:rsid w:val="0008258D"/>
    <w:rsid w:val="00083E99"/>
    <w:rsid w:val="00084FA8"/>
    <w:rsid w:val="000856C5"/>
    <w:rsid w:val="00085C31"/>
    <w:rsid w:val="00086EB0"/>
    <w:rsid w:val="000902D9"/>
    <w:rsid w:val="00090C7E"/>
    <w:rsid w:val="000911AC"/>
    <w:rsid w:val="00091C7A"/>
    <w:rsid w:val="00092600"/>
    <w:rsid w:val="0009262B"/>
    <w:rsid w:val="00093310"/>
    <w:rsid w:val="0009391A"/>
    <w:rsid w:val="0009445C"/>
    <w:rsid w:val="00094494"/>
    <w:rsid w:val="00095200"/>
    <w:rsid w:val="00095FE5"/>
    <w:rsid w:val="00096284"/>
    <w:rsid w:val="000A0644"/>
    <w:rsid w:val="000A1BC0"/>
    <w:rsid w:val="000A1EB6"/>
    <w:rsid w:val="000A2F9E"/>
    <w:rsid w:val="000A3E47"/>
    <w:rsid w:val="000A522B"/>
    <w:rsid w:val="000A6039"/>
    <w:rsid w:val="000A66E4"/>
    <w:rsid w:val="000A7453"/>
    <w:rsid w:val="000A7D08"/>
    <w:rsid w:val="000B0121"/>
    <w:rsid w:val="000B0670"/>
    <w:rsid w:val="000B0E75"/>
    <w:rsid w:val="000B167F"/>
    <w:rsid w:val="000B276E"/>
    <w:rsid w:val="000B2DCB"/>
    <w:rsid w:val="000B2E0A"/>
    <w:rsid w:val="000B3A40"/>
    <w:rsid w:val="000B52F8"/>
    <w:rsid w:val="000B53ED"/>
    <w:rsid w:val="000B5CE0"/>
    <w:rsid w:val="000B5DB2"/>
    <w:rsid w:val="000B6CAC"/>
    <w:rsid w:val="000B7612"/>
    <w:rsid w:val="000B78AE"/>
    <w:rsid w:val="000C09AE"/>
    <w:rsid w:val="000C0BA5"/>
    <w:rsid w:val="000C2275"/>
    <w:rsid w:val="000C260D"/>
    <w:rsid w:val="000C2AAE"/>
    <w:rsid w:val="000C31C0"/>
    <w:rsid w:val="000C3941"/>
    <w:rsid w:val="000C3DF9"/>
    <w:rsid w:val="000C4CF2"/>
    <w:rsid w:val="000C5AA6"/>
    <w:rsid w:val="000C5AB0"/>
    <w:rsid w:val="000C6713"/>
    <w:rsid w:val="000C791D"/>
    <w:rsid w:val="000D0046"/>
    <w:rsid w:val="000D11CF"/>
    <w:rsid w:val="000D1BFC"/>
    <w:rsid w:val="000D1D5D"/>
    <w:rsid w:val="000D281A"/>
    <w:rsid w:val="000D2848"/>
    <w:rsid w:val="000D2B73"/>
    <w:rsid w:val="000D326A"/>
    <w:rsid w:val="000D5017"/>
    <w:rsid w:val="000D51FB"/>
    <w:rsid w:val="000D539A"/>
    <w:rsid w:val="000D60D4"/>
    <w:rsid w:val="000D7D59"/>
    <w:rsid w:val="000D7DBC"/>
    <w:rsid w:val="000E0640"/>
    <w:rsid w:val="000E135D"/>
    <w:rsid w:val="000F00BA"/>
    <w:rsid w:val="000F0C2C"/>
    <w:rsid w:val="000F18E0"/>
    <w:rsid w:val="000F1D12"/>
    <w:rsid w:val="000F2DF8"/>
    <w:rsid w:val="000F316A"/>
    <w:rsid w:val="000F3A2F"/>
    <w:rsid w:val="000F3C74"/>
    <w:rsid w:val="000F4BB8"/>
    <w:rsid w:val="000F4FA9"/>
    <w:rsid w:val="000F53FB"/>
    <w:rsid w:val="000F5709"/>
    <w:rsid w:val="000F59A2"/>
    <w:rsid w:val="000F5B64"/>
    <w:rsid w:val="000F7127"/>
    <w:rsid w:val="000F7B54"/>
    <w:rsid w:val="001000B3"/>
    <w:rsid w:val="00100F8A"/>
    <w:rsid w:val="00101437"/>
    <w:rsid w:val="0010293D"/>
    <w:rsid w:val="00102B76"/>
    <w:rsid w:val="0010332F"/>
    <w:rsid w:val="00103656"/>
    <w:rsid w:val="0010452E"/>
    <w:rsid w:val="001054BE"/>
    <w:rsid w:val="00105AE2"/>
    <w:rsid w:val="00105E4C"/>
    <w:rsid w:val="001060C6"/>
    <w:rsid w:val="00106B80"/>
    <w:rsid w:val="00110183"/>
    <w:rsid w:val="0011032E"/>
    <w:rsid w:val="00111279"/>
    <w:rsid w:val="001115C3"/>
    <w:rsid w:val="0011348B"/>
    <w:rsid w:val="00115982"/>
    <w:rsid w:val="0011645E"/>
    <w:rsid w:val="00116C53"/>
    <w:rsid w:val="00117F96"/>
    <w:rsid w:val="00121799"/>
    <w:rsid w:val="001222FC"/>
    <w:rsid w:val="00123902"/>
    <w:rsid w:val="00124A51"/>
    <w:rsid w:val="00125BE9"/>
    <w:rsid w:val="00125EF2"/>
    <w:rsid w:val="00126621"/>
    <w:rsid w:val="00126B1D"/>
    <w:rsid w:val="00127E64"/>
    <w:rsid w:val="001301E9"/>
    <w:rsid w:val="0013020D"/>
    <w:rsid w:val="00131D82"/>
    <w:rsid w:val="00132B22"/>
    <w:rsid w:val="00133911"/>
    <w:rsid w:val="00133D36"/>
    <w:rsid w:val="00134A6D"/>
    <w:rsid w:val="00137486"/>
    <w:rsid w:val="00137645"/>
    <w:rsid w:val="0014015A"/>
    <w:rsid w:val="00140E99"/>
    <w:rsid w:val="00141230"/>
    <w:rsid w:val="00141947"/>
    <w:rsid w:val="001423F7"/>
    <w:rsid w:val="00143F67"/>
    <w:rsid w:val="00144782"/>
    <w:rsid w:val="00145234"/>
    <w:rsid w:val="00145540"/>
    <w:rsid w:val="001455F9"/>
    <w:rsid w:val="001456B0"/>
    <w:rsid w:val="00145903"/>
    <w:rsid w:val="001470C9"/>
    <w:rsid w:val="00147C98"/>
    <w:rsid w:val="00147EDD"/>
    <w:rsid w:val="00150B8C"/>
    <w:rsid w:val="001523AF"/>
    <w:rsid w:val="0015243E"/>
    <w:rsid w:val="00153EB6"/>
    <w:rsid w:val="00154420"/>
    <w:rsid w:val="001547AB"/>
    <w:rsid w:val="0015600E"/>
    <w:rsid w:val="00156106"/>
    <w:rsid w:val="00156F8F"/>
    <w:rsid w:val="00156FCE"/>
    <w:rsid w:val="00157130"/>
    <w:rsid w:val="001576B1"/>
    <w:rsid w:val="0016047B"/>
    <w:rsid w:val="00160905"/>
    <w:rsid w:val="00160A4C"/>
    <w:rsid w:val="00161B1B"/>
    <w:rsid w:val="00162913"/>
    <w:rsid w:val="00162FEA"/>
    <w:rsid w:val="00163384"/>
    <w:rsid w:val="00163EFF"/>
    <w:rsid w:val="00163F66"/>
    <w:rsid w:val="0016478E"/>
    <w:rsid w:val="00165EC4"/>
    <w:rsid w:val="001661FB"/>
    <w:rsid w:val="001671A0"/>
    <w:rsid w:val="0016767F"/>
    <w:rsid w:val="001679B0"/>
    <w:rsid w:val="001702D0"/>
    <w:rsid w:val="0017219F"/>
    <w:rsid w:val="00173565"/>
    <w:rsid w:val="00173885"/>
    <w:rsid w:val="00173B07"/>
    <w:rsid w:val="001751FA"/>
    <w:rsid w:val="00175B32"/>
    <w:rsid w:val="00176DDA"/>
    <w:rsid w:val="001772AD"/>
    <w:rsid w:val="001772FA"/>
    <w:rsid w:val="00181C10"/>
    <w:rsid w:val="00181D9C"/>
    <w:rsid w:val="001831F3"/>
    <w:rsid w:val="001835D7"/>
    <w:rsid w:val="001837FF"/>
    <w:rsid w:val="00184B0E"/>
    <w:rsid w:val="00185011"/>
    <w:rsid w:val="00185345"/>
    <w:rsid w:val="0018647C"/>
    <w:rsid w:val="00186CBA"/>
    <w:rsid w:val="00186CD5"/>
    <w:rsid w:val="0018752F"/>
    <w:rsid w:val="00190557"/>
    <w:rsid w:val="00190792"/>
    <w:rsid w:val="00191073"/>
    <w:rsid w:val="0019369F"/>
    <w:rsid w:val="00193800"/>
    <w:rsid w:val="00193838"/>
    <w:rsid w:val="0019442B"/>
    <w:rsid w:val="00194AD8"/>
    <w:rsid w:val="001951AF"/>
    <w:rsid w:val="00195222"/>
    <w:rsid w:val="00195452"/>
    <w:rsid w:val="00195AE0"/>
    <w:rsid w:val="00196189"/>
    <w:rsid w:val="001975D8"/>
    <w:rsid w:val="00197A49"/>
    <w:rsid w:val="001A178E"/>
    <w:rsid w:val="001A2D75"/>
    <w:rsid w:val="001A43FA"/>
    <w:rsid w:val="001A47C5"/>
    <w:rsid w:val="001A59FB"/>
    <w:rsid w:val="001A5E9E"/>
    <w:rsid w:val="001A6354"/>
    <w:rsid w:val="001A6366"/>
    <w:rsid w:val="001A6AC7"/>
    <w:rsid w:val="001A6F55"/>
    <w:rsid w:val="001A72BF"/>
    <w:rsid w:val="001A7387"/>
    <w:rsid w:val="001A7AE8"/>
    <w:rsid w:val="001B016B"/>
    <w:rsid w:val="001B160A"/>
    <w:rsid w:val="001B204E"/>
    <w:rsid w:val="001B2372"/>
    <w:rsid w:val="001B3443"/>
    <w:rsid w:val="001B472B"/>
    <w:rsid w:val="001B4A91"/>
    <w:rsid w:val="001B4D20"/>
    <w:rsid w:val="001B5954"/>
    <w:rsid w:val="001B66FF"/>
    <w:rsid w:val="001B68DB"/>
    <w:rsid w:val="001B6BB5"/>
    <w:rsid w:val="001B70B6"/>
    <w:rsid w:val="001B7F84"/>
    <w:rsid w:val="001C1386"/>
    <w:rsid w:val="001C1444"/>
    <w:rsid w:val="001C2A9B"/>
    <w:rsid w:val="001C3470"/>
    <w:rsid w:val="001C36DA"/>
    <w:rsid w:val="001C3902"/>
    <w:rsid w:val="001C3DD6"/>
    <w:rsid w:val="001C4299"/>
    <w:rsid w:val="001C4874"/>
    <w:rsid w:val="001C4C2D"/>
    <w:rsid w:val="001C5F94"/>
    <w:rsid w:val="001C6E66"/>
    <w:rsid w:val="001C752D"/>
    <w:rsid w:val="001D0EC5"/>
    <w:rsid w:val="001D0EEA"/>
    <w:rsid w:val="001D1100"/>
    <w:rsid w:val="001D12CB"/>
    <w:rsid w:val="001D1391"/>
    <w:rsid w:val="001D25D7"/>
    <w:rsid w:val="001D43A8"/>
    <w:rsid w:val="001D4AF5"/>
    <w:rsid w:val="001D50B2"/>
    <w:rsid w:val="001D53A7"/>
    <w:rsid w:val="001D6E46"/>
    <w:rsid w:val="001D71F4"/>
    <w:rsid w:val="001D749F"/>
    <w:rsid w:val="001D7645"/>
    <w:rsid w:val="001D7703"/>
    <w:rsid w:val="001D7CE3"/>
    <w:rsid w:val="001E07E1"/>
    <w:rsid w:val="001E1E86"/>
    <w:rsid w:val="001E238E"/>
    <w:rsid w:val="001E2483"/>
    <w:rsid w:val="001E2B1E"/>
    <w:rsid w:val="001E2CFF"/>
    <w:rsid w:val="001E2F24"/>
    <w:rsid w:val="001E30D4"/>
    <w:rsid w:val="001E34DF"/>
    <w:rsid w:val="001E3E50"/>
    <w:rsid w:val="001E4182"/>
    <w:rsid w:val="001E52EB"/>
    <w:rsid w:val="001E5783"/>
    <w:rsid w:val="001E6038"/>
    <w:rsid w:val="001E61D2"/>
    <w:rsid w:val="001E740C"/>
    <w:rsid w:val="001F091D"/>
    <w:rsid w:val="001F0CD8"/>
    <w:rsid w:val="001F1235"/>
    <w:rsid w:val="001F1CB3"/>
    <w:rsid w:val="001F38B5"/>
    <w:rsid w:val="001F4081"/>
    <w:rsid w:val="001F48A9"/>
    <w:rsid w:val="001F4DCE"/>
    <w:rsid w:val="001F6077"/>
    <w:rsid w:val="001F63F2"/>
    <w:rsid w:val="001F6BC5"/>
    <w:rsid w:val="001F7361"/>
    <w:rsid w:val="002011B0"/>
    <w:rsid w:val="00201A1A"/>
    <w:rsid w:val="00201F89"/>
    <w:rsid w:val="00202653"/>
    <w:rsid w:val="0020293D"/>
    <w:rsid w:val="00202B8F"/>
    <w:rsid w:val="00203181"/>
    <w:rsid w:val="00203783"/>
    <w:rsid w:val="0020385F"/>
    <w:rsid w:val="002048EE"/>
    <w:rsid w:val="00204B38"/>
    <w:rsid w:val="00205803"/>
    <w:rsid w:val="002068A0"/>
    <w:rsid w:val="00207021"/>
    <w:rsid w:val="0020732F"/>
    <w:rsid w:val="00207D00"/>
    <w:rsid w:val="002105C1"/>
    <w:rsid w:val="00210C66"/>
    <w:rsid w:val="0021100C"/>
    <w:rsid w:val="002116FD"/>
    <w:rsid w:val="00211A4C"/>
    <w:rsid w:val="00211A89"/>
    <w:rsid w:val="0021313C"/>
    <w:rsid w:val="00213EF5"/>
    <w:rsid w:val="002141C1"/>
    <w:rsid w:val="00215A1F"/>
    <w:rsid w:val="00216BF5"/>
    <w:rsid w:val="00216E85"/>
    <w:rsid w:val="00217370"/>
    <w:rsid w:val="00220365"/>
    <w:rsid w:val="002212B6"/>
    <w:rsid w:val="00223B49"/>
    <w:rsid w:val="00223D1B"/>
    <w:rsid w:val="00223D5A"/>
    <w:rsid w:val="00223FDA"/>
    <w:rsid w:val="00224DD4"/>
    <w:rsid w:val="00224EB2"/>
    <w:rsid w:val="00225664"/>
    <w:rsid w:val="0022697B"/>
    <w:rsid w:val="002278A0"/>
    <w:rsid w:val="00227D75"/>
    <w:rsid w:val="002309CC"/>
    <w:rsid w:val="00231BA9"/>
    <w:rsid w:val="0023209F"/>
    <w:rsid w:val="00233C01"/>
    <w:rsid w:val="0023413C"/>
    <w:rsid w:val="002346F0"/>
    <w:rsid w:val="0023629D"/>
    <w:rsid w:val="00236F3F"/>
    <w:rsid w:val="00237255"/>
    <w:rsid w:val="0024013C"/>
    <w:rsid w:val="00241A79"/>
    <w:rsid w:val="00241C0D"/>
    <w:rsid w:val="002424AF"/>
    <w:rsid w:val="00242F0D"/>
    <w:rsid w:val="00243714"/>
    <w:rsid w:val="002439DC"/>
    <w:rsid w:val="002441D2"/>
    <w:rsid w:val="00244DC8"/>
    <w:rsid w:val="002458BA"/>
    <w:rsid w:val="00245CE9"/>
    <w:rsid w:val="0024636C"/>
    <w:rsid w:val="00247925"/>
    <w:rsid w:val="00250F32"/>
    <w:rsid w:val="00251006"/>
    <w:rsid w:val="002512CB"/>
    <w:rsid w:val="00251564"/>
    <w:rsid w:val="00251FC5"/>
    <w:rsid w:val="002524D5"/>
    <w:rsid w:val="00253B1D"/>
    <w:rsid w:val="00254136"/>
    <w:rsid w:val="00254520"/>
    <w:rsid w:val="002545C1"/>
    <w:rsid w:val="00254727"/>
    <w:rsid w:val="00254DCF"/>
    <w:rsid w:val="00255055"/>
    <w:rsid w:val="0025534B"/>
    <w:rsid w:val="00255BB7"/>
    <w:rsid w:val="00257541"/>
    <w:rsid w:val="00257A39"/>
    <w:rsid w:val="00257AA6"/>
    <w:rsid w:val="00257AC4"/>
    <w:rsid w:val="00257BBE"/>
    <w:rsid w:val="00260AC0"/>
    <w:rsid w:val="00260B5B"/>
    <w:rsid w:val="00260CAA"/>
    <w:rsid w:val="00261EEF"/>
    <w:rsid w:val="00262A1A"/>
    <w:rsid w:val="00262A87"/>
    <w:rsid w:val="00263A4C"/>
    <w:rsid w:val="00263C8C"/>
    <w:rsid w:val="00264D26"/>
    <w:rsid w:val="00267642"/>
    <w:rsid w:val="00267813"/>
    <w:rsid w:val="00267991"/>
    <w:rsid w:val="00267AEA"/>
    <w:rsid w:val="002700E6"/>
    <w:rsid w:val="002714D3"/>
    <w:rsid w:val="00271E92"/>
    <w:rsid w:val="002722B0"/>
    <w:rsid w:val="0027294B"/>
    <w:rsid w:val="00273D8F"/>
    <w:rsid w:val="00273EB4"/>
    <w:rsid w:val="002742E7"/>
    <w:rsid w:val="00274479"/>
    <w:rsid w:val="00274682"/>
    <w:rsid w:val="00274CEE"/>
    <w:rsid w:val="00275158"/>
    <w:rsid w:val="00275C5A"/>
    <w:rsid w:val="00276213"/>
    <w:rsid w:val="00276BA4"/>
    <w:rsid w:val="00277943"/>
    <w:rsid w:val="00277BEF"/>
    <w:rsid w:val="00277FD9"/>
    <w:rsid w:val="00280318"/>
    <w:rsid w:val="00281014"/>
    <w:rsid w:val="00281579"/>
    <w:rsid w:val="002817D4"/>
    <w:rsid w:val="00281EA7"/>
    <w:rsid w:val="002821A8"/>
    <w:rsid w:val="0028282D"/>
    <w:rsid w:val="00284E28"/>
    <w:rsid w:val="00285BCE"/>
    <w:rsid w:val="0028665D"/>
    <w:rsid w:val="0028773A"/>
    <w:rsid w:val="002904D5"/>
    <w:rsid w:val="00290775"/>
    <w:rsid w:val="00290C8E"/>
    <w:rsid w:val="00290DF1"/>
    <w:rsid w:val="00297377"/>
    <w:rsid w:val="002A14AB"/>
    <w:rsid w:val="002A163B"/>
    <w:rsid w:val="002A2ADE"/>
    <w:rsid w:val="002A2F50"/>
    <w:rsid w:val="002A7943"/>
    <w:rsid w:val="002B05A1"/>
    <w:rsid w:val="002B08AF"/>
    <w:rsid w:val="002B09A4"/>
    <w:rsid w:val="002B1171"/>
    <w:rsid w:val="002B1C1F"/>
    <w:rsid w:val="002B1C34"/>
    <w:rsid w:val="002B2941"/>
    <w:rsid w:val="002B2A56"/>
    <w:rsid w:val="002B432F"/>
    <w:rsid w:val="002B54B4"/>
    <w:rsid w:val="002B54CB"/>
    <w:rsid w:val="002B62B3"/>
    <w:rsid w:val="002B66D6"/>
    <w:rsid w:val="002B6754"/>
    <w:rsid w:val="002B6CCE"/>
    <w:rsid w:val="002B7A56"/>
    <w:rsid w:val="002B7C41"/>
    <w:rsid w:val="002C0E4C"/>
    <w:rsid w:val="002C0ED9"/>
    <w:rsid w:val="002C1F8B"/>
    <w:rsid w:val="002C2510"/>
    <w:rsid w:val="002C2775"/>
    <w:rsid w:val="002C27C1"/>
    <w:rsid w:val="002C36E3"/>
    <w:rsid w:val="002C5099"/>
    <w:rsid w:val="002C5889"/>
    <w:rsid w:val="002C5B08"/>
    <w:rsid w:val="002C66C9"/>
    <w:rsid w:val="002C6AB7"/>
    <w:rsid w:val="002C6CAA"/>
    <w:rsid w:val="002C70FB"/>
    <w:rsid w:val="002C71CE"/>
    <w:rsid w:val="002C759C"/>
    <w:rsid w:val="002D08F8"/>
    <w:rsid w:val="002D17D1"/>
    <w:rsid w:val="002D1DE1"/>
    <w:rsid w:val="002D2DC5"/>
    <w:rsid w:val="002D38D2"/>
    <w:rsid w:val="002D54F8"/>
    <w:rsid w:val="002D577C"/>
    <w:rsid w:val="002D702A"/>
    <w:rsid w:val="002D707E"/>
    <w:rsid w:val="002D762E"/>
    <w:rsid w:val="002D7832"/>
    <w:rsid w:val="002E03A9"/>
    <w:rsid w:val="002E0B46"/>
    <w:rsid w:val="002E1071"/>
    <w:rsid w:val="002E15B9"/>
    <w:rsid w:val="002E18FB"/>
    <w:rsid w:val="002E2158"/>
    <w:rsid w:val="002E4784"/>
    <w:rsid w:val="002E4B42"/>
    <w:rsid w:val="002E4F02"/>
    <w:rsid w:val="002E7722"/>
    <w:rsid w:val="002F07BA"/>
    <w:rsid w:val="002F0DA9"/>
    <w:rsid w:val="002F0E60"/>
    <w:rsid w:val="002F1014"/>
    <w:rsid w:val="002F1207"/>
    <w:rsid w:val="002F1E3B"/>
    <w:rsid w:val="002F364B"/>
    <w:rsid w:val="002F4449"/>
    <w:rsid w:val="002F4A96"/>
    <w:rsid w:val="002F50E6"/>
    <w:rsid w:val="002F579A"/>
    <w:rsid w:val="002F61EE"/>
    <w:rsid w:val="002F643C"/>
    <w:rsid w:val="002F71C0"/>
    <w:rsid w:val="002F74F1"/>
    <w:rsid w:val="002F7877"/>
    <w:rsid w:val="00300993"/>
    <w:rsid w:val="00301017"/>
    <w:rsid w:val="0030155F"/>
    <w:rsid w:val="00301F42"/>
    <w:rsid w:val="0030587B"/>
    <w:rsid w:val="00306549"/>
    <w:rsid w:val="00306D98"/>
    <w:rsid w:val="0030786C"/>
    <w:rsid w:val="0031031A"/>
    <w:rsid w:val="00310981"/>
    <w:rsid w:val="00310BB0"/>
    <w:rsid w:val="00311635"/>
    <w:rsid w:val="00311D9B"/>
    <w:rsid w:val="00311E75"/>
    <w:rsid w:val="003124D9"/>
    <w:rsid w:val="00312594"/>
    <w:rsid w:val="003129CE"/>
    <w:rsid w:val="00313044"/>
    <w:rsid w:val="00315498"/>
    <w:rsid w:val="00315EC2"/>
    <w:rsid w:val="00316474"/>
    <w:rsid w:val="00320738"/>
    <w:rsid w:val="00321BB0"/>
    <w:rsid w:val="00322107"/>
    <w:rsid w:val="00322355"/>
    <w:rsid w:val="00322846"/>
    <w:rsid w:val="00323BD5"/>
    <w:rsid w:val="00324536"/>
    <w:rsid w:val="00326DA7"/>
    <w:rsid w:val="003270E4"/>
    <w:rsid w:val="003309FC"/>
    <w:rsid w:val="00330DAA"/>
    <w:rsid w:val="00330F5C"/>
    <w:rsid w:val="0033135E"/>
    <w:rsid w:val="003317DA"/>
    <w:rsid w:val="00332552"/>
    <w:rsid w:val="003366C9"/>
    <w:rsid w:val="00336E88"/>
    <w:rsid w:val="003370EC"/>
    <w:rsid w:val="003371B0"/>
    <w:rsid w:val="00337FFC"/>
    <w:rsid w:val="0034009B"/>
    <w:rsid w:val="003402AF"/>
    <w:rsid w:val="00340DF1"/>
    <w:rsid w:val="003412B1"/>
    <w:rsid w:val="003414F1"/>
    <w:rsid w:val="003420AE"/>
    <w:rsid w:val="00343126"/>
    <w:rsid w:val="00343AC1"/>
    <w:rsid w:val="003475FD"/>
    <w:rsid w:val="00347CDA"/>
    <w:rsid w:val="003517F9"/>
    <w:rsid w:val="00351BA9"/>
    <w:rsid w:val="003532C3"/>
    <w:rsid w:val="00353FCA"/>
    <w:rsid w:val="003544C2"/>
    <w:rsid w:val="003546FA"/>
    <w:rsid w:val="00354F64"/>
    <w:rsid w:val="00355B37"/>
    <w:rsid w:val="0035620E"/>
    <w:rsid w:val="003575BE"/>
    <w:rsid w:val="00357E2A"/>
    <w:rsid w:val="00360345"/>
    <w:rsid w:val="00360CDA"/>
    <w:rsid w:val="003615B0"/>
    <w:rsid w:val="00361A05"/>
    <w:rsid w:val="00361ED6"/>
    <w:rsid w:val="003624C4"/>
    <w:rsid w:val="00363B00"/>
    <w:rsid w:val="0036465D"/>
    <w:rsid w:val="003654AC"/>
    <w:rsid w:val="003665E0"/>
    <w:rsid w:val="00366DEA"/>
    <w:rsid w:val="00366EAE"/>
    <w:rsid w:val="003710CF"/>
    <w:rsid w:val="00371EDF"/>
    <w:rsid w:val="00372C9E"/>
    <w:rsid w:val="0037358A"/>
    <w:rsid w:val="003744C5"/>
    <w:rsid w:val="003747BF"/>
    <w:rsid w:val="003750F6"/>
    <w:rsid w:val="00375314"/>
    <w:rsid w:val="003760FC"/>
    <w:rsid w:val="00377163"/>
    <w:rsid w:val="003809E6"/>
    <w:rsid w:val="00382179"/>
    <w:rsid w:val="003833AB"/>
    <w:rsid w:val="00383521"/>
    <w:rsid w:val="0038365C"/>
    <w:rsid w:val="0038369B"/>
    <w:rsid w:val="00383B78"/>
    <w:rsid w:val="003849A7"/>
    <w:rsid w:val="00384C52"/>
    <w:rsid w:val="00385A9D"/>
    <w:rsid w:val="0038628E"/>
    <w:rsid w:val="00386E51"/>
    <w:rsid w:val="00387121"/>
    <w:rsid w:val="00387D1B"/>
    <w:rsid w:val="003902B1"/>
    <w:rsid w:val="0039056B"/>
    <w:rsid w:val="0039179C"/>
    <w:rsid w:val="003941D2"/>
    <w:rsid w:val="00395CF7"/>
    <w:rsid w:val="00395EC9"/>
    <w:rsid w:val="00396896"/>
    <w:rsid w:val="00396FD0"/>
    <w:rsid w:val="00397165"/>
    <w:rsid w:val="0039798A"/>
    <w:rsid w:val="003A0D73"/>
    <w:rsid w:val="003A15D3"/>
    <w:rsid w:val="003A1A7A"/>
    <w:rsid w:val="003A2392"/>
    <w:rsid w:val="003A2831"/>
    <w:rsid w:val="003A3CB6"/>
    <w:rsid w:val="003A3ED1"/>
    <w:rsid w:val="003A3FDA"/>
    <w:rsid w:val="003A44DB"/>
    <w:rsid w:val="003A4999"/>
    <w:rsid w:val="003A4C14"/>
    <w:rsid w:val="003A5483"/>
    <w:rsid w:val="003A5E92"/>
    <w:rsid w:val="003A690B"/>
    <w:rsid w:val="003A69A0"/>
    <w:rsid w:val="003A6BA9"/>
    <w:rsid w:val="003A7AA6"/>
    <w:rsid w:val="003B3775"/>
    <w:rsid w:val="003B3971"/>
    <w:rsid w:val="003B3E03"/>
    <w:rsid w:val="003B47ED"/>
    <w:rsid w:val="003B4D07"/>
    <w:rsid w:val="003B55D1"/>
    <w:rsid w:val="003B58FE"/>
    <w:rsid w:val="003B5B61"/>
    <w:rsid w:val="003B645C"/>
    <w:rsid w:val="003C02E5"/>
    <w:rsid w:val="003C1654"/>
    <w:rsid w:val="003C290F"/>
    <w:rsid w:val="003C5542"/>
    <w:rsid w:val="003C6D3A"/>
    <w:rsid w:val="003C70C6"/>
    <w:rsid w:val="003C7C15"/>
    <w:rsid w:val="003C7C7D"/>
    <w:rsid w:val="003C7D19"/>
    <w:rsid w:val="003C7D2F"/>
    <w:rsid w:val="003D092F"/>
    <w:rsid w:val="003D0B92"/>
    <w:rsid w:val="003D0C5A"/>
    <w:rsid w:val="003D1828"/>
    <w:rsid w:val="003D1DE4"/>
    <w:rsid w:val="003D1E9A"/>
    <w:rsid w:val="003D2264"/>
    <w:rsid w:val="003D2407"/>
    <w:rsid w:val="003D2422"/>
    <w:rsid w:val="003D3122"/>
    <w:rsid w:val="003D39A1"/>
    <w:rsid w:val="003D3FBF"/>
    <w:rsid w:val="003D479A"/>
    <w:rsid w:val="003D4A30"/>
    <w:rsid w:val="003D7077"/>
    <w:rsid w:val="003D7452"/>
    <w:rsid w:val="003D79BB"/>
    <w:rsid w:val="003D7C98"/>
    <w:rsid w:val="003D7D9D"/>
    <w:rsid w:val="003E02BA"/>
    <w:rsid w:val="003E0543"/>
    <w:rsid w:val="003E0E15"/>
    <w:rsid w:val="003E12D6"/>
    <w:rsid w:val="003E1880"/>
    <w:rsid w:val="003E2D56"/>
    <w:rsid w:val="003E5603"/>
    <w:rsid w:val="003E6F74"/>
    <w:rsid w:val="003E749E"/>
    <w:rsid w:val="003E7F6A"/>
    <w:rsid w:val="003F0281"/>
    <w:rsid w:val="003F09E1"/>
    <w:rsid w:val="003F1BCD"/>
    <w:rsid w:val="003F4156"/>
    <w:rsid w:val="003F4EB7"/>
    <w:rsid w:val="003F5210"/>
    <w:rsid w:val="003F5ADF"/>
    <w:rsid w:val="003F6740"/>
    <w:rsid w:val="003F6D3F"/>
    <w:rsid w:val="003F6E72"/>
    <w:rsid w:val="003F7355"/>
    <w:rsid w:val="003F7EBC"/>
    <w:rsid w:val="00400568"/>
    <w:rsid w:val="0040082B"/>
    <w:rsid w:val="004008B6"/>
    <w:rsid w:val="00400B29"/>
    <w:rsid w:val="00401B3A"/>
    <w:rsid w:val="00402812"/>
    <w:rsid w:val="00403A37"/>
    <w:rsid w:val="00403C4A"/>
    <w:rsid w:val="0040504B"/>
    <w:rsid w:val="00405740"/>
    <w:rsid w:val="004059F4"/>
    <w:rsid w:val="004061F3"/>
    <w:rsid w:val="004061F8"/>
    <w:rsid w:val="004065F6"/>
    <w:rsid w:val="00407FE5"/>
    <w:rsid w:val="004101B0"/>
    <w:rsid w:val="00410326"/>
    <w:rsid w:val="00410708"/>
    <w:rsid w:val="00410843"/>
    <w:rsid w:val="00410B58"/>
    <w:rsid w:val="00410DDC"/>
    <w:rsid w:val="00410EC7"/>
    <w:rsid w:val="004112D4"/>
    <w:rsid w:val="00411B39"/>
    <w:rsid w:val="00412231"/>
    <w:rsid w:val="004127A7"/>
    <w:rsid w:val="00413A1E"/>
    <w:rsid w:val="00414476"/>
    <w:rsid w:val="00414C2E"/>
    <w:rsid w:val="004151CF"/>
    <w:rsid w:val="00415646"/>
    <w:rsid w:val="00415E40"/>
    <w:rsid w:val="00416364"/>
    <w:rsid w:val="0042047F"/>
    <w:rsid w:val="00420AA6"/>
    <w:rsid w:val="00420B9F"/>
    <w:rsid w:val="0042192C"/>
    <w:rsid w:val="00421A50"/>
    <w:rsid w:val="00422260"/>
    <w:rsid w:val="004238FA"/>
    <w:rsid w:val="00423A46"/>
    <w:rsid w:val="0042413F"/>
    <w:rsid w:val="00424F78"/>
    <w:rsid w:val="00425537"/>
    <w:rsid w:val="00425EBA"/>
    <w:rsid w:val="00426047"/>
    <w:rsid w:val="00427427"/>
    <w:rsid w:val="004302C8"/>
    <w:rsid w:val="004319F8"/>
    <w:rsid w:val="00431E55"/>
    <w:rsid w:val="004321F6"/>
    <w:rsid w:val="00433044"/>
    <w:rsid w:val="00434088"/>
    <w:rsid w:val="00435561"/>
    <w:rsid w:val="004360E3"/>
    <w:rsid w:val="004375B9"/>
    <w:rsid w:val="00440A8E"/>
    <w:rsid w:val="0044103B"/>
    <w:rsid w:val="004428D0"/>
    <w:rsid w:val="00444185"/>
    <w:rsid w:val="004443A7"/>
    <w:rsid w:val="0044442C"/>
    <w:rsid w:val="00445941"/>
    <w:rsid w:val="0044619E"/>
    <w:rsid w:val="004464EB"/>
    <w:rsid w:val="0044702F"/>
    <w:rsid w:val="00447D26"/>
    <w:rsid w:val="00447DFC"/>
    <w:rsid w:val="004523EE"/>
    <w:rsid w:val="00452633"/>
    <w:rsid w:val="004526AB"/>
    <w:rsid w:val="004528A5"/>
    <w:rsid w:val="004557DD"/>
    <w:rsid w:val="00455D45"/>
    <w:rsid w:val="0045657A"/>
    <w:rsid w:val="0045698D"/>
    <w:rsid w:val="0046042C"/>
    <w:rsid w:val="00462D36"/>
    <w:rsid w:val="00464595"/>
    <w:rsid w:val="004658B5"/>
    <w:rsid w:val="00465B60"/>
    <w:rsid w:val="004662E8"/>
    <w:rsid w:val="004702C3"/>
    <w:rsid w:val="004716A8"/>
    <w:rsid w:val="00471EA5"/>
    <w:rsid w:val="00472A79"/>
    <w:rsid w:val="00473F19"/>
    <w:rsid w:val="00475E22"/>
    <w:rsid w:val="004763C9"/>
    <w:rsid w:val="004805BE"/>
    <w:rsid w:val="0048088E"/>
    <w:rsid w:val="00480F2B"/>
    <w:rsid w:val="00481A0D"/>
    <w:rsid w:val="00481F4F"/>
    <w:rsid w:val="00482541"/>
    <w:rsid w:val="00482720"/>
    <w:rsid w:val="004835E7"/>
    <w:rsid w:val="0048363B"/>
    <w:rsid w:val="00484FBE"/>
    <w:rsid w:val="004859E1"/>
    <w:rsid w:val="004867E2"/>
    <w:rsid w:val="00486B28"/>
    <w:rsid w:val="00490B17"/>
    <w:rsid w:val="004910C6"/>
    <w:rsid w:val="0049186D"/>
    <w:rsid w:val="00491B3A"/>
    <w:rsid w:val="0049266A"/>
    <w:rsid w:val="00492CFD"/>
    <w:rsid w:val="0049381E"/>
    <w:rsid w:val="00494207"/>
    <w:rsid w:val="004947EC"/>
    <w:rsid w:val="004949A4"/>
    <w:rsid w:val="00494DD5"/>
    <w:rsid w:val="004962D2"/>
    <w:rsid w:val="004966E5"/>
    <w:rsid w:val="004971FA"/>
    <w:rsid w:val="0049797E"/>
    <w:rsid w:val="004A01CF"/>
    <w:rsid w:val="004A0C57"/>
    <w:rsid w:val="004A0DA1"/>
    <w:rsid w:val="004A13B1"/>
    <w:rsid w:val="004A13D6"/>
    <w:rsid w:val="004A2C06"/>
    <w:rsid w:val="004A355A"/>
    <w:rsid w:val="004A47B7"/>
    <w:rsid w:val="004A49EF"/>
    <w:rsid w:val="004A4B62"/>
    <w:rsid w:val="004A52E9"/>
    <w:rsid w:val="004A6040"/>
    <w:rsid w:val="004A6597"/>
    <w:rsid w:val="004A706E"/>
    <w:rsid w:val="004A715A"/>
    <w:rsid w:val="004A7848"/>
    <w:rsid w:val="004A793B"/>
    <w:rsid w:val="004B1CB4"/>
    <w:rsid w:val="004B1F9E"/>
    <w:rsid w:val="004B241E"/>
    <w:rsid w:val="004B2F18"/>
    <w:rsid w:val="004B34F3"/>
    <w:rsid w:val="004B3DDB"/>
    <w:rsid w:val="004B44FD"/>
    <w:rsid w:val="004B4BE8"/>
    <w:rsid w:val="004B5CFC"/>
    <w:rsid w:val="004B6F79"/>
    <w:rsid w:val="004B774D"/>
    <w:rsid w:val="004C1267"/>
    <w:rsid w:val="004C2AC2"/>
    <w:rsid w:val="004C3788"/>
    <w:rsid w:val="004C4AED"/>
    <w:rsid w:val="004C6CB9"/>
    <w:rsid w:val="004C7D03"/>
    <w:rsid w:val="004D00F6"/>
    <w:rsid w:val="004D0383"/>
    <w:rsid w:val="004D2C2D"/>
    <w:rsid w:val="004D3EC4"/>
    <w:rsid w:val="004D4173"/>
    <w:rsid w:val="004D4524"/>
    <w:rsid w:val="004D6774"/>
    <w:rsid w:val="004D67A1"/>
    <w:rsid w:val="004D6831"/>
    <w:rsid w:val="004D69B5"/>
    <w:rsid w:val="004D6B81"/>
    <w:rsid w:val="004D6F96"/>
    <w:rsid w:val="004D7227"/>
    <w:rsid w:val="004D7B5E"/>
    <w:rsid w:val="004E0E7F"/>
    <w:rsid w:val="004E0EB8"/>
    <w:rsid w:val="004E18E9"/>
    <w:rsid w:val="004E2ADC"/>
    <w:rsid w:val="004E34F1"/>
    <w:rsid w:val="004E436A"/>
    <w:rsid w:val="004E43B2"/>
    <w:rsid w:val="004F047E"/>
    <w:rsid w:val="004F0DCB"/>
    <w:rsid w:val="004F1D02"/>
    <w:rsid w:val="004F2679"/>
    <w:rsid w:val="004F2F21"/>
    <w:rsid w:val="004F2FE8"/>
    <w:rsid w:val="004F32F2"/>
    <w:rsid w:val="004F35FE"/>
    <w:rsid w:val="004F3DE5"/>
    <w:rsid w:val="004F482A"/>
    <w:rsid w:val="004F4FA1"/>
    <w:rsid w:val="004F572A"/>
    <w:rsid w:val="004F6913"/>
    <w:rsid w:val="004F7623"/>
    <w:rsid w:val="004F7865"/>
    <w:rsid w:val="0050065D"/>
    <w:rsid w:val="00500F14"/>
    <w:rsid w:val="005014C7"/>
    <w:rsid w:val="0050174E"/>
    <w:rsid w:val="00501854"/>
    <w:rsid w:val="0050219B"/>
    <w:rsid w:val="00503F17"/>
    <w:rsid w:val="00503F3A"/>
    <w:rsid w:val="00504381"/>
    <w:rsid w:val="00504BFD"/>
    <w:rsid w:val="005068C3"/>
    <w:rsid w:val="00506928"/>
    <w:rsid w:val="005077EF"/>
    <w:rsid w:val="005105BB"/>
    <w:rsid w:val="005112F4"/>
    <w:rsid w:val="00511AD5"/>
    <w:rsid w:val="00511DC7"/>
    <w:rsid w:val="00513637"/>
    <w:rsid w:val="00513C94"/>
    <w:rsid w:val="00513FDC"/>
    <w:rsid w:val="005142C5"/>
    <w:rsid w:val="00514AA8"/>
    <w:rsid w:val="0051501B"/>
    <w:rsid w:val="005152B5"/>
    <w:rsid w:val="00515886"/>
    <w:rsid w:val="00516081"/>
    <w:rsid w:val="00516426"/>
    <w:rsid w:val="005207DA"/>
    <w:rsid w:val="00520A5B"/>
    <w:rsid w:val="00520BD5"/>
    <w:rsid w:val="00520F58"/>
    <w:rsid w:val="0052123C"/>
    <w:rsid w:val="00521319"/>
    <w:rsid w:val="00522570"/>
    <w:rsid w:val="005227FF"/>
    <w:rsid w:val="00522BC8"/>
    <w:rsid w:val="00523124"/>
    <w:rsid w:val="00523C28"/>
    <w:rsid w:val="005252E4"/>
    <w:rsid w:val="005260BA"/>
    <w:rsid w:val="005266E4"/>
    <w:rsid w:val="00527C06"/>
    <w:rsid w:val="00527EF1"/>
    <w:rsid w:val="00530D6C"/>
    <w:rsid w:val="0053176B"/>
    <w:rsid w:val="005319B0"/>
    <w:rsid w:val="005333DB"/>
    <w:rsid w:val="00533708"/>
    <w:rsid w:val="005339C0"/>
    <w:rsid w:val="005341B3"/>
    <w:rsid w:val="005343C1"/>
    <w:rsid w:val="00536F42"/>
    <w:rsid w:val="00537182"/>
    <w:rsid w:val="00537AFF"/>
    <w:rsid w:val="00541EDD"/>
    <w:rsid w:val="005424DF"/>
    <w:rsid w:val="00542743"/>
    <w:rsid w:val="00542C2D"/>
    <w:rsid w:val="00542D10"/>
    <w:rsid w:val="005437DD"/>
    <w:rsid w:val="00545245"/>
    <w:rsid w:val="00545316"/>
    <w:rsid w:val="0054687A"/>
    <w:rsid w:val="005478BD"/>
    <w:rsid w:val="005479E3"/>
    <w:rsid w:val="0055190D"/>
    <w:rsid w:val="00551985"/>
    <w:rsid w:val="00551BFE"/>
    <w:rsid w:val="00552BD3"/>
    <w:rsid w:val="005532A0"/>
    <w:rsid w:val="00555109"/>
    <w:rsid w:val="00556B35"/>
    <w:rsid w:val="0055741A"/>
    <w:rsid w:val="005575AB"/>
    <w:rsid w:val="005611B7"/>
    <w:rsid w:val="005613D4"/>
    <w:rsid w:val="005618D4"/>
    <w:rsid w:val="00561F93"/>
    <w:rsid w:val="00564867"/>
    <w:rsid w:val="00565C79"/>
    <w:rsid w:val="00565DF0"/>
    <w:rsid w:val="005662C5"/>
    <w:rsid w:val="0056696F"/>
    <w:rsid w:val="00570A09"/>
    <w:rsid w:val="00572269"/>
    <w:rsid w:val="0057244A"/>
    <w:rsid w:val="00572F26"/>
    <w:rsid w:val="00573A96"/>
    <w:rsid w:val="005740DA"/>
    <w:rsid w:val="00574411"/>
    <w:rsid w:val="005750C5"/>
    <w:rsid w:val="005752DE"/>
    <w:rsid w:val="00575641"/>
    <w:rsid w:val="00575D60"/>
    <w:rsid w:val="00575D8D"/>
    <w:rsid w:val="005764EB"/>
    <w:rsid w:val="00576819"/>
    <w:rsid w:val="00576972"/>
    <w:rsid w:val="00576D08"/>
    <w:rsid w:val="005771F2"/>
    <w:rsid w:val="00577248"/>
    <w:rsid w:val="00580A3A"/>
    <w:rsid w:val="00580B67"/>
    <w:rsid w:val="00582B70"/>
    <w:rsid w:val="005832F0"/>
    <w:rsid w:val="00583699"/>
    <w:rsid w:val="00583C6C"/>
    <w:rsid w:val="00584210"/>
    <w:rsid w:val="005847ED"/>
    <w:rsid w:val="00584CF1"/>
    <w:rsid w:val="00584D5C"/>
    <w:rsid w:val="00584FA2"/>
    <w:rsid w:val="005854C7"/>
    <w:rsid w:val="00585B7C"/>
    <w:rsid w:val="00585CDD"/>
    <w:rsid w:val="00586E86"/>
    <w:rsid w:val="00587058"/>
    <w:rsid w:val="0059137E"/>
    <w:rsid w:val="00591957"/>
    <w:rsid w:val="00592B63"/>
    <w:rsid w:val="00595382"/>
    <w:rsid w:val="0059605A"/>
    <w:rsid w:val="00597997"/>
    <w:rsid w:val="00597BF9"/>
    <w:rsid w:val="005A0C11"/>
    <w:rsid w:val="005A16B4"/>
    <w:rsid w:val="005A1DFE"/>
    <w:rsid w:val="005A26D8"/>
    <w:rsid w:val="005A309A"/>
    <w:rsid w:val="005A373D"/>
    <w:rsid w:val="005A3E6B"/>
    <w:rsid w:val="005A43E4"/>
    <w:rsid w:val="005A4D76"/>
    <w:rsid w:val="005A57BD"/>
    <w:rsid w:val="005A6A8F"/>
    <w:rsid w:val="005A725E"/>
    <w:rsid w:val="005A75D4"/>
    <w:rsid w:val="005B0B58"/>
    <w:rsid w:val="005B1E64"/>
    <w:rsid w:val="005B4077"/>
    <w:rsid w:val="005B4E53"/>
    <w:rsid w:val="005B4E73"/>
    <w:rsid w:val="005B5857"/>
    <w:rsid w:val="005B6A67"/>
    <w:rsid w:val="005C0E0D"/>
    <w:rsid w:val="005C19C4"/>
    <w:rsid w:val="005C1B83"/>
    <w:rsid w:val="005C25FF"/>
    <w:rsid w:val="005C2D55"/>
    <w:rsid w:val="005C3355"/>
    <w:rsid w:val="005C341E"/>
    <w:rsid w:val="005C346B"/>
    <w:rsid w:val="005C5ABC"/>
    <w:rsid w:val="005D02DA"/>
    <w:rsid w:val="005D03AE"/>
    <w:rsid w:val="005D044D"/>
    <w:rsid w:val="005D0ABD"/>
    <w:rsid w:val="005D0BAE"/>
    <w:rsid w:val="005D18AD"/>
    <w:rsid w:val="005D26B4"/>
    <w:rsid w:val="005D3E37"/>
    <w:rsid w:val="005D797B"/>
    <w:rsid w:val="005D7F35"/>
    <w:rsid w:val="005D7FE9"/>
    <w:rsid w:val="005E000A"/>
    <w:rsid w:val="005E1943"/>
    <w:rsid w:val="005E1995"/>
    <w:rsid w:val="005E19DF"/>
    <w:rsid w:val="005E1FA3"/>
    <w:rsid w:val="005E3606"/>
    <w:rsid w:val="005E3CE2"/>
    <w:rsid w:val="005E470E"/>
    <w:rsid w:val="005E4CDF"/>
    <w:rsid w:val="005E6608"/>
    <w:rsid w:val="005E6AC4"/>
    <w:rsid w:val="005E6CBC"/>
    <w:rsid w:val="005E72FF"/>
    <w:rsid w:val="005E73C0"/>
    <w:rsid w:val="005E77A8"/>
    <w:rsid w:val="005E79B8"/>
    <w:rsid w:val="005E7B65"/>
    <w:rsid w:val="005E7E52"/>
    <w:rsid w:val="005F07ED"/>
    <w:rsid w:val="005F090D"/>
    <w:rsid w:val="005F2706"/>
    <w:rsid w:val="005F4B2B"/>
    <w:rsid w:val="005F5369"/>
    <w:rsid w:val="005F549B"/>
    <w:rsid w:val="005F570A"/>
    <w:rsid w:val="005F5A75"/>
    <w:rsid w:val="005F67BA"/>
    <w:rsid w:val="005F6A8F"/>
    <w:rsid w:val="005F6BB7"/>
    <w:rsid w:val="005F7588"/>
    <w:rsid w:val="0060058F"/>
    <w:rsid w:val="00601E3D"/>
    <w:rsid w:val="006033A9"/>
    <w:rsid w:val="00603DB9"/>
    <w:rsid w:val="00604BEF"/>
    <w:rsid w:val="00604FE7"/>
    <w:rsid w:val="00606F77"/>
    <w:rsid w:val="00606FBA"/>
    <w:rsid w:val="00607022"/>
    <w:rsid w:val="0060760F"/>
    <w:rsid w:val="00607669"/>
    <w:rsid w:val="006076F4"/>
    <w:rsid w:val="00607AFD"/>
    <w:rsid w:val="00611308"/>
    <w:rsid w:val="00611B12"/>
    <w:rsid w:val="00611F2B"/>
    <w:rsid w:val="00612F97"/>
    <w:rsid w:val="0061345D"/>
    <w:rsid w:val="0061549B"/>
    <w:rsid w:val="00615DDA"/>
    <w:rsid w:val="00616802"/>
    <w:rsid w:val="00616B7B"/>
    <w:rsid w:val="00617198"/>
    <w:rsid w:val="00617DFB"/>
    <w:rsid w:val="00617E12"/>
    <w:rsid w:val="00620C25"/>
    <w:rsid w:val="0062117C"/>
    <w:rsid w:val="00621477"/>
    <w:rsid w:val="006214F9"/>
    <w:rsid w:val="00621ADA"/>
    <w:rsid w:val="00623EDF"/>
    <w:rsid w:val="00623F7B"/>
    <w:rsid w:val="00624BD4"/>
    <w:rsid w:val="006265CA"/>
    <w:rsid w:val="00626E66"/>
    <w:rsid w:val="00627D42"/>
    <w:rsid w:val="0063040F"/>
    <w:rsid w:val="0063054E"/>
    <w:rsid w:val="00630C2C"/>
    <w:rsid w:val="0063158F"/>
    <w:rsid w:val="00631D6B"/>
    <w:rsid w:val="00632183"/>
    <w:rsid w:val="006327C1"/>
    <w:rsid w:val="00632A34"/>
    <w:rsid w:val="006330A1"/>
    <w:rsid w:val="006336A7"/>
    <w:rsid w:val="00633DDA"/>
    <w:rsid w:val="0063479F"/>
    <w:rsid w:val="006353F0"/>
    <w:rsid w:val="006355ED"/>
    <w:rsid w:val="006357B5"/>
    <w:rsid w:val="006364A1"/>
    <w:rsid w:val="0063678E"/>
    <w:rsid w:val="00637BFD"/>
    <w:rsid w:val="00637C5C"/>
    <w:rsid w:val="00641C4E"/>
    <w:rsid w:val="00641FB3"/>
    <w:rsid w:val="00642B7A"/>
    <w:rsid w:val="00642C8A"/>
    <w:rsid w:val="0064434C"/>
    <w:rsid w:val="0064451A"/>
    <w:rsid w:val="00644B30"/>
    <w:rsid w:val="00644C7A"/>
    <w:rsid w:val="00644F10"/>
    <w:rsid w:val="006471CC"/>
    <w:rsid w:val="006472FE"/>
    <w:rsid w:val="00647A29"/>
    <w:rsid w:val="0065061C"/>
    <w:rsid w:val="0065079F"/>
    <w:rsid w:val="00651DAC"/>
    <w:rsid w:val="00652A28"/>
    <w:rsid w:val="00652BFF"/>
    <w:rsid w:val="0065379F"/>
    <w:rsid w:val="00655450"/>
    <w:rsid w:val="00656188"/>
    <w:rsid w:val="0065715A"/>
    <w:rsid w:val="00657C0E"/>
    <w:rsid w:val="006610F1"/>
    <w:rsid w:val="0066163D"/>
    <w:rsid w:val="0066175D"/>
    <w:rsid w:val="00661C6B"/>
    <w:rsid w:val="006625F1"/>
    <w:rsid w:val="00662C2E"/>
    <w:rsid w:val="00662D3E"/>
    <w:rsid w:val="00662DD3"/>
    <w:rsid w:val="006634E6"/>
    <w:rsid w:val="00664B44"/>
    <w:rsid w:val="006651FD"/>
    <w:rsid w:val="00666D00"/>
    <w:rsid w:val="00667770"/>
    <w:rsid w:val="00667BE3"/>
    <w:rsid w:val="00670B90"/>
    <w:rsid w:val="00671004"/>
    <w:rsid w:val="0067138A"/>
    <w:rsid w:val="00671F5A"/>
    <w:rsid w:val="00672646"/>
    <w:rsid w:val="006735E5"/>
    <w:rsid w:val="00673D8C"/>
    <w:rsid w:val="00674635"/>
    <w:rsid w:val="00674E42"/>
    <w:rsid w:val="0067544E"/>
    <w:rsid w:val="006761C9"/>
    <w:rsid w:val="006762C2"/>
    <w:rsid w:val="00676563"/>
    <w:rsid w:val="00676A18"/>
    <w:rsid w:val="00677984"/>
    <w:rsid w:val="00677D8C"/>
    <w:rsid w:val="006813F8"/>
    <w:rsid w:val="00682112"/>
    <w:rsid w:val="006828C2"/>
    <w:rsid w:val="00682BA6"/>
    <w:rsid w:val="00683508"/>
    <w:rsid w:val="00686064"/>
    <w:rsid w:val="00686807"/>
    <w:rsid w:val="00686957"/>
    <w:rsid w:val="00686B44"/>
    <w:rsid w:val="006872BA"/>
    <w:rsid w:val="00690795"/>
    <w:rsid w:val="00691517"/>
    <w:rsid w:val="00691648"/>
    <w:rsid w:val="006917D7"/>
    <w:rsid w:val="00691DF5"/>
    <w:rsid w:val="0069434C"/>
    <w:rsid w:val="00694F44"/>
    <w:rsid w:val="00695A40"/>
    <w:rsid w:val="00696EF9"/>
    <w:rsid w:val="00696F51"/>
    <w:rsid w:val="00696F69"/>
    <w:rsid w:val="006979A5"/>
    <w:rsid w:val="006A016F"/>
    <w:rsid w:val="006A05B2"/>
    <w:rsid w:val="006A0921"/>
    <w:rsid w:val="006A0DF7"/>
    <w:rsid w:val="006A15C5"/>
    <w:rsid w:val="006A1B23"/>
    <w:rsid w:val="006A1D68"/>
    <w:rsid w:val="006A2384"/>
    <w:rsid w:val="006A278D"/>
    <w:rsid w:val="006A3EF8"/>
    <w:rsid w:val="006A428C"/>
    <w:rsid w:val="006A4321"/>
    <w:rsid w:val="006A43D9"/>
    <w:rsid w:val="006A50B4"/>
    <w:rsid w:val="006A5C63"/>
    <w:rsid w:val="006A6B99"/>
    <w:rsid w:val="006A7E5F"/>
    <w:rsid w:val="006B18B5"/>
    <w:rsid w:val="006B206D"/>
    <w:rsid w:val="006B261B"/>
    <w:rsid w:val="006B26F2"/>
    <w:rsid w:val="006B289F"/>
    <w:rsid w:val="006B2BD1"/>
    <w:rsid w:val="006B2C90"/>
    <w:rsid w:val="006B35E6"/>
    <w:rsid w:val="006B465A"/>
    <w:rsid w:val="006B4F32"/>
    <w:rsid w:val="006B5C08"/>
    <w:rsid w:val="006B6A1D"/>
    <w:rsid w:val="006B6DD0"/>
    <w:rsid w:val="006C0399"/>
    <w:rsid w:val="006C0640"/>
    <w:rsid w:val="006C0989"/>
    <w:rsid w:val="006C20AF"/>
    <w:rsid w:val="006C2A8E"/>
    <w:rsid w:val="006C3255"/>
    <w:rsid w:val="006C3AB3"/>
    <w:rsid w:val="006C3F26"/>
    <w:rsid w:val="006C62F0"/>
    <w:rsid w:val="006C69F5"/>
    <w:rsid w:val="006C6FD8"/>
    <w:rsid w:val="006C7D64"/>
    <w:rsid w:val="006D0D17"/>
    <w:rsid w:val="006D143C"/>
    <w:rsid w:val="006D1D55"/>
    <w:rsid w:val="006D2167"/>
    <w:rsid w:val="006D301F"/>
    <w:rsid w:val="006D3C7D"/>
    <w:rsid w:val="006D4659"/>
    <w:rsid w:val="006D5D5F"/>
    <w:rsid w:val="006D67CF"/>
    <w:rsid w:val="006D68FB"/>
    <w:rsid w:val="006E03D1"/>
    <w:rsid w:val="006E0D0D"/>
    <w:rsid w:val="006E1C7A"/>
    <w:rsid w:val="006E2868"/>
    <w:rsid w:val="006E3AE4"/>
    <w:rsid w:val="006E3C94"/>
    <w:rsid w:val="006E429B"/>
    <w:rsid w:val="006E4934"/>
    <w:rsid w:val="006E536D"/>
    <w:rsid w:val="006E5CF2"/>
    <w:rsid w:val="006F01D8"/>
    <w:rsid w:val="006F18A4"/>
    <w:rsid w:val="006F1E17"/>
    <w:rsid w:val="006F306C"/>
    <w:rsid w:val="006F3496"/>
    <w:rsid w:val="006F4C12"/>
    <w:rsid w:val="006F4F2B"/>
    <w:rsid w:val="006F5488"/>
    <w:rsid w:val="006F63A5"/>
    <w:rsid w:val="006F6FE5"/>
    <w:rsid w:val="006F79D1"/>
    <w:rsid w:val="0070142B"/>
    <w:rsid w:val="00701FA6"/>
    <w:rsid w:val="0070276E"/>
    <w:rsid w:val="00702F8F"/>
    <w:rsid w:val="007034DF"/>
    <w:rsid w:val="00704B18"/>
    <w:rsid w:val="00706E9C"/>
    <w:rsid w:val="00706F0B"/>
    <w:rsid w:val="007079FC"/>
    <w:rsid w:val="00707A8E"/>
    <w:rsid w:val="0071027A"/>
    <w:rsid w:val="00710608"/>
    <w:rsid w:val="00711A36"/>
    <w:rsid w:val="007125D3"/>
    <w:rsid w:val="007125EE"/>
    <w:rsid w:val="00712CBC"/>
    <w:rsid w:val="00714C26"/>
    <w:rsid w:val="0071529C"/>
    <w:rsid w:val="007158F0"/>
    <w:rsid w:val="007170DA"/>
    <w:rsid w:val="007172AD"/>
    <w:rsid w:val="0071743D"/>
    <w:rsid w:val="00717546"/>
    <w:rsid w:val="00720801"/>
    <w:rsid w:val="00720CDD"/>
    <w:rsid w:val="007216B1"/>
    <w:rsid w:val="00722659"/>
    <w:rsid w:val="00722B1B"/>
    <w:rsid w:val="0072416F"/>
    <w:rsid w:val="00724DB9"/>
    <w:rsid w:val="007272BB"/>
    <w:rsid w:val="00727555"/>
    <w:rsid w:val="00727C94"/>
    <w:rsid w:val="00731B0A"/>
    <w:rsid w:val="00731BBC"/>
    <w:rsid w:val="00731EAE"/>
    <w:rsid w:val="00732CE3"/>
    <w:rsid w:val="00733073"/>
    <w:rsid w:val="007344C9"/>
    <w:rsid w:val="00735033"/>
    <w:rsid w:val="00735328"/>
    <w:rsid w:val="007353C4"/>
    <w:rsid w:val="00735D9B"/>
    <w:rsid w:val="00735EE8"/>
    <w:rsid w:val="0073685B"/>
    <w:rsid w:val="007408EF"/>
    <w:rsid w:val="00742CAB"/>
    <w:rsid w:val="00744838"/>
    <w:rsid w:val="007449BF"/>
    <w:rsid w:val="00745209"/>
    <w:rsid w:val="007463FE"/>
    <w:rsid w:val="00746BC0"/>
    <w:rsid w:val="007510B4"/>
    <w:rsid w:val="00751E42"/>
    <w:rsid w:val="00751F46"/>
    <w:rsid w:val="00752142"/>
    <w:rsid w:val="007523F9"/>
    <w:rsid w:val="00753381"/>
    <w:rsid w:val="0075357E"/>
    <w:rsid w:val="00753B29"/>
    <w:rsid w:val="007547EF"/>
    <w:rsid w:val="00754C3C"/>
    <w:rsid w:val="007573E8"/>
    <w:rsid w:val="00760746"/>
    <w:rsid w:val="00760C1C"/>
    <w:rsid w:val="00760C4E"/>
    <w:rsid w:val="00760F9E"/>
    <w:rsid w:val="007616E6"/>
    <w:rsid w:val="0076186A"/>
    <w:rsid w:val="00761DCB"/>
    <w:rsid w:val="007627BE"/>
    <w:rsid w:val="007647FC"/>
    <w:rsid w:val="00764F03"/>
    <w:rsid w:val="00765245"/>
    <w:rsid w:val="0076582E"/>
    <w:rsid w:val="00765B1A"/>
    <w:rsid w:val="00765CCB"/>
    <w:rsid w:val="00765DC1"/>
    <w:rsid w:val="007678DB"/>
    <w:rsid w:val="00771575"/>
    <w:rsid w:val="00772037"/>
    <w:rsid w:val="0077233F"/>
    <w:rsid w:val="0077244E"/>
    <w:rsid w:val="007729F9"/>
    <w:rsid w:val="00773604"/>
    <w:rsid w:val="00773EB0"/>
    <w:rsid w:val="00774F25"/>
    <w:rsid w:val="00775725"/>
    <w:rsid w:val="00777335"/>
    <w:rsid w:val="0078065A"/>
    <w:rsid w:val="00780682"/>
    <w:rsid w:val="007806C3"/>
    <w:rsid w:val="00781679"/>
    <w:rsid w:val="00783AF7"/>
    <w:rsid w:val="007843F2"/>
    <w:rsid w:val="007846FA"/>
    <w:rsid w:val="00785A9F"/>
    <w:rsid w:val="00785C40"/>
    <w:rsid w:val="0078781A"/>
    <w:rsid w:val="007904EE"/>
    <w:rsid w:val="00790BBE"/>
    <w:rsid w:val="007925DF"/>
    <w:rsid w:val="0079280A"/>
    <w:rsid w:val="00793556"/>
    <w:rsid w:val="0079612B"/>
    <w:rsid w:val="00796444"/>
    <w:rsid w:val="00796930"/>
    <w:rsid w:val="007A08AA"/>
    <w:rsid w:val="007A0A12"/>
    <w:rsid w:val="007A132D"/>
    <w:rsid w:val="007A1345"/>
    <w:rsid w:val="007A1553"/>
    <w:rsid w:val="007A1F89"/>
    <w:rsid w:val="007A2A39"/>
    <w:rsid w:val="007A2DDB"/>
    <w:rsid w:val="007A4DD6"/>
    <w:rsid w:val="007A70BA"/>
    <w:rsid w:val="007A7AD9"/>
    <w:rsid w:val="007B0D68"/>
    <w:rsid w:val="007B251D"/>
    <w:rsid w:val="007B2973"/>
    <w:rsid w:val="007B2B0B"/>
    <w:rsid w:val="007B2C8F"/>
    <w:rsid w:val="007B2DEF"/>
    <w:rsid w:val="007B3533"/>
    <w:rsid w:val="007B4F58"/>
    <w:rsid w:val="007B528D"/>
    <w:rsid w:val="007B63CA"/>
    <w:rsid w:val="007B73C3"/>
    <w:rsid w:val="007B77D1"/>
    <w:rsid w:val="007C01CE"/>
    <w:rsid w:val="007C07C7"/>
    <w:rsid w:val="007C1ACF"/>
    <w:rsid w:val="007C1CD9"/>
    <w:rsid w:val="007C2B00"/>
    <w:rsid w:val="007C32EF"/>
    <w:rsid w:val="007C3407"/>
    <w:rsid w:val="007C361D"/>
    <w:rsid w:val="007C43FB"/>
    <w:rsid w:val="007C49F6"/>
    <w:rsid w:val="007C4B84"/>
    <w:rsid w:val="007C4D98"/>
    <w:rsid w:val="007C5D09"/>
    <w:rsid w:val="007C67D7"/>
    <w:rsid w:val="007C69BA"/>
    <w:rsid w:val="007C70FF"/>
    <w:rsid w:val="007C7AB0"/>
    <w:rsid w:val="007C7C25"/>
    <w:rsid w:val="007D004F"/>
    <w:rsid w:val="007D014E"/>
    <w:rsid w:val="007D035F"/>
    <w:rsid w:val="007D06B2"/>
    <w:rsid w:val="007D0B38"/>
    <w:rsid w:val="007D0B96"/>
    <w:rsid w:val="007D4128"/>
    <w:rsid w:val="007D4EE4"/>
    <w:rsid w:val="007D5440"/>
    <w:rsid w:val="007D69EB"/>
    <w:rsid w:val="007D76CB"/>
    <w:rsid w:val="007E128F"/>
    <w:rsid w:val="007E1D74"/>
    <w:rsid w:val="007E2593"/>
    <w:rsid w:val="007E2DE8"/>
    <w:rsid w:val="007E34BC"/>
    <w:rsid w:val="007E5270"/>
    <w:rsid w:val="007E7226"/>
    <w:rsid w:val="007E7604"/>
    <w:rsid w:val="007F01E7"/>
    <w:rsid w:val="007F1017"/>
    <w:rsid w:val="007F22F8"/>
    <w:rsid w:val="007F2FFD"/>
    <w:rsid w:val="007F4A3F"/>
    <w:rsid w:val="007F4A61"/>
    <w:rsid w:val="007F5255"/>
    <w:rsid w:val="007F56CC"/>
    <w:rsid w:val="007F5C84"/>
    <w:rsid w:val="007F5E12"/>
    <w:rsid w:val="007F61C2"/>
    <w:rsid w:val="007F645A"/>
    <w:rsid w:val="007F6B26"/>
    <w:rsid w:val="007F7CF4"/>
    <w:rsid w:val="007F7FA9"/>
    <w:rsid w:val="008011A3"/>
    <w:rsid w:val="00802E6C"/>
    <w:rsid w:val="008035C2"/>
    <w:rsid w:val="008035FC"/>
    <w:rsid w:val="00804648"/>
    <w:rsid w:val="00804B0B"/>
    <w:rsid w:val="00804FA1"/>
    <w:rsid w:val="00805142"/>
    <w:rsid w:val="00805517"/>
    <w:rsid w:val="00805FCE"/>
    <w:rsid w:val="00807A8B"/>
    <w:rsid w:val="00811383"/>
    <w:rsid w:val="00811E00"/>
    <w:rsid w:val="00812149"/>
    <w:rsid w:val="008124CA"/>
    <w:rsid w:val="00812CAC"/>
    <w:rsid w:val="00814521"/>
    <w:rsid w:val="00814860"/>
    <w:rsid w:val="00815B9B"/>
    <w:rsid w:val="00816361"/>
    <w:rsid w:val="008166EF"/>
    <w:rsid w:val="008168FB"/>
    <w:rsid w:val="00816FEF"/>
    <w:rsid w:val="00817897"/>
    <w:rsid w:val="00817C33"/>
    <w:rsid w:val="008205F1"/>
    <w:rsid w:val="00820735"/>
    <w:rsid w:val="00820A8C"/>
    <w:rsid w:val="008215FB"/>
    <w:rsid w:val="008220CC"/>
    <w:rsid w:val="00823174"/>
    <w:rsid w:val="008235BD"/>
    <w:rsid w:val="00825751"/>
    <w:rsid w:val="008264EB"/>
    <w:rsid w:val="00826800"/>
    <w:rsid w:val="008268CE"/>
    <w:rsid w:val="00827B95"/>
    <w:rsid w:val="00827C23"/>
    <w:rsid w:val="00830CB2"/>
    <w:rsid w:val="008330CB"/>
    <w:rsid w:val="00833525"/>
    <w:rsid w:val="00833B05"/>
    <w:rsid w:val="008362B4"/>
    <w:rsid w:val="0083734E"/>
    <w:rsid w:val="00840609"/>
    <w:rsid w:val="00840775"/>
    <w:rsid w:val="00840CA2"/>
    <w:rsid w:val="00841C1D"/>
    <w:rsid w:val="0084374F"/>
    <w:rsid w:val="00844A22"/>
    <w:rsid w:val="00844D93"/>
    <w:rsid w:val="008458AA"/>
    <w:rsid w:val="008461E2"/>
    <w:rsid w:val="00847703"/>
    <w:rsid w:val="00847960"/>
    <w:rsid w:val="00847DF5"/>
    <w:rsid w:val="00850981"/>
    <w:rsid w:val="008509A1"/>
    <w:rsid w:val="008515BA"/>
    <w:rsid w:val="00852112"/>
    <w:rsid w:val="0085309D"/>
    <w:rsid w:val="0085354A"/>
    <w:rsid w:val="00854E56"/>
    <w:rsid w:val="008553E1"/>
    <w:rsid w:val="00856779"/>
    <w:rsid w:val="00856897"/>
    <w:rsid w:val="00856B51"/>
    <w:rsid w:val="00856E9A"/>
    <w:rsid w:val="00857427"/>
    <w:rsid w:val="0085788E"/>
    <w:rsid w:val="008578B6"/>
    <w:rsid w:val="00857900"/>
    <w:rsid w:val="0086075D"/>
    <w:rsid w:val="00862502"/>
    <w:rsid w:val="00862B80"/>
    <w:rsid w:val="00862CC1"/>
    <w:rsid w:val="008642A7"/>
    <w:rsid w:val="008644BC"/>
    <w:rsid w:val="0086590B"/>
    <w:rsid w:val="008660D4"/>
    <w:rsid w:val="00866449"/>
    <w:rsid w:val="00866E49"/>
    <w:rsid w:val="008674F0"/>
    <w:rsid w:val="00871FA9"/>
    <w:rsid w:val="008728E9"/>
    <w:rsid w:val="00873FD0"/>
    <w:rsid w:val="008740AF"/>
    <w:rsid w:val="00877223"/>
    <w:rsid w:val="0088114E"/>
    <w:rsid w:val="00881C07"/>
    <w:rsid w:val="00882874"/>
    <w:rsid w:val="00882E3C"/>
    <w:rsid w:val="0088308A"/>
    <w:rsid w:val="00883761"/>
    <w:rsid w:val="00883787"/>
    <w:rsid w:val="0088480D"/>
    <w:rsid w:val="008855E4"/>
    <w:rsid w:val="00885C1D"/>
    <w:rsid w:val="00886853"/>
    <w:rsid w:val="00886CD2"/>
    <w:rsid w:val="00890225"/>
    <w:rsid w:val="00891B07"/>
    <w:rsid w:val="00891E6F"/>
    <w:rsid w:val="0089275D"/>
    <w:rsid w:val="00892A36"/>
    <w:rsid w:val="00893239"/>
    <w:rsid w:val="00893DF0"/>
    <w:rsid w:val="00894489"/>
    <w:rsid w:val="008945D4"/>
    <w:rsid w:val="00894CD6"/>
    <w:rsid w:val="008952AE"/>
    <w:rsid w:val="008963A5"/>
    <w:rsid w:val="00896D5D"/>
    <w:rsid w:val="008A1539"/>
    <w:rsid w:val="008A192B"/>
    <w:rsid w:val="008A2BD4"/>
    <w:rsid w:val="008A3158"/>
    <w:rsid w:val="008A3363"/>
    <w:rsid w:val="008A3371"/>
    <w:rsid w:val="008A38FD"/>
    <w:rsid w:val="008A3C3E"/>
    <w:rsid w:val="008A54C0"/>
    <w:rsid w:val="008A79DE"/>
    <w:rsid w:val="008B0F47"/>
    <w:rsid w:val="008B1757"/>
    <w:rsid w:val="008B1C33"/>
    <w:rsid w:val="008B255E"/>
    <w:rsid w:val="008B3133"/>
    <w:rsid w:val="008B3971"/>
    <w:rsid w:val="008B3E4C"/>
    <w:rsid w:val="008B4472"/>
    <w:rsid w:val="008B4B6F"/>
    <w:rsid w:val="008B538D"/>
    <w:rsid w:val="008B6F24"/>
    <w:rsid w:val="008B7992"/>
    <w:rsid w:val="008B7D7E"/>
    <w:rsid w:val="008C0861"/>
    <w:rsid w:val="008C0A08"/>
    <w:rsid w:val="008C2C2E"/>
    <w:rsid w:val="008C2F1B"/>
    <w:rsid w:val="008C351B"/>
    <w:rsid w:val="008C36DD"/>
    <w:rsid w:val="008C3ABA"/>
    <w:rsid w:val="008C44D0"/>
    <w:rsid w:val="008C4C39"/>
    <w:rsid w:val="008C5610"/>
    <w:rsid w:val="008C5739"/>
    <w:rsid w:val="008C5B77"/>
    <w:rsid w:val="008C711A"/>
    <w:rsid w:val="008C7282"/>
    <w:rsid w:val="008C7ECB"/>
    <w:rsid w:val="008C7FF8"/>
    <w:rsid w:val="008D109D"/>
    <w:rsid w:val="008D3B86"/>
    <w:rsid w:val="008D43FD"/>
    <w:rsid w:val="008D4755"/>
    <w:rsid w:val="008D4C3D"/>
    <w:rsid w:val="008D4E08"/>
    <w:rsid w:val="008D6FE1"/>
    <w:rsid w:val="008D743C"/>
    <w:rsid w:val="008D792B"/>
    <w:rsid w:val="008E0145"/>
    <w:rsid w:val="008E052A"/>
    <w:rsid w:val="008E0D3C"/>
    <w:rsid w:val="008E1109"/>
    <w:rsid w:val="008E1B9E"/>
    <w:rsid w:val="008E247E"/>
    <w:rsid w:val="008E2953"/>
    <w:rsid w:val="008E3BB1"/>
    <w:rsid w:val="008E44A1"/>
    <w:rsid w:val="008E55AB"/>
    <w:rsid w:val="008E5693"/>
    <w:rsid w:val="008E5D9E"/>
    <w:rsid w:val="008E668C"/>
    <w:rsid w:val="008E7ADC"/>
    <w:rsid w:val="008E7C66"/>
    <w:rsid w:val="008F04D3"/>
    <w:rsid w:val="008F0C20"/>
    <w:rsid w:val="008F1069"/>
    <w:rsid w:val="008F10A2"/>
    <w:rsid w:val="008F120A"/>
    <w:rsid w:val="008F27E0"/>
    <w:rsid w:val="008F2F47"/>
    <w:rsid w:val="008F48EB"/>
    <w:rsid w:val="008F4F0B"/>
    <w:rsid w:val="008F7E71"/>
    <w:rsid w:val="00900A59"/>
    <w:rsid w:val="0090111F"/>
    <w:rsid w:val="00901377"/>
    <w:rsid w:val="00901B63"/>
    <w:rsid w:val="00903B84"/>
    <w:rsid w:val="009046C4"/>
    <w:rsid w:val="009062A5"/>
    <w:rsid w:val="00906AB1"/>
    <w:rsid w:val="00906E16"/>
    <w:rsid w:val="00907634"/>
    <w:rsid w:val="00907699"/>
    <w:rsid w:val="00910FA7"/>
    <w:rsid w:val="00911006"/>
    <w:rsid w:val="00911272"/>
    <w:rsid w:val="00911339"/>
    <w:rsid w:val="00912DDF"/>
    <w:rsid w:val="00913378"/>
    <w:rsid w:val="009135D6"/>
    <w:rsid w:val="00913B15"/>
    <w:rsid w:val="00913DF2"/>
    <w:rsid w:val="00914C77"/>
    <w:rsid w:val="00915E7B"/>
    <w:rsid w:val="00916D18"/>
    <w:rsid w:val="00921ACB"/>
    <w:rsid w:val="00922EAC"/>
    <w:rsid w:val="0092369B"/>
    <w:rsid w:val="00926017"/>
    <w:rsid w:val="009271B2"/>
    <w:rsid w:val="00927380"/>
    <w:rsid w:val="00927EB9"/>
    <w:rsid w:val="00930167"/>
    <w:rsid w:val="00930302"/>
    <w:rsid w:val="00930FB8"/>
    <w:rsid w:val="0093108C"/>
    <w:rsid w:val="00932150"/>
    <w:rsid w:val="009334CB"/>
    <w:rsid w:val="00933F30"/>
    <w:rsid w:val="0093408A"/>
    <w:rsid w:val="0093441B"/>
    <w:rsid w:val="00934988"/>
    <w:rsid w:val="00934A08"/>
    <w:rsid w:val="00935577"/>
    <w:rsid w:val="00936AC2"/>
    <w:rsid w:val="00937089"/>
    <w:rsid w:val="00940FAC"/>
    <w:rsid w:val="009415F3"/>
    <w:rsid w:val="00942419"/>
    <w:rsid w:val="0094241A"/>
    <w:rsid w:val="0094244D"/>
    <w:rsid w:val="00943717"/>
    <w:rsid w:val="00944356"/>
    <w:rsid w:val="00944F8A"/>
    <w:rsid w:val="009453A4"/>
    <w:rsid w:val="00946083"/>
    <w:rsid w:val="00946488"/>
    <w:rsid w:val="0094750E"/>
    <w:rsid w:val="009501D7"/>
    <w:rsid w:val="009510A2"/>
    <w:rsid w:val="00953257"/>
    <w:rsid w:val="00953FBE"/>
    <w:rsid w:val="0095448F"/>
    <w:rsid w:val="0095474C"/>
    <w:rsid w:val="00954B56"/>
    <w:rsid w:val="00954E40"/>
    <w:rsid w:val="00957D92"/>
    <w:rsid w:val="00962CB9"/>
    <w:rsid w:val="00964312"/>
    <w:rsid w:val="00965B8A"/>
    <w:rsid w:val="00967096"/>
    <w:rsid w:val="0097071F"/>
    <w:rsid w:val="0097106D"/>
    <w:rsid w:val="009717AC"/>
    <w:rsid w:val="00971C2E"/>
    <w:rsid w:val="00973855"/>
    <w:rsid w:val="009751C1"/>
    <w:rsid w:val="00975D50"/>
    <w:rsid w:val="00977055"/>
    <w:rsid w:val="009777DA"/>
    <w:rsid w:val="009809AC"/>
    <w:rsid w:val="00980EF3"/>
    <w:rsid w:val="009811F1"/>
    <w:rsid w:val="009836A1"/>
    <w:rsid w:val="00983C30"/>
    <w:rsid w:val="00983E57"/>
    <w:rsid w:val="00984D24"/>
    <w:rsid w:val="00984E1F"/>
    <w:rsid w:val="00984E64"/>
    <w:rsid w:val="00985DE2"/>
    <w:rsid w:val="00986123"/>
    <w:rsid w:val="00986155"/>
    <w:rsid w:val="0098675D"/>
    <w:rsid w:val="009869F8"/>
    <w:rsid w:val="00987BA4"/>
    <w:rsid w:val="009906BC"/>
    <w:rsid w:val="00991DD1"/>
    <w:rsid w:val="00991EC2"/>
    <w:rsid w:val="009926E0"/>
    <w:rsid w:val="00993081"/>
    <w:rsid w:val="00993AE2"/>
    <w:rsid w:val="0099451E"/>
    <w:rsid w:val="009959CC"/>
    <w:rsid w:val="009968C9"/>
    <w:rsid w:val="00996B1A"/>
    <w:rsid w:val="009A0AB9"/>
    <w:rsid w:val="009A18F6"/>
    <w:rsid w:val="009A2D39"/>
    <w:rsid w:val="009A2DCC"/>
    <w:rsid w:val="009A3150"/>
    <w:rsid w:val="009A5ABC"/>
    <w:rsid w:val="009A5E55"/>
    <w:rsid w:val="009A6028"/>
    <w:rsid w:val="009A7F10"/>
    <w:rsid w:val="009B3E26"/>
    <w:rsid w:val="009B4DA7"/>
    <w:rsid w:val="009B5C7B"/>
    <w:rsid w:val="009B5F78"/>
    <w:rsid w:val="009B5FA0"/>
    <w:rsid w:val="009B7390"/>
    <w:rsid w:val="009B7911"/>
    <w:rsid w:val="009C1271"/>
    <w:rsid w:val="009C19FD"/>
    <w:rsid w:val="009C2BFC"/>
    <w:rsid w:val="009C3706"/>
    <w:rsid w:val="009C3A3A"/>
    <w:rsid w:val="009C5018"/>
    <w:rsid w:val="009C6CEA"/>
    <w:rsid w:val="009C7B85"/>
    <w:rsid w:val="009D0254"/>
    <w:rsid w:val="009D0A51"/>
    <w:rsid w:val="009D1111"/>
    <w:rsid w:val="009D1A64"/>
    <w:rsid w:val="009D1F5F"/>
    <w:rsid w:val="009D1FEB"/>
    <w:rsid w:val="009D24AB"/>
    <w:rsid w:val="009D4E33"/>
    <w:rsid w:val="009D5B91"/>
    <w:rsid w:val="009D655D"/>
    <w:rsid w:val="009D6EDD"/>
    <w:rsid w:val="009D792E"/>
    <w:rsid w:val="009E070E"/>
    <w:rsid w:val="009E0DFE"/>
    <w:rsid w:val="009E31F6"/>
    <w:rsid w:val="009E4C07"/>
    <w:rsid w:val="009E4DDC"/>
    <w:rsid w:val="009E55B7"/>
    <w:rsid w:val="009E60C8"/>
    <w:rsid w:val="009E6409"/>
    <w:rsid w:val="009E6D86"/>
    <w:rsid w:val="009E776E"/>
    <w:rsid w:val="009E777F"/>
    <w:rsid w:val="009E78EC"/>
    <w:rsid w:val="009F1A5E"/>
    <w:rsid w:val="009F2299"/>
    <w:rsid w:val="009F2387"/>
    <w:rsid w:val="009F4134"/>
    <w:rsid w:val="009F45B4"/>
    <w:rsid w:val="009F4A6A"/>
    <w:rsid w:val="009F5C83"/>
    <w:rsid w:val="009F6120"/>
    <w:rsid w:val="009F62F1"/>
    <w:rsid w:val="009F7CC6"/>
    <w:rsid w:val="009F7D60"/>
    <w:rsid w:val="00A00D76"/>
    <w:rsid w:val="00A01184"/>
    <w:rsid w:val="00A01426"/>
    <w:rsid w:val="00A01449"/>
    <w:rsid w:val="00A015AE"/>
    <w:rsid w:val="00A01732"/>
    <w:rsid w:val="00A01FCA"/>
    <w:rsid w:val="00A02B21"/>
    <w:rsid w:val="00A037C2"/>
    <w:rsid w:val="00A03D43"/>
    <w:rsid w:val="00A04380"/>
    <w:rsid w:val="00A04786"/>
    <w:rsid w:val="00A053C9"/>
    <w:rsid w:val="00A05472"/>
    <w:rsid w:val="00A05C32"/>
    <w:rsid w:val="00A0653F"/>
    <w:rsid w:val="00A06609"/>
    <w:rsid w:val="00A06A12"/>
    <w:rsid w:val="00A071C5"/>
    <w:rsid w:val="00A07F56"/>
    <w:rsid w:val="00A11AA0"/>
    <w:rsid w:val="00A11B5C"/>
    <w:rsid w:val="00A11CD0"/>
    <w:rsid w:val="00A12D42"/>
    <w:rsid w:val="00A13948"/>
    <w:rsid w:val="00A13D36"/>
    <w:rsid w:val="00A13F1F"/>
    <w:rsid w:val="00A1435B"/>
    <w:rsid w:val="00A14D9F"/>
    <w:rsid w:val="00A1555B"/>
    <w:rsid w:val="00A155C5"/>
    <w:rsid w:val="00A15BEF"/>
    <w:rsid w:val="00A16AD8"/>
    <w:rsid w:val="00A17D93"/>
    <w:rsid w:val="00A2021E"/>
    <w:rsid w:val="00A20DDE"/>
    <w:rsid w:val="00A21AC4"/>
    <w:rsid w:val="00A21C95"/>
    <w:rsid w:val="00A21CF3"/>
    <w:rsid w:val="00A224E8"/>
    <w:rsid w:val="00A227FD"/>
    <w:rsid w:val="00A22A77"/>
    <w:rsid w:val="00A2305B"/>
    <w:rsid w:val="00A23076"/>
    <w:rsid w:val="00A23E77"/>
    <w:rsid w:val="00A24813"/>
    <w:rsid w:val="00A25504"/>
    <w:rsid w:val="00A2782B"/>
    <w:rsid w:val="00A2790A"/>
    <w:rsid w:val="00A27AEC"/>
    <w:rsid w:val="00A301FF"/>
    <w:rsid w:val="00A308C6"/>
    <w:rsid w:val="00A320DB"/>
    <w:rsid w:val="00A33E7F"/>
    <w:rsid w:val="00A35168"/>
    <w:rsid w:val="00A35D16"/>
    <w:rsid w:val="00A35DFC"/>
    <w:rsid w:val="00A36AA9"/>
    <w:rsid w:val="00A36F2C"/>
    <w:rsid w:val="00A370B1"/>
    <w:rsid w:val="00A37BCD"/>
    <w:rsid w:val="00A40B00"/>
    <w:rsid w:val="00A41689"/>
    <w:rsid w:val="00A42592"/>
    <w:rsid w:val="00A42674"/>
    <w:rsid w:val="00A436B9"/>
    <w:rsid w:val="00A43C59"/>
    <w:rsid w:val="00A44E48"/>
    <w:rsid w:val="00A47176"/>
    <w:rsid w:val="00A47568"/>
    <w:rsid w:val="00A5080A"/>
    <w:rsid w:val="00A50ECD"/>
    <w:rsid w:val="00A518F3"/>
    <w:rsid w:val="00A52729"/>
    <w:rsid w:val="00A52D80"/>
    <w:rsid w:val="00A53675"/>
    <w:rsid w:val="00A5371C"/>
    <w:rsid w:val="00A53D1E"/>
    <w:rsid w:val="00A54660"/>
    <w:rsid w:val="00A5617A"/>
    <w:rsid w:val="00A56297"/>
    <w:rsid w:val="00A564D7"/>
    <w:rsid w:val="00A5682B"/>
    <w:rsid w:val="00A56B6A"/>
    <w:rsid w:val="00A56E44"/>
    <w:rsid w:val="00A578DC"/>
    <w:rsid w:val="00A61F49"/>
    <w:rsid w:val="00A63CA5"/>
    <w:rsid w:val="00A640E2"/>
    <w:rsid w:val="00A6460B"/>
    <w:rsid w:val="00A6484B"/>
    <w:rsid w:val="00A64D65"/>
    <w:rsid w:val="00A66A21"/>
    <w:rsid w:val="00A6725B"/>
    <w:rsid w:val="00A67CB6"/>
    <w:rsid w:val="00A70605"/>
    <w:rsid w:val="00A73134"/>
    <w:rsid w:val="00A7365A"/>
    <w:rsid w:val="00A750D7"/>
    <w:rsid w:val="00A76001"/>
    <w:rsid w:val="00A777B2"/>
    <w:rsid w:val="00A825D4"/>
    <w:rsid w:val="00A828F6"/>
    <w:rsid w:val="00A82B73"/>
    <w:rsid w:val="00A82FB7"/>
    <w:rsid w:val="00A83621"/>
    <w:rsid w:val="00A85E70"/>
    <w:rsid w:val="00A865EF"/>
    <w:rsid w:val="00A86E8B"/>
    <w:rsid w:val="00A87164"/>
    <w:rsid w:val="00A871A9"/>
    <w:rsid w:val="00A9033C"/>
    <w:rsid w:val="00A92417"/>
    <w:rsid w:val="00A92EBE"/>
    <w:rsid w:val="00A93072"/>
    <w:rsid w:val="00A938BD"/>
    <w:rsid w:val="00A93953"/>
    <w:rsid w:val="00A939E8"/>
    <w:rsid w:val="00A93CFB"/>
    <w:rsid w:val="00A959D8"/>
    <w:rsid w:val="00A95E2F"/>
    <w:rsid w:val="00AA113D"/>
    <w:rsid w:val="00AA1A99"/>
    <w:rsid w:val="00AA3610"/>
    <w:rsid w:val="00AA4D56"/>
    <w:rsid w:val="00AA5369"/>
    <w:rsid w:val="00AA55F1"/>
    <w:rsid w:val="00AA6535"/>
    <w:rsid w:val="00AA6BD5"/>
    <w:rsid w:val="00AA6BD8"/>
    <w:rsid w:val="00AA6C7D"/>
    <w:rsid w:val="00AA726F"/>
    <w:rsid w:val="00AA7FD6"/>
    <w:rsid w:val="00AB042A"/>
    <w:rsid w:val="00AB11AD"/>
    <w:rsid w:val="00AB19EF"/>
    <w:rsid w:val="00AB2495"/>
    <w:rsid w:val="00AB2D34"/>
    <w:rsid w:val="00AB2E75"/>
    <w:rsid w:val="00AB3430"/>
    <w:rsid w:val="00AB37B9"/>
    <w:rsid w:val="00AB421F"/>
    <w:rsid w:val="00AB4898"/>
    <w:rsid w:val="00AB4AD1"/>
    <w:rsid w:val="00AB5C0E"/>
    <w:rsid w:val="00AB5E07"/>
    <w:rsid w:val="00AB7CFA"/>
    <w:rsid w:val="00AC00D8"/>
    <w:rsid w:val="00AC1AAB"/>
    <w:rsid w:val="00AC3736"/>
    <w:rsid w:val="00AC5B42"/>
    <w:rsid w:val="00AC5B48"/>
    <w:rsid w:val="00AD1450"/>
    <w:rsid w:val="00AD15E8"/>
    <w:rsid w:val="00AD356D"/>
    <w:rsid w:val="00AD40CA"/>
    <w:rsid w:val="00AD46C3"/>
    <w:rsid w:val="00AD5614"/>
    <w:rsid w:val="00AD6502"/>
    <w:rsid w:val="00AD7466"/>
    <w:rsid w:val="00AE0224"/>
    <w:rsid w:val="00AE02BD"/>
    <w:rsid w:val="00AE0695"/>
    <w:rsid w:val="00AE1152"/>
    <w:rsid w:val="00AE172E"/>
    <w:rsid w:val="00AE3E6D"/>
    <w:rsid w:val="00AE3E7E"/>
    <w:rsid w:val="00AE5247"/>
    <w:rsid w:val="00AE65CE"/>
    <w:rsid w:val="00AE6BEC"/>
    <w:rsid w:val="00AE6BF1"/>
    <w:rsid w:val="00AE7E53"/>
    <w:rsid w:val="00AF0A8F"/>
    <w:rsid w:val="00AF1315"/>
    <w:rsid w:val="00AF19BF"/>
    <w:rsid w:val="00AF292B"/>
    <w:rsid w:val="00AF2A24"/>
    <w:rsid w:val="00AF2DC3"/>
    <w:rsid w:val="00AF417B"/>
    <w:rsid w:val="00AF677D"/>
    <w:rsid w:val="00AF7260"/>
    <w:rsid w:val="00B000DF"/>
    <w:rsid w:val="00B0058E"/>
    <w:rsid w:val="00B01178"/>
    <w:rsid w:val="00B01826"/>
    <w:rsid w:val="00B033E5"/>
    <w:rsid w:val="00B03A63"/>
    <w:rsid w:val="00B04A0C"/>
    <w:rsid w:val="00B07F23"/>
    <w:rsid w:val="00B11B12"/>
    <w:rsid w:val="00B12608"/>
    <w:rsid w:val="00B129A4"/>
    <w:rsid w:val="00B136A8"/>
    <w:rsid w:val="00B15A1F"/>
    <w:rsid w:val="00B15D71"/>
    <w:rsid w:val="00B15FC6"/>
    <w:rsid w:val="00B16493"/>
    <w:rsid w:val="00B167BC"/>
    <w:rsid w:val="00B17100"/>
    <w:rsid w:val="00B201A4"/>
    <w:rsid w:val="00B201D1"/>
    <w:rsid w:val="00B20841"/>
    <w:rsid w:val="00B213A6"/>
    <w:rsid w:val="00B235B0"/>
    <w:rsid w:val="00B24DF6"/>
    <w:rsid w:val="00B26714"/>
    <w:rsid w:val="00B26A7C"/>
    <w:rsid w:val="00B26C4F"/>
    <w:rsid w:val="00B27A61"/>
    <w:rsid w:val="00B27B12"/>
    <w:rsid w:val="00B30086"/>
    <w:rsid w:val="00B30AD2"/>
    <w:rsid w:val="00B34FE2"/>
    <w:rsid w:val="00B35166"/>
    <w:rsid w:val="00B357D8"/>
    <w:rsid w:val="00B360F4"/>
    <w:rsid w:val="00B36A00"/>
    <w:rsid w:val="00B3723A"/>
    <w:rsid w:val="00B3792B"/>
    <w:rsid w:val="00B37BFC"/>
    <w:rsid w:val="00B40358"/>
    <w:rsid w:val="00B41614"/>
    <w:rsid w:val="00B419D5"/>
    <w:rsid w:val="00B427BC"/>
    <w:rsid w:val="00B42851"/>
    <w:rsid w:val="00B42F80"/>
    <w:rsid w:val="00B435CB"/>
    <w:rsid w:val="00B45639"/>
    <w:rsid w:val="00B465EC"/>
    <w:rsid w:val="00B505C8"/>
    <w:rsid w:val="00B505D3"/>
    <w:rsid w:val="00B509A2"/>
    <w:rsid w:val="00B50BA0"/>
    <w:rsid w:val="00B50DB8"/>
    <w:rsid w:val="00B5234C"/>
    <w:rsid w:val="00B526B7"/>
    <w:rsid w:val="00B5304F"/>
    <w:rsid w:val="00B531B4"/>
    <w:rsid w:val="00B53654"/>
    <w:rsid w:val="00B53905"/>
    <w:rsid w:val="00B546DB"/>
    <w:rsid w:val="00B54B5B"/>
    <w:rsid w:val="00B55564"/>
    <w:rsid w:val="00B5562E"/>
    <w:rsid w:val="00B556F2"/>
    <w:rsid w:val="00B55862"/>
    <w:rsid w:val="00B55D65"/>
    <w:rsid w:val="00B56305"/>
    <w:rsid w:val="00B57000"/>
    <w:rsid w:val="00B6067E"/>
    <w:rsid w:val="00B60939"/>
    <w:rsid w:val="00B60A41"/>
    <w:rsid w:val="00B60AFD"/>
    <w:rsid w:val="00B6142F"/>
    <w:rsid w:val="00B62715"/>
    <w:rsid w:val="00B65240"/>
    <w:rsid w:val="00B65611"/>
    <w:rsid w:val="00B66744"/>
    <w:rsid w:val="00B66EAD"/>
    <w:rsid w:val="00B67072"/>
    <w:rsid w:val="00B70E8E"/>
    <w:rsid w:val="00B71302"/>
    <w:rsid w:val="00B7135E"/>
    <w:rsid w:val="00B71B9F"/>
    <w:rsid w:val="00B71BF3"/>
    <w:rsid w:val="00B7246C"/>
    <w:rsid w:val="00B72500"/>
    <w:rsid w:val="00B734B7"/>
    <w:rsid w:val="00B73508"/>
    <w:rsid w:val="00B74405"/>
    <w:rsid w:val="00B74AF5"/>
    <w:rsid w:val="00B74B49"/>
    <w:rsid w:val="00B7663A"/>
    <w:rsid w:val="00B76C92"/>
    <w:rsid w:val="00B77551"/>
    <w:rsid w:val="00B77A66"/>
    <w:rsid w:val="00B77B1B"/>
    <w:rsid w:val="00B77EB7"/>
    <w:rsid w:val="00B8064D"/>
    <w:rsid w:val="00B80EFD"/>
    <w:rsid w:val="00B818A4"/>
    <w:rsid w:val="00B830DB"/>
    <w:rsid w:val="00B83739"/>
    <w:rsid w:val="00B84117"/>
    <w:rsid w:val="00B849B8"/>
    <w:rsid w:val="00B850E6"/>
    <w:rsid w:val="00B8525B"/>
    <w:rsid w:val="00B858F0"/>
    <w:rsid w:val="00B85AA2"/>
    <w:rsid w:val="00B8649C"/>
    <w:rsid w:val="00B8695D"/>
    <w:rsid w:val="00B87F0A"/>
    <w:rsid w:val="00B87FE7"/>
    <w:rsid w:val="00B9185A"/>
    <w:rsid w:val="00B92865"/>
    <w:rsid w:val="00B92D0B"/>
    <w:rsid w:val="00B92E65"/>
    <w:rsid w:val="00B943A0"/>
    <w:rsid w:val="00B945A2"/>
    <w:rsid w:val="00B94830"/>
    <w:rsid w:val="00B94845"/>
    <w:rsid w:val="00B94945"/>
    <w:rsid w:val="00B94DD6"/>
    <w:rsid w:val="00B954DA"/>
    <w:rsid w:val="00BA322D"/>
    <w:rsid w:val="00BA3470"/>
    <w:rsid w:val="00BA3B25"/>
    <w:rsid w:val="00BA4C06"/>
    <w:rsid w:val="00BA63FA"/>
    <w:rsid w:val="00BA7376"/>
    <w:rsid w:val="00BB00B3"/>
    <w:rsid w:val="00BB0BDD"/>
    <w:rsid w:val="00BB0E82"/>
    <w:rsid w:val="00BB16A0"/>
    <w:rsid w:val="00BB176C"/>
    <w:rsid w:val="00BB19C7"/>
    <w:rsid w:val="00BB1CD1"/>
    <w:rsid w:val="00BB1E90"/>
    <w:rsid w:val="00BB2A73"/>
    <w:rsid w:val="00BB3A45"/>
    <w:rsid w:val="00BB41B3"/>
    <w:rsid w:val="00BB4ACC"/>
    <w:rsid w:val="00BB703E"/>
    <w:rsid w:val="00BB732D"/>
    <w:rsid w:val="00BB7405"/>
    <w:rsid w:val="00BB776B"/>
    <w:rsid w:val="00BC19AC"/>
    <w:rsid w:val="00BC3631"/>
    <w:rsid w:val="00BC3AC2"/>
    <w:rsid w:val="00BC418B"/>
    <w:rsid w:val="00BC4EA1"/>
    <w:rsid w:val="00BC4EF2"/>
    <w:rsid w:val="00BC52CC"/>
    <w:rsid w:val="00BC591F"/>
    <w:rsid w:val="00BC607D"/>
    <w:rsid w:val="00BC7094"/>
    <w:rsid w:val="00BC7196"/>
    <w:rsid w:val="00BC7D6D"/>
    <w:rsid w:val="00BD2108"/>
    <w:rsid w:val="00BD330A"/>
    <w:rsid w:val="00BD37B8"/>
    <w:rsid w:val="00BD3CE2"/>
    <w:rsid w:val="00BD4137"/>
    <w:rsid w:val="00BD41B8"/>
    <w:rsid w:val="00BD6288"/>
    <w:rsid w:val="00BD68A3"/>
    <w:rsid w:val="00BD6938"/>
    <w:rsid w:val="00BD6CF3"/>
    <w:rsid w:val="00BD6E7E"/>
    <w:rsid w:val="00BD6F49"/>
    <w:rsid w:val="00BD7F72"/>
    <w:rsid w:val="00BE022E"/>
    <w:rsid w:val="00BE0272"/>
    <w:rsid w:val="00BE0AC4"/>
    <w:rsid w:val="00BE0ECA"/>
    <w:rsid w:val="00BE1989"/>
    <w:rsid w:val="00BE2180"/>
    <w:rsid w:val="00BE21F2"/>
    <w:rsid w:val="00BE3E73"/>
    <w:rsid w:val="00BE4275"/>
    <w:rsid w:val="00BE4D38"/>
    <w:rsid w:val="00BE69EE"/>
    <w:rsid w:val="00BF06AE"/>
    <w:rsid w:val="00BF0F95"/>
    <w:rsid w:val="00BF11C7"/>
    <w:rsid w:val="00BF22D4"/>
    <w:rsid w:val="00BF2433"/>
    <w:rsid w:val="00BF2E6E"/>
    <w:rsid w:val="00BF5BB2"/>
    <w:rsid w:val="00BF5E2D"/>
    <w:rsid w:val="00BF6081"/>
    <w:rsid w:val="00BF61C9"/>
    <w:rsid w:val="00BF64EC"/>
    <w:rsid w:val="00BF6A2D"/>
    <w:rsid w:val="00BF6C94"/>
    <w:rsid w:val="00BF7BB2"/>
    <w:rsid w:val="00C00424"/>
    <w:rsid w:val="00C00BB0"/>
    <w:rsid w:val="00C015CC"/>
    <w:rsid w:val="00C01CFC"/>
    <w:rsid w:val="00C02F24"/>
    <w:rsid w:val="00C0441E"/>
    <w:rsid w:val="00C05B7F"/>
    <w:rsid w:val="00C06083"/>
    <w:rsid w:val="00C10120"/>
    <w:rsid w:val="00C1179F"/>
    <w:rsid w:val="00C11F81"/>
    <w:rsid w:val="00C11FBF"/>
    <w:rsid w:val="00C127B9"/>
    <w:rsid w:val="00C128FA"/>
    <w:rsid w:val="00C12C14"/>
    <w:rsid w:val="00C1370B"/>
    <w:rsid w:val="00C13CB3"/>
    <w:rsid w:val="00C158D9"/>
    <w:rsid w:val="00C15C47"/>
    <w:rsid w:val="00C15F04"/>
    <w:rsid w:val="00C1697C"/>
    <w:rsid w:val="00C16B20"/>
    <w:rsid w:val="00C179B3"/>
    <w:rsid w:val="00C17E3F"/>
    <w:rsid w:val="00C200AA"/>
    <w:rsid w:val="00C21A5B"/>
    <w:rsid w:val="00C237ED"/>
    <w:rsid w:val="00C23DEC"/>
    <w:rsid w:val="00C23F99"/>
    <w:rsid w:val="00C24632"/>
    <w:rsid w:val="00C25418"/>
    <w:rsid w:val="00C25D9C"/>
    <w:rsid w:val="00C264E6"/>
    <w:rsid w:val="00C2778B"/>
    <w:rsid w:val="00C27FDB"/>
    <w:rsid w:val="00C3042A"/>
    <w:rsid w:val="00C31649"/>
    <w:rsid w:val="00C32E2C"/>
    <w:rsid w:val="00C3434C"/>
    <w:rsid w:val="00C34A25"/>
    <w:rsid w:val="00C35202"/>
    <w:rsid w:val="00C35502"/>
    <w:rsid w:val="00C35645"/>
    <w:rsid w:val="00C35D79"/>
    <w:rsid w:val="00C36C41"/>
    <w:rsid w:val="00C40385"/>
    <w:rsid w:val="00C40463"/>
    <w:rsid w:val="00C41768"/>
    <w:rsid w:val="00C419D8"/>
    <w:rsid w:val="00C42BC6"/>
    <w:rsid w:val="00C43C72"/>
    <w:rsid w:val="00C46178"/>
    <w:rsid w:val="00C46576"/>
    <w:rsid w:val="00C475AA"/>
    <w:rsid w:val="00C505CF"/>
    <w:rsid w:val="00C50A71"/>
    <w:rsid w:val="00C51232"/>
    <w:rsid w:val="00C51B08"/>
    <w:rsid w:val="00C527C7"/>
    <w:rsid w:val="00C53B42"/>
    <w:rsid w:val="00C53C98"/>
    <w:rsid w:val="00C547B1"/>
    <w:rsid w:val="00C562B6"/>
    <w:rsid w:val="00C56FCF"/>
    <w:rsid w:val="00C5719E"/>
    <w:rsid w:val="00C57643"/>
    <w:rsid w:val="00C57B6C"/>
    <w:rsid w:val="00C61A59"/>
    <w:rsid w:val="00C628A6"/>
    <w:rsid w:val="00C6407D"/>
    <w:rsid w:val="00C64344"/>
    <w:rsid w:val="00C64810"/>
    <w:rsid w:val="00C65108"/>
    <w:rsid w:val="00C65576"/>
    <w:rsid w:val="00C66165"/>
    <w:rsid w:val="00C6673E"/>
    <w:rsid w:val="00C7060A"/>
    <w:rsid w:val="00C71469"/>
    <w:rsid w:val="00C7151A"/>
    <w:rsid w:val="00C717E3"/>
    <w:rsid w:val="00C71F60"/>
    <w:rsid w:val="00C72241"/>
    <w:rsid w:val="00C742DC"/>
    <w:rsid w:val="00C74D7E"/>
    <w:rsid w:val="00C750C8"/>
    <w:rsid w:val="00C75248"/>
    <w:rsid w:val="00C7560F"/>
    <w:rsid w:val="00C756B7"/>
    <w:rsid w:val="00C76887"/>
    <w:rsid w:val="00C77924"/>
    <w:rsid w:val="00C80A0E"/>
    <w:rsid w:val="00C814B8"/>
    <w:rsid w:val="00C819B5"/>
    <w:rsid w:val="00C8213F"/>
    <w:rsid w:val="00C829B6"/>
    <w:rsid w:val="00C8303F"/>
    <w:rsid w:val="00C83C04"/>
    <w:rsid w:val="00C84D36"/>
    <w:rsid w:val="00C85154"/>
    <w:rsid w:val="00C856E4"/>
    <w:rsid w:val="00C85A70"/>
    <w:rsid w:val="00C861AC"/>
    <w:rsid w:val="00C86F27"/>
    <w:rsid w:val="00C87007"/>
    <w:rsid w:val="00C8797A"/>
    <w:rsid w:val="00C87EE1"/>
    <w:rsid w:val="00C90026"/>
    <w:rsid w:val="00C900B8"/>
    <w:rsid w:val="00C90197"/>
    <w:rsid w:val="00C90C71"/>
    <w:rsid w:val="00C91133"/>
    <w:rsid w:val="00C917D0"/>
    <w:rsid w:val="00C91FD1"/>
    <w:rsid w:val="00C92052"/>
    <w:rsid w:val="00C920CA"/>
    <w:rsid w:val="00C931CF"/>
    <w:rsid w:val="00C938CF"/>
    <w:rsid w:val="00C94053"/>
    <w:rsid w:val="00C9594C"/>
    <w:rsid w:val="00C9624D"/>
    <w:rsid w:val="00C966DE"/>
    <w:rsid w:val="00C969DA"/>
    <w:rsid w:val="00C973D7"/>
    <w:rsid w:val="00CA000B"/>
    <w:rsid w:val="00CA1375"/>
    <w:rsid w:val="00CA1B74"/>
    <w:rsid w:val="00CA2C77"/>
    <w:rsid w:val="00CA444F"/>
    <w:rsid w:val="00CA5245"/>
    <w:rsid w:val="00CA5627"/>
    <w:rsid w:val="00CA6B35"/>
    <w:rsid w:val="00CA6C8E"/>
    <w:rsid w:val="00CA71F4"/>
    <w:rsid w:val="00CA7871"/>
    <w:rsid w:val="00CA7B09"/>
    <w:rsid w:val="00CB0C8F"/>
    <w:rsid w:val="00CB12A5"/>
    <w:rsid w:val="00CB1CAC"/>
    <w:rsid w:val="00CB1FEC"/>
    <w:rsid w:val="00CB2F2A"/>
    <w:rsid w:val="00CB333C"/>
    <w:rsid w:val="00CB48F1"/>
    <w:rsid w:val="00CB5B1A"/>
    <w:rsid w:val="00CB6B22"/>
    <w:rsid w:val="00CB7F5F"/>
    <w:rsid w:val="00CB7FBA"/>
    <w:rsid w:val="00CC1B39"/>
    <w:rsid w:val="00CC1BFA"/>
    <w:rsid w:val="00CC2E9F"/>
    <w:rsid w:val="00CC35EA"/>
    <w:rsid w:val="00CC3671"/>
    <w:rsid w:val="00CC3848"/>
    <w:rsid w:val="00CC3A0F"/>
    <w:rsid w:val="00CC5F7A"/>
    <w:rsid w:val="00CC64D0"/>
    <w:rsid w:val="00CC6639"/>
    <w:rsid w:val="00CC678E"/>
    <w:rsid w:val="00CC6D5E"/>
    <w:rsid w:val="00CD0200"/>
    <w:rsid w:val="00CD0BEB"/>
    <w:rsid w:val="00CD0E26"/>
    <w:rsid w:val="00CD1880"/>
    <w:rsid w:val="00CD303D"/>
    <w:rsid w:val="00CD3F77"/>
    <w:rsid w:val="00CD482D"/>
    <w:rsid w:val="00CD51F4"/>
    <w:rsid w:val="00CD5CE4"/>
    <w:rsid w:val="00CD65E0"/>
    <w:rsid w:val="00CD6ADC"/>
    <w:rsid w:val="00CD6CA5"/>
    <w:rsid w:val="00CD6F61"/>
    <w:rsid w:val="00CD7193"/>
    <w:rsid w:val="00CE00A0"/>
    <w:rsid w:val="00CE1551"/>
    <w:rsid w:val="00CE2A9A"/>
    <w:rsid w:val="00CE2EFB"/>
    <w:rsid w:val="00CE38C8"/>
    <w:rsid w:val="00CE3953"/>
    <w:rsid w:val="00CE3B66"/>
    <w:rsid w:val="00CE4452"/>
    <w:rsid w:val="00CE472C"/>
    <w:rsid w:val="00CE524F"/>
    <w:rsid w:val="00CE58CC"/>
    <w:rsid w:val="00CE5950"/>
    <w:rsid w:val="00CE6274"/>
    <w:rsid w:val="00CE62DE"/>
    <w:rsid w:val="00CE670B"/>
    <w:rsid w:val="00CE7369"/>
    <w:rsid w:val="00CE77B6"/>
    <w:rsid w:val="00CE7D66"/>
    <w:rsid w:val="00CF1ADF"/>
    <w:rsid w:val="00CF28D3"/>
    <w:rsid w:val="00CF2B8D"/>
    <w:rsid w:val="00CF3A1B"/>
    <w:rsid w:val="00CF456B"/>
    <w:rsid w:val="00CF5509"/>
    <w:rsid w:val="00CF5A22"/>
    <w:rsid w:val="00CF6277"/>
    <w:rsid w:val="00CF74A5"/>
    <w:rsid w:val="00CF7B94"/>
    <w:rsid w:val="00D00247"/>
    <w:rsid w:val="00D00F77"/>
    <w:rsid w:val="00D00FCE"/>
    <w:rsid w:val="00D01D32"/>
    <w:rsid w:val="00D01E13"/>
    <w:rsid w:val="00D0262E"/>
    <w:rsid w:val="00D0301E"/>
    <w:rsid w:val="00D034EA"/>
    <w:rsid w:val="00D03679"/>
    <w:rsid w:val="00D05849"/>
    <w:rsid w:val="00D05E3D"/>
    <w:rsid w:val="00D06139"/>
    <w:rsid w:val="00D06EC7"/>
    <w:rsid w:val="00D07552"/>
    <w:rsid w:val="00D10A13"/>
    <w:rsid w:val="00D110BD"/>
    <w:rsid w:val="00D11113"/>
    <w:rsid w:val="00D13675"/>
    <w:rsid w:val="00D141E1"/>
    <w:rsid w:val="00D15007"/>
    <w:rsid w:val="00D15314"/>
    <w:rsid w:val="00D15B48"/>
    <w:rsid w:val="00D15BD3"/>
    <w:rsid w:val="00D16EBB"/>
    <w:rsid w:val="00D17D6C"/>
    <w:rsid w:val="00D2155B"/>
    <w:rsid w:val="00D23D11"/>
    <w:rsid w:val="00D23EB2"/>
    <w:rsid w:val="00D244B6"/>
    <w:rsid w:val="00D25157"/>
    <w:rsid w:val="00D25AF5"/>
    <w:rsid w:val="00D265E5"/>
    <w:rsid w:val="00D2754D"/>
    <w:rsid w:val="00D27B27"/>
    <w:rsid w:val="00D27CAF"/>
    <w:rsid w:val="00D30D5B"/>
    <w:rsid w:val="00D3179F"/>
    <w:rsid w:val="00D33BE9"/>
    <w:rsid w:val="00D33F93"/>
    <w:rsid w:val="00D357FF"/>
    <w:rsid w:val="00D35C15"/>
    <w:rsid w:val="00D3638F"/>
    <w:rsid w:val="00D40C6F"/>
    <w:rsid w:val="00D424C7"/>
    <w:rsid w:val="00D43B2A"/>
    <w:rsid w:val="00D43CF1"/>
    <w:rsid w:val="00D43D83"/>
    <w:rsid w:val="00D45E06"/>
    <w:rsid w:val="00D47575"/>
    <w:rsid w:val="00D5083D"/>
    <w:rsid w:val="00D5243B"/>
    <w:rsid w:val="00D533EC"/>
    <w:rsid w:val="00D55A97"/>
    <w:rsid w:val="00D55FAA"/>
    <w:rsid w:val="00D566C9"/>
    <w:rsid w:val="00D56A95"/>
    <w:rsid w:val="00D56E06"/>
    <w:rsid w:val="00D5743A"/>
    <w:rsid w:val="00D57C45"/>
    <w:rsid w:val="00D57C66"/>
    <w:rsid w:val="00D60363"/>
    <w:rsid w:val="00D6076E"/>
    <w:rsid w:val="00D609A3"/>
    <w:rsid w:val="00D61879"/>
    <w:rsid w:val="00D6203A"/>
    <w:rsid w:val="00D620F0"/>
    <w:rsid w:val="00D62FB3"/>
    <w:rsid w:val="00D63C52"/>
    <w:rsid w:val="00D6560C"/>
    <w:rsid w:val="00D65A99"/>
    <w:rsid w:val="00D65F59"/>
    <w:rsid w:val="00D67FE9"/>
    <w:rsid w:val="00D705B6"/>
    <w:rsid w:val="00D70F16"/>
    <w:rsid w:val="00D71A53"/>
    <w:rsid w:val="00D72617"/>
    <w:rsid w:val="00D72A21"/>
    <w:rsid w:val="00D72BD4"/>
    <w:rsid w:val="00D72F57"/>
    <w:rsid w:val="00D737CF"/>
    <w:rsid w:val="00D744E2"/>
    <w:rsid w:val="00D74DBB"/>
    <w:rsid w:val="00D76A44"/>
    <w:rsid w:val="00D77B8D"/>
    <w:rsid w:val="00D77BB7"/>
    <w:rsid w:val="00D815EF"/>
    <w:rsid w:val="00D8175B"/>
    <w:rsid w:val="00D81949"/>
    <w:rsid w:val="00D81F26"/>
    <w:rsid w:val="00D822E2"/>
    <w:rsid w:val="00D82E29"/>
    <w:rsid w:val="00D843F2"/>
    <w:rsid w:val="00D86231"/>
    <w:rsid w:val="00D8709A"/>
    <w:rsid w:val="00D912AB"/>
    <w:rsid w:val="00D917C5"/>
    <w:rsid w:val="00D91923"/>
    <w:rsid w:val="00D91951"/>
    <w:rsid w:val="00D92402"/>
    <w:rsid w:val="00D92E40"/>
    <w:rsid w:val="00D93753"/>
    <w:rsid w:val="00D943E7"/>
    <w:rsid w:val="00D9474B"/>
    <w:rsid w:val="00D952F3"/>
    <w:rsid w:val="00D95C10"/>
    <w:rsid w:val="00D9741D"/>
    <w:rsid w:val="00DA15EB"/>
    <w:rsid w:val="00DA3167"/>
    <w:rsid w:val="00DA3ADA"/>
    <w:rsid w:val="00DA3AE0"/>
    <w:rsid w:val="00DA4DC3"/>
    <w:rsid w:val="00DA59E1"/>
    <w:rsid w:val="00DA729A"/>
    <w:rsid w:val="00DA77A5"/>
    <w:rsid w:val="00DB0E36"/>
    <w:rsid w:val="00DB15D0"/>
    <w:rsid w:val="00DB2D0C"/>
    <w:rsid w:val="00DB327F"/>
    <w:rsid w:val="00DB349A"/>
    <w:rsid w:val="00DB3BC8"/>
    <w:rsid w:val="00DB3DBF"/>
    <w:rsid w:val="00DB4012"/>
    <w:rsid w:val="00DB4226"/>
    <w:rsid w:val="00DB484F"/>
    <w:rsid w:val="00DB7143"/>
    <w:rsid w:val="00DB7D8A"/>
    <w:rsid w:val="00DC04F6"/>
    <w:rsid w:val="00DC0690"/>
    <w:rsid w:val="00DC0E90"/>
    <w:rsid w:val="00DC1738"/>
    <w:rsid w:val="00DC1D65"/>
    <w:rsid w:val="00DC2D5B"/>
    <w:rsid w:val="00DC3C57"/>
    <w:rsid w:val="00DC3DD4"/>
    <w:rsid w:val="00DC44DC"/>
    <w:rsid w:val="00DC5501"/>
    <w:rsid w:val="00DC5DE4"/>
    <w:rsid w:val="00DC6AE1"/>
    <w:rsid w:val="00DC7154"/>
    <w:rsid w:val="00DC77D3"/>
    <w:rsid w:val="00DC7E8A"/>
    <w:rsid w:val="00DC7F88"/>
    <w:rsid w:val="00DD04D3"/>
    <w:rsid w:val="00DD0F78"/>
    <w:rsid w:val="00DD12A2"/>
    <w:rsid w:val="00DD18A6"/>
    <w:rsid w:val="00DD2043"/>
    <w:rsid w:val="00DD273C"/>
    <w:rsid w:val="00DD3F28"/>
    <w:rsid w:val="00DD4446"/>
    <w:rsid w:val="00DD4537"/>
    <w:rsid w:val="00DD4E15"/>
    <w:rsid w:val="00DD5C81"/>
    <w:rsid w:val="00DD600A"/>
    <w:rsid w:val="00DD6529"/>
    <w:rsid w:val="00DD6744"/>
    <w:rsid w:val="00DD79F9"/>
    <w:rsid w:val="00DE1C29"/>
    <w:rsid w:val="00DE2304"/>
    <w:rsid w:val="00DE3138"/>
    <w:rsid w:val="00DE37F8"/>
    <w:rsid w:val="00DE4273"/>
    <w:rsid w:val="00DE4D8A"/>
    <w:rsid w:val="00DE4FCB"/>
    <w:rsid w:val="00DE5AC9"/>
    <w:rsid w:val="00DE5D07"/>
    <w:rsid w:val="00DE6817"/>
    <w:rsid w:val="00DE72A7"/>
    <w:rsid w:val="00DE7832"/>
    <w:rsid w:val="00DE7AF2"/>
    <w:rsid w:val="00DF168F"/>
    <w:rsid w:val="00DF18FC"/>
    <w:rsid w:val="00DF1B15"/>
    <w:rsid w:val="00DF4783"/>
    <w:rsid w:val="00DF5D2B"/>
    <w:rsid w:val="00DF6341"/>
    <w:rsid w:val="00DF6CE3"/>
    <w:rsid w:val="00DF727E"/>
    <w:rsid w:val="00E00760"/>
    <w:rsid w:val="00E00E8E"/>
    <w:rsid w:val="00E03C84"/>
    <w:rsid w:val="00E04B2E"/>
    <w:rsid w:val="00E04C1F"/>
    <w:rsid w:val="00E0508A"/>
    <w:rsid w:val="00E05630"/>
    <w:rsid w:val="00E06DBB"/>
    <w:rsid w:val="00E0773D"/>
    <w:rsid w:val="00E10149"/>
    <w:rsid w:val="00E11340"/>
    <w:rsid w:val="00E115E4"/>
    <w:rsid w:val="00E122A1"/>
    <w:rsid w:val="00E135D7"/>
    <w:rsid w:val="00E13830"/>
    <w:rsid w:val="00E13D92"/>
    <w:rsid w:val="00E16372"/>
    <w:rsid w:val="00E164AC"/>
    <w:rsid w:val="00E1699E"/>
    <w:rsid w:val="00E16AD8"/>
    <w:rsid w:val="00E17FFA"/>
    <w:rsid w:val="00E20E4D"/>
    <w:rsid w:val="00E20ED6"/>
    <w:rsid w:val="00E20F79"/>
    <w:rsid w:val="00E21358"/>
    <w:rsid w:val="00E2141D"/>
    <w:rsid w:val="00E2249B"/>
    <w:rsid w:val="00E225C9"/>
    <w:rsid w:val="00E22A0D"/>
    <w:rsid w:val="00E23208"/>
    <w:rsid w:val="00E244F6"/>
    <w:rsid w:val="00E249ED"/>
    <w:rsid w:val="00E258DB"/>
    <w:rsid w:val="00E26C48"/>
    <w:rsid w:val="00E2771E"/>
    <w:rsid w:val="00E3117E"/>
    <w:rsid w:val="00E311EF"/>
    <w:rsid w:val="00E31F9D"/>
    <w:rsid w:val="00E32180"/>
    <w:rsid w:val="00E323E6"/>
    <w:rsid w:val="00E34948"/>
    <w:rsid w:val="00E34A62"/>
    <w:rsid w:val="00E363BD"/>
    <w:rsid w:val="00E37023"/>
    <w:rsid w:val="00E37569"/>
    <w:rsid w:val="00E37E07"/>
    <w:rsid w:val="00E401B2"/>
    <w:rsid w:val="00E41421"/>
    <w:rsid w:val="00E41843"/>
    <w:rsid w:val="00E41E30"/>
    <w:rsid w:val="00E425DE"/>
    <w:rsid w:val="00E428A7"/>
    <w:rsid w:val="00E42CEA"/>
    <w:rsid w:val="00E42F73"/>
    <w:rsid w:val="00E431F7"/>
    <w:rsid w:val="00E43D70"/>
    <w:rsid w:val="00E45F25"/>
    <w:rsid w:val="00E46155"/>
    <w:rsid w:val="00E466F3"/>
    <w:rsid w:val="00E47B2C"/>
    <w:rsid w:val="00E51066"/>
    <w:rsid w:val="00E51560"/>
    <w:rsid w:val="00E51821"/>
    <w:rsid w:val="00E528F5"/>
    <w:rsid w:val="00E53D0E"/>
    <w:rsid w:val="00E53FC8"/>
    <w:rsid w:val="00E54347"/>
    <w:rsid w:val="00E5502E"/>
    <w:rsid w:val="00E55424"/>
    <w:rsid w:val="00E55915"/>
    <w:rsid w:val="00E55BB5"/>
    <w:rsid w:val="00E55EDD"/>
    <w:rsid w:val="00E57316"/>
    <w:rsid w:val="00E611DF"/>
    <w:rsid w:val="00E61608"/>
    <w:rsid w:val="00E6178B"/>
    <w:rsid w:val="00E61DC6"/>
    <w:rsid w:val="00E650C6"/>
    <w:rsid w:val="00E65E79"/>
    <w:rsid w:val="00E66BA2"/>
    <w:rsid w:val="00E67416"/>
    <w:rsid w:val="00E7152F"/>
    <w:rsid w:val="00E718B6"/>
    <w:rsid w:val="00E71C4F"/>
    <w:rsid w:val="00E720FF"/>
    <w:rsid w:val="00E723BA"/>
    <w:rsid w:val="00E72734"/>
    <w:rsid w:val="00E72E4F"/>
    <w:rsid w:val="00E72E57"/>
    <w:rsid w:val="00E732B7"/>
    <w:rsid w:val="00E73581"/>
    <w:rsid w:val="00E74059"/>
    <w:rsid w:val="00E75E23"/>
    <w:rsid w:val="00E77203"/>
    <w:rsid w:val="00E7747E"/>
    <w:rsid w:val="00E777FF"/>
    <w:rsid w:val="00E77BE4"/>
    <w:rsid w:val="00E80779"/>
    <w:rsid w:val="00E831E4"/>
    <w:rsid w:val="00E833F7"/>
    <w:rsid w:val="00E83BDF"/>
    <w:rsid w:val="00E83FD8"/>
    <w:rsid w:val="00E845D5"/>
    <w:rsid w:val="00E85C79"/>
    <w:rsid w:val="00E86FCC"/>
    <w:rsid w:val="00E87A1D"/>
    <w:rsid w:val="00E87E17"/>
    <w:rsid w:val="00E9094A"/>
    <w:rsid w:val="00E909D4"/>
    <w:rsid w:val="00E91D35"/>
    <w:rsid w:val="00E926A5"/>
    <w:rsid w:val="00E9328D"/>
    <w:rsid w:val="00E93C76"/>
    <w:rsid w:val="00E962CC"/>
    <w:rsid w:val="00EA1168"/>
    <w:rsid w:val="00EA17C3"/>
    <w:rsid w:val="00EA2407"/>
    <w:rsid w:val="00EA2CAA"/>
    <w:rsid w:val="00EA3864"/>
    <w:rsid w:val="00EA44E6"/>
    <w:rsid w:val="00EA5519"/>
    <w:rsid w:val="00EA5A27"/>
    <w:rsid w:val="00EA5AF9"/>
    <w:rsid w:val="00EA6DC0"/>
    <w:rsid w:val="00EA791A"/>
    <w:rsid w:val="00EA7962"/>
    <w:rsid w:val="00EA7DC6"/>
    <w:rsid w:val="00EA7F1C"/>
    <w:rsid w:val="00EB15B6"/>
    <w:rsid w:val="00EB1A3E"/>
    <w:rsid w:val="00EB3D06"/>
    <w:rsid w:val="00EB4409"/>
    <w:rsid w:val="00EB4916"/>
    <w:rsid w:val="00EB6528"/>
    <w:rsid w:val="00EB703F"/>
    <w:rsid w:val="00EB7C30"/>
    <w:rsid w:val="00EC00C9"/>
    <w:rsid w:val="00EC06E8"/>
    <w:rsid w:val="00EC0B6A"/>
    <w:rsid w:val="00EC0DD9"/>
    <w:rsid w:val="00EC1405"/>
    <w:rsid w:val="00EC2649"/>
    <w:rsid w:val="00EC31ED"/>
    <w:rsid w:val="00EC3663"/>
    <w:rsid w:val="00EC3C97"/>
    <w:rsid w:val="00EC5836"/>
    <w:rsid w:val="00EC64C0"/>
    <w:rsid w:val="00EC688C"/>
    <w:rsid w:val="00ED0ECE"/>
    <w:rsid w:val="00ED12E3"/>
    <w:rsid w:val="00ED1CEC"/>
    <w:rsid w:val="00ED389F"/>
    <w:rsid w:val="00ED4B04"/>
    <w:rsid w:val="00ED57EA"/>
    <w:rsid w:val="00ED5BD4"/>
    <w:rsid w:val="00ED7FAF"/>
    <w:rsid w:val="00EE07D3"/>
    <w:rsid w:val="00EE1083"/>
    <w:rsid w:val="00EE1996"/>
    <w:rsid w:val="00EE1BA7"/>
    <w:rsid w:val="00EE1C01"/>
    <w:rsid w:val="00EE22AF"/>
    <w:rsid w:val="00EE2BBC"/>
    <w:rsid w:val="00EE4A2A"/>
    <w:rsid w:val="00EE4FFD"/>
    <w:rsid w:val="00EE54E4"/>
    <w:rsid w:val="00EE5DA6"/>
    <w:rsid w:val="00EE67D8"/>
    <w:rsid w:val="00EE6A0A"/>
    <w:rsid w:val="00EE7F50"/>
    <w:rsid w:val="00EF0171"/>
    <w:rsid w:val="00EF0A59"/>
    <w:rsid w:val="00EF1B25"/>
    <w:rsid w:val="00EF1DA0"/>
    <w:rsid w:val="00EF46A8"/>
    <w:rsid w:val="00EF4747"/>
    <w:rsid w:val="00EF4BF8"/>
    <w:rsid w:val="00EF5060"/>
    <w:rsid w:val="00EF6C8D"/>
    <w:rsid w:val="00EF7D0D"/>
    <w:rsid w:val="00F0183A"/>
    <w:rsid w:val="00F021C6"/>
    <w:rsid w:val="00F02253"/>
    <w:rsid w:val="00F023D0"/>
    <w:rsid w:val="00F024C5"/>
    <w:rsid w:val="00F024D9"/>
    <w:rsid w:val="00F02E09"/>
    <w:rsid w:val="00F03C2E"/>
    <w:rsid w:val="00F0453A"/>
    <w:rsid w:val="00F04A66"/>
    <w:rsid w:val="00F04B4B"/>
    <w:rsid w:val="00F04CD9"/>
    <w:rsid w:val="00F0516C"/>
    <w:rsid w:val="00F05766"/>
    <w:rsid w:val="00F05C92"/>
    <w:rsid w:val="00F06290"/>
    <w:rsid w:val="00F06549"/>
    <w:rsid w:val="00F067A2"/>
    <w:rsid w:val="00F06AA5"/>
    <w:rsid w:val="00F07B9E"/>
    <w:rsid w:val="00F10307"/>
    <w:rsid w:val="00F1116F"/>
    <w:rsid w:val="00F1137C"/>
    <w:rsid w:val="00F11E0D"/>
    <w:rsid w:val="00F12603"/>
    <w:rsid w:val="00F1263A"/>
    <w:rsid w:val="00F12981"/>
    <w:rsid w:val="00F12F28"/>
    <w:rsid w:val="00F131C5"/>
    <w:rsid w:val="00F13207"/>
    <w:rsid w:val="00F139C5"/>
    <w:rsid w:val="00F14351"/>
    <w:rsid w:val="00F15B77"/>
    <w:rsid w:val="00F15D81"/>
    <w:rsid w:val="00F15E0F"/>
    <w:rsid w:val="00F16655"/>
    <w:rsid w:val="00F16A3B"/>
    <w:rsid w:val="00F21110"/>
    <w:rsid w:val="00F21236"/>
    <w:rsid w:val="00F239DF"/>
    <w:rsid w:val="00F23A02"/>
    <w:rsid w:val="00F23A3D"/>
    <w:rsid w:val="00F24681"/>
    <w:rsid w:val="00F24837"/>
    <w:rsid w:val="00F251E9"/>
    <w:rsid w:val="00F2575F"/>
    <w:rsid w:val="00F25833"/>
    <w:rsid w:val="00F25B06"/>
    <w:rsid w:val="00F269B7"/>
    <w:rsid w:val="00F26ED8"/>
    <w:rsid w:val="00F27565"/>
    <w:rsid w:val="00F2769C"/>
    <w:rsid w:val="00F310D4"/>
    <w:rsid w:val="00F314D0"/>
    <w:rsid w:val="00F31D5A"/>
    <w:rsid w:val="00F31DC4"/>
    <w:rsid w:val="00F32199"/>
    <w:rsid w:val="00F32F4C"/>
    <w:rsid w:val="00F33975"/>
    <w:rsid w:val="00F33DE9"/>
    <w:rsid w:val="00F351F0"/>
    <w:rsid w:val="00F35E6D"/>
    <w:rsid w:val="00F3619A"/>
    <w:rsid w:val="00F371F6"/>
    <w:rsid w:val="00F3765D"/>
    <w:rsid w:val="00F40AAA"/>
    <w:rsid w:val="00F40BA7"/>
    <w:rsid w:val="00F40EC2"/>
    <w:rsid w:val="00F40F9D"/>
    <w:rsid w:val="00F41544"/>
    <w:rsid w:val="00F41ACD"/>
    <w:rsid w:val="00F42CF7"/>
    <w:rsid w:val="00F42D4D"/>
    <w:rsid w:val="00F43EE2"/>
    <w:rsid w:val="00F45602"/>
    <w:rsid w:val="00F4564E"/>
    <w:rsid w:val="00F45B3A"/>
    <w:rsid w:val="00F468A0"/>
    <w:rsid w:val="00F46CB6"/>
    <w:rsid w:val="00F4713C"/>
    <w:rsid w:val="00F4756D"/>
    <w:rsid w:val="00F47DE8"/>
    <w:rsid w:val="00F47F76"/>
    <w:rsid w:val="00F51327"/>
    <w:rsid w:val="00F529AC"/>
    <w:rsid w:val="00F532C9"/>
    <w:rsid w:val="00F542C1"/>
    <w:rsid w:val="00F54B38"/>
    <w:rsid w:val="00F550E3"/>
    <w:rsid w:val="00F555B1"/>
    <w:rsid w:val="00F55E73"/>
    <w:rsid w:val="00F55EDA"/>
    <w:rsid w:val="00F56495"/>
    <w:rsid w:val="00F56C80"/>
    <w:rsid w:val="00F60092"/>
    <w:rsid w:val="00F618AB"/>
    <w:rsid w:val="00F61C18"/>
    <w:rsid w:val="00F63CA3"/>
    <w:rsid w:val="00F65F4B"/>
    <w:rsid w:val="00F66E14"/>
    <w:rsid w:val="00F67A69"/>
    <w:rsid w:val="00F70BFF"/>
    <w:rsid w:val="00F70C9D"/>
    <w:rsid w:val="00F718FA"/>
    <w:rsid w:val="00F73265"/>
    <w:rsid w:val="00F73E08"/>
    <w:rsid w:val="00F74CD9"/>
    <w:rsid w:val="00F76991"/>
    <w:rsid w:val="00F76DB5"/>
    <w:rsid w:val="00F76DDA"/>
    <w:rsid w:val="00F80A7B"/>
    <w:rsid w:val="00F80E5D"/>
    <w:rsid w:val="00F81E78"/>
    <w:rsid w:val="00F83916"/>
    <w:rsid w:val="00F851CE"/>
    <w:rsid w:val="00F853AD"/>
    <w:rsid w:val="00F86383"/>
    <w:rsid w:val="00F86403"/>
    <w:rsid w:val="00F9038A"/>
    <w:rsid w:val="00F9093F"/>
    <w:rsid w:val="00F90C99"/>
    <w:rsid w:val="00F91167"/>
    <w:rsid w:val="00F91219"/>
    <w:rsid w:val="00F92444"/>
    <w:rsid w:val="00F934CF"/>
    <w:rsid w:val="00F9393E"/>
    <w:rsid w:val="00F94047"/>
    <w:rsid w:val="00F94599"/>
    <w:rsid w:val="00F953D2"/>
    <w:rsid w:val="00F9696B"/>
    <w:rsid w:val="00F96FD0"/>
    <w:rsid w:val="00F97A78"/>
    <w:rsid w:val="00F97AEA"/>
    <w:rsid w:val="00FA0B20"/>
    <w:rsid w:val="00FA24E7"/>
    <w:rsid w:val="00FA2938"/>
    <w:rsid w:val="00FA3643"/>
    <w:rsid w:val="00FA4A69"/>
    <w:rsid w:val="00FA4EE7"/>
    <w:rsid w:val="00FA565D"/>
    <w:rsid w:val="00FA5EE6"/>
    <w:rsid w:val="00FA6D49"/>
    <w:rsid w:val="00FA71D1"/>
    <w:rsid w:val="00FA7956"/>
    <w:rsid w:val="00FB0824"/>
    <w:rsid w:val="00FB16D7"/>
    <w:rsid w:val="00FB2E2E"/>
    <w:rsid w:val="00FB2FCB"/>
    <w:rsid w:val="00FB4C9C"/>
    <w:rsid w:val="00FB6A87"/>
    <w:rsid w:val="00FB720E"/>
    <w:rsid w:val="00FB7248"/>
    <w:rsid w:val="00FB7C55"/>
    <w:rsid w:val="00FC02DF"/>
    <w:rsid w:val="00FC0D88"/>
    <w:rsid w:val="00FC1074"/>
    <w:rsid w:val="00FC1884"/>
    <w:rsid w:val="00FC371D"/>
    <w:rsid w:val="00FC41AB"/>
    <w:rsid w:val="00FC5CB3"/>
    <w:rsid w:val="00FC5F0B"/>
    <w:rsid w:val="00FC68BF"/>
    <w:rsid w:val="00FC6B6E"/>
    <w:rsid w:val="00FC7F1F"/>
    <w:rsid w:val="00FD0682"/>
    <w:rsid w:val="00FD0E92"/>
    <w:rsid w:val="00FD145F"/>
    <w:rsid w:val="00FD2100"/>
    <w:rsid w:val="00FD436C"/>
    <w:rsid w:val="00FD446D"/>
    <w:rsid w:val="00FD4F2C"/>
    <w:rsid w:val="00FD6394"/>
    <w:rsid w:val="00FD6900"/>
    <w:rsid w:val="00FD7A5C"/>
    <w:rsid w:val="00FE0D5F"/>
    <w:rsid w:val="00FE0E6C"/>
    <w:rsid w:val="00FE1CDC"/>
    <w:rsid w:val="00FE70C3"/>
    <w:rsid w:val="00FF1A8B"/>
    <w:rsid w:val="00FF2286"/>
    <w:rsid w:val="00FF2AD9"/>
    <w:rsid w:val="00FF359F"/>
    <w:rsid w:val="00FF3DCF"/>
    <w:rsid w:val="00FF492C"/>
    <w:rsid w:val="00FF4A21"/>
    <w:rsid w:val="00FF4DDD"/>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0E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1,Figure caption,Figure caption1 Char Char,Figure Source,Caption Char1 Char,Caption Char Char Char,Caption Char1,Caption Table...,Caption Char1 + 8 pt,Not B....,Caption Table,...,Caption 3,figure,Caption-FUSA,12,12+,caption,c,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Legemiddelverket 3,Dossier table,Summary Table,Tabellengitternetz 9pt,HTAtableplain,Header Table,Source table_,NICE instructions"/>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5106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E527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FootnoteReference">
    <w:name w:val="footnote reference"/>
    <w:basedOn w:val="DefaultParagraphFont"/>
    <w:semiHidden/>
    <w:unhideWhenUsed/>
    <w:rsid w:val="00C856E4"/>
    <w:rPr>
      <w:vertAlign w:val="superscript"/>
    </w:rPr>
  </w:style>
  <w:style w:type="paragraph" w:styleId="FootnoteText">
    <w:name w:val="footnote text"/>
    <w:basedOn w:val="Normal"/>
    <w:link w:val="FootnoteTextChar"/>
    <w:unhideWhenUsed/>
    <w:rsid w:val="00C856E4"/>
    <w:rPr>
      <w:sz w:val="20"/>
      <w:szCs w:val="20"/>
    </w:rPr>
  </w:style>
  <w:style w:type="character" w:customStyle="1" w:styleId="FootnoteTextChar">
    <w:name w:val="Footnote Text Char"/>
    <w:basedOn w:val="DefaultParagraphFont"/>
    <w:link w:val="FootnoteText"/>
    <w:rsid w:val="00C856E4"/>
    <w:rPr>
      <w:rFonts w:ascii="Calibri" w:hAnsi="Calibri" w:cs="Arial"/>
    </w:rPr>
  </w:style>
  <w:style w:type="character" w:customStyle="1" w:styleId="Heading1Char">
    <w:name w:val="Heading 1 Char"/>
    <w:basedOn w:val="DefaultParagraphFont"/>
    <w:link w:val="Heading1"/>
    <w:uiPriority w:val="1"/>
    <w:rsid w:val="00C86F27"/>
    <w:rPr>
      <w:rFonts w:ascii="Calibri" w:hAnsi="Calibri" w:cs="Arial"/>
      <w:b/>
      <w:caps/>
      <w:sz w:val="32"/>
      <w:szCs w:val="24"/>
    </w:rPr>
  </w:style>
  <w:style w:type="paragraph" w:customStyle="1" w:styleId="SanofiBodyText">
    <w:name w:val="Sanofi Body Text"/>
    <w:basedOn w:val="Normal"/>
    <w:link w:val="SanofiBodyTextChar"/>
    <w:autoRedefine/>
    <w:qFormat/>
    <w:rsid w:val="00CA6B35"/>
    <w:pPr>
      <w:spacing w:before="120" w:line="276" w:lineRule="auto"/>
    </w:pPr>
    <w:rPr>
      <w:rFonts w:asciiTheme="minorHAnsi" w:eastAsiaTheme="minorHAnsi" w:hAnsiTheme="minorHAnsi" w:cstheme="minorBidi"/>
      <w:sz w:val="20"/>
      <w:szCs w:val="20"/>
      <w:lang w:eastAsia="en-US"/>
    </w:rPr>
  </w:style>
  <w:style w:type="character" w:customStyle="1" w:styleId="SanofiBodyTextChar">
    <w:name w:val="Sanofi Body Text Char"/>
    <w:basedOn w:val="DefaultParagraphFont"/>
    <w:link w:val="SanofiBodyText"/>
    <w:rsid w:val="00CA6B35"/>
    <w:rPr>
      <w:rFonts w:asciiTheme="minorHAnsi" w:eastAsiaTheme="minorHAnsi" w:hAnsiTheme="minorHAnsi" w:cstheme="minorBidi"/>
      <w:lang w:eastAsia="en-US"/>
    </w:rPr>
  </w:style>
  <w:style w:type="paragraph" w:customStyle="1" w:styleId="EndNoteBibliography">
    <w:name w:val="EndNote Bibliography"/>
    <w:basedOn w:val="Normal"/>
    <w:link w:val="EndNoteBibliographyChar"/>
    <w:rsid w:val="005319B0"/>
    <w:rPr>
      <w:rFonts w:eastAsiaTheme="minorEastAsia" w:cs="Calibri"/>
      <w:noProof/>
      <w:sz w:val="22"/>
      <w:szCs w:val="28"/>
      <w:lang w:eastAsia="zh-CN" w:bidi="th-TH"/>
    </w:rPr>
  </w:style>
  <w:style w:type="character" w:customStyle="1" w:styleId="EndNoteBibliographyChar">
    <w:name w:val="EndNote Bibliography Char"/>
    <w:basedOn w:val="DefaultParagraphFont"/>
    <w:link w:val="EndNoteBibliography"/>
    <w:rsid w:val="005319B0"/>
    <w:rPr>
      <w:rFonts w:ascii="Calibri" w:eastAsiaTheme="minorEastAsia" w:hAnsi="Calibri" w:cs="Calibri"/>
      <w:noProof/>
      <w:sz w:val="22"/>
      <w:szCs w:val="28"/>
      <w:lang w:eastAsia="zh-CN" w:bidi="th-TH"/>
    </w:rPr>
  </w:style>
  <w:style w:type="paragraph" w:customStyle="1" w:styleId="xmsonormal">
    <w:name w:val="x_msonormal"/>
    <w:basedOn w:val="Normal"/>
    <w:rsid w:val="00D620F0"/>
    <w:pPr>
      <w:jc w:val="left"/>
    </w:pPr>
    <w:rPr>
      <w:rFonts w:eastAsiaTheme="minorHAnsi" w:cs="Calibri"/>
      <w:sz w:val="22"/>
      <w:szCs w:val="22"/>
    </w:rPr>
  </w:style>
  <w:style w:type="character" w:customStyle="1" w:styleId="contentpasted0">
    <w:name w:val="contentpasted0"/>
    <w:basedOn w:val="DefaultParagraphFont"/>
    <w:rsid w:val="00D620F0"/>
  </w:style>
  <w:style w:type="character" w:styleId="UnresolvedMention">
    <w:name w:val="Unresolved Mention"/>
    <w:basedOn w:val="DefaultParagraphFont"/>
    <w:uiPriority w:val="99"/>
    <w:semiHidden/>
    <w:unhideWhenUsed/>
    <w:rsid w:val="00281EA7"/>
    <w:rPr>
      <w:color w:val="605E5C"/>
      <w:shd w:val="clear" w:color="auto" w:fill="E1DFDD"/>
    </w:rPr>
  </w:style>
  <w:style w:type="paragraph" w:customStyle="1" w:styleId="TableFootnote">
    <w:name w:val="Table Footnote"/>
    <w:basedOn w:val="Normal"/>
    <w:qFormat/>
    <w:rsid w:val="00586E86"/>
    <w:pPr>
      <w:spacing w:after="240"/>
      <w:contextualSpacing/>
      <w:jc w:val="left"/>
    </w:pPr>
    <w:rPr>
      <w:rFonts w:eastAsia="Calibri"/>
      <w:i/>
      <w:sz w:val="16"/>
      <w:lang w:eastAsia="en-US"/>
    </w:rPr>
  </w:style>
  <w:style w:type="paragraph" w:customStyle="1" w:styleId="3-SubsectionHeading">
    <w:name w:val="3-Subsection Heading"/>
    <w:basedOn w:val="Heading2"/>
    <w:next w:val="Normal"/>
    <w:link w:val="3-SubsectionHeadingChar"/>
    <w:qFormat/>
    <w:rsid w:val="0026781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67813"/>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6B4F32"/>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6B4F32"/>
    <w:pPr>
      <w:numPr>
        <w:numId w:val="0"/>
      </w:numPr>
      <w:tabs>
        <w:tab w:val="num" w:pos="360"/>
      </w:tabs>
      <w:ind w:left="720"/>
    </w:pPr>
  </w:style>
  <w:style w:type="paragraph" w:customStyle="1" w:styleId="xxmsolistparagraph">
    <w:name w:val="x_xmsolistparagraph"/>
    <w:basedOn w:val="Normal"/>
    <w:rsid w:val="006B4F32"/>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368849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4889363">
      <w:bodyDiv w:val="1"/>
      <w:marLeft w:val="0"/>
      <w:marRight w:val="0"/>
      <w:marTop w:val="0"/>
      <w:marBottom w:val="0"/>
      <w:divBdr>
        <w:top w:val="none" w:sz="0" w:space="0" w:color="auto"/>
        <w:left w:val="none" w:sz="0" w:space="0" w:color="auto"/>
        <w:bottom w:val="none" w:sz="0" w:space="0" w:color="auto"/>
        <w:right w:val="none" w:sz="0" w:space="0" w:color="auto"/>
      </w:divBdr>
      <w:divsChild>
        <w:div w:id="438262322">
          <w:marLeft w:val="360"/>
          <w:marRight w:val="0"/>
          <w:marTop w:val="200"/>
          <w:marBottom w:val="0"/>
          <w:divBdr>
            <w:top w:val="none" w:sz="0" w:space="0" w:color="auto"/>
            <w:left w:val="none" w:sz="0" w:space="0" w:color="auto"/>
            <w:bottom w:val="none" w:sz="0" w:space="0" w:color="auto"/>
            <w:right w:val="none" w:sz="0" w:space="0" w:color="auto"/>
          </w:divBdr>
        </w:div>
        <w:div w:id="1648893747">
          <w:marLeft w:val="360"/>
          <w:marRight w:val="0"/>
          <w:marTop w:val="200"/>
          <w:marBottom w:val="0"/>
          <w:divBdr>
            <w:top w:val="none" w:sz="0" w:space="0" w:color="auto"/>
            <w:left w:val="none" w:sz="0" w:space="0" w:color="auto"/>
            <w:bottom w:val="none" w:sz="0" w:space="0" w:color="auto"/>
            <w:right w:val="none" w:sz="0" w:space="0" w:color="auto"/>
          </w:divBdr>
        </w:div>
        <w:div w:id="1024479232">
          <w:marLeft w:val="360"/>
          <w:marRight w:val="0"/>
          <w:marTop w:val="200"/>
          <w:marBottom w:val="0"/>
          <w:divBdr>
            <w:top w:val="none" w:sz="0" w:space="0" w:color="auto"/>
            <w:left w:val="none" w:sz="0" w:space="0" w:color="auto"/>
            <w:bottom w:val="none" w:sz="0" w:space="0" w:color="auto"/>
            <w:right w:val="none" w:sz="0" w:space="0" w:color="auto"/>
          </w:divBdr>
        </w:div>
        <w:div w:id="1152597448">
          <w:marLeft w:val="360"/>
          <w:marRight w:val="0"/>
          <w:marTop w:val="200"/>
          <w:marBottom w:val="0"/>
          <w:divBdr>
            <w:top w:val="none" w:sz="0" w:space="0" w:color="auto"/>
            <w:left w:val="none" w:sz="0" w:space="0" w:color="auto"/>
            <w:bottom w:val="none" w:sz="0" w:space="0" w:color="auto"/>
            <w:right w:val="none" w:sz="0" w:space="0" w:color="auto"/>
          </w:divBdr>
        </w:div>
        <w:div w:id="1034115719">
          <w:marLeft w:val="360"/>
          <w:marRight w:val="0"/>
          <w:marTop w:val="200"/>
          <w:marBottom w:val="0"/>
          <w:divBdr>
            <w:top w:val="none" w:sz="0" w:space="0" w:color="auto"/>
            <w:left w:val="none" w:sz="0" w:space="0" w:color="auto"/>
            <w:bottom w:val="none" w:sz="0" w:space="0" w:color="auto"/>
            <w:right w:val="none" w:sz="0" w:space="0" w:color="auto"/>
          </w:divBdr>
        </w:div>
      </w:divsChild>
    </w:div>
    <w:div w:id="375083692">
      <w:bodyDiv w:val="1"/>
      <w:marLeft w:val="0"/>
      <w:marRight w:val="0"/>
      <w:marTop w:val="0"/>
      <w:marBottom w:val="0"/>
      <w:divBdr>
        <w:top w:val="none" w:sz="0" w:space="0" w:color="auto"/>
        <w:left w:val="none" w:sz="0" w:space="0" w:color="auto"/>
        <w:bottom w:val="none" w:sz="0" w:space="0" w:color="auto"/>
        <w:right w:val="none" w:sz="0" w:space="0" w:color="auto"/>
      </w:divBdr>
    </w:div>
    <w:div w:id="418527022">
      <w:bodyDiv w:val="1"/>
      <w:marLeft w:val="0"/>
      <w:marRight w:val="0"/>
      <w:marTop w:val="0"/>
      <w:marBottom w:val="0"/>
      <w:divBdr>
        <w:top w:val="none" w:sz="0" w:space="0" w:color="auto"/>
        <w:left w:val="none" w:sz="0" w:space="0" w:color="auto"/>
        <w:bottom w:val="none" w:sz="0" w:space="0" w:color="auto"/>
        <w:right w:val="none" w:sz="0" w:space="0" w:color="auto"/>
      </w:divBdr>
    </w:div>
    <w:div w:id="442188369">
      <w:bodyDiv w:val="1"/>
      <w:marLeft w:val="0"/>
      <w:marRight w:val="0"/>
      <w:marTop w:val="0"/>
      <w:marBottom w:val="0"/>
      <w:divBdr>
        <w:top w:val="none" w:sz="0" w:space="0" w:color="auto"/>
        <w:left w:val="none" w:sz="0" w:space="0" w:color="auto"/>
        <w:bottom w:val="none" w:sz="0" w:space="0" w:color="auto"/>
        <w:right w:val="none" w:sz="0" w:space="0" w:color="auto"/>
      </w:divBdr>
    </w:div>
    <w:div w:id="584535792">
      <w:bodyDiv w:val="1"/>
      <w:marLeft w:val="0"/>
      <w:marRight w:val="0"/>
      <w:marTop w:val="0"/>
      <w:marBottom w:val="0"/>
      <w:divBdr>
        <w:top w:val="none" w:sz="0" w:space="0" w:color="auto"/>
        <w:left w:val="none" w:sz="0" w:space="0" w:color="auto"/>
        <w:bottom w:val="none" w:sz="0" w:space="0" w:color="auto"/>
        <w:right w:val="none" w:sz="0" w:space="0" w:color="auto"/>
      </w:divBdr>
    </w:div>
    <w:div w:id="712116070">
      <w:bodyDiv w:val="1"/>
      <w:marLeft w:val="0"/>
      <w:marRight w:val="0"/>
      <w:marTop w:val="0"/>
      <w:marBottom w:val="0"/>
      <w:divBdr>
        <w:top w:val="none" w:sz="0" w:space="0" w:color="auto"/>
        <w:left w:val="none" w:sz="0" w:space="0" w:color="auto"/>
        <w:bottom w:val="none" w:sz="0" w:space="0" w:color="auto"/>
        <w:right w:val="none" w:sz="0" w:space="0" w:color="auto"/>
      </w:divBdr>
    </w:div>
    <w:div w:id="726732346">
      <w:bodyDiv w:val="1"/>
      <w:marLeft w:val="0"/>
      <w:marRight w:val="0"/>
      <w:marTop w:val="0"/>
      <w:marBottom w:val="0"/>
      <w:divBdr>
        <w:top w:val="none" w:sz="0" w:space="0" w:color="auto"/>
        <w:left w:val="none" w:sz="0" w:space="0" w:color="auto"/>
        <w:bottom w:val="none" w:sz="0" w:space="0" w:color="auto"/>
        <w:right w:val="none" w:sz="0" w:space="0" w:color="auto"/>
      </w:divBdr>
    </w:div>
    <w:div w:id="74364812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502668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0159064">
      <w:bodyDiv w:val="1"/>
      <w:marLeft w:val="0"/>
      <w:marRight w:val="0"/>
      <w:marTop w:val="0"/>
      <w:marBottom w:val="0"/>
      <w:divBdr>
        <w:top w:val="none" w:sz="0" w:space="0" w:color="auto"/>
        <w:left w:val="none" w:sz="0" w:space="0" w:color="auto"/>
        <w:bottom w:val="none" w:sz="0" w:space="0" w:color="auto"/>
        <w:right w:val="none" w:sz="0" w:space="0" w:color="auto"/>
      </w:divBdr>
    </w:div>
    <w:div w:id="1529295131">
      <w:bodyDiv w:val="1"/>
      <w:marLeft w:val="0"/>
      <w:marRight w:val="0"/>
      <w:marTop w:val="0"/>
      <w:marBottom w:val="0"/>
      <w:divBdr>
        <w:top w:val="none" w:sz="0" w:space="0" w:color="auto"/>
        <w:left w:val="none" w:sz="0" w:space="0" w:color="auto"/>
        <w:bottom w:val="none" w:sz="0" w:space="0" w:color="auto"/>
        <w:right w:val="none" w:sz="0" w:space="0" w:color="auto"/>
      </w:divBdr>
    </w:div>
    <w:div w:id="1560704693">
      <w:bodyDiv w:val="1"/>
      <w:marLeft w:val="0"/>
      <w:marRight w:val="0"/>
      <w:marTop w:val="0"/>
      <w:marBottom w:val="0"/>
      <w:divBdr>
        <w:top w:val="none" w:sz="0" w:space="0" w:color="auto"/>
        <w:left w:val="none" w:sz="0" w:space="0" w:color="auto"/>
        <w:bottom w:val="none" w:sz="0" w:space="0" w:color="auto"/>
        <w:right w:val="none" w:sz="0" w:space="0" w:color="auto"/>
      </w:divBdr>
    </w:div>
    <w:div w:id="18743440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9284260">
      <w:bodyDiv w:val="1"/>
      <w:marLeft w:val="0"/>
      <w:marRight w:val="0"/>
      <w:marTop w:val="0"/>
      <w:marBottom w:val="0"/>
      <w:divBdr>
        <w:top w:val="none" w:sz="0" w:space="0" w:color="auto"/>
        <w:left w:val="none" w:sz="0" w:space="0" w:color="auto"/>
        <w:bottom w:val="none" w:sz="0" w:space="0" w:color="auto"/>
        <w:right w:val="none" w:sz="0" w:space="0" w:color="auto"/>
      </w:divBdr>
    </w:div>
    <w:div w:id="202520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assessment-report/xenpozyme-epar-public-assessment-repor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5B4B3-25A4-4DA6-8986-69620962B318}">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17038</Words>
  <Characters>92195</Characters>
  <Application>Microsoft Office Word</Application>
  <DocSecurity>0</DocSecurity>
  <Lines>768</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2023-10-31T03:45:00Z</dcterms:created>
  <dcterms:modified xsi:type="dcterms:W3CDTF">2023-11-07T01:35:00Z</dcterms:modified>
</cp:coreProperties>
</file>