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7FD5DC6A" w:rsidR="00B60939" w:rsidRPr="004A6040" w:rsidRDefault="007E7F07" w:rsidP="004A6040">
      <w:pPr>
        <w:pStyle w:val="1-MainHeading"/>
      </w:pPr>
      <w:bookmarkStart w:id="0" w:name="_Hlk122593829"/>
      <w:bookmarkStart w:id="1" w:name="_Toc114041579"/>
      <w:bookmarkEnd w:id="0"/>
      <w:r>
        <w:t>5.09</w:t>
      </w:r>
      <w:r w:rsidR="00163F66">
        <w:tab/>
      </w:r>
      <w:r w:rsidR="003640FA">
        <w:t>SELUMETINIB</w:t>
      </w:r>
      <w:r w:rsidR="00163F66">
        <w:t>,</w:t>
      </w:r>
      <w:r w:rsidR="00163F66">
        <w:br/>
      </w:r>
      <w:r w:rsidR="003640FA">
        <w:t>Capsule 10 mg</w:t>
      </w:r>
      <w:r w:rsidR="00163F66">
        <w:t>,</w:t>
      </w:r>
      <w:r w:rsidR="003640FA">
        <w:t xml:space="preserve"> Capsule 25 mg,</w:t>
      </w:r>
      <w:r w:rsidR="00163F66">
        <w:br/>
      </w:r>
      <w:r w:rsidR="00776B3D">
        <w:t>Koselugo</w:t>
      </w:r>
      <w:r w:rsidR="00B60939" w:rsidRPr="004A6040">
        <w:rPr>
          <w:vertAlign w:val="superscript"/>
        </w:rPr>
        <w:t>®</w:t>
      </w:r>
      <w:r w:rsidR="004A6040" w:rsidRPr="004A6040">
        <w:t>,</w:t>
      </w:r>
      <w:r w:rsidR="004A6040" w:rsidRPr="004A6040">
        <w:br/>
      </w:r>
      <w:r w:rsidR="00776B3D">
        <w:t>Alexion Pharmaceuticals Australasia Pty</w:t>
      </w:r>
      <w:r w:rsidR="00B60939" w:rsidRPr="004A6040">
        <w:t>.</w:t>
      </w:r>
      <w:r w:rsidR="00776B3D">
        <w:t xml:space="preserve"> Ltd.</w:t>
      </w:r>
      <w:bookmarkEnd w:id="1"/>
      <w:r w:rsidR="00F73E08">
        <w:t xml:space="preserve"> </w:t>
      </w:r>
    </w:p>
    <w:p w14:paraId="11C00795" w14:textId="7B81FA3B" w:rsidR="00B50DB8" w:rsidRPr="00407F2D" w:rsidRDefault="00B50DB8" w:rsidP="004A6040">
      <w:pPr>
        <w:pStyle w:val="2-SectionHeading"/>
      </w:pPr>
      <w:bookmarkStart w:id="2" w:name="_Toc114041581"/>
      <w:r w:rsidRPr="00407F2D">
        <w:t xml:space="preserve">Purpose of </w:t>
      </w:r>
      <w:r w:rsidR="00CD7193">
        <w:t>s</w:t>
      </w:r>
      <w:r w:rsidR="00BB3A45">
        <w:t>ubmission</w:t>
      </w:r>
      <w:bookmarkEnd w:id="2"/>
    </w:p>
    <w:p w14:paraId="2CDB71B4" w14:textId="77777777" w:rsidR="00B14BC8" w:rsidRPr="008B1757" w:rsidRDefault="00B14BC8" w:rsidP="00B14BC8">
      <w:pPr>
        <w:pStyle w:val="3-BodyText"/>
      </w:pPr>
      <w:r>
        <w:t xml:space="preserve">The Category 1 submission </w:t>
      </w:r>
      <w:r w:rsidRPr="004E18E9">
        <w:t xml:space="preserve">requested </w:t>
      </w:r>
      <w:r>
        <w:t>both a S</w:t>
      </w:r>
      <w:r w:rsidRPr="004E18E9">
        <w:t>ection 100</w:t>
      </w:r>
      <w:r>
        <w:t xml:space="preserve"> (Highly Specialised Drugs Program) and Section 100 (Highly Specialised Drugs Program – Community Access) </w:t>
      </w:r>
      <w:r w:rsidRPr="004E18E9">
        <w:t>Authority Required</w:t>
      </w:r>
      <w:r>
        <w:t xml:space="preserve"> </w:t>
      </w:r>
      <w:r w:rsidRPr="004E18E9">
        <w:t xml:space="preserve">listing for </w:t>
      </w:r>
      <w:r>
        <w:t>selumetinib</w:t>
      </w:r>
      <w:r w:rsidRPr="004E18E9">
        <w:t xml:space="preserve"> for the treatment of </w:t>
      </w:r>
      <w:r>
        <w:t>symptomatic, inoperable plexiform neurofibroma(s) (PN) in paediatric patients with neurofibromatosis (NF1)</w:t>
      </w:r>
      <w:r w:rsidRPr="00C527C7">
        <w:t>.</w:t>
      </w:r>
      <w:r w:rsidRPr="003D316C">
        <w:rPr>
          <w:color w:val="0066FF"/>
        </w:rPr>
        <w:t xml:space="preserve"> </w:t>
      </w:r>
    </w:p>
    <w:p w14:paraId="4E9FBCB5" w14:textId="0FD652DD" w:rsidR="00C2778B" w:rsidRPr="004D1B47" w:rsidRDefault="004D1B47" w:rsidP="004E18E9">
      <w:pPr>
        <w:pStyle w:val="3-BodyText"/>
      </w:pPr>
      <w:r w:rsidRPr="005750C5">
        <w:t xml:space="preserve">Listing was requested on the basis of a </w:t>
      </w:r>
      <w:r>
        <w:t>cost-utility</w:t>
      </w:r>
      <w:r w:rsidRPr="005750C5">
        <w:t xml:space="preserve"> analysis versus</w:t>
      </w:r>
      <w:r>
        <w:t xml:space="preserve"> supportive care.</w:t>
      </w:r>
      <w:r w:rsidR="0040504B" w:rsidRPr="00696F51">
        <w:rPr>
          <w:color w:val="0066FF"/>
        </w:rPr>
        <w:t xml:space="preserve"> </w:t>
      </w:r>
    </w:p>
    <w:p w14:paraId="1A41CC6C" w14:textId="11FC8E70" w:rsidR="00DE5F83" w:rsidRPr="004A6040" w:rsidRDefault="00DE5F83" w:rsidP="00DE5F83">
      <w:pPr>
        <w:pStyle w:val="TableFigureHeading"/>
        <w:rPr>
          <w:rStyle w:val="CommentReference"/>
          <w:b/>
          <w:szCs w:val="24"/>
        </w:rPr>
      </w:pPr>
      <w:bookmarkStart w:id="3" w:name="_Ref110850933"/>
      <w:r>
        <w:t xml:space="preserve">Table </w:t>
      </w:r>
      <w:fldSimple w:instr=" SEQ Table \* ARABIC ">
        <w:r w:rsidR="00BE0EE6">
          <w:rPr>
            <w:noProof/>
          </w:rPr>
          <w:t>1</w:t>
        </w:r>
      </w:fldSimple>
      <w:bookmarkEnd w:id="3"/>
      <w:r>
        <w:t>:</w:t>
      </w:r>
      <w:r w:rsidRPr="004A6040">
        <w:rPr>
          <w:rStyle w:val="CommentReference"/>
          <w:b/>
          <w:szCs w:val="24"/>
        </w:rPr>
        <w:t xml:space="preserve">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271"/>
        <w:gridCol w:w="7746"/>
      </w:tblGrid>
      <w:tr w:rsidR="00DE5F83" w:rsidRPr="00691913" w14:paraId="6289C286" w14:textId="77777777" w:rsidTr="00DA12EA">
        <w:trPr>
          <w:cantSplit/>
          <w:tblHeader/>
        </w:trPr>
        <w:tc>
          <w:tcPr>
            <w:tcW w:w="705" w:type="pct"/>
            <w:shd w:val="clear" w:color="auto" w:fill="auto"/>
          </w:tcPr>
          <w:p w14:paraId="694C024E" w14:textId="77777777" w:rsidR="00DE5F83" w:rsidRPr="008B1757" w:rsidRDefault="00DE5F83" w:rsidP="001C30D8">
            <w:pPr>
              <w:pStyle w:val="In-tableHeading"/>
              <w:rPr>
                <w:szCs w:val="20"/>
              </w:rPr>
            </w:pPr>
            <w:r w:rsidRPr="008B1757">
              <w:t>Component</w:t>
            </w:r>
          </w:p>
        </w:tc>
        <w:tc>
          <w:tcPr>
            <w:tcW w:w="4295" w:type="pct"/>
            <w:shd w:val="clear" w:color="auto" w:fill="auto"/>
          </w:tcPr>
          <w:p w14:paraId="24015795" w14:textId="77777777" w:rsidR="00DE5F83" w:rsidRPr="008B1757" w:rsidRDefault="00DE5F83" w:rsidP="001C30D8">
            <w:pPr>
              <w:pStyle w:val="In-tableHeading"/>
            </w:pPr>
            <w:r w:rsidRPr="008B1757">
              <w:t>Description</w:t>
            </w:r>
          </w:p>
        </w:tc>
      </w:tr>
      <w:tr w:rsidR="00DE5F83" w:rsidRPr="00691913" w14:paraId="10A4F702" w14:textId="77777777" w:rsidTr="00DA12EA">
        <w:trPr>
          <w:cantSplit/>
        </w:trPr>
        <w:tc>
          <w:tcPr>
            <w:tcW w:w="705" w:type="pct"/>
            <w:shd w:val="clear" w:color="auto" w:fill="auto"/>
          </w:tcPr>
          <w:p w14:paraId="59F86EE3" w14:textId="77777777" w:rsidR="00DE5F83" w:rsidRPr="00691913" w:rsidRDefault="00DE5F83" w:rsidP="001C30D8">
            <w:pPr>
              <w:pStyle w:val="TableText0"/>
            </w:pPr>
            <w:r w:rsidRPr="00691913">
              <w:t>Population</w:t>
            </w:r>
          </w:p>
        </w:tc>
        <w:tc>
          <w:tcPr>
            <w:tcW w:w="4295" w:type="pct"/>
            <w:shd w:val="clear" w:color="auto" w:fill="auto"/>
          </w:tcPr>
          <w:p w14:paraId="2AC2DCFF" w14:textId="77777777" w:rsidR="00DE5F83" w:rsidRPr="001E1E86" w:rsidRDefault="00DE5F83" w:rsidP="001C30D8">
            <w:pPr>
              <w:pStyle w:val="TableText0"/>
              <w:rPr>
                <w:szCs w:val="20"/>
              </w:rPr>
            </w:pPr>
            <w:r w:rsidRPr="0030626E">
              <w:t>Children aged ≥2 years and diagnosed ≤18 years with NF1 and symptomatic</w:t>
            </w:r>
            <w:r w:rsidRPr="0030626E">
              <w:rPr>
                <w:vertAlign w:val="superscript"/>
              </w:rPr>
              <w:t>a</w:t>
            </w:r>
            <w:r w:rsidRPr="0030626E">
              <w:t>, inoperable</w:t>
            </w:r>
            <w:r w:rsidRPr="0030626E">
              <w:rPr>
                <w:vertAlign w:val="superscript"/>
              </w:rPr>
              <w:t>b</w:t>
            </w:r>
            <w:r w:rsidRPr="0030626E">
              <w:t xml:space="preserve"> PN</w:t>
            </w:r>
          </w:p>
        </w:tc>
      </w:tr>
      <w:tr w:rsidR="00DE5F83" w:rsidRPr="00691913" w14:paraId="6E709B2E" w14:textId="77777777" w:rsidTr="00DA12EA">
        <w:trPr>
          <w:cantSplit/>
        </w:trPr>
        <w:tc>
          <w:tcPr>
            <w:tcW w:w="705" w:type="pct"/>
            <w:shd w:val="clear" w:color="auto" w:fill="auto"/>
          </w:tcPr>
          <w:p w14:paraId="23A4CF6F" w14:textId="77777777" w:rsidR="00DE5F83" w:rsidRPr="00691913" w:rsidRDefault="00DE5F83" w:rsidP="001C30D8">
            <w:pPr>
              <w:pStyle w:val="TableText0"/>
            </w:pPr>
            <w:r w:rsidRPr="00691913">
              <w:t>Intervention</w:t>
            </w:r>
          </w:p>
        </w:tc>
        <w:tc>
          <w:tcPr>
            <w:tcW w:w="4295" w:type="pct"/>
            <w:shd w:val="clear" w:color="auto" w:fill="auto"/>
            <w:vAlign w:val="center"/>
          </w:tcPr>
          <w:p w14:paraId="04B6A8A6" w14:textId="77777777" w:rsidR="00DE5F83" w:rsidRPr="00691913" w:rsidRDefault="00DE5F83" w:rsidP="001C30D8">
            <w:pPr>
              <w:pStyle w:val="TableText0"/>
            </w:pPr>
            <w:r w:rsidRPr="00B62A6E">
              <w:t>Selumetinib 25mg/m</w:t>
            </w:r>
            <w:r w:rsidRPr="001E649A">
              <w:rPr>
                <w:vertAlign w:val="superscript"/>
              </w:rPr>
              <w:t>2</w:t>
            </w:r>
            <w:r w:rsidRPr="00B62A6E">
              <w:t xml:space="preserve"> BSA orally twice daily until unacceptable tolerability or disease progression</w:t>
            </w:r>
          </w:p>
        </w:tc>
      </w:tr>
      <w:tr w:rsidR="00DE5F83" w:rsidRPr="00691913" w14:paraId="238FC4B4" w14:textId="77777777" w:rsidTr="00DA12EA">
        <w:trPr>
          <w:cantSplit/>
        </w:trPr>
        <w:tc>
          <w:tcPr>
            <w:tcW w:w="705" w:type="pct"/>
            <w:shd w:val="clear" w:color="auto" w:fill="auto"/>
          </w:tcPr>
          <w:p w14:paraId="70FE1A5C" w14:textId="77777777" w:rsidR="00DE5F83" w:rsidRPr="00691913" w:rsidRDefault="00DE5F83" w:rsidP="001C30D8">
            <w:pPr>
              <w:pStyle w:val="TableText0"/>
            </w:pPr>
            <w:r w:rsidRPr="00691913">
              <w:t>Comparator</w:t>
            </w:r>
          </w:p>
        </w:tc>
        <w:tc>
          <w:tcPr>
            <w:tcW w:w="4295" w:type="pct"/>
            <w:shd w:val="clear" w:color="auto" w:fill="auto"/>
            <w:vAlign w:val="center"/>
          </w:tcPr>
          <w:p w14:paraId="5F4635EE" w14:textId="77777777" w:rsidR="00DE5F83" w:rsidRPr="00691913" w:rsidRDefault="00DE5F83" w:rsidP="001C30D8">
            <w:pPr>
              <w:pStyle w:val="TableText0"/>
            </w:pPr>
            <w:r w:rsidRPr="00B62A6E">
              <w:t>Supportive care (no active treatment)</w:t>
            </w:r>
          </w:p>
        </w:tc>
      </w:tr>
      <w:tr w:rsidR="00DE5F83" w:rsidRPr="00691913" w14:paraId="7A34BC7B" w14:textId="77777777" w:rsidTr="00DA12EA">
        <w:trPr>
          <w:cantSplit/>
        </w:trPr>
        <w:tc>
          <w:tcPr>
            <w:tcW w:w="705" w:type="pct"/>
            <w:shd w:val="clear" w:color="auto" w:fill="auto"/>
          </w:tcPr>
          <w:p w14:paraId="5D79EDAD" w14:textId="77777777" w:rsidR="00DE5F83" w:rsidRPr="00691913" w:rsidRDefault="00DE5F83" w:rsidP="001C30D8">
            <w:pPr>
              <w:pStyle w:val="TableText0"/>
            </w:pPr>
            <w:r w:rsidRPr="00691913">
              <w:t>Outcomes</w:t>
            </w:r>
          </w:p>
        </w:tc>
        <w:tc>
          <w:tcPr>
            <w:tcW w:w="4295" w:type="pct"/>
            <w:shd w:val="clear" w:color="auto" w:fill="auto"/>
          </w:tcPr>
          <w:p w14:paraId="29A00035" w14:textId="77777777" w:rsidR="00DE5F83" w:rsidRPr="001E1E86" w:rsidRDefault="00DE5F83" w:rsidP="001C30D8">
            <w:pPr>
              <w:pStyle w:val="TableText0"/>
              <w:rPr>
                <w:rFonts w:eastAsia="Times New Roman" w:cs="Arial"/>
                <w:bCs w:val="0"/>
                <w:snapToGrid w:val="0"/>
                <w:color w:val="0066FF"/>
                <w:szCs w:val="20"/>
              </w:rPr>
            </w:pPr>
            <w:r w:rsidRPr="000F17C4">
              <w:t>ORR assessed by centralised volumetric MRI of the target PN</w:t>
            </w:r>
            <w:r>
              <w:t>,</w:t>
            </w:r>
            <w:r w:rsidRPr="000F17C4">
              <w:t xml:space="preserve"> DoR</w:t>
            </w:r>
            <w:r>
              <w:t>,</w:t>
            </w:r>
            <w:r w:rsidRPr="000F17C4">
              <w:t xml:space="preserve"> PFS, clinical outcomes including pain, motor dysfunction, airway dysfunction</w:t>
            </w:r>
          </w:p>
        </w:tc>
      </w:tr>
      <w:tr w:rsidR="00DE5F83" w:rsidRPr="00691913" w14:paraId="33E7223B" w14:textId="77777777" w:rsidTr="00DA12EA">
        <w:trPr>
          <w:cantSplit/>
        </w:trPr>
        <w:tc>
          <w:tcPr>
            <w:tcW w:w="705" w:type="pct"/>
            <w:shd w:val="clear" w:color="auto" w:fill="auto"/>
          </w:tcPr>
          <w:p w14:paraId="542FA29C" w14:textId="77777777" w:rsidR="00DE5F83" w:rsidRPr="00691913" w:rsidRDefault="00DE5F83" w:rsidP="001C30D8">
            <w:pPr>
              <w:pStyle w:val="TableText0"/>
            </w:pPr>
            <w:r w:rsidRPr="00691913">
              <w:t>Clinical claim</w:t>
            </w:r>
          </w:p>
        </w:tc>
        <w:tc>
          <w:tcPr>
            <w:tcW w:w="4295" w:type="pct"/>
            <w:shd w:val="clear" w:color="auto" w:fill="auto"/>
          </w:tcPr>
          <w:p w14:paraId="427E121D" w14:textId="77777777" w:rsidR="00DE5F83" w:rsidRDefault="00DE5F83" w:rsidP="001C30D8">
            <w:pPr>
              <w:pStyle w:val="TableText0"/>
            </w:pPr>
            <w:r w:rsidRPr="000F17C4">
              <w:t xml:space="preserve">In children with NF1 and symptomatic, inoperable PN, treatment with selumetinib is more effective than </w:t>
            </w:r>
            <w:r>
              <w:t>supportive care</w:t>
            </w:r>
            <w:r w:rsidRPr="000F17C4">
              <w:t xml:space="preserve"> in reducing PN volume, reducing pain, improving functional assessment scores and improving </w:t>
            </w:r>
            <w:r>
              <w:t>HRQoL</w:t>
            </w:r>
            <w:r w:rsidRPr="000F17C4">
              <w:t xml:space="preserve">. </w:t>
            </w:r>
          </w:p>
          <w:p w14:paraId="7989BB66" w14:textId="77777777" w:rsidR="00DE5F83" w:rsidRPr="001E1E86" w:rsidRDefault="00DE5F83" w:rsidP="001C30D8">
            <w:pPr>
              <w:pStyle w:val="TableText0"/>
              <w:rPr>
                <w:rFonts w:eastAsia="Times New Roman" w:cs="Arial"/>
                <w:bCs w:val="0"/>
                <w:snapToGrid w:val="0"/>
                <w:color w:val="0066FF"/>
                <w:szCs w:val="20"/>
              </w:rPr>
            </w:pPr>
            <w:r w:rsidRPr="000F17C4">
              <w:t>Selumetinib has an acceptable safety and tolerability profile for chronic treatment in children.</w:t>
            </w:r>
          </w:p>
        </w:tc>
      </w:tr>
    </w:tbl>
    <w:p w14:paraId="4518F3BF" w14:textId="77777777" w:rsidR="00DE5F83" w:rsidRDefault="00DE5F83" w:rsidP="00DE5F83">
      <w:pPr>
        <w:pStyle w:val="FooterTableFigure"/>
      </w:pPr>
      <w:r>
        <w:t>Source: Table 1.1, p17 of the submission.</w:t>
      </w:r>
    </w:p>
    <w:p w14:paraId="694BB6B5" w14:textId="06A3BA09" w:rsidR="00DE5F83" w:rsidRDefault="00DE5F83" w:rsidP="00DE5F83">
      <w:pPr>
        <w:pStyle w:val="FooterTableFigure"/>
      </w:pPr>
      <w:r>
        <w:t xml:space="preserve">BSA = body surface area, DoR = duration of response, HRQoL = health-related quality of life, MRI = magnetic resonance imaging, NF1 = neurofibromatosis type 1, ORR = </w:t>
      </w:r>
      <w:r w:rsidR="00200CAD">
        <w:t xml:space="preserve">objective </w:t>
      </w:r>
      <w:r>
        <w:t>response rate, PFS = progression-free survival, PN = plexiform neurofibroma(s).</w:t>
      </w:r>
    </w:p>
    <w:p w14:paraId="18AD332B" w14:textId="77777777" w:rsidR="00DE5F83" w:rsidRDefault="00DE5F83" w:rsidP="00DE5F83">
      <w:pPr>
        <w:pStyle w:val="FooterTableFigure"/>
      </w:pPr>
      <w:r w:rsidRPr="00C86450">
        <w:rPr>
          <w:vertAlign w:val="superscript"/>
        </w:rPr>
        <w:t>a</w:t>
      </w:r>
      <w:r>
        <w:t xml:space="preserve"> Definition of symptomatic: PN has to cause significant morbidity, such as (but not limited to) head and neck PN that can compromise the airway or great vessels, paraspinal PN that can cause myelopathy, brachial or lumbar plexus PN that can cause nerve compression and loss of function, PN that can result in major deformity (e.g., orbital PN) or significant disfiguring, PN of the extremity that can cause limb hypertrophy or loss of function, and painful PN.</w:t>
      </w:r>
    </w:p>
    <w:p w14:paraId="2C35983E" w14:textId="553276BA" w:rsidR="004D1B47" w:rsidRDefault="00DE5F83" w:rsidP="00DE5F83">
      <w:pPr>
        <w:pStyle w:val="FooterTableFigure"/>
      </w:pPr>
      <w:r w:rsidRPr="00C86450">
        <w:rPr>
          <w:vertAlign w:val="superscript"/>
        </w:rPr>
        <w:t>b</w:t>
      </w:r>
      <w:r>
        <w:t xml:space="preserve"> Definition of inoperable: Adequate tumour resection cannot be done safely or without causing unacceptable morbidity. </w:t>
      </w:r>
    </w:p>
    <w:p w14:paraId="1143CB09" w14:textId="77777777" w:rsidR="0078664B" w:rsidRPr="00407F2D" w:rsidRDefault="0078664B" w:rsidP="0078664B">
      <w:pPr>
        <w:pStyle w:val="2-SectionHeading"/>
      </w:pPr>
      <w:bookmarkStart w:id="4" w:name="_Toc114041582"/>
      <w:bookmarkStart w:id="5" w:name="_Toc22897641"/>
      <w:r w:rsidRPr="00407F2D">
        <w:t>Background</w:t>
      </w:r>
      <w:bookmarkEnd w:id="4"/>
    </w:p>
    <w:p w14:paraId="70D0E1B2" w14:textId="77777777" w:rsidR="0078664B" w:rsidRPr="004151CF" w:rsidRDefault="0078664B" w:rsidP="004A6040">
      <w:pPr>
        <w:pStyle w:val="4-SubsectionHeading"/>
      </w:pPr>
      <w:bookmarkStart w:id="6" w:name="_Toc22897638"/>
      <w:bookmarkStart w:id="7" w:name="_Toc114041583"/>
      <w:r w:rsidRPr="004151CF">
        <w:t>Registration status</w:t>
      </w:r>
      <w:bookmarkEnd w:id="6"/>
      <w:bookmarkEnd w:id="7"/>
    </w:p>
    <w:p w14:paraId="186F6A2B" w14:textId="77449DA4" w:rsidR="0078664B" w:rsidRDefault="0078664B" w:rsidP="0078664B">
      <w:pPr>
        <w:pStyle w:val="3-BodyText"/>
      </w:pPr>
      <w:r>
        <w:t>Selumetinib</w:t>
      </w:r>
      <w:r w:rsidRPr="004E18E9">
        <w:t xml:space="preserve"> was TGA registered on </w:t>
      </w:r>
      <w:r>
        <w:t>2 December 2021</w:t>
      </w:r>
      <w:r w:rsidRPr="004E18E9">
        <w:t xml:space="preserve"> for </w:t>
      </w:r>
      <w:r>
        <w:t>the treatment of paediatric patients aged 2 years and above, with neurofibromatosis type 1 (NF1) who have symptomatic, inoperable plexiform neurofibromas (PN).</w:t>
      </w:r>
    </w:p>
    <w:p w14:paraId="5236199C" w14:textId="42DC0C70" w:rsidR="0078664B" w:rsidRDefault="0078664B" w:rsidP="0078664B">
      <w:pPr>
        <w:pStyle w:val="2-SectionHeading"/>
      </w:pPr>
      <w:bookmarkStart w:id="8" w:name="_Toc113013630"/>
      <w:bookmarkStart w:id="9" w:name="_Toc107902078"/>
      <w:bookmarkStart w:id="10" w:name="_Toc114041584"/>
      <w:bookmarkEnd w:id="8"/>
      <w:bookmarkEnd w:id="9"/>
      <w:r w:rsidRPr="00407F2D">
        <w:lastRenderedPageBreak/>
        <w:t>Requested listing</w:t>
      </w:r>
      <w:bookmarkEnd w:id="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2"/>
        <w:gridCol w:w="2267"/>
        <w:gridCol w:w="1134"/>
        <w:gridCol w:w="994"/>
        <w:gridCol w:w="671"/>
        <w:gridCol w:w="1829"/>
      </w:tblGrid>
      <w:tr w:rsidR="0078664B" w:rsidRPr="001428E9" w14:paraId="56C89AF3" w14:textId="77777777" w:rsidTr="003725F4">
        <w:trPr>
          <w:cantSplit/>
          <w:trHeight w:val="20"/>
        </w:trPr>
        <w:tc>
          <w:tcPr>
            <w:tcW w:w="1177" w:type="pct"/>
            <w:vAlign w:val="center"/>
          </w:tcPr>
          <w:p w14:paraId="008167A4" w14:textId="74168AD6" w:rsidR="0078664B" w:rsidRPr="001428E9" w:rsidRDefault="0078664B" w:rsidP="007B634D">
            <w:pPr>
              <w:keepNext/>
              <w:keepLines/>
              <w:rPr>
                <w:rFonts w:ascii="Arial Narrow" w:hAnsi="Arial Narrow"/>
                <w:b/>
                <w:bCs/>
                <w:sz w:val="20"/>
                <w:szCs w:val="20"/>
              </w:rPr>
            </w:pPr>
            <w:bookmarkStart w:id="11" w:name="_Hlk104809082"/>
            <w:r w:rsidRPr="001428E9">
              <w:rPr>
                <w:rFonts w:ascii="Arial Narrow" w:hAnsi="Arial Narrow"/>
                <w:b/>
                <w:bCs/>
                <w:sz w:val="20"/>
                <w:szCs w:val="20"/>
              </w:rPr>
              <w:t>MEDICINAL PRODUCT</w:t>
            </w:r>
          </w:p>
          <w:p w14:paraId="7F71BC9D" w14:textId="77777777" w:rsidR="0078664B" w:rsidRPr="001428E9" w:rsidRDefault="0078664B" w:rsidP="007B634D">
            <w:pPr>
              <w:keepNext/>
              <w:keepLines/>
              <w:rPr>
                <w:rFonts w:ascii="Arial Narrow" w:hAnsi="Arial Narrow"/>
                <w:b/>
                <w:sz w:val="20"/>
                <w:szCs w:val="20"/>
              </w:rPr>
            </w:pPr>
            <w:r w:rsidRPr="001428E9">
              <w:rPr>
                <w:rFonts w:ascii="Arial Narrow" w:hAnsi="Arial Narrow"/>
                <w:b/>
                <w:bCs/>
                <w:sz w:val="20"/>
                <w:szCs w:val="20"/>
              </w:rPr>
              <w:t>medicinal product pack</w:t>
            </w:r>
          </w:p>
        </w:tc>
        <w:tc>
          <w:tcPr>
            <w:tcW w:w="1257" w:type="pct"/>
            <w:vAlign w:val="center"/>
          </w:tcPr>
          <w:p w14:paraId="495DE286" w14:textId="7B76090C" w:rsidR="0078664B" w:rsidRPr="00C61A59" w:rsidRDefault="003725F4" w:rsidP="00DA12EA">
            <w:pPr>
              <w:pStyle w:val="TableText0"/>
              <w:jc w:val="center"/>
              <w:rPr>
                <w:b/>
                <w:bCs w:val="0"/>
                <w:szCs w:val="20"/>
              </w:rPr>
            </w:pPr>
            <w:r>
              <w:rPr>
                <w:b/>
                <w:bCs w:val="0"/>
                <w:snapToGrid w:val="0"/>
              </w:rPr>
              <w:t>DPMQ</w:t>
            </w:r>
          </w:p>
        </w:tc>
        <w:tc>
          <w:tcPr>
            <w:tcW w:w="629" w:type="pct"/>
            <w:vAlign w:val="center"/>
          </w:tcPr>
          <w:p w14:paraId="31C80E11" w14:textId="77777777" w:rsidR="0078664B" w:rsidRPr="001428E9" w:rsidRDefault="0078664B" w:rsidP="007B634D">
            <w:pPr>
              <w:keepNext/>
              <w:keepLines/>
              <w:jc w:val="center"/>
              <w:rPr>
                <w:rFonts w:ascii="Arial Narrow" w:hAnsi="Arial Narrow"/>
                <w:b/>
                <w:sz w:val="20"/>
                <w:szCs w:val="20"/>
              </w:rPr>
            </w:pPr>
            <w:r w:rsidRPr="001428E9">
              <w:rPr>
                <w:rFonts w:ascii="Arial Narrow" w:hAnsi="Arial Narrow"/>
                <w:b/>
                <w:sz w:val="20"/>
                <w:szCs w:val="20"/>
              </w:rPr>
              <w:t>Max. qty packs</w:t>
            </w:r>
          </w:p>
        </w:tc>
        <w:tc>
          <w:tcPr>
            <w:tcW w:w="551" w:type="pct"/>
            <w:vAlign w:val="center"/>
          </w:tcPr>
          <w:p w14:paraId="62D05E6B" w14:textId="77777777" w:rsidR="0078664B" w:rsidRPr="001428E9" w:rsidRDefault="0078664B" w:rsidP="007B634D">
            <w:pPr>
              <w:keepNext/>
              <w:keepLines/>
              <w:jc w:val="center"/>
              <w:rPr>
                <w:rFonts w:ascii="Arial Narrow" w:hAnsi="Arial Narrow"/>
                <w:b/>
                <w:sz w:val="20"/>
                <w:szCs w:val="20"/>
              </w:rPr>
            </w:pPr>
            <w:r w:rsidRPr="001428E9">
              <w:rPr>
                <w:rFonts w:ascii="Arial Narrow" w:hAnsi="Arial Narrow"/>
                <w:b/>
                <w:sz w:val="20"/>
                <w:szCs w:val="20"/>
              </w:rPr>
              <w:t>Max. qty units</w:t>
            </w:r>
          </w:p>
        </w:tc>
        <w:tc>
          <w:tcPr>
            <w:tcW w:w="372" w:type="pct"/>
            <w:vAlign w:val="center"/>
          </w:tcPr>
          <w:p w14:paraId="6EC30A35" w14:textId="77777777" w:rsidR="0078664B" w:rsidRPr="001428E9" w:rsidRDefault="0078664B" w:rsidP="007B634D">
            <w:pPr>
              <w:keepNext/>
              <w:keepLines/>
              <w:jc w:val="center"/>
              <w:rPr>
                <w:rFonts w:ascii="Arial Narrow" w:hAnsi="Arial Narrow"/>
                <w:b/>
                <w:sz w:val="20"/>
                <w:szCs w:val="20"/>
              </w:rPr>
            </w:pPr>
            <w:r w:rsidRPr="001428E9">
              <w:rPr>
                <w:rFonts w:ascii="Arial Narrow" w:hAnsi="Arial Narrow"/>
                <w:b/>
                <w:sz w:val="20"/>
                <w:szCs w:val="20"/>
              </w:rPr>
              <w:t>№.of</w:t>
            </w:r>
          </w:p>
          <w:p w14:paraId="4B6B7D34" w14:textId="77777777" w:rsidR="0078664B" w:rsidRPr="001428E9" w:rsidRDefault="0078664B" w:rsidP="007B634D">
            <w:pPr>
              <w:keepNext/>
              <w:keepLines/>
              <w:jc w:val="center"/>
              <w:rPr>
                <w:rFonts w:ascii="Arial Narrow" w:hAnsi="Arial Narrow"/>
                <w:b/>
                <w:sz w:val="20"/>
                <w:szCs w:val="20"/>
              </w:rPr>
            </w:pPr>
            <w:r w:rsidRPr="001428E9">
              <w:rPr>
                <w:rFonts w:ascii="Arial Narrow" w:hAnsi="Arial Narrow"/>
                <w:b/>
                <w:sz w:val="20"/>
                <w:szCs w:val="20"/>
              </w:rPr>
              <w:t>Rpts</w:t>
            </w:r>
          </w:p>
        </w:tc>
        <w:tc>
          <w:tcPr>
            <w:tcW w:w="1014" w:type="pct"/>
            <w:vAlign w:val="center"/>
          </w:tcPr>
          <w:p w14:paraId="75AF07BC" w14:textId="77777777" w:rsidR="0078664B" w:rsidRPr="001428E9" w:rsidRDefault="0078664B" w:rsidP="007B634D">
            <w:pPr>
              <w:keepNext/>
              <w:keepLines/>
              <w:rPr>
                <w:rFonts w:ascii="Arial Narrow" w:hAnsi="Arial Narrow"/>
                <w:b/>
                <w:sz w:val="20"/>
                <w:szCs w:val="20"/>
                <w:lang w:val="fr-FR"/>
              </w:rPr>
            </w:pPr>
            <w:r w:rsidRPr="001428E9">
              <w:rPr>
                <w:rFonts w:ascii="Arial Narrow" w:hAnsi="Arial Narrow"/>
                <w:b/>
                <w:sz w:val="20"/>
                <w:szCs w:val="20"/>
              </w:rPr>
              <w:t>Available brands</w:t>
            </w:r>
          </w:p>
        </w:tc>
      </w:tr>
      <w:tr w:rsidR="0078664B" w:rsidRPr="001428E9" w14:paraId="72A047C5" w14:textId="77777777" w:rsidTr="00CE6220">
        <w:trPr>
          <w:cantSplit/>
          <w:trHeight w:val="20"/>
        </w:trPr>
        <w:tc>
          <w:tcPr>
            <w:tcW w:w="5000" w:type="pct"/>
            <w:gridSpan w:val="6"/>
            <w:vAlign w:val="center"/>
          </w:tcPr>
          <w:p w14:paraId="68ED4C98" w14:textId="77777777" w:rsidR="0078664B" w:rsidRPr="001428E9" w:rsidRDefault="0078664B" w:rsidP="007B634D">
            <w:pPr>
              <w:pStyle w:val="TableText0"/>
              <w:rPr>
                <w:rFonts w:cs="Arial"/>
                <w:szCs w:val="20"/>
              </w:rPr>
            </w:pPr>
            <w:r w:rsidRPr="00D63AA6">
              <w:rPr>
                <w:rFonts w:cs="Arial"/>
                <w:szCs w:val="20"/>
              </w:rPr>
              <w:t>SELUMETINIB</w:t>
            </w:r>
          </w:p>
        </w:tc>
      </w:tr>
      <w:tr w:rsidR="0078664B" w:rsidRPr="001428E9" w14:paraId="7903F929" w14:textId="77777777" w:rsidTr="003725F4">
        <w:trPr>
          <w:cantSplit/>
          <w:trHeight w:val="20"/>
        </w:trPr>
        <w:tc>
          <w:tcPr>
            <w:tcW w:w="1177" w:type="pct"/>
          </w:tcPr>
          <w:p w14:paraId="09EE47A2" w14:textId="77777777" w:rsidR="0078664B" w:rsidRPr="003A4C14" w:rsidRDefault="0078664B" w:rsidP="00DA12EA">
            <w:pPr>
              <w:keepNext/>
              <w:keepLines/>
              <w:jc w:val="left"/>
              <w:rPr>
                <w:rFonts w:ascii="Arial Narrow" w:hAnsi="Arial Narrow"/>
                <w:color w:val="0066FF"/>
                <w:sz w:val="20"/>
                <w:szCs w:val="20"/>
              </w:rPr>
            </w:pPr>
            <w:r w:rsidRPr="00D63AA6">
              <w:rPr>
                <w:rFonts w:ascii="Arial Narrow" w:hAnsi="Arial Narrow"/>
                <w:sz w:val="20"/>
                <w:szCs w:val="20"/>
              </w:rPr>
              <w:t>selumetinib 10 mg capsule, 60</w:t>
            </w:r>
          </w:p>
        </w:tc>
        <w:tc>
          <w:tcPr>
            <w:tcW w:w="1257" w:type="pct"/>
          </w:tcPr>
          <w:p w14:paraId="153EB718" w14:textId="217957D1" w:rsidR="0078664B" w:rsidRPr="008050E2" w:rsidRDefault="00DA12EA" w:rsidP="007B634D">
            <w:pPr>
              <w:keepNext/>
              <w:keepLines/>
              <w:jc w:val="center"/>
              <w:rPr>
                <w:rFonts w:ascii="Arial Narrow" w:eastAsiaTheme="majorEastAsia" w:hAnsi="Arial Narrow" w:cstheme="majorBidi"/>
                <w:bCs/>
                <w:sz w:val="20"/>
              </w:rPr>
            </w:pPr>
            <w:r>
              <w:rPr>
                <w:rFonts w:ascii="Arial Narrow" w:eastAsiaTheme="majorEastAsia" w:hAnsi="Arial Narrow" w:cstheme="majorBidi"/>
                <w:bCs/>
                <w:sz w:val="20"/>
              </w:rPr>
              <w:t xml:space="preserve">Published: </w:t>
            </w:r>
            <w:r w:rsidR="0078664B" w:rsidRPr="008050E2">
              <w:rPr>
                <w:rFonts w:ascii="Arial Narrow" w:eastAsiaTheme="majorEastAsia" w:hAnsi="Arial Narrow" w:cstheme="majorBidi"/>
                <w:bCs/>
                <w:sz w:val="20"/>
              </w:rPr>
              <w:t>$</w:t>
            </w:r>
            <w:r w:rsidR="00F66E51" w:rsidRPr="00F66E51">
              <w:rPr>
                <w:rFonts w:ascii="Arial Narrow" w:eastAsiaTheme="majorEastAsia" w:hAnsi="Arial Narrow" w:cstheme="majorBidi"/>
                <w:bCs/>
                <w:color w:val="000000"/>
                <w:spacing w:val="68"/>
                <w:sz w:val="20"/>
                <w:shd w:val="solid" w:color="000000" w:fill="000000"/>
                <w:fitText w:val="154" w:id="-1301006336"/>
                <w14:textFill>
                  <w14:solidFill>
                    <w14:srgbClr w14:val="000000">
                      <w14:alpha w14:val="100000"/>
                    </w14:srgbClr>
                  </w14:solidFill>
                </w14:textFill>
              </w:rPr>
              <w:t>|</w:t>
            </w:r>
            <w:r w:rsidR="00F66E51" w:rsidRPr="00F66E51">
              <w:rPr>
                <w:rFonts w:ascii="Arial Narrow" w:eastAsiaTheme="majorEastAsia" w:hAnsi="Arial Narrow" w:cstheme="majorBidi"/>
                <w:bCs/>
                <w:color w:val="000000"/>
                <w:sz w:val="20"/>
                <w:shd w:val="solid" w:color="000000" w:fill="000000"/>
                <w:fitText w:val="154" w:id="-1301006336"/>
                <w14:textFill>
                  <w14:solidFill>
                    <w14:srgbClr w14:val="000000">
                      <w14:alpha w14:val="100000"/>
                    </w14:srgbClr>
                  </w14:solidFill>
                </w14:textFill>
              </w:rPr>
              <w:t>|</w:t>
            </w:r>
          </w:p>
          <w:p w14:paraId="2202D1C3" w14:textId="68194077" w:rsidR="0078664B" w:rsidRPr="008050E2" w:rsidRDefault="00DA12EA" w:rsidP="007B634D">
            <w:pPr>
              <w:keepNext/>
              <w:keepLines/>
              <w:jc w:val="center"/>
              <w:rPr>
                <w:rFonts w:ascii="Arial Narrow" w:eastAsiaTheme="majorEastAsia" w:hAnsi="Arial Narrow" w:cstheme="majorBidi"/>
                <w:bCs/>
                <w:sz w:val="20"/>
              </w:rPr>
            </w:pPr>
            <w:r>
              <w:rPr>
                <w:rFonts w:ascii="Arial Narrow" w:eastAsiaTheme="majorEastAsia" w:hAnsi="Arial Narrow" w:cstheme="majorBidi"/>
                <w:bCs/>
                <w:sz w:val="20"/>
              </w:rPr>
              <w:t xml:space="preserve">Effective: </w:t>
            </w:r>
            <w:r w:rsidR="0078664B" w:rsidRPr="008050E2">
              <w:rPr>
                <w:rFonts w:ascii="Arial Narrow" w:eastAsiaTheme="majorEastAsia" w:hAnsi="Arial Narrow" w:cstheme="majorBidi"/>
                <w:bCs/>
                <w:sz w:val="20"/>
              </w:rPr>
              <w:t>$</w:t>
            </w:r>
            <w:r w:rsidR="00F66E51" w:rsidRPr="00F66E51">
              <w:rPr>
                <w:rFonts w:ascii="Arial Narrow" w:eastAsiaTheme="majorEastAsia" w:hAnsi="Arial Narrow" w:cstheme="majorBidi"/>
                <w:bCs/>
                <w:color w:val="000000"/>
                <w:spacing w:val="79"/>
                <w:sz w:val="20"/>
                <w:shd w:val="solid" w:color="000000" w:fill="000000"/>
                <w:fitText w:val="408" w:id="-1301006335"/>
                <w14:textFill>
                  <w14:solidFill>
                    <w14:srgbClr w14:val="000000">
                      <w14:alpha w14:val="100000"/>
                    </w14:srgbClr>
                  </w14:solidFill>
                </w14:textFill>
              </w:rPr>
              <w:t>|||</w:t>
            </w:r>
            <w:r w:rsidR="00F66E51" w:rsidRPr="00F66E51">
              <w:rPr>
                <w:rFonts w:ascii="Arial Narrow" w:eastAsiaTheme="majorEastAsia" w:hAnsi="Arial Narrow" w:cstheme="majorBidi"/>
                <w:bCs/>
                <w:color w:val="000000"/>
                <w:spacing w:val="1"/>
                <w:sz w:val="20"/>
                <w:shd w:val="solid" w:color="000000" w:fill="000000"/>
                <w:fitText w:val="408" w:id="-1301006335"/>
                <w14:textFill>
                  <w14:solidFill>
                    <w14:srgbClr w14:val="000000">
                      <w14:alpha w14:val="100000"/>
                    </w14:srgbClr>
                  </w14:solidFill>
                </w14:textFill>
              </w:rPr>
              <w:t>|</w:t>
            </w:r>
            <w:r w:rsidR="0078664B" w:rsidRPr="008050E2">
              <w:rPr>
                <w:rFonts w:ascii="Arial Narrow" w:eastAsiaTheme="majorEastAsia" w:hAnsi="Arial Narrow" w:cstheme="majorBidi"/>
                <w:bCs/>
                <w:sz w:val="20"/>
              </w:rPr>
              <w:t xml:space="preserve"> (public)</w:t>
            </w:r>
          </w:p>
          <w:p w14:paraId="6135E899" w14:textId="2B4A08A0" w:rsidR="0078664B" w:rsidRPr="001428E9" w:rsidRDefault="00DA12EA" w:rsidP="007B634D">
            <w:pPr>
              <w:pStyle w:val="TableText0"/>
              <w:jc w:val="center"/>
              <w:rPr>
                <w:szCs w:val="20"/>
              </w:rPr>
            </w:pPr>
            <w:r>
              <w:t xml:space="preserve">                 </w:t>
            </w:r>
            <w:r w:rsidR="0078664B" w:rsidRPr="008050E2">
              <w:t>$</w:t>
            </w:r>
            <w:r w:rsidR="00F66E51" w:rsidRPr="00F66E51">
              <w:rPr>
                <w:rFonts w:hint="eastAsia"/>
                <w:color w:val="000000"/>
                <w:w w:val="31"/>
                <w:shd w:val="solid" w:color="000000" w:fill="000000"/>
                <w:fitText w:val="139" w:id="-1301006334"/>
                <w14:textFill>
                  <w14:solidFill>
                    <w14:srgbClr w14:val="000000">
                      <w14:alpha w14:val="100000"/>
                    </w14:srgbClr>
                  </w14:solidFill>
                </w14:textFill>
              </w:rPr>
              <w:t xml:space="preserve">　</w:t>
            </w:r>
            <w:r w:rsidR="00F66E51" w:rsidRPr="00F66E51">
              <w:rPr>
                <w:color w:val="000000"/>
                <w:w w:val="31"/>
                <w:shd w:val="solid" w:color="000000" w:fill="000000"/>
                <w:fitText w:val="139" w:id="-1301006334"/>
                <w14:textFill>
                  <w14:solidFill>
                    <w14:srgbClr w14:val="000000">
                      <w14:alpha w14:val="100000"/>
                    </w14:srgbClr>
                  </w14:solidFill>
                </w14:textFill>
              </w:rPr>
              <w:t>|</w:t>
            </w:r>
            <w:r w:rsidR="00F66E51" w:rsidRPr="00F66E51">
              <w:rPr>
                <w:rFonts w:hint="eastAsia"/>
                <w:color w:val="000000"/>
                <w:w w:val="31"/>
                <w:shd w:val="solid" w:color="000000" w:fill="000000"/>
                <w:fitText w:val="139" w:id="-1301006334"/>
                <w14:textFill>
                  <w14:solidFill>
                    <w14:srgbClr w14:val="000000">
                      <w14:alpha w14:val="100000"/>
                    </w14:srgbClr>
                  </w14:solidFill>
                </w14:textFill>
              </w:rPr>
              <w:t xml:space="preserve">　</w:t>
            </w:r>
            <w:r w:rsidR="0078664B" w:rsidRPr="008050E2">
              <w:t xml:space="preserve"> (private)</w:t>
            </w:r>
          </w:p>
        </w:tc>
        <w:tc>
          <w:tcPr>
            <w:tcW w:w="629" w:type="pct"/>
            <w:vAlign w:val="center"/>
          </w:tcPr>
          <w:p w14:paraId="6C292FB6" w14:textId="77777777" w:rsidR="0078664B" w:rsidRPr="001428E9" w:rsidRDefault="0078664B" w:rsidP="007B634D">
            <w:pPr>
              <w:keepNext/>
              <w:keepLines/>
              <w:jc w:val="center"/>
              <w:rPr>
                <w:rFonts w:ascii="Arial Narrow" w:hAnsi="Arial Narrow"/>
                <w:sz w:val="20"/>
                <w:szCs w:val="20"/>
              </w:rPr>
            </w:pPr>
            <w:r w:rsidRPr="008050E2">
              <w:rPr>
                <w:rFonts w:ascii="Arial Narrow" w:hAnsi="Arial Narrow"/>
                <w:sz w:val="20"/>
              </w:rPr>
              <w:t>4</w:t>
            </w:r>
          </w:p>
        </w:tc>
        <w:tc>
          <w:tcPr>
            <w:tcW w:w="551" w:type="pct"/>
            <w:vAlign w:val="center"/>
          </w:tcPr>
          <w:p w14:paraId="03185C2C" w14:textId="77777777" w:rsidR="0078664B" w:rsidRPr="001428E9" w:rsidRDefault="0078664B" w:rsidP="007B634D">
            <w:pPr>
              <w:keepNext/>
              <w:keepLines/>
              <w:jc w:val="center"/>
              <w:rPr>
                <w:rFonts w:ascii="Arial Narrow" w:hAnsi="Arial Narrow"/>
                <w:sz w:val="20"/>
                <w:szCs w:val="20"/>
              </w:rPr>
            </w:pPr>
            <w:r w:rsidRPr="008050E2">
              <w:rPr>
                <w:rFonts w:ascii="Arial Narrow" w:hAnsi="Arial Narrow"/>
                <w:sz w:val="20"/>
              </w:rPr>
              <w:t>240</w:t>
            </w:r>
          </w:p>
        </w:tc>
        <w:tc>
          <w:tcPr>
            <w:tcW w:w="372" w:type="pct"/>
            <w:vAlign w:val="center"/>
          </w:tcPr>
          <w:p w14:paraId="5894AB9F" w14:textId="77777777" w:rsidR="0078664B" w:rsidRPr="001428E9" w:rsidRDefault="0078664B" w:rsidP="007B634D">
            <w:pPr>
              <w:keepNext/>
              <w:keepLines/>
              <w:jc w:val="center"/>
              <w:rPr>
                <w:rFonts w:ascii="Arial Narrow" w:hAnsi="Arial Narrow"/>
                <w:sz w:val="20"/>
                <w:szCs w:val="20"/>
              </w:rPr>
            </w:pPr>
            <w:r w:rsidRPr="008050E2">
              <w:rPr>
                <w:rFonts w:ascii="Arial Narrow" w:hAnsi="Arial Narrow"/>
                <w:sz w:val="20"/>
              </w:rPr>
              <w:t>5</w:t>
            </w:r>
          </w:p>
        </w:tc>
        <w:tc>
          <w:tcPr>
            <w:tcW w:w="1014" w:type="pct"/>
            <w:vAlign w:val="center"/>
          </w:tcPr>
          <w:p w14:paraId="5A88CFF9" w14:textId="1E84FE6F" w:rsidR="0078664B" w:rsidRPr="008050E2" w:rsidRDefault="0078664B" w:rsidP="007B634D">
            <w:pPr>
              <w:keepNext/>
              <w:keepLines/>
              <w:rPr>
                <w:rFonts w:ascii="Arial Narrow" w:hAnsi="Arial Narrow"/>
                <w:sz w:val="20"/>
                <w:szCs w:val="20"/>
              </w:rPr>
            </w:pPr>
            <w:r w:rsidRPr="008050E2">
              <w:rPr>
                <w:rFonts w:ascii="Arial Narrow" w:hAnsi="Arial Narrow"/>
                <w:sz w:val="20"/>
                <w:szCs w:val="20"/>
              </w:rPr>
              <w:t>Koselugo</w:t>
            </w:r>
          </w:p>
          <w:p w14:paraId="4D9F72CD" w14:textId="5BB43235" w:rsidR="0078664B" w:rsidRPr="003A4C14" w:rsidRDefault="0078664B" w:rsidP="007B634D">
            <w:pPr>
              <w:keepNext/>
              <w:keepLines/>
              <w:rPr>
                <w:rFonts w:ascii="Arial Narrow" w:hAnsi="Arial Narrow"/>
                <w:color w:val="0066FF"/>
                <w:sz w:val="20"/>
                <w:szCs w:val="20"/>
              </w:rPr>
            </w:pPr>
          </w:p>
        </w:tc>
      </w:tr>
      <w:tr w:rsidR="0078664B" w:rsidRPr="001428E9" w14:paraId="213F604D" w14:textId="77777777" w:rsidTr="003725F4">
        <w:trPr>
          <w:cantSplit/>
          <w:trHeight w:val="20"/>
        </w:trPr>
        <w:tc>
          <w:tcPr>
            <w:tcW w:w="1177" w:type="pct"/>
          </w:tcPr>
          <w:p w14:paraId="287AA02B" w14:textId="77777777" w:rsidR="0078664B" w:rsidRPr="003A4C14" w:rsidRDefault="0078664B" w:rsidP="00DA12EA">
            <w:pPr>
              <w:keepNext/>
              <w:keepLines/>
              <w:jc w:val="left"/>
              <w:rPr>
                <w:rFonts w:ascii="Arial Narrow" w:hAnsi="Arial Narrow"/>
                <w:color w:val="0066FF"/>
                <w:sz w:val="20"/>
                <w:szCs w:val="20"/>
              </w:rPr>
            </w:pPr>
            <w:r w:rsidRPr="00D63AA6">
              <w:rPr>
                <w:rFonts w:ascii="Arial Narrow" w:hAnsi="Arial Narrow"/>
                <w:sz w:val="20"/>
                <w:szCs w:val="20"/>
              </w:rPr>
              <w:t>selumetinib 25 mg capsule, 60</w:t>
            </w:r>
          </w:p>
        </w:tc>
        <w:tc>
          <w:tcPr>
            <w:tcW w:w="1257" w:type="pct"/>
          </w:tcPr>
          <w:p w14:paraId="035F5848" w14:textId="0DDB0BA9" w:rsidR="0078664B" w:rsidRPr="008050E2" w:rsidRDefault="00DA12EA" w:rsidP="007B634D">
            <w:pPr>
              <w:keepNext/>
              <w:keepLines/>
              <w:jc w:val="center"/>
              <w:rPr>
                <w:rFonts w:ascii="Arial Narrow" w:eastAsiaTheme="majorEastAsia" w:hAnsi="Arial Narrow" w:cstheme="majorBidi"/>
                <w:bCs/>
                <w:sz w:val="20"/>
              </w:rPr>
            </w:pPr>
            <w:r>
              <w:rPr>
                <w:rFonts w:ascii="Arial Narrow" w:eastAsiaTheme="majorEastAsia" w:hAnsi="Arial Narrow" w:cstheme="majorBidi"/>
                <w:bCs/>
                <w:sz w:val="20"/>
              </w:rPr>
              <w:t xml:space="preserve">Published: </w:t>
            </w:r>
            <w:r w:rsidR="0078664B" w:rsidRPr="008050E2">
              <w:rPr>
                <w:rFonts w:ascii="Arial Narrow" w:eastAsiaTheme="majorEastAsia" w:hAnsi="Arial Narrow" w:cstheme="majorBidi"/>
                <w:bCs/>
                <w:sz w:val="20"/>
              </w:rPr>
              <w:t>$</w:t>
            </w:r>
            <w:r w:rsidR="00F66E51" w:rsidRPr="00F66E51">
              <w:rPr>
                <w:rFonts w:ascii="Arial Narrow" w:eastAsiaTheme="majorEastAsia" w:hAnsi="Arial Narrow" w:cstheme="majorBidi"/>
                <w:bCs/>
                <w:color w:val="000000"/>
                <w:spacing w:val="68"/>
                <w:sz w:val="20"/>
                <w:shd w:val="solid" w:color="000000" w:fill="000000"/>
                <w:fitText w:val="154" w:id="-1301006333"/>
                <w14:textFill>
                  <w14:solidFill>
                    <w14:srgbClr w14:val="000000">
                      <w14:alpha w14:val="100000"/>
                    </w14:srgbClr>
                  </w14:solidFill>
                </w14:textFill>
              </w:rPr>
              <w:t>|</w:t>
            </w:r>
            <w:r w:rsidR="00F66E51" w:rsidRPr="00F66E51">
              <w:rPr>
                <w:rFonts w:ascii="Arial Narrow" w:eastAsiaTheme="majorEastAsia" w:hAnsi="Arial Narrow" w:cstheme="majorBidi"/>
                <w:bCs/>
                <w:color w:val="000000"/>
                <w:sz w:val="20"/>
                <w:shd w:val="solid" w:color="000000" w:fill="000000"/>
                <w:fitText w:val="154" w:id="-1301006333"/>
                <w14:textFill>
                  <w14:solidFill>
                    <w14:srgbClr w14:val="000000">
                      <w14:alpha w14:val="100000"/>
                    </w14:srgbClr>
                  </w14:solidFill>
                </w14:textFill>
              </w:rPr>
              <w:t>|</w:t>
            </w:r>
          </w:p>
          <w:p w14:paraId="7BCA80A5" w14:textId="6605EEA6" w:rsidR="0078664B" w:rsidRPr="008050E2" w:rsidRDefault="00DA12EA" w:rsidP="007B634D">
            <w:pPr>
              <w:keepNext/>
              <w:keepLines/>
              <w:jc w:val="center"/>
              <w:rPr>
                <w:rFonts w:ascii="Arial Narrow" w:eastAsiaTheme="majorEastAsia" w:hAnsi="Arial Narrow" w:cstheme="majorBidi"/>
                <w:bCs/>
                <w:sz w:val="20"/>
              </w:rPr>
            </w:pPr>
            <w:r>
              <w:rPr>
                <w:rFonts w:ascii="Arial Narrow" w:eastAsiaTheme="majorEastAsia" w:hAnsi="Arial Narrow" w:cstheme="majorBidi"/>
                <w:bCs/>
                <w:sz w:val="20"/>
              </w:rPr>
              <w:t xml:space="preserve">Effective: </w:t>
            </w:r>
            <w:r w:rsidR="0078664B" w:rsidRPr="008050E2">
              <w:rPr>
                <w:rFonts w:ascii="Arial Narrow" w:eastAsiaTheme="majorEastAsia" w:hAnsi="Arial Narrow" w:cstheme="majorBidi"/>
                <w:bCs/>
                <w:sz w:val="20"/>
              </w:rPr>
              <w:t>$</w:t>
            </w:r>
            <w:r w:rsidR="00F66E51" w:rsidRPr="00F66E51">
              <w:rPr>
                <w:rFonts w:ascii="Arial Narrow" w:eastAsiaTheme="majorEastAsia" w:hAnsi="Arial Narrow" w:cstheme="majorBidi"/>
                <w:bCs/>
                <w:color w:val="000000"/>
                <w:spacing w:val="79"/>
                <w:sz w:val="20"/>
                <w:shd w:val="solid" w:color="000000" w:fill="000000"/>
                <w:fitText w:val="408" w:id="-1301006332"/>
                <w14:textFill>
                  <w14:solidFill>
                    <w14:srgbClr w14:val="000000">
                      <w14:alpha w14:val="100000"/>
                    </w14:srgbClr>
                  </w14:solidFill>
                </w14:textFill>
              </w:rPr>
              <w:t>|||</w:t>
            </w:r>
            <w:r w:rsidR="00F66E51" w:rsidRPr="00F66E51">
              <w:rPr>
                <w:rFonts w:ascii="Arial Narrow" w:eastAsiaTheme="majorEastAsia" w:hAnsi="Arial Narrow" w:cstheme="majorBidi"/>
                <w:bCs/>
                <w:color w:val="000000"/>
                <w:spacing w:val="1"/>
                <w:sz w:val="20"/>
                <w:shd w:val="solid" w:color="000000" w:fill="000000"/>
                <w:fitText w:val="408" w:id="-1301006332"/>
                <w14:textFill>
                  <w14:solidFill>
                    <w14:srgbClr w14:val="000000">
                      <w14:alpha w14:val="100000"/>
                    </w14:srgbClr>
                  </w14:solidFill>
                </w14:textFill>
              </w:rPr>
              <w:t>|</w:t>
            </w:r>
            <w:r w:rsidR="0078664B" w:rsidRPr="008050E2">
              <w:rPr>
                <w:rFonts w:ascii="Arial Narrow" w:eastAsiaTheme="majorEastAsia" w:hAnsi="Arial Narrow" w:cstheme="majorBidi"/>
                <w:bCs/>
                <w:sz w:val="20"/>
              </w:rPr>
              <w:t xml:space="preserve"> (public)</w:t>
            </w:r>
          </w:p>
          <w:p w14:paraId="22B62684" w14:textId="311B30EF" w:rsidR="0078664B" w:rsidRPr="001428E9" w:rsidRDefault="00DA12EA" w:rsidP="007B634D">
            <w:pPr>
              <w:pStyle w:val="TableText0"/>
              <w:jc w:val="center"/>
              <w:rPr>
                <w:szCs w:val="20"/>
              </w:rPr>
            </w:pPr>
            <w:r>
              <w:t xml:space="preserve">                 </w:t>
            </w:r>
            <w:r w:rsidR="0078664B" w:rsidRPr="008050E2">
              <w:t>$</w:t>
            </w:r>
            <w:r w:rsidR="00F66E51" w:rsidRPr="00F66E51">
              <w:rPr>
                <w:rFonts w:hint="eastAsia"/>
                <w:color w:val="000000"/>
                <w:w w:val="31"/>
                <w:shd w:val="solid" w:color="000000" w:fill="000000"/>
                <w:fitText w:val="139" w:id="-1301006331"/>
                <w14:textFill>
                  <w14:solidFill>
                    <w14:srgbClr w14:val="000000">
                      <w14:alpha w14:val="100000"/>
                    </w14:srgbClr>
                  </w14:solidFill>
                </w14:textFill>
              </w:rPr>
              <w:t xml:space="preserve">　</w:t>
            </w:r>
            <w:r w:rsidR="00F66E51" w:rsidRPr="00F66E51">
              <w:rPr>
                <w:color w:val="000000"/>
                <w:w w:val="31"/>
                <w:shd w:val="solid" w:color="000000" w:fill="000000"/>
                <w:fitText w:val="139" w:id="-1301006331"/>
                <w14:textFill>
                  <w14:solidFill>
                    <w14:srgbClr w14:val="000000">
                      <w14:alpha w14:val="100000"/>
                    </w14:srgbClr>
                  </w14:solidFill>
                </w14:textFill>
              </w:rPr>
              <w:t>|</w:t>
            </w:r>
            <w:r w:rsidR="00F66E51" w:rsidRPr="00F66E51">
              <w:rPr>
                <w:rFonts w:hint="eastAsia"/>
                <w:color w:val="000000"/>
                <w:w w:val="31"/>
                <w:shd w:val="solid" w:color="000000" w:fill="000000"/>
                <w:fitText w:val="139" w:id="-1301006331"/>
                <w14:textFill>
                  <w14:solidFill>
                    <w14:srgbClr w14:val="000000">
                      <w14:alpha w14:val="100000"/>
                    </w14:srgbClr>
                  </w14:solidFill>
                </w14:textFill>
              </w:rPr>
              <w:t xml:space="preserve">　</w:t>
            </w:r>
            <w:r w:rsidR="0078664B" w:rsidRPr="008050E2">
              <w:t xml:space="preserve"> (private)</w:t>
            </w:r>
          </w:p>
        </w:tc>
        <w:tc>
          <w:tcPr>
            <w:tcW w:w="629" w:type="pct"/>
            <w:vAlign w:val="center"/>
          </w:tcPr>
          <w:p w14:paraId="40F05112" w14:textId="77777777" w:rsidR="0078664B" w:rsidRPr="001428E9" w:rsidRDefault="0078664B" w:rsidP="007B634D">
            <w:pPr>
              <w:keepNext/>
              <w:keepLines/>
              <w:jc w:val="center"/>
              <w:rPr>
                <w:rFonts w:ascii="Arial Narrow" w:hAnsi="Arial Narrow"/>
                <w:sz w:val="20"/>
                <w:szCs w:val="20"/>
              </w:rPr>
            </w:pPr>
            <w:r w:rsidRPr="008050E2">
              <w:rPr>
                <w:rFonts w:ascii="Arial Narrow" w:hAnsi="Arial Narrow"/>
                <w:sz w:val="20"/>
              </w:rPr>
              <w:t>2</w:t>
            </w:r>
          </w:p>
        </w:tc>
        <w:tc>
          <w:tcPr>
            <w:tcW w:w="551" w:type="pct"/>
            <w:vAlign w:val="center"/>
          </w:tcPr>
          <w:p w14:paraId="5E630571" w14:textId="77777777" w:rsidR="0078664B" w:rsidRPr="001428E9" w:rsidRDefault="0078664B" w:rsidP="007B634D">
            <w:pPr>
              <w:keepNext/>
              <w:keepLines/>
              <w:jc w:val="center"/>
              <w:rPr>
                <w:rFonts w:ascii="Arial Narrow" w:hAnsi="Arial Narrow"/>
                <w:sz w:val="20"/>
                <w:szCs w:val="20"/>
              </w:rPr>
            </w:pPr>
            <w:r w:rsidRPr="008050E2">
              <w:rPr>
                <w:rFonts w:ascii="Arial Narrow" w:hAnsi="Arial Narrow"/>
                <w:sz w:val="20"/>
              </w:rPr>
              <w:t>120</w:t>
            </w:r>
          </w:p>
        </w:tc>
        <w:tc>
          <w:tcPr>
            <w:tcW w:w="372" w:type="pct"/>
            <w:vAlign w:val="center"/>
          </w:tcPr>
          <w:p w14:paraId="17D49B17" w14:textId="77777777" w:rsidR="0078664B" w:rsidRPr="001428E9" w:rsidRDefault="0078664B" w:rsidP="007B634D">
            <w:pPr>
              <w:keepNext/>
              <w:keepLines/>
              <w:jc w:val="center"/>
              <w:rPr>
                <w:rFonts w:ascii="Arial Narrow" w:hAnsi="Arial Narrow"/>
                <w:sz w:val="20"/>
                <w:szCs w:val="20"/>
              </w:rPr>
            </w:pPr>
            <w:r w:rsidRPr="008050E2">
              <w:rPr>
                <w:rFonts w:ascii="Arial Narrow" w:hAnsi="Arial Narrow"/>
                <w:sz w:val="20"/>
              </w:rPr>
              <w:t>5</w:t>
            </w:r>
          </w:p>
        </w:tc>
        <w:tc>
          <w:tcPr>
            <w:tcW w:w="1014" w:type="pct"/>
            <w:vAlign w:val="center"/>
          </w:tcPr>
          <w:p w14:paraId="524E8F6E" w14:textId="6F21A4CA" w:rsidR="0078664B" w:rsidRPr="008050E2" w:rsidRDefault="0078664B" w:rsidP="007B634D">
            <w:pPr>
              <w:keepNext/>
              <w:keepLines/>
              <w:rPr>
                <w:rFonts w:ascii="Arial Narrow" w:hAnsi="Arial Narrow"/>
                <w:sz w:val="20"/>
                <w:szCs w:val="20"/>
              </w:rPr>
            </w:pPr>
            <w:r w:rsidRPr="008050E2">
              <w:rPr>
                <w:rFonts w:ascii="Arial Narrow" w:hAnsi="Arial Narrow"/>
                <w:sz w:val="20"/>
                <w:szCs w:val="20"/>
              </w:rPr>
              <w:t>Koselugo</w:t>
            </w:r>
          </w:p>
          <w:p w14:paraId="2AE15324" w14:textId="36F42203" w:rsidR="0078664B" w:rsidRPr="003A4C14" w:rsidRDefault="0078664B" w:rsidP="007B634D">
            <w:pPr>
              <w:keepNext/>
              <w:keepLines/>
              <w:rPr>
                <w:rFonts w:ascii="Arial Narrow" w:hAnsi="Arial Narrow"/>
                <w:color w:val="0066FF"/>
                <w:sz w:val="20"/>
                <w:szCs w:val="20"/>
              </w:rPr>
            </w:pPr>
          </w:p>
        </w:tc>
      </w:tr>
      <w:tr w:rsidR="0078664B" w:rsidRPr="00046D64" w14:paraId="10D8F7E2" w14:textId="77777777" w:rsidTr="00CE6220">
        <w:tblPrEx>
          <w:tblCellMar>
            <w:top w:w="15" w:type="dxa"/>
            <w:bottom w:w="15" w:type="dxa"/>
          </w:tblCellMar>
          <w:tblLook w:val="04A0" w:firstRow="1" w:lastRow="0" w:firstColumn="1" w:lastColumn="0" w:noHBand="0" w:noVBand="1"/>
        </w:tblPrEx>
        <w:trPr>
          <w:cantSplit/>
          <w:trHeight w:val="20"/>
        </w:trPr>
        <w:tc>
          <w:tcPr>
            <w:tcW w:w="5000" w:type="pct"/>
            <w:gridSpan w:val="6"/>
          </w:tcPr>
          <w:p w14:paraId="115F51FC" w14:textId="77777777" w:rsidR="0078664B" w:rsidRPr="00046D64" w:rsidRDefault="0078664B" w:rsidP="007B634D">
            <w:pPr>
              <w:pStyle w:val="TableText0"/>
              <w:keepNext w:val="0"/>
              <w:keepLines/>
            </w:pPr>
            <w:bookmarkStart w:id="12" w:name="_Hlk104809470"/>
            <w:bookmarkEnd w:id="11"/>
            <w:r w:rsidRPr="00046D64">
              <w:rPr>
                <w:b/>
              </w:rPr>
              <w:t xml:space="preserve">Category / Program: </w:t>
            </w:r>
            <w:r>
              <w:t>Section 100 – Highly Specialised Drugs Program</w:t>
            </w:r>
          </w:p>
        </w:tc>
      </w:tr>
      <w:tr w:rsidR="0078664B" w:rsidRPr="00046D64" w14:paraId="15D5A09D" w14:textId="77777777" w:rsidTr="00CE6220">
        <w:tblPrEx>
          <w:tblCellMar>
            <w:top w:w="15" w:type="dxa"/>
            <w:bottom w:w="15" w:type="dxa"/>
          </w:tblCellMar>
          <w:tblLook w:val="04A0" w:firstRow="1" w:lastRow="0" w:firstColumn="1" w:lastColumn="0" w:noHBand="0" w:noVBand="1"/>
        </w:tblPrEx>
        <w:trPr>
          <w:cantSplit/>
          <w:trHeight w:val="20"/>
        </w:trPr>
        <w:tc>
          <w:tcPr>
            <w:tcW w:w="5000" w:type="pct"/>
            <w:gridSpan w:val="6"/>
          </w:tcPr>
          <w:p w14:paraId="6EAA4994" w14:textId="1C90FDE2" w:rsidR="0078664B" w:rsidRPr="00046D64" w:rsidRDefault="0078664B" w:rsidP="007B634D">
            <w:pPr>
              <w:pStyle w:val="TableText0"/>
              <w:keepNext w:val="0"/>
              <w:keepLines/>
              <w:rPr>
                <w:b/>
              </w:rPr>
            </w:pPr>
            <w:r w:rsidRPr="00046D64">
              <w:rPr>
                <w:b/>
              </w:rPr>
              <w:t xml:space="preserve">Prescriber type: </w:t>
            </w:r>
            <w:r>
              <w:fldChar w:fldCharType="begin">
                <w:ffData>
                  <w:name w:val=""/>
                  <w:enabled/>
                  <w:calcOnExit w:val="0"/>
                  <w:checkBox>
                    <w:sizeAuto/>
                    <w:default w:val="1"/>
                  </w:checkBox>
                </w:ffData>
              </w:fldChar>
            </w:r>
            <w:r>
              <w:instrText xml:space="preserve"> FORMCHECKBOX </w:instrText>
            </w:r>
            <w:r w:rsidR="00BE0EE6">
              <w:fldChar w:fldCharType="separate"/>
            </w:r>
            <w:r>
              <w:fldChar w:fldCharType="end"/>
            </w:r>
            <w:r w:rsidRPr="00046D64">
              <w:t xml:space="preserve">Medical Practitioners </w:t>
            </w:r>
          </w:p>
        </w:tc>
      </w:tr>
      <w:tr w:rsidR="0078664B" w:rsidRPr="00046D64" w14:paraId="15699220" w14:textId="77777777" w:rsidTr="00CE6220">
        <w:tblPrEx>
          <w:tblCellMar>
            <w:top w:w="15" w:type="dxa"/>
            <w:bottom w:w="15" w:type="dxa"/>
          </w:tblCellMar>
          <w:tblLook w:val="04A0" w:firstRow="1" w:lastRow="0" w:firstColumn="1" w:lastColumn="0" w:noHBand="0" w:noVBand="1"/>
        </w:tblPrEx>
        <w:trPr>
          <w:cantSplit/>
          <w:trHeight w:val="20"/>
        </w:trPr>
        <w:tc>
          <w:tcPr>
            <w:tcW w:w="5000" w:type="pct"/>
            <w:gridSpan w:val="6"/>
          </w:tcPr>
          <w:p w14:paraId="3F7F659A" w14:textId="77777777" w:rsidR="0078664B" w:rsidRPr="00046D64" w:rsidRDefault="0078664B" w:rsidP="007B634D">
            <w:pPr>
              <w:pStyle w:val="TableText0"/>
              <w:keepNext w:val="0"/>
              <w:keepLines/>
              <w:rPr>
                <w:rFonts w:eastAsia="Times New Roman"/>
              </w:rPr>
            </w:pPr>
            <w:r w:rsidRPr="00046D64">
              <w:rPr>
                <w:b/>
              </w:rPr>
              <w:t>Restriction type:</w:t>
            </w:r>
            <w:r>
              <w:rPr>
                <w:b/>
              </w:rPr>
              <w:t xml:space="preserve"> </w:t>
            </w:r>
            <w:r>
              <w:rPr>
                <w:rFonts w:eastAsia="Times New Roman"/>
              </w:rPr>
              <w:fldChar w:fldCharType="begin">
                <w:ffData>
                  <w:name w:val="Check3"/>
                  <w:enabled/>
                  <w:calcOnExit w:val="0"/>
                  <w:checkBox>
                    <w:sizeAuto/>
                    <w:default w:val="1"/>
                  </w:checkBox>
                </w:ffData>
              </w:fldChar>
            </w:r>
            <w:bookmarkStart w:id="13" w:name="Check3"/>
            <w:r>
              <w:rPr>
                <w:rFonts w:eastAsia="Times New Roman"/>
              </w:rPr>
              <w:instrText xml:space="preserve"> FORMCHECKBOX </w:instrText>
            </w:r>
            <w:r w:rsidR="00BE0EE6">
              <w:rPr>
                <w:rFonts w:eastAsia="Times New Roman"/>
              </w:rPr>
            </w:r>
            <w:r w:rsidR="00BE0EE6">
              <w:rPr>
                <w:rFonts w:eastAsia="Times New Roman"/>
              </w:rPr>
              <w:fldChar w:fldCharType="separate"/>
            </w:r>
            <w:r>
              <w:rPr>
                <w:rFonts w:eastAsia="Times New Roman"/>
              </w:rPr>
              <w:fldChar w:fldCharType="end"/>
            </w:r>
            <w:bookmarkEnd w:id="13"/>
            <w:r w:rsidRPr="00046D64">
              <w:rPr>
                <w:rFonts w:eastAsia="Times New Roman"/>
              </w:rPr>
              <w:t xml:space="preserve">Authority Required (telephone/online PBS Authorities system) </w:t>
            </w:r>
          </w:p>
        </w:tc>
      </w:tr>
      <w:tr w:rsidR="0057295E" w:rsidRPr="00046D64" w14:paraId="2092D202" w14:textId="77777777" w:rsidTr="00CE6220">
        <w:tblPrEx>
          <w:tblCellMar>
            <w:top w:w="15" w:type="dxa"/>
            <w:bottom w:w="15" w:type="dxa"/>
          </w:tblCellMar>
          <w:tblLook w:val="04A0" w:firstRow="1" w:lastRow="0" w:firstColumn="1" w:lastColumn="0" w:noHBand="0" w:noVBand="1"/>
        </w:tblPrEx>
        <w:trPr>
          <w:cantSplit/>
          <w:trHeight w:val="20"/>
        </w:trPr>
        <w:tc>
          <w:tcPr>
            <w:tcW w:w="5000" w:type="pct"/>
            <w:gridSpan w:val="6"/>
          </w:tcPr>
          <w:p w14:paraId="02520B94" w14:textId="77777777" w:rsidR="0057295E" w:rsidRPr="00046D64" w:rsidRDefault="0057295E" w:rsidP="007B634D">
            <w:pPr>
              <w:pStyle w:val="TableText0"/>
              <w:keepNext w:val="0"/>
              <w:keepLines/>
              <w:rPr>
                <w:b/>
              </w:rPr>
            </w:pPr>
          </w:p>
        </w:tc>
      </w:tr>
      <w:tr w:rsidR="0078664B" w:rsidRPr="00046D64" w14:paraId="3877B62B" w14:textId="77777777" w:rsidTr="00CE6220">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0E178C8D" w14:textId="77777777" w:rsidR="0078664B" w:rsidRPr="003A41AA" w:rsidRDefault="0078664B" w:rsidP="007B634D">
            <w:pPr>
              <w:pStyle w:val="TableText0"/>
              <w:keepNext w:val="0"/>
              <w:keepLines/>
            </w:pPr>
            <w:r w:rsidRPr="003A41AA">
              <w:rPr>
                <w:b/>
              </w:rPr>
              <w:t xml:space="preserve">Episodicity: </w:t>
            </w:r>
            <w:r w:rsidRPr="003A41AA">
              <w:rPr>
                <w:bCs w:val="0"/>
              </w:rPr>
              <w:t>Chronic treatment</w:t>
            </w:r>
          </w:p>
        </w:tc>
      </w:tr>
      <w:tr w:rsidR="0078664B" w:rsidRPr="00046D64" w14:paraId="4FE3A26F" w14:textId="77777777" w:rsidTr="00CE6220">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63946B42" w14:textId="77777777" w:rsidR="0078664B" w:rsidRPr="003A41AA" w:rsidRDefault="0078664B" w:rsidP="007B634D">
            <w:pPr>
              <w:pStyle w:val="TableText0"/>
              <w:keepNext w:val="0"/>
              <w:keepLines/>
              <w:rPr>
                <w:b/>
              </w:rPr>
            </w:pPr>
            <w:r w:rsidRPr="003A41AA">
              <w:rPr>
                <w:b/>
              </w:rPr>
              <w:t xml:space="preserve">Severity: </w:t>
            </w:r>
            <w:r w:rsidRPr="003A41AA">
              <w:rPr>
                <w:bCs w:val="0"/>
              </w:rPr>
              <w:t>Symptomatic, inoperable plexiform neurofibroma(s) (PN)</w:t>
            </w:r>
          </w:p>
        </w:tc>
      </w:tr>
      <w:tr w:rsidR="0078664B" w:rsidRPr="00046D64" w14:paraId="7DE0FFC5" w14:textId="77777777" w:rsidTr="00CE6220">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6ADB65E5" w14:textId="77777777" w:rsidR="0078664B" w:rsidRPr="003A41AA" w:rsidRDefault="0078664B" w:rsidP="007B634D">
            <w:pPr>
              <w:pStyle w:val="TableText0"/>
              <w:keepNext w:val="0"/>
              <w:keepLines/>
              <w:rPr>
                <w:b/>
              </w:rPr>
            </w:pPr>
            <w:r w:rsidRPr="003A41AA">
              <w:rPr>
                <w:b/>
              </w:rPr>
              <w:t xml:space="preserve">Condition: </w:t>
            </w:r>
            <w:r w:rsidRPr="003A41AA">
              <w:rPr>
                <w:bCs w:val="0"/>
              </w:rPr>
              <w:t>Neurofibromatosis type 1 (NF1)</w:t>
            </w:r>
          </w:p>
        </w:tc>
      </w:tr>
      <w:tr w:rsidR="0078664B" w:rsidRPr="00046D64" w14:paraId="78FE8513" w14:textId="77777777" w:rsidTr="00CE6220">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3BC112E4" w14:textId="77777777" w:rsidR="0078664B" w:rsidRPr="00046D64" w:rsidRDefault="0078664B" w:rsidP="007B634D">
            <w:pPr>
              <w:pStyle w:val="TableText0"/>
              <w:keepNext w:val="0"/>
              <w:keepLines/>
            </w:pPr>
            <w:r w:rsidRPr="00046D64">
              <w:rPr>
                <w:b/>
              </w:rPr>
              <w:t>Indication:</w:t>
            </w:r>
            <w:r w:rsidRPr="00046D64">
              <w:t xml:space="preserve"> </w:t>
            </w:r>
            <w:r w:rsidRPr="00A00FCC">
              <w:t>Treatment of symptomatic, inoperable PN in patients with NF1</w:t>
            </w:r>
          </w:p>
        </w:tc>
      </w:tr>
      <w:tr w:rsidR="0057295E" w:rsidRPr="00046D64" w14:paraId="50CF4004" w14:textId="77777777" w:rsidTr="00CE6220">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541BFD3F" w14:textId="77777777" w:rsidR="0057295E" w:rsidRPr="00046D64" w:rsidRDefault="0057295E" w:rsidP="007B634D">
            <w:pPr>
              <w:pStyle w:val="TableText0"/>
              <w:keepNext w:val="0"/>
              <w:keepLines/>
              <w:rPr>
                <w:b/>
              </w:rPr>
            </w:pPr>
          </w:p>
        </w:tc>
      </w:tr>
      <w:tr w:rsidR="0078664B" w:rsidRPr="00046D64" w14:paraId="6A66DE47" w14:textId="77777777" w:rsidTr="00CE6220">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57441858" w14:textId="77777777" w:rsidR="0078664B" w:rsidRPr="00046D64" w:rsidRDefault="0078664B" w:rsidP="007B634D">
            <w:pPr>
              <w:pStyle w:val="TableText0"/>
              <w:keepNext w:val="0"/>
              <w:keepLines/>
            </w:pPr>
            <w:r w:rsidRPr="00046D64">
              <w:rPr>
                <w:b/>
              </w:rPr>
              <w:t>Treatment Phase:</w:t>
            </w:r>
            <w:r w:rsidRPr="00046D64">
              <w:t xml:space="preserve"> </w:t>
            </w:r>
            <w:r w:rsidRPr="00A00FCC">
              <w:rPr>
                <w:bCs w:val="0"/>
              </w:rPr>
              <w:t>Initial</w:t>
            </w:r>
          </w:p>
        </w:tc>
      </w:tr>
      <w:tr w:rsidR="0057295E" w:rsidRPr="00046D64" w14:paraId="0044EBED" w14:textId="77777777" w:rsidTr="00CE6220">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2408CA48" w14:textId="77777777" w:rsidR="0057295E" w:rsidRPr="00046D64" w:rsidRDefault="0057295E" w:rsidP="007B634D">
            <w:pPr>
              <w:pStyle w:val="TableText0"/>
              <w:keepNext w:val="0"/>
              <w:keepLines/>
              <w:rPr>
                <w:b/>
              </w:rPr>
            </w:pPr>
          </w:p>
        </w:tc>
      </w:tr>
      <w:tr w:rsidR="0057295E" w:rsidRPr="00046D64" w14:paraId="2DA5997B" w14:textId="77777777" w:rsidTr="00CE6220">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0DFC9325" w14:textId="4D7375AF" w:rsidR="0057295E" w:rsidRPr="00046D64" w:rsidRDefault="0057295E" w:rsidP="007B634D">
            <w:pPr>
              <w:pStyle w:val="TableText0"/>
              <w:keepNext w:val="0"/>
              <w:keepLines/>
              <w:rPr>
                <w:b/>
              </w:rPr>
            </w:pPr>
            <w:r>
              <w:rPr>
                <w:b/>
              </w:rPr>
              <w:t>Clinical criteria:</w:t>
            </w:r>
          </w:p>
        </w:tc>
      </w:tr>
      <w:tr w:rsidR="0078664B" w:rsidRPr="00046D64" w14:paraId="128EB9DB" w14:textId="77777777" w:rsidTr="00CE6220">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076A42BB" w14:textId="77777777" w:rsidR="0078664B" w:rsidRPr="00046D64" w:rsidRDefault="0078664B" w:rsidP="007B634D">
            <w:pPr>
              <w:pStyle w:val="TableText0"/>
              <w:keepNext w:val="0"/>
              <w:keepLines/>
            </w:pPr>
            <w:r w:rsidRPr="00A00FCC">
              <w:t>The PN must cause or risk causing significant symptoms/morbidity, disability, disfigurement or impairment of normal body function</w:t>
            </w:r>
          </w:p>
        </w:tc>
      </w:tr>
      <w:tr w:rsidR="0078664B" w:rsidRPr="00046D64" w14:paraId="365281EA" w14:textId="77777777" w:rsidTr="00CE6220">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087CC9B3" w14:textId="77777777" w:rsidR="0078664B" w:rsidRPr="00046D64" w:rsidRDefault="0078664B" w:rsidP="007B634D">
            <w:pPr>
              <w:pStyle w:val="TableText0"/>
              <w:keepNext w:val="0"/>
              <w:keepLines/>
            </w:pPr>
            <w:r w:rsidRPr="00046D64">
              <w:rPr>
                <w:b/>
              </w:rPr>
              <w:t>AND</w:t>
            </w:r>
          </w:p>
        </w:tc>
      </w:tr>
      <w:tr w:rsidR="0078664B" w:rsidRPr="00046D64" w14:paraId="64AC6027" w14:textId="77777777" w:rsidTr="00CE6220">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164EB617" w14:textId="77777777" w:rsidR="0078664B" w:rsidRPr="00046D64" w:rsidRDefault="0078664B" w:rsidP="007B634D">
            <w:pPr>
              <w:pStyle w:val="TableText0"/>
              <w:keepNext w:val="0"/>
              <w:keepLines/>
            </w:pPr>
            <w:r w:rsidRPr="00046D64">
              <w:rPr>
                <w:b/>
              </w:rPr>
              <w:t>Clinical criteria:</w:t>
            </w:r>
          </w:p>
        </w:tc>
      </w:tr>
      <w:tr w:rsidR="0078664B" w:rsidRPr="00046D64" w14:paraId="280D6AC9" w14:textId="77777777" w:rsidTr="00CE6220">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43F1A32A" w14:textId="77777777" w:rsidR="0078664B" w:rsidRPr="00046D64" w:rsidRDefault="0078664B" w:rsidP="007B634D">
            <w:pPr>
              <w:pStyle w:val="TableText0"/>
              <w:keepNext w:val="0"/>
              <w:keepLines/>
            </w:pPr>
            <w:r w:rsidRPr="00A00FCC">
              <w:t>Complete PN resection cannot be done safely or without causing unacceptable morbidity</w:t>
            </w:r>
          </w:p>
        </w:tc>
      </w:tr>
      <w:tr w:rsidR="0057295E" w:rsidRPr="00046D64" w14:paraId="5AD4B736" w14:textId="77777777" w:rsidTr="00CE6220">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2FB556EE" w14:textId="77777777" w:rsidR="0057295E" w:rsidRPr="00A00FCC" w:rsidRDefault="0057295E" w:rsidP="007B634D">
            <w:pPr>
              <w:pStyle w:val="TableText0"/>
              <w:keepNext w:val="0"/>
              <w:keepLines/>
            </w:pPr>
          </w:p>
        </w:tc>
      </w:tr>
      <w:tr w:rsidR="0078664B" w:rsidRPr="00046D64" w14:paraId="46E06413" w14:textId="77777777" w:rsidTr="00CE6220">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25C66368" w14:textId="77777777" w:rsidR="0078664B" w:rsidRPr="00C61A59" w:rsidRDefault="0078664B" w:rsidP="007B634D">
            <w:pPr>
              <w:pStyle w:val="TableText0"/>
              <w:keepNext w:val="0"/>
              <w:keepLines/>
              <w:rPr>
                <w:color w:val="0066FF"/>
              </w:rPr>
            </w:pPr>
            <w:r w:rsidRPr="00046D64">
              <w:rPr>
                <w:b/>
              </w:rPr>
              <w:t>Treatment criteria:</w:t>
            </w:r>
          </w:p>
        </w:tc>
      </w:tr>
      <w:tr w:rsidR="0078664B" w:rsidRPr="00046D64" w14:paraId="2E0F726F" w14:textId="77777777" w:rsidTr="00CE6220">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296BF7D5" w14:textId="77777777" w:rsidR="0078664B" w:rsidRPr="00046D64" w:rsidRDefault="0078664B" w:rsidP="007B634D">
            <w:pPr>
              <w:pStyle w:val="TableText0"/>
              <w:keepNext w:val="0"/>
              <w:keepLines/>
            </w:pPr>
            <w:r w:rsidRPr="00A00FCC">
              <w:t>Patient must be under the care of a specialist paediatrician</w:t>
            </w:r>
          </w:p>
        </w:tc>
      </w:tr>
      <w:tr w:rsidR="0057295E" w:rsidRPr="00046D64" w14:paraId="47A946D9" w14:textId="77777777" w:rsidTr="00CE6220">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47355A4" w14:textId="77777777" w:rsidR="0057295E" w:rsidRPr="00A00FCC" w:rsidRDefault="0057295E" w:rsidP="007B634D">
            <w:pPr>
              <w:pStyle w:val="TableText0"/>
              <w:keepNext w:val="0"/>
              <w:keepLines/>
            </w:pPr>
          </w:p>
        </w:tc>
      </w:tr>
      <w:tr w:rsidR="0078664B" w:rsidRPr="00046D64" w14:paraId="70D574F5" w14:textId="77777777" w:rsidTr="00CE6220">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21A5CDD0" w14:textId="77777777" w:rsidR="0078664B" w:rsidRPr="00046D64" w:rsidRDefault="0078664B" w:rsidP="007B634D">
            <w:pPr>
              <w:pStyle w:val="TableText0"/>
              <w:keepNext w:val="0"/>
              <w:keepLines/>
              <w:rPr>
                <w:i/>
                <w:iCs/>
              </w:rPr>
            </w:pPr>
            <w:r w:rsidRPr="00046D64">
              <w:rPr>
                <w:b/>
              </w:rPr>
              <w:t>Population criteria:</w:t>
            </w:r>
          </w:p>
        </w:tc>
      </w:tr>
      <w:tr w:rsidR="0078664B" w:rsidRPr="00046D64" w14:paraId="16F7B886" w14:textId="77777777" w:rsidTr="00CE6220">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47F4D762" w14:textId="77777777" w:rsidR="0078664B" w:rsidRPr="00046D64" w:rsidRDefault="0078664B" w:rsidP="007B634D">
            <w:pPr>
              <w:pStyle w:val="TableText0"/>
              <w:keepNext w:val="0"/>
              <w:keepLines/>
            </w:pPr>
            <w:r w:rsidRPr="00A00FCC">
              <w:t>Patients with NF1 ≥ 2 years of age and diagnosed ≤18 years of age with symptomatic, inoperable PN</w:t>
            </w:r>
          </w:p>
        </w:tc>
      </w:tr>
      <w:tr w:rsidR="0057295E" w:rsidRPr="00046D64" w14:paraId="453E0F88" w14:textId="77777777" w:rsidTr="00CE6220">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580EA789" w14:textId="77777777" w:rsidR="0057295E" w:rsidRPr="00A00FCC" w:rsidRDefault="0057295E" w:rsidP="007B634D">
            <w:pPr>
              <w:pStyle w:val="TableText0"/>
              <w:keepNext w:val="0"/>
              <w:keepLines/>
            </w:pPr>
          </w:p>
        </w:tc>
      </w:tr>
      <w:tr w:rsidR="0078664B" w:rsidRPr="00046D64" w14:paraId="09B1F14C" w14:textId="77777777" w:rsidTr="00CE6220">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86EB210" w14:textId="77777777" w:rsidR="0078664B" w:rsidRPr="00C61A59" w:rsidRDefault="0078664B" w:rsidP="007B634D">
            <w:pPr>
              <w:pStyle w:val="TableText0"/>
              <w:keepNext w:val="0"/>
              <w:keepLines/>
              <w:rPr>
                <w:color w:val="0066FF"/>
              </w:rPr>
            </w:pPr>
            <w:r w:rsidRPr="00A00FCC">
              <w:rPr>
                <w:b/>
              </w:rPr>
              <w:t xml:space="preserve">Prescribing Instructions: </w:t>
            </w:r>
            <w:r w:rsidRPr="00A00FCC">
              <w:rPr>
                <w:bCs w:val="0"/>
              </w:rPr>
              <w:t>For the purposes of administering this restriction, PN-related morbidity is defined as symptomatic if it can cause significant morbidity, such as (but not limited to) head and neck PN that can compromise the airway or great vessels, paraspinal PN that can cause myelopathy, brachial or lumbar plexus PN that can cause nerve compression and loss of function, PN that can result in major deformity (e.g., orbital PN) or significant disfiguring, PN of the extremity that can cause limb hypertrophy or loss of function, and painful PN.</w:t>
            </w:r>
          </w:p>
        </w:tc>
      </w:tr>
      <w:tr w:rsidR="0078664B" w:rsidRPr="00046D64" w14:paraId="52AC7CD7" w14:textId="77777777" w:rsidTr="00CE6220">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0A82B027" w14:textId="77777777" w:rsidR="0078664B" w:rsidRPr="00046D64" w:rsidRDefault="0078664B" w:rsidP="007B634D">
            <w:pPr>
              <w:pStyle w:val="TableText0"/>
              <w:keepNext w:val="0"/>
              <w:keepLines/>
            </w:pPr>
            <w:r w:rsidRPr="00A00FCC">
              <w:rPr>
                <w:b/>
              </w:rPr>
              <w:t xml:space="preserve">Administrative Advice: </w:t>
            </w:r>
            <w:r w:rsidRPr="00A00FCC">
              <w:rPr>
                <w:bCs w:val="0"/>
              </w:rPr>
              <w:t>Special Pricing Arrangements apply</w:t>
            </w:r>
          </w:p>
        </w:tc>
      </w:tr>
      <w:tr w:rsidR="0057295E" w:rsidRPr="00046D64" w14:paraId="5F71928E" w14:textId="77777777" w:rsidTr="00CE6220">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3F9C118" w14:textId="778B6197" w:rsidR="0057295E" w:rsidRPr="00A00FCC" w:rsidRDefault="0057295E" w:rsidP="007B634D">
            <w:pPr>
              <w:pStyle w:val="TableText0"/>
              <w:keepNext w:val="0"/>
              <w:keepLines/>
              <w:rPr>
                <w:b/>
              </w:rPr>
            </w:pPr>
          </w:p>
        </w:tc>
      </w:tr>
      <w:tr w:rsidR="0078664B" w:rsidRPr="00046D64" w14:paraId="740C10AC" w14:textId="77777777" w:rsidTr="00CE6220">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E3E388B" w14:textId="77777777" w:rsidR="0078664B" w:rsidRPr="00046D64" w:rsidRDefault="0078664B" w:rsidP="007B634D">
            <w:pPr>
              <w:pStyle w:val="TableText0"/>
              <w:keepNext w:val="0"/>
              <w:keepLines/>
            </w:pPr>
            <w:r w:rsidRPr="00046D64">
              <w:rPr>
                <w:b/>
              </w:rPr>
              <w:t>Treatment Phase:</w:t>
            </w:r>
            <w:r w:rsidRPr="00046D64">
              <w:t xml:space="preserve"> </w:t>
            </w:r>
            <w:r>
              <w:rPr>
                <w:bCs w:val="0"/>
              </w:rPr>
              <w:t>Continuing</w:t>
            </w:r>
          </w:p>
        </w:tc>
      </w:tr>
      <w:tr w:rsidR="0057295E" w:rsidRPr="00046D64" w14:paraId="76564980" w14:textId="77777777" w:rsidTr="00CE6220">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EAC62C7" w14:textId="77777777" w:rsidR="0057295E" w:rsidRPr="00046D64" w:rsidRDefault="0057295E" w:rsidP="007B634D">
            <w:pPr>
              <w:pStyle w:val="TableText0"/>
              <w:keepNext w:val="0"/>
              <w:keepLines/>
              <w:rPr>
                <w:b/>
              </w:rPr>
            </w:pPr>
          </w:p>
        </w:tc>
      </w:tr>
      <w:tr w:rsidR="0078664B" w:rsidRPr="00046D64" w14:paraId="2E12194F" w14:textId="77777777" w:rsidTr="00CE6220">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0DE89112" w14:textId="77777777" w:rsidR="0078664B" w:rsidRPr="00046D64" w:rsidRDefault="0078664B" w:rsidP="007B634D">
            <w:pPr>
              <w:pStyle w:val="TableText0"/>
              <w:keepNext w:val="0"/>
              <w:keepLines/>
            </w:pPr>
            <w:r w:rsidRPr="00046D64">
              <w:rPr>
                <w:b/>
              </w:rPr>
              <w:t>Clinical criteria:</w:t>
            </w:r>
          </w:p>
        </w:tc>
      </w:tr>
      <w:tr w:rsidR="0078664B" w:rsidRPr="00046D64" w14:paraId="4D262DD4" w14:textId="77777777" w:rsidTr="00CE6220">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0761C744" w14:textId="77777777" w:rsidR="0078664B" w:rsidRPr="00046D64" w:rsidRDefault="0078664B" w:rsidP="007B634D">
            <w:pPr>
              <w:pStyle w:val="TableText0"/>
              <w:keepNext w:val="0"/>
              <w:keepLines/>
            </w:pPr>
            <w:r w:rsidRPr="00A00FCC">
              <w:t>Patient must have previously received PBS-subsidised treatment with this drug for this condition</w:t>
            </w:r>
          </w:p>
        </w:tc>
      </w:tr>
      <w:tr w:rsidR="0078664B" w:rsidRPr="00046D64" w14:paraId="72031BF5" w14:textId="77777777" w:rsidTr="00CE6220">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CB90BB6" w14:textId="77777777" w:rsidR="0078664B" w:rsidRPr="00046D64" w:rsidRDefault="0078664B" w:rsidP="007B634D">
            <w:pPr>
              <w:pStyle w:val="TableText0"/>
              <w:keepNext w:val="0"/>
              <w:keepLines/>
            </w:pPr>
            <w:r w:rsidRPr="00046D64">
              <w:rPr>
                <w:b/>
              </w:rPr>
              <w:t>AND</w:t>
            </w:r>
          </w:p>
        </w:tc>
      </w:tr>
      <w:tr w:rsidR="0078664B" w:rsidRPr="00046D64" w14:paraId="4EED30C3" w14:textId="77777777" w:rsidTr="00CE6220">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7C5473D8" w14:textId="77777777" w:rsidR="0078664B" w:rsidRPr="00046D64" w:rsidRDefault="0078664B" w:rsidP="007B634D">
            <w:pPr>
              <w:pStyle w:val="TableText0"/>
              <w:keepNext w:val="0"/>
              <w:keepLines/>
            </w:pPr>
            <w:r w:rsidRPr="00046D64">
              <w:rPr>
                <w:b/>
              </w:rPr>
              <w:t>Clinical criteria:</w:t>
            </w:r>
          </w:p>
        </w:tc>
      </w:tr>
      <w:tr w:rsidR="0078664B" w:rsidRPr="00046D64" w14:paraId="1AE3349D" w14:textId="77777777" w:rsidTr="00CE6220">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7C747616" w14:textId="77777777" w:rsidR="0078664B" w:rsidRPr="00046D64" w:rsidRDefault="0078664B" w:rsidP="007B634D">
            <w:pPr>
              <w:pStyle w:val="TableText0"/>
              <w:keepNext w:val="0"/>
              <w:keepLines/>
            </w:pPr>
            <w:r w:rsidRPr="00A00FCC">
              <w:t>Patient must not have developed disease progression while being treated with this drug for this condition</w:t>
            </w:r>
          </w:p>
        </w:tc>
      </w:tr>
      <w:tr w:rsidR="0078664B" w:rsidRPr="00046D64" w14:paraId="7DE6D6AC" w14:textId="77777777" w:rsidTr="00CE6220">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19662003" w14:textId="77777777" w:rsidR="0078664B" w:rsidRPr="00046D64" w:rsidRDefault="0078664B" w:rsidP="007B634D">
            <w:pPr>
              <w:pStyle w:val="TableText0"/>
              <w:keepNext w:val="0"/>
              <w:keepLines/>
            </w:pPr>
            <w:r w:rsidRPr="00046D64">
              <w:rPr>
                <w:b/>
              </w:rPr>
              <w:lastRenderedPageBreak/>
              <w:t>AND</w:t>
            </w:r>
          </w:p>
        </w:tc>
      </w:tr>
      <w:tr w:rsidR="0078664B" w:rsidRPr="00046D64" w14:paraId="28F1704A" w14:textId="77777777" w:rsidTr="00CE6220">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1BC67E8C" w14:textId="77777777" w:rsidR="0078664B" w:rsidRPr="00046D64" w:rsidRDefault="0078664B" w:rsidP="007B634D">
            <w:pPr>
              <w:pStyle w:val="TableText0"/>
              <w:keepNext w:val="0"/>
              <w:keepLines/>
            </w:pPr>
            <w:r w:rsidRPr="00046D64">
              <w:rPr>
                <w:b/>
              </w:rPr>
              <w:t>Clinical criteria:</w:t>
            </w:r>
          </w:p>
        </w:tc>
      </w:tr>
      <w:tr w:rsidR="0078664B" w:rsidRPr="00046D64" w14:paraId="759C0C4C" w14:textId="77777777" w:rsidTr="00CE6220">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516D9FE6" w14:textId="77777777" w:rsidR="0078664B" w:rsidRPr="00046D64" w:rsidRDefault="0078664B" w:rsidP="007B634D">
            <w:pPr>
              <w:pStyle w:val="TableText0"/>
              <w:keepNext w:val="0"/>
              <w:keepLines/>
            </w:pPr>
            <w:r w:rsidRPr="00A00FCC">
              <w:t>Patient must not have developed unacceptable toxicity to this drug</w:t>
            </w:r>
          </w:p>
        </w:tc>
      </w:tr>
      <w:tr w:rsidR="0078664B" w:rsidRPr="00046D64" w14:paraId="13157523" w14:textId="77777777" w:rsidTr="00CE6220">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7E90C654" w14:textId="77777777" w:rsidR="0078664B" w:rsidRPr="00046D64" w:rsidRDefault="0078664B" w:rsidP="007B634D">
            <w:pPr>
              <w:pStyle w:val="TableText0"/>
              <w:keepNext w:val="0"/>
              <w:keepLines/>
            </w:pPr>
            <w:r w:rsidRPr="00046D64">
              <w:rPr>
                <w:b/>
              </w:rPr>
              <w:t>AND</w:t>
            </w:r>
          </w:p>
        </w:tc>
      </w:tr>
      <w:tr w:rsidR="0078664B" w:rsidRPr="00046D64" w14:paraId="38CA6FF5" w14:textId="77777777" w:rsidTr="00CE6220">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93B737E" w14:textId="77777777" w:rsidR="0078664B" w:rsidRPr="00046D64" w:rsidRDefault="0078664B" w:rsidP="007B634D">
            <w:pPr>
              <w:pStyle w:val="TableText0"/>
              <w:keepNext w:val="0"/>
              <w:keepLines/>
            </w:pPr>
            <w:r w:rsidRPr="00046D64">
              <w:rPr>
                <w:b/>
              </w:rPr>
              <w:t>Clinical criteria:</w:t>
            </w:r>
          </w:p>
        </w:tc>
      </w:tr>
      <w:tr w:rsidR="0078664B" w:rsidRPr="00046D64" w14:paraId="30E9045F" w14:textId="77777777" w:rsidTr="00CE6220">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4935D2E9" w14:textId="77777777" w:rsidR="0078664B" w:rsidRPr="00046D64" w:rsidRDefault="0078664B" w:rsidP="007B634D">
            <w:pPr>
              <w:pStyle w:val="TableText0"/>
              <w:keepNext w:val="0"/>
              <w:keepLines/>
            </w:pPr>
            <w:r w:rsidRPr="00933AF7">
              <w:rPr>
                <w:bCs w:val="0"/>
              </w:rPr>
              <w:t>Treatment must have commenced between the ages of 2 to 18 years, inclusive.</w:t>
            </w:r>
          </w:p>
        </w:tc>
      </w:tr>
      <w:tr w:rsidR="0057295E" w:rsidRPr="00046D64" w14:paraId="071A2343" w14:textId="77777777" w:rsidTr="00CE6220">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511754B9" w14:textId="77777777" w:rsidR="0057295E" w:rsidRPr="00933AF7" w:rsidRDefault="0057295E" w:rsidP="007B634D">
            <w:pPr>
              <w:pStyle w:val="TableText0"/>
              <w:keepNext w:val="0"/>
              <w:keepLines/>
              <w:rPr>
                <w:bCs w:val="0"/>
              </w:rPr>
            </w:pPr>
          </w:p>
        </w:tc>
      </w:tr>
      <w:tr w:rsidR="0078664B" w:rsidRPr="00046D64" w14:paraId="5FE4A0FE" w14:textId="77777777" w:rsidTr="00CE6220">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76596E2D" w14:textId="77777777" w:rsidR="0078664B" w:rsidRPr="00046D64" w:rsidRDefault="0078664B" w:rsidP="007B634D">
            <w:pPr>
              <w:pStyle w:val="TableText0"/>
              <w:keepNext w:val="0"/>
              <w:keepLines/>
            </w:pPr>
            <w:r w:rsidRPr="00046D64">
              <w:rPr>
                <w:b/>
              </w:rPr>
              <w:t>Treatment criteria:</w:t>
            </w:r>
          </w:p>
        </w:tc>
      </w:tr>
      <w:tr w:rsidR="0078664B" w:rsidRPr="00046D64" w14:paraId="022132DD" w14:textId="77777777" w:rsidTr="00CE6220">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610118CC" w14:textId="77777777" w:rsidR="0078664B" w:rsidRPr="00046D64" w:rsidRDefault="0078664B" w:rsidP="007B634D">
            <w:pPr>
              <w:pStyle w:val="TableText0"/>
              <w:keepNext w:val="0"/>
              <w:keepLines/>
            </w:pPr>
            <w:r w:rsidRPr="00A00FCC">
              <w:t xml:space="preserve">Patient must be under the care of a specialist </w:t>
            </w:r>
            <w:r>
              <w:t>clinician</w:t>
            </w:r>
          </w:p>
        </w:tc>
      </w:tr>
      <w:tr w:rsidR="0057295E" w:rsidRPr="00046D64" w14:paraId="042C1FE4" w14:textId="77777777" w:rsidTr="00CE6220">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511DED79" w14:textId="2BD014A4" w:rsidR="0057295E" w:rsidRPr="00A00FCC" w:rsidRDefault="0057295E" w:rsidP="007B634D">
            <w:pPr>
              <w:pStyle w:val="TableText0"/>
              <w:keepNext w:val="0"/>
              <w:keepLines/>
            </w:pPr>
          </w:p>
        </w:tc>
      </w:tr>
      <w:bookmarkEnd w:id="12"/>
      <w:tr w:rsidR="00481BD7" w14:paraId="716912FA" w14:textId="77777777" w:rsidTr="00CE6220">
        <w:tblPrEx>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0185B07" w14:textId="77777777" w:rsidR="00481BD7" w:rsidRDefault="00481BD7" w:rsidP="007B634D">
            <w:pPr>
              <w:pStyle w:val="TableText0"/>
              <w:keepNext w:val="0"/>
              <w:keepLines/>
            </w:pPr>
            <w:r>
              <w:rPr>
                <w:b/>
              </w:rPr>
              <w:t>Treatment Phase:</w:t>
            </w:r>
            <w:r>
              <w:t xml:space="preserve"> </w:t>
            </w:r>
            <w:r>
              <w:rPr>
                <w:bCs w:val="0"/>
              </w:rPr>
              <w:t>Transitioning from non-PBS to PBS-subsidised supply – ‘Grandfather’ arrangements</w:t>
            </w:r>
          </w:p>
        </w:tc>
      </w:tr>
      <w:tr w:rsidR="0057295E" w14:paraId="314F38A7" w14:textId="77777777" w:rsidTr="00CE6220">
        <w:tblPrEx>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B04C6E5" w14:textId="77777777" w:rsidR="0057295E" w:rsidRDefault="0057295E" w:rsidP="007B634D">
            <w:pPr>
              <w:pStyle w:val="TableText0"/>
              <w:keepNext w:val="0"/>
              <w:keepLines/>
              <w:rPr>
                <w:b/>
              </w:rPr>
            </w:pPr>
          </w:p>
        </w:tc>
      </w:tr>
      <w:tr w:rsidR="00481BD7" w14:paraId="032FB374" w14:textId="77777777" w:rsidTr="00CE6220">
        <w:tblPrEx>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709EF56" w14:textId="77777777" w:rsidR="00481BD7" w:rsidRDefault="00481BD7" w:rsidP="007B634D">
            <w:pPr>
              <w:pStyle w:val="TableText0"/>
              <w:keepNext w:val="0"/>
              <w:keepLines/>
            </w:pPr>
            <w:r>
              <w:rPr>
                <w:b/>
              </w:rPr>
              <w:t>Clinical criteria:</w:t>
            </w:r>
          </w:p>
        </w:tc>
      </w:tr>
      <w:tr w:rsidR="00481BD7" w14:paraId="2E0A6AC2" w14:textId="77777777" w:rsidTr="00CE6220">
        <w:tblPrEx>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8040A42" w14:textId="77777777" w:rsidR="00481BD7" w:rsidRDefault="00481BD7" w:rsidP="007B634D">
            <w:pPr>
              <w:pStyle w:val="TableText0"/>
              <w:keepNext w:val="0"/>
              <w:keepLines/>
            </w:pPr>
            <w:r>
              <w:t>Patient must have previously received treatment with this drug for this condition prior to PBS listing</w:t>
            </w:r>
          </w:p>
        </w:tc>
      </w:tr>
      <w:tr w:rsidR="00481BD7" w14:paraId="1E40F14F" w14:textId="77777777" w:rsidTr="00CE6220">
        <w:tblPrEx>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0AE6AB8" w14:textId="77777777" w:rsidR="00481BD7" w:rsidRDefault="00481BD7" w:rsidP="007B634D">
            <w:pPr>
              <w:pStyle w:val="TableText0"/>
              <w:keepNext w:val="0"/>
              <w:keepLines/>
            </w:pPr>
            <w:r>
              <w:rPr>
                <w:b/>
              </w:rPr>
              <w:t>AND</w:t>
            </w:r>
          </w:p>
        </w:tc>
      </w:tr>
      <w:tr w:rsidR="00481BD7" w14:paraId="1A38A174" w14:textId="77777777" w:rsidTr="00CE6220">
        <w:tblPrEx>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C761CB8" w14:textId="77777777" w:rsidR="00481BD7" w:rsidRDefault="00481BD7" w:rsidP="007B634D">
            <w:pPr>
              <w:pStyle w:val="TableText0"/>
              <w:keepNext w:val="0"/>
              <w:keepLines/>
            </w:pPr>
            <w:r>
              <w:rPr>
                <w:b/>
              </w:rPr>
              <w:t>Clinical criteria:</w:t>
            </w:r>
          </w:p>
        </w:tc>
      </w:tr>
      <w:tr w:rsidR="00481BD7" w14:paraId="70BD067B" w14:textId="77777777" w:rsidTr="00CE6220">
        <w:tblPrEx>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996941E" w14:textId="77777777" w:rsidR="00481BD7" w:rsidRDefault="00481BD7" w:rsidP="007B634D">
            <w:pPr>
              <w:pStyle w:val="TableText0"/>
              <w:keepNext w:val="0"/>
              <w:keepLines/>
              <w:rPr>
                <w:color w:val="0066FF"/>
              </w:rPr>
            </w:pPr>
            <w:r>
              <w:t>Patient must not have developed disease progression while being treated with this drug for this condition</w:t>
            </w:r>
          </w:p>
        </w:tc>
      </w:tr>
      <w:tr w:rsidR="00481BD7" w14:paraId="2AD9CCD1" w14:textId="77777777" w:rsidTr="00CE6220">
        <w:tblPrEx>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EAE96BF" w14:textId="77777777" w:rsidR="00481BD7" w:rsidRDefault="00481BD7" w:rsidP="007B634D">
            <w:pPr>
              <w:pStyle w:val="TableText0"/>
              <w:keepNext w:val="0"/>
              <w:keepLines/>
            </w:pPr>
            <w:r>
              <w:rPr>
                <w:b/>
              </w:rPr>
              <w:t>AND</w:t>
            </w:r>
          </w:p>
        </w:tc>
      </w:tr>
      <w:tr w:rsidR="00481BD7" w14:paraId="2D155D4D" w14:textId="77777777" w:rsidTr="00CE6220">
        <w:tblPrEx>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09346F2" w14:textId="77777777" w:rsidR="00481BD7" w:rsidRDefault="00481BD7" w:rsidP="007B634D">
            <w:pPr>
              <w:pStyle w:val="TableText0"/>
              <w:keepNext w:val="0"/>
              <w:keepLines/>
            </w:pPr>
            <w:r>
              <w:rPr>
                <w:b/>
              </w:rPr>
              <w:t>Clinical criteria:</w:t>
            </w:r>
          </w:p>
        </w:tc>
      </w:tr>
      <w:tr w:rsidR="00481BD7" w14:paraId="1B635BB4" w14:textId="77777777" w:rsidTr="00CE6220">
        <w:tblPrEx>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7A90CF8" w14:textId="77777777" w:rsidR="00481BD7" w:rsidRDefault="00481BD7" w:rsidP="007B634D">
            <w:pPr>
              <w:pStyle w:val="TableText0"/>
              <w:keepNext w:val="0"/>
              <w:keepLines/>
            </w:pPr>
            <w:r>
              <w:t>Patient must not have developed unacceptable toxicity to this drug</w:t>
            </w:r>
          </w:p>
        </w:tc>
      </w:tr>
      <w:tr w:rsidR="00481BD7" w14:paraId="1C74F3B5" w14:textId="77777777" w:rsidTr="00CE6220">
        <w:tblPrEx>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DC1BCCD" w14:textId="77777777" w:rsidR="00481BD7" w:rsidRDefault="00481BD7" w:rsidP="007B634D">
            <w:pPr>
              <w:pStyle w:val="TableText0"/>
              <w:keepNext w:val="0"/>
              <w:keepLines/>
            </w:pPr>
            <w:r>
              <w:rPr>
                <w:b/>
              </w:rPr>
              <w:t>AND</w:t>
            </w:r>
          </w:p>
        </w:tc>
      </w:tr>
      <w:tr w:rsidR="00481BD7" w14:paraId="5EF0B168" w14:textId="77777777" w:rsidTr="00CE6220">
        <w:tblPrEx>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DB61FD9" w14:textId="77777777" w:rsidR="00481BD7" w:rsidRDefault="00481BD7" w:rsidP="007B634D">
            <w:pPr>
              <w:pStyle w:val="TableText0"/>
              <w:keepNext w:val="0"/>
              <w:keepLines/>
            </w:pPr>
            <w:r>
              <w:rPr>
                <w:b/>
              </w:rPr>
              <w:t>Clinical criteria:</w:t>
            </w:r>
          </w:p>
        </w:tc>
      </w:tr>
      <w:tr w:rsidR="00481BD7" w14:paraId="793655F5" w14:textId="77777777" w:rsidTr="00CE6220">
        <w:tblPrEx>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2D2B9FF" w14:textId="77777777" w:rsidR="00481BD7" w:rsidRDefault="00481BD7" w:rsidP="007B634D">
            <w:pPr>
              <w:pStyle w:val="TableText0"/>
              <w:keepNext w:val="0"/>
              <w:keepLines/>
              <w:rPr>
                <w:bCs w:val="0"/>
              </w:rPr>
            </w:pPr>
            <w:r>
              <w:rPr>
                <w:bCs w:val="0"/>
              </w:rPr>
              <w:t>Treatment must have commenced between the ages of 2 to 18 years, inclusive</w:t>
            </w:r>
          </w:p>
        </w:tc>
      </w:tr>
      <w:tr w:rsidR="0057295E" w14:paraId="7F096B94" w14:textId="77777777" w:rsidTr="00CE6220">
        <w:tblPrEx>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A89AEF3" w14:textId="77777777" w:rsidR="0057295E" w:rsidRDefault="0057295E" w:rsidP="007B634D">
            <w:pPr>
              <w:pStyle w:val="TableText0"/>
              <w:keepNext w:val="0"/>
              <w:keepLines/>
              <w:rPr>
                <w:bCs w:val="0"/>
              </w:rPr>
            </w:pPr>
          </w:p>
        </w:tc>
      </w:tr>
      <w:tr w:rsidR="00481BD7" w14:paraId="0F452BC3" w14:textId="77777777" w:rsidTr="00CE6220">
        <w:tblPrEx>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48C8E8B" w14:textId="77777777" w:rsidR="00481BD7" w:rsidRDefault="00481BD7" w:rsidP="007B634D">
            <w:pPr>
              <w:pStyle w:val="TableText0"/>
              <w:keepNext w:val="0"/>
              <w:keepLines/>
            </w:pPr>
            <w:r>
              <w:rPr>
                <w:b/>
              </w:rPr>
              <w:t>Treatment criteria:</w:t>
            </w:r>
          </w:p>
        </w:tc>
      </w:tr>
      <w:tr w:rsidR="00481BD7" w14:paraId="569D0642" w14:textId="77777777" w:rsidTr="00CE6220">
        <w:tblPrEx>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BAC9355" w14:textId="77777777" w:rsidR="00481BD7" w:rsidRDefault="00481BD7" w:rsidP="007B634D">
            <w:pPr>
              <w:pStyle w:val="TableText0"/>
              <w:keepNext w:val="0"/>
              <w:keepLines/>
              <w:rPr>
                <w:i/>
                <w:iCs/>
              </w:rPr>
            </w:pPr>
            <w:r>
              <w:t>Patient must be under the care of a specialist clinician</w:t>
            </w:r>
          </w:p>
        </w:tc>
      </w:tr>
      <w:tr w:rsidR="0057295E" w14:paraId="77F19836" w14:textId="77777777" w:rsidTr="00CE6220">
        <w:tblPrEx>
          <w:tblLook w:val="04A0" w:firstRow="1" w:lastRow="0" w:firstColumn="1" w:lastColumn="0" w:noHBand="0" w:noVBand="1"/>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F7789E4" w14:textId="77777777" w:rsidR="0057295E" w:rsidRDefault="0057295E" w:rsidP="007B634D">
            <w:pPr>
              <w:pStyle w:val="TableText0"/>
              <w:keepNext w:val="0"/>
              <w:keepLines/>
            </w:pPr>
          </w:p>
        </w:tc>
      </w:tr>
      <w:tr w:rsidR="0057295E" w14:paraId="3E0EA1C0" w14:textId="77777777" w:rsidTr="00AB2D9E">
        <w:tblPrEx>
          <w:tblLook w:val="04A0" w:firstRow="1" w:lastRow="0" w:firstColumn="1" w:lastColumn="0" w:noHBand="0" w:noVBand="1"/>
        </w:tblPrEx>
        <w:trPr>
          <w:cantSplit/>
          <w:trHeight w:val="958"/>
        </w:trPr>
        <w:tc>
          <w:tcPr>
            <w:tcW w:w="5000" w:type="pct"/>
            <w:gridSpan w:val="6"/>
            <w:tcBorders>
              <w:top w:val="single" w:sz="4" w:space="0" w:color="auto"/>
              <w:left w:val="single" w:sz="4" w:space="0" w:color="auto"/>
              <w:right w:val="single" w:sz="4" w:space="0" w:color="auto"/>
            </w:tcBorders>
            <w:tcMar>
              <w:top w:w="15" w:type="dxa"/>
              <w:left w:w="108" w:type="dxa"/>
              <w:bottom w:w="15" w:type="dxa"/>
              <w:right w:w="108" w:type="dxa"/>
            </w:tcMar>
            <w:vAlign w:val="center"/>
            <w:hideMark/>
          </w:tcPr>
          <w:p w14:paraId="622CEDB1" w14:textId="77777777" w:rsidR="0057295E" w:rsidRDefault="0057295E" w:rsidP="007B634D">
            <w:pPr>
              <w:pStyle w:val="TableText0"/>
              <w:keepNext w:val="0"/>
              <w:keepLines/>
            </w:pPr>
            <w:r>
              <w:rPr>
                <w:b/>
              </w:rPr>
              <w:t>Administrative criteria:</w:t>
            </w:r>
          </w:p>
          <w:p w14:paraId="70A79409" w14:textId="77777777" w:rsidR="0057295E" w:rsidRDefault="0057295E" w:rsidP="007B634D">
            <w:pPr>
              <w:pStyle w:val="TableText0"/>
              <w:keepNext w:val="0"/>
              <w:keepLines/>
            </w:pPr>
            <w:r>
              <w:t xml:space="preserve">Patients may qualify for PBS-subsidised treatment under this restriction once only. </w:t>
            </w:r>
          </w:p>
          <w:p w14:paraId="67E71D52" w14:textId="77777777" w:rsidR="0057295E" w:rsidRDefault="0057295E" w:rsidP="007B634D">
            <w:pPr>
              <w:pStyle w:val="TableText0"/>
              <w:keepNext w:val="0"/>
              <w:keepLines/>
            </w:pPr>
            <w:r>
              <w:t>For continuing PBS-subsidised treatment, a 'Grandfathered' patient must qualify under the 'Continuing treatment' criteria.</w:t>
            </w:r>
          </w:p>
          <w:p w14:paraId="6105FED8" w14:textId="285CBCF7" w:rsidR="0057295E" w:rsidRDefault="0057295E" w:rsidP="007B634D">
            <w:pPr>
              <w:pStyle w:val="TableText0"/>
              <w:keepLines/>
            </w:pPr>
            <w:r>
              <w:t>This grandfather restriction will cease to operate from 12 months after the date specified in the clinical criteria.</w:t>
            </w:r>
          </w:p>
        </w:tc>
      </w:tr>
    </w:tbl>
    <w:p w14:paraId="4EA8F936" w14:textId="77777777" w:rsidR="0078664B" w:rsidRPr="00882085" w:rsidRDefault="0078664B" w:rsidP="004B1CB4"/>
    <w:p w14:paraId="1ACA882E" w14:textId="5027F89B" w:rsidR="007E28D5" w:rsidRPr="00E331B7" w:rsidRDefault="00A41BAC" w:rsidP="0078664B">
      <w:pPr>
        <w:pStyle w:val="3-BodyText"/>
      </w:pPr>
      <w:r w:rsidRPr="00E331B7">
        <w:t>The proposed restriction allowed treatment with selumetinib in patients diagnosed with symptomatic and inoperable PN between the ages of 2 and 18. Th</w:t>
      </w:r>
      <w:r w:rsidR="008051A9" w:rsidRPr="00E331B7">
        <w:t xml:space="preserve">e evaluation noted this </w:t>
      </w:r>
      <w:r w:rsidRPr="00E331B7">
        <w:t>would allow patients aged over 18 years of age to initiate treatment</w:t>
      </w:r>
      <w:r w:rsidR="00CC59B0">
        <w:t xml:space="preserve">, as diagnosis </w:t>
      </w:r>
      <w:r w:rsidR="00E420E5">
        <w:t xml:space="preserve">may </w:t>
      </w:r>
      <w:r w:rsidR="00CC59B0">
        <w:t>not always coincide with treatment initiation (i.e. treatment initiation may commence well after the initial diagnosis if a ‘wait-and-watch’ approach is taken)</w:t>
      </w:r>
      <w:r w:rsidRPr="00E331B7">
        <w:t xml:space="preserve">. </w:t>
      </w:r>
      <w:r w:rsidR="007E28D5" w:rsidRPr="00E331B7">
        <w:t xml:space="preserve">The </w:t>
      </w:r>
      <w:r w:rsidR="003A41AA">
        <w:t>Pre-Sub-Committee Response (</w:t>
      </w:r>
      <w:r w:rsidR="007E28D5" w:rsidRPr="00E331B7">
        <w:t>PSCR</w:t>
      </w:r>
      <w:r w:rsidR="003A41AA">
        <w:t>)</w:t>
      </w:r>
      <w:r w:rsidR="007E28D5" w:rsidRPr="00E331B7">
        <w:t xml:space="preserve"> proposed a revised criterion to only allow treatment initiation in children aged between 2 and 18 years of age</w:t>
      </w:r>
      <w:r w:rsidR="00A76C6D" w:rsidRPr="00E331B7">
        <w:t xml:space="preserve">. </w:t>
      </w:r>
    </w:p>
    <w:p w14:paraId="5A8436B3" w14:textId="7B89FD6B" w:rsidR="0078664B" w:rsidRPr="00E331B7" w:rsidRDefault="00A41BAC" w:rsidP="0078664B">
      <w:pPr>
        <w:pStyle w:val="3-BodyText"/>
      </w:pPr>
      <w:r w:rsidRPr="00E331B7">
        <w:t>P</w:t>
      </w:r>
      <w:r w:rsidR="0078664B" w:rsidRPr="00E331B7">
        <w:t xml:space="preserve">atients who commenced treatment with selumetinib prior to the age of 18 years would be allowed to continue treatment indefinitely if </w:t>
      </w:r>
      <w:r w:rsidRPr="00E331B7">
        <w:t xml:space="preserve">it was </w:t>
      </w:r>
      <w:r w:rsidR="0078664B" w:rsidRPr="00E331B7">
        <w:t xml:space="preserve">tolerated or </w:t>
      </w:r>
      <w:r w:rsidRPr="00E331B7">
        <w:t xml:space="preserve">there was </w:t>
      </w:r>
      <w:r w:rsidR="0078664B" w:rsidRPr="00E331B7">
        <w:t>no disease progression. There is a lack of data informing efficacy and safety of selumetinib in patients aged &gt;</w:t>
      </w:r>
      <w:r w:rsidR="00AC697B" w:rsidRPr="00E331B7">
        <w:t xml:space="preserve"> </w:t>
      </w:r>
      <w:r w:rsidR="0078664B" w:rsidRPr="00E331B7">
        <w:t xml:space="preserve">18 years, given that patients in the key trial (SPRINT) were aged </w:t>
      </w:r>
      <w:r w:rsidR="0078664B" w:rsidRPr="00E331B7">
        <w:rPr>
          <w:rFonts w:cs="Calibri"/>
        </w:rPr>
        <w:t>≤</w:t>
      </w:r>
      <w:r w:rsidRPr="00E331B7">
        <w:rPr>
          <w:rFonts w:cs="Calibri"/>
        </w:rPr>
        <w:t xml:space="preserve"> </w:t>
      </w:r>
      <w:r w:rsidR="0078664B" w:rsidRPr="00E331B7">
        <w:t>18 years</w:t>
      </w:r>
      <w:r w:rsidRPr="00E331B7">
        <w:t xml:space="preserve"> at enrolment</w:t>
      </w:r>
      <w:r w:rsidR="0078664B" w:rsidRPr="00E331B7">
        <w:t>. This was also not consistent with the economic evaluation, where disease progression</w:t>
      </w:r>
      <w:r w:rsidR="00151A17" w:rsidRPr="00E331B7">
        <w:t xml:space="preserve"> and </w:t>
      </w:r>
      <w:r w:rsidR="00315A6D" w:rsidRPr="00E331B7">
        <w:t>treatment</w:t>
      </w:r>
      <w:r w:rsidR="0078664B" w:rsidRPr="00E331B7">
        <w:t xml:space="preserve"> </w:t>
      </w:r>
      <w:r w:rsidR="0061451A" w:rsidRPr="00E331B7">
        <w:t>were</w:t>
      </w:r>
      <w:r w:rsidR="0078664B" w:rsidRPr="00E331B7">
        <w:t xml:space="preserve"> assumed to occur up to </w:t>
      </w:r>
      <w:r w:rsidR="0078664B" w:rsidRPr="00E331B7">
        <w:lastRenderedPageBreak/>
        <w:t xml:space="preserve">the age of 24. </w:t>
      </w:r>
      <w:r w:rsidR="00C442EF">
        <w:t>The pre-PBAC response stated that a meta-analysis by Sharawat et al (2022)</w:t>
      </w:r>
      <w:r w:rsidR="00C442EF">
        <w:rPr>
          <w:rStyle w:val="FootnoteReference"/>
        </w:rPr>
        <w:footnoteReference w:id="1"/>
      </w:r>
      <w:r w:rsidR="00C442EF">
        <w:t xml:space="preserve"> demonstrated that selumetinib was as efficacious in the paediatric and adult populations. In addition, the pre-PBAC response noted that </w:t>
      </w:r>
      <w:r w:rsidR="005B3B5E">
        <w:t xml:space="preserve">20% of </w:t>
      </w:r>
      <w:r w:rsidR="00C442EF">
        <w:t>patients</w:t>
      </w:r>
      <w:r w:rsidR="005B3B5E">
        <w:t xml:space="preserve"> (10/50)</w:t>
      </w:r>
      <w:r w:rsidR="00C442EF">
        <w:t xml:space="preserve"> in the SPRINT trial turned 18 whilst receiving selumetinib and demonstrated comparable efficacy and safety outcomes compared to the overall SPRINT trial population.</w:t>
      </w:r>
    </w:p>
    <w:p w14:paraId="1D334FD0" w14:textId="77CBF717" w:rsidR="0078664B" w:rsidRPr="00E331B7" w:rsidRDefault="0078664B" w:rsidP="0078664B">
      <w:pPr>
        <w:pStyle w:val="3-BodyText"/>
      </w:pPr>
      <w:r w:rsidRPr="00E331B7">
        <w:t xml:space="preserve">The requested </w:t>
      </w:r>
      <w:r w:rsidR="00A8675A" w:rsidRPr="00E331B7">
        <w:t xml:space="preserve">initial </w:t>
      </w:r>
      <w:r w:rsidRPr="00E331B7">
        <w:t xml:space="preserve">restriction </w:t>
      </w:r>
      <w:r w:rsidR="001C4B2C">
        <w:t xml:space="preserve">criteria </w:t>
      </w:r>
      <w:r w:rsidR="0061451A" w:rsidRPr="00E331B7">
        <w:t>were</w:t>
      </w:r>
      <w:r w:rsidRPr="00E331B7">
        <w:t xml:space="preserve"> not consistent with the inclusion criteria of the SPRINT trial</w:t>
      </w:r>
      <w:r w:rsidR="00A41BAC" w:rsidRPr="00E331B7">
        <w:t xml:space="preserve"> as it</w:t>
      </w:r>
      <w:r w:rsidR="00A8675A" w:rsidRPr="00E331B7">
        <w:t xml:space="preserve"> did not specify</w:t>
      </w:r>
      <w:r w:rsidR="00A41BAC" w:rsidRPr="00E331B7">
        <w:t>: i)</w:t>
      </w:r>
      <w:r w:rsidRPr="00E331B7">
        <w:t xml:space="preserve"> </w:t>
      </w:r>
      <w:r w:rsidR="00A8675A" w:rsidRPr="00E331B7">
        <w:t xml:space="preserve">a </w:t>
      </w:r>
      <w:r w:rsidRPr="00E331B7">
        <w:t>minimum body surface area (BSA) of 0.55 m</w:t>
      </w:r>
      <w:r w:rsidRPr="00E331B7">
        <w:rPr>
          <w:vertAlign w:val="superscript"/>
        </w:rPr>
        <w:t>2</w:t>
      </w:r>
      <w:r w:rsidR="00A8675A" w:rsidRPr="00E331B7">
        <w:t>, ii)</w:t>
      </w:r>
      <w:r w:rsidR="002C04AE" w:rsidRPr="00E331B7">
        <w:t xml:space="preserve"> </w:t>
      </w:r>
      <w:r w:rsidRPr="00E331B7">
        <w:t>the ability to swallow a whole capsule</w:t>
      </w:r>
      <w:r w:rsidR="00A8675A" w:rsidRPr="00E331B7">
        <w:t>, or iii)</w:t>
      </w:r>
      <w:r w:rsidRPr="00E331B7">
        <w:t xml:space="preserve"> a Karnofsky or Lansky Performance Score of ≥70%. </w:t>
      </w:r>
      <w:r w:rsidR="00CC59B0">
        <w:t>It was noted that if the restriction was to incorporate the Karnofsky performance scaling system or the Lans</w:t>
      </w:r>
      <w:r w:rsidR="00064CC5">
        <w:t>k</w:t>
      </w:r>
      <w:r w:rsidR="00CC59B0">
        <w:t>y play-pe</w:t>
      </w:r>
      <w:r w:rsidR="00285FF8">
        <w:t>r</w:t>
      </w:r>
      <w:r w:rsidR="00CC59B0">
        <w:t>formance scaling system by reference, then the source</w:t>
      </w:r>
      <w:r w:rsidR="00064CC5">
        <w:t xml:space="preserve">, location or version of these scales needs to be clearly specified in the listing such that PBS eligibility is clearly defined for any reader. </w:t>
      </w:r>
    </w:p>
    <w:p w14:paraId="1EF9968E" w14:textId="76BCA73D" w:rsidR="00B63212" w:rsidRDefault="00B63212" w:rsidP="00766AFC">
      <w:pPr>
        <w:pStyle w:val="3-BodyText"/>
      </w:pPr>
      <w:r w:rsidRPr="00E331B7">
        <w:t xml:space="preserve">The requested </w:t>
      </w:r>
      <w:r w:rsidR="00A8675A" w:rsidRPr="00E331B7">
        <w:t xml:space="preserve">continuing supply </w:t>
      </w:r>
      <w:r w:rsidRPr="00E331B7">
        <w:t xml:space="preserve">restriction did not </w:t>
      </w:r>
      <w:r w:rsidR="00CB3E87" w:rsidRPr="00E331B7">
        <w:t>specify</w:t>
      </w:r>
      <w:r w:rsidRPr="00E331B7">
        <w:t xml:space="preserve"> the criteria for </w:t>
      </w:r>
      <w:r w:rsidR="00BB4B11" w:rsidRPr="00E331B7">
        <w:t xml:space="preserve">assessing </w:t>
      </w:r>
      <w:r w:rsidRPr="00E331B7">
        <w:t>disease progression</w:t>
      </w:r>
      <w:r w:rsidR="00CB3E87" w:rsidRPr="00E331B7">
        <w:t>. Disease progression in the SPRINT trial was define</w:t>
      </w:r>
      <w:r w:rsidR="00BB4B11" w:rsidRPr="00E331B7">
        <w:t>d</w:t>
      </w:r>
      <w:r w:rsidR="00CB3E87" w:rsidRPr="00E331B7">
        <w:t xml:space="preserve"> as ≥</w:t>
      </w:r>
      <w:r w:rsidR="00A8675A" w:rsidRPr="00E331B7">
        <w:t xml:space="preserve"> </w:t>
      </w:r>
      <w:r w:rsidR="00CB3E87" w:rsidRPr="00E331B7">
        <w:t xml:space="preserve">20% increase in PN volume using volumetric magnetic imaging resonance (MRI). </w:t>
      </w:r>
      <w:r w:rsidR="00BB4B11" w:rsidRPr="00E331B7">
        <w:t>Of note, v</w:t>
      </w:r>
      <w:r w:rsidR="00CB3E87" w:rsidRPr="00E331B7">
        <w:t>olumetric MRI is not listed on the MBS for this indication</w:t>
      </w:r>
      <w:r w:rsidR="00BB4B11" w:rsidRPr="00E331B7">
        <w:t>.</w:t>
      </w:r>
      <w:r w:rsidR="005518BD" w:rsidRPr="00E331B7">
        <w:t xml:space="preserve"> </w:t>
      </w:r>
    </w:p>
    <w:p w14:paraId="3E68B729" w14:textId="09B800E7" w:rsidR="00285FF8" w:rsidRDefault="00285FF8" w:rsidP="00766AFC">
      <w:pPr>
        <w:pStyle w:val="3-BodyText"/>
      </w:pPr>
      <w:r>
        <w:t>The Secretariat noted that it would be unusual to designate a drug listing as both a Highly Specialised Drugs Program (HSDP) and a HSDP – Community Access program listing</w:t>
      </w:r>
      <w:r w:rsidR="003B5336">
        <w:t xml:space="preserve">. </w:t>
      </w:r>
      <w:r>
        <w:t xml:space="preserve">It was also noted that whilst the proposed indication requires specialist management, the treatment itself is a solid, ready-prepared oral dose form and would not be considered to require administration in an institution with </w:t>
      </w:r>
      <w:r w:rsidR="0057295E">
        <w:t>ready</w:t>
      </w:r>
      <w:r>
        <w:t xml:space="preserve"> access to specialised medical equipment and emergency medical care. </w:t>
      </w:r>
      <w:r w:rsidR="0057295E">
        <w:t>Therefore, designation of the drug as a Highly Specialised Drug Program listing</w:t>
      </w:r>
      <w:r w:rsidR="003B5336">
        <w:t xml:space="preserve"> may not be adequately supported</w:t>
      </w:r>
      <w:r w:rsidR="0057295E">
        <w:t>.</w:t>
      </w:r>
      <w:r>
        <w:t xml:space="preserve"> </w:t>
      </w:r>
    </w:p>
    <w:p w14:paraId="2E74FA5E" w14:textId="2FA5DFE2" w:rsidR="00E331B7" w:rsidRPr="00E331B7" w:rsidRDefault="00E331B7" w:rsidP="00E331B7">
      <w:pPr>
        <w:pStyle w:val="3-BodyText"/>
        <w:numPr>
          <w:ilvl w:val="0"/>
          <w:numId w:val="0"/>
        </w:numPr>
        <w:ind w:left="720"/>
        <w:rPr>
          <w:i/>
          <w:iCs/>
        </w:rPr>
      </w:pPr>
      <w:r w:rsidRPr="00E331B7">
        <w:rPr>
          <w:i/>
          <w:iCs/>
        </w:rPr>
        <w:t>For more detail on PBAC’s view, see section 7 PBAC outcome.</w:t>
      </w:r>
    </w:p>
    <w:p w14:paraId="5489AFC9" w14:textId="77777777" w:rsidR="0078664B" w:rsidRPr="00407F2D" w:rsidDel="00195452" w:rsidRDefault="0078664B" w:rsidP="0078664B">
      <w:pPr>
        <w:pStyle w:val="2-SectionHeading"/>
      </w:pPr>
      <w:bookmarkStart w:id="14" w:name="_Toc114041585"/>
      <w:r w:rsidDel="00195452">
        <w:t>Population and disease</w:t>
      </w:r>
      <w:bookmarkEnd w:id="14"/>
    </w:p>
    <w:p w14:paraId="412987F6" w14:textId="77D50272" w:rsidR="0078664B" w:rsidRDefault="0078664B" w:rsidP="0078664B">
      <w:pPr>
        <w:pStyle w:val="3-BodyText"/>
      </w:pPr>
      <w:r>
        <w:t>NF1 is a rare autosomal-dominant hereditary disorder caused by mutations in the NF1 tumour suppressor gene, with a prevalence rate of 1 in 3</w:t>
      </w:r>
      <w:r w:rsidR="00A8675A">
        <w:t>,</w:t>
      </w:r>
      <w:r>
        <w:t>000 people. Approximately 30% of patients with NF1 develop PN. PN are non-malignant peripheral nerve sheath tumours which may develop anywhere in the body.</w:t>
      </w:r>
    </w:p>
    <w:p w14:paraId="7151CF51" w14:textId="1F3F0FE6" w:rsidR="0078664B" w:rsidRDefault="0078664B" w:rsidP="0078664B">
      <w:pPr>
        <w:pStyle w:val="3-BodyText"/>
      </w:pPr>
      <w:r>
        <w:t>PN associated with NF1 can cause significant morbidities, including pain, disfigurement, motor function deficits and, in the most severe cases, can be life-threatening due to compression of vital structures (e.g., great vessel compression, spinal cord compression and airway obstruction). PN associated with NF1 has a substantial burden on the quality of life of patients, their families and carers.</w:t>
      </w:r>
    </w:p>
    <w:p w14:paraId="6A8B464B" w14:textId="500A8210" w:rsidR="0078664B" w:rsidRDefault="002C7E50" w:rsidP="0078664B">
      <w:pPr>
        <w:pStyle w:val="3-BodyText"/>
        <w:rPr>
          <w:color w:val="0066FF"/>
        </w:rPr>
      </w:pPr>
      <w:r>
        <w:lastRenderedPageBreak/>
        <w:t>Most</w:t>
      </w:r>
      <w:r w:rsidR="0078664B">
        <w:t xml:space="preserve"> patients are diagnosed as children</w:t>
      </w:r>
      <w:r w:rsidR="00A8675A">
        <w:t>. T</w:t>
      </w:r>
      <w:r w:rsidR="0078664B">
        <w:t xml:space="preserve">he rate of PN growth is much higher during early childhood and slows with age. According to </w:t>
      </w:r>
      <w:r w:rsidR="0080000F">
        <w:t xml:space="preserve">the </w:t>
      </w:r>
      <w:r w:rsidR="0078664B">
        <w:t>National Cancer Institute Natural History study (NCI NH study), a ≥</w:t>
      </w:r>
      <w:r w:rsidR="00A8675A">
        <w:t xml:space="preserve"> </w:t>
      </w:r>
      <w:r w:rsidR="0078664B">
        <w:t>20% increase in PN volume was observed in patients aged 0 to 12 years</w:t>
      </w:r>
      <w:r w:rsidR="00A8675A">
        <w:t>;</w:t>
      </w:r>
      <w:r w:rsidR="00714D05">
        <w:t xml:space="preserve"> whereas</w:t>
      </w:r>
      <w:r w:rsidR="00A8675A">
        <w:t>,</w:t>
      </w:r>
      <w:r w:rsidR="00714D05">
        <w:t xml:space="preserve"> a</w:t>
      </w:r>
      <w:r w:rsidR="0078664B">
        <w:t xml:space="preserve"> growth rate of ≥</w:t>
      </w:r>
      <w:r w:rsidR="00A8675A">
        <w:t xml:space="preserve"> </w:t>
      </w:r>
      <w:r w:rsidR="0078664B">
        <w:t xml:space="preserve">20% was rarely observed in adults. PN growth </w:t>
      </w:r>
      <w:r w:rsidR="00A8675A">
        <w:t xml:space="preserve">by age group </w:t>
      </w:r>
      <w:r w:rsidR="0078664B">
        <w:t xml:space="preserve">from </w:t>
      </w:r>
      <w:r w:rsidR="00714D05">
        <w:t xml:space="preserve">the </w:t>
      </w:r>
      <w:r w:rsidR="0078664B">
        <w:t xml:space="preserve">NH study is presented in </w:t>
      </w:r>
      <w:r w:rsidR="0078664B">
        <w:fldChar w:fldCharType="begin"/>
      </w:r>
      <w:r w:rsidR="0078664B">
        <w:instrText xml:space="preserve"> REF _Ref110875380 \h </w:instrText>
      </w:r>
      <w:r w:rsidR="0078664B">
        <w:fldChar w:fldCharType="separate"/>
      </w:r>
      <w:r w:rsidR="00BE0EE6">
        <w:t xml:space="preserve">Figure </w:t>
      </w:r>
      <w:r w:rsidR="00BE0EE6">
        <w:rPr>
          <w:noProof/>
        </w:rPr>
        <w:t>1</w:t>
      </w:r>
      <w:r w:rsidR="0078664B">
        <w:fldChar w:fldCharType="end"/>
      </w:r>
      <w:r w:rsidR="0078664B">
        <w:t>.</w:t>
      </w:r>
    </w:p>
    <w:p w14:paraId="7C148C6D" w14:textId="5DCE5003" w:rsidR="0078664B" w:rsidRDefault="0078664B" w:rsidP="00992E46">
      <w:pPr>
        <w:pStyle w:val="Caption"/>
        <w:rPr>
          <w:b w:val="0"/>
          <w:bCs w:val="0"/>
          <w:szCs w:val="16"/>
        </w:rPr>
      </w:pPr>
      <w:bookmarkStart w:id="15" w:name="_Ref110875380"/>
      <w:r>
        <w:t xml:space="preserve">Figure </w:t>
      </w:r>
      <w:fldSimple w:instr=" SEQ Figure \* ARABIC ">
        <w:r w:rsidR="00BE0EE6">
          <w:rPr>
            <w:noProof/>
          </w:rPr>
          <w:t>1</w:t>
        </w:r>
      </w:fldSimple>
      <w:bookmarkEnd w:id="15"/>
      <w:r>
        <w:t xml:space="preserve">. </w:t>
      </w:r>
      <w:r w:rsidRPr="003266D5">
        <w:rPr>
          <w:rStyle w:val="CommentReference"/>
          <w:b/>
        </w:rPr>
        <w:t>Change in PN growth from NCI Natural History study individual patient profiles, over five years by age group</w:t>
      </w:r>
    </w:p>
    <w:p w14:paraId="3B5C21FE" w14:textId="77777777" w:rsidR="0078664B" w:rsidRDefault="0078664B" w:rsidP="00992E46">
      <w:pPr>
        <w:rPr>
          <w:rFonts w:asciiTheme="minorHAnsi" w:hAnsiTheme="minorHAnsi" w:cstheme="minorHAnsi"/>
        </w:rPr>
      </w:pPr>
      <w:r>
        <w:rPr>
          <w:noProof/>
        </w:rPr>
        <w:drawing>
          <wp:inline distT="0" distB="0" distL="0" distR="0" wp14:anchorId="1F4625B6" wp14:editId="38793365">
            <wp:extent cx="5730240" cy="1516380"/>
            <wp:effectExtent l="0" t="0" r="3810" b="7620"/>
            <wp:docPr id="1" name="Picture 1" descr="Figure 1. Change in PN growth from NCI Natural History study individual patient profiles, over five years by ag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1. Change in PN growth from NCI Natural History study individual patient profiles, over five years by age group"/>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5730240" cy="1516380"/>
                    </a:xfrm>
                    <a:prstGeom prst="rect">
                      <a:avLst/>
                    </a:prstGeom>
                    <a:noFill/>
                    <a:ln>
                      <a:noFill/>
                    </a:ln>
                  </pic:spPr>
                </pic:pic>
              </a:graphicData>
            </a:graphic>
          </wp:inline>
        </w:drawing>
      </w:r>
    </w:p>
    <w:p w14:paraId="5890D26E" w14:textId="77777777" w:rsidR="0078664B" w:rsidRDefault="0078664B" w:rsidP="00992E46">
      <w:pPr>
        <w:pStyle w:val="TableFigureFooter"/>
      </w:pPr>
      <w:r>
        <w:t>Source: Figure 1.3, p22 of the submission.</w:t>
      </w:r>
    </w:p>
    <w:p w14:paraId="75F341D1" w14:textId="4C50E8C9" w:rsidR="0078664B" w:rsidRDefault="0078664B" w:rsidP="00992E46">
      <w:pPr>
        <w:pStyle w:val="TableFigureFooter"/>
      </w:pPr>
      <w:r>
        <w:t xml:space="preserve">NCI = National Cancer Institute, PN = plexiform neurofibroma(s), </w:t>
      </w:r>
    </w:p>
    <w:p w14:paraId="00A7B249" w14:textId="5563EDB9" w:rsidR="000A2C6A" w:rsidRDefault="0078664B" w:rsidP="000A2C6A">
      <w:pPr>
        <w:pStyle w:val="3-BodyText"/>
        <w:snapToGrid w:val="0"/>
        <w:spacing w:after="0"/>
      </w:pPr>
      <w:r>
        <w:t>The submission defined PN-related morbidity as ‘symptomatic’ if it can cause significant morbidity, such as (but not limited to)</w:t>
      </w:r>
      <w:r w:rsidR="0058250B">
        <w:t>:</w:t>
      </w:r>
      <w:r>
        <w:t xml:space="preserve"> </w:t>
      </w:r>
    </w:p>
    <w:p w14:paraId="5F11214D" w14:textId="77777777" w:rsidR="000A2C6A" w:rsidRPr="000A2C6A" w:rsidRDefault="0078664B" w:rsidP="00C71DAF">
      <w:pPr>
        <w:pStyle w:val="ListParagraph"/>
        <w:spacing w:after="0"/>
        <w:ind w:left="1134" w:hanging="283"/>
        <w:rPr>
          <w:rStyle w:val="ListParagraphChar"/>
          <w:snapToGrid w:val="0"/>
        </w:rPr>
      </w:pPr>
      <w:r w:rsidRPr="000A2C6A">
        <w:rPr>
          <w:rStyle w:val="ListParagraphChar"/>
        </w:rPr>
        <w:t>head and neck PN that can compromise the airway or great vessels</w:t>
      </w:r>
      <w:r w:rsidR="00144F24" w:rsidRPr="000A2C6A">
        <w:rPr>
          <w:rStyle w:val="ListParagraphChar"/>
        </w:rPr>
        <w:t xml:space="preserve">; </w:t>
      </w:r>
    </w:p>
    <w:p w14:paraId="30AF7F44" w14:textId="77777777" w:rsidR="000A2C6A" w:rsidRPr="00C71DAF" w:rsidRDefault="0078664B" w:rsidP="00C71DAF">
      <w:pPr>
        <w:pStyle w:val="ListParagraph"/>
        <w:spacing w:after="0"/>
        <w:ind w:left="1134" w:hanging="283"/>
        <w:rPr>
          <w:rStyle w:val="ListParagraphChar"/>
        </w:rPr>
      </w:pPr>
      <w:r w:rsidRPr="000A2C6A">
        <w:rPr>
          <w:rStyle w:val="ListParagraphChar"/>
        </w:rPr>
        <w:t>paraspinal PN that can cause myelopathy</w:t>
      </w:r>
      <w:r w:rsidR="00E72096" w:rsidRPr="000A2C6A">
        <w:rPr>
          <w:rStyle w:val="ListParagraphChar"/>
        </w:rPr>
        <w:t>;</w:t>
      </w:r>
      <w:r w:rsidR="00144F24" w:rsidRPr="000A2C6A">
        <w:rPr>
          <w:rStyle w:val="ListParagraphChar"/>
        </w:rPr>
        <w:t xml:space="preserve"> </w:t>
      </w:r>
    </w:p>
    <w:p w14:paraId="38F1DDF3" w14:textId="77777777" w:rsidR="000A2C6A" w:rsidRPr="00C71DAF" w:rsidRDefault="0078664B" w:rsidP="00C71DAF">
      <w:pPr>
        <w:pStyle w:val="ListParagraph"/>
        <w:spacing w:after="0"/>
        <w:ind w:left="1134" w:hanging="283"/>
        <w:rPr>
          <w:rStyle w:val="ListParagraphChar"/>
        </w:rPr>
      </w:pPr>
      <w:r w:rsidRPr="000A2C6A">
        <w:rPr>
          <w:rStyle w:val="ListParagraphChar"/>
        </w:rPr>
        <w:t>brachial or lumbar plexus PN that can cause nerve compression and loss of function</w:t>
      </w:r>
      <w:r w:rsidR="00E72096" w:rsidRPr="000A2C6A">
        <w:rPr>
          <w:rStyle w:val="ListParagraphChar"/>
        </w:rPr>
        <w:t>;</w:t>
      </w:r>
    </w:p>
    <w:p w14:paraId="7B98EF70" w14:textId="56FF42E1" w:rsidR="000A2C6A" w:rsidRPr="00C71DAF" w:rsidRDefault="0078664B" w:rsidP="00C71DAF">
      <w:pPr>
        <w:pStyle w:val="ListParagraph"/>
        <w:spacing w:after="0"/>
        <w:ind w:left="1134" w:hanging="283"/>
        <w:rPr>
          <w:rStyle w:val="ListParagraphChar"/>
        </w:rPr>
      </w:pPr>
      <w:r w:rsidRPr="000A2C6A">
        <w:rPr>
          <w:rStyle w:val="ListParagraphChar"/>
        </w:rPr>
        <w:t>PN that can result in major deformity (e.g., orbital PN) or significant disfiguring</w:t>
      </w:r>
      <w:r w:rsidR="00E72096" w:rsidRPr="000A2C6A">
        <w:rPr>
          <w:rStyle w:val="ListParagraphChar"/>
        </w:rPr>
        <w:t>;</w:t>
      </w:r>
      <w:r w:rsidR="00144F24" w:rsidRPr="000A2C6A">
        <w:rPr>
          <w:rStyle w:val="ListParagraphChar"/>
        </w:rPr>
        <w:t xml:space="preserve"> </w:t>
      </w:r>
    </w:p>
    <w:p w14:paraId="498609A6" w14:textId="77777777" w:rsidR="000A2C6A" w:rsidRPr="00C71DAF" w:rsidRDefault="0078664B" w:rsidP="00C71DAF">
      <w:pPr>
        <w:pStyle w:val="ListParagraph"/>
        <w:spacing w:after="0"/>
        <w:ind w:left="1134" w:hanging="283"/>
        <w:rPr>
          <w:rStyle w:val="ListParagraphChar"/>
        </w:rPr>
      </w:pPr>
      <w:r w:rsidRPr="000A2C6A">
        <w:rPr>
          <w:rStyle w:val="ListParagraphChar"/>
        </w:rPr>
        <w:t>PN of the extremity that can cause limb hypertrophy or loss of function</w:t>
      </w:r>
      <w:r w:rsidR="00E72096" w:rsidRPr="000A2C6A">
        <w:rPr>
          <w:rStyle w:val="ListParagraphChar"/>
        </w:rPr>
        <w:t xml:space="preserve">; </w:t>
      </w:r>
      <w:r w:rsidRPr="000A2C6A">
        <w:rPr>
          <w:rStyle w:val="ListParagraphChar"/>
        </w:rPr>
        <w:t xml:space="preserve">and </w:t>
      </w:r>
    </w:p>
    <w:p w14:paraId="0D334B69" w14:textId="0B72ADE6" w:rsidR="00E72096" w:rsidRPr="00C71DAF" w:rsidRDefault="0078664B" w:rsidP="00C71DAF">
      <w:pPr>
        <w:pStyle w:val="ListParagraph"/>
        <w:ind w:left="1134" w:hanging="283"/>
        <w:rPr>
          <w:rStyle w:val="ListParagraphChar"/>
        </w:rPr>
      </w:pPr>
      <w:r w:rsidRPr="000A2C6A">
        <w:rPr>
          <w:rStyle w:val="ListParagraphChar"/>
        </w:rPr>
        <w:t>painful PN.</w:t>
      </w:r>
      <w:r w:rsidRPr="00C71DAF">
        <w:rPr>
          <w:rStyle w:val="ListParagraphChar"/>
        </w:rPr>
        <w:t xml:space="preserve"> </w:t>
      </w:r>
    </w:p>
    <w:p w14:paraId="40557688" w14:textId="4A507F5F" w:rsidR="0078664B" w:rsidRDefault="0078664B" w:rsidP="000A2C6A">
      <w:pPr>
        <w:pStyle w:val="3-BodyText"/>
        <w:snapToGrid w:val="0"/>
      </w:pPr>
      <w:r>
        <w:t>The submission defined PN as ‘inoperable’ if it cannot be completely resected without risk of substantial morbidity due to encasement of, or close proximity to, vital structures, invasiveness or high vascularity.</w:t>
      </w:r>
    </w:p>
    <w:p w14:paraId="3436AB71" w14:textId="78D0445A" w:rsidR="00D4622B" w:rsidRPr="00E331B7" w:rsidRDefault="0078664B" w:rsidP="00D4622B">
      <w:pPr>
        <w:pStyle w:val="3-BodyText"/>
      </w:pPr>
      <w:r w:rsidRPr="00E331B7">
        <w:t>Currently, there are no approved pharmacological treatments for symptomatic, inoperable PN in paediatric patients with NF1. Treatment options are limited to symptomatic and supportive treatment, such as pain medication, debulking surgery or interventions (e.g., tracheostomy to alleviate severe airway morbidities).</w:t>
      </w:r>
      <w:r w:rsidR="00D4622B" w:rsidRPr="00E331B7">
        <w:t xml:space="preserve"> The ESC noted trametinib (a MEK inhibitor) is used off-label to treat NF1 PN in Australia and there is a</w:t>
      </w:r>
      <w:r w:rsidR="00407B35">
        <w:t>n ongoing</w:t>
      </w:r>
      <w:r w:rsidR="00D4622B" w:rsidRPr="00E331B7">
        <w:t xml:space="preserve"> local clinical trial</w:t>
      </w:r>
      <w:r w:rsidR="00D4622B" w:rsidRPr="00E331B7">
        <w:rPr>
          <w:rStyle w:val="FootnoteReference"/>
        </w:rPr>
        <w:footnoteReference w:id="2"/>
      </w:r>
      <w:r w:rsidR="00D4622B" w:rsidRPr="00E331B7">
        <w:t xml:space="preserve">. The ESC also noted a number of other MEK inhibitors such as binimetinib and mirdametinib are currently being trialled among paediatric and adult patients with NF1 PN and other NF1 related tumours. </w:t>
      </w:r>
    </w:p>
    <w:p w14:paraId="0972FF73" w14:textId="1B47B288" w:rsidR="0078664B" w:rsidRDefault="0078664B" w:rsidP="0078664B">
      <w:pPr>
        <w:pStyle w:val="3-BodyText"/>
        <w:snapToGrid w:val="0"/>
      </w:pPr>
      <w:r>
        <w:t xml:space="preserve">The submission proposed selumetinib as an alternative to the supportive care available to patients with NF1 PN in Australia. Additionally, concomitant symptomatic </w:t>
      </w:r>
      <w:r>
        <w:lastRenderedPageBreak/>
        <w:t xml:space="preserve">and supportive management (e.g., pain medication) may be required with selumetinib. The submission’s proposed place in therapy for selumetinib is presented in </w:t>
      </w:r>
      <w:r>
        <w:fldChar w:fldCharType="begin"/>
      </w:r>
      <w:r>
        <w:instrText xml:space="preserve"> REF _Ref110874490 \h </w:instrText>
      </w:r>
      <w:r>
        <w:fldChar w:fldCharType="separate"/>
      </w:r>
      <w:r w:rsidR="00BE0EE6">
        <w:t xml:space="preserve">Figure </w:t>
      </w:r>
      <w:r w:rsidR="00BE0EE6">
        <w:rPr>
          <w:noProof/>
        </w:rPr>
        <w:t>2</w:t>
      </w:r>
      <w:r>
        <w:fldChar w:fldCharType="end"/>
      </w:r>
      <w:r>
        <w:t>.</w:t>
      </w:r>
    </w:p>
    <w:p w14:paraId="1BBEA703" w14:textId="53721247" w:rsidR="0078664B" w:rsidRDefault="0078664B" w:rsidP="007D5E4B">
      <w:pPr>
        <w:pStyle w:val="Caption"/>
        <w:jc w:val="left"/>
      </w:pPr>
      <w:bookmarkStart w:id="16" w:name="_Ref110874490"/>
      <w:bookmarkStart w:id="17" w:name="_Ref110874480"/>
      <w:r>
        <w:t xml:space="preserve">Figure </w:t>
      </w:r>
      <w:fldSimple w:instr=" SEQ Figure \* ARABIC ">
        <w:r w:rsidR="00BE0EE6">
          <w:rPr>
            <w:noProof/>
          </w:rPr>
          <w:t>2</w:t>
        </w:r>
      </w:fldSimple>
      <w:bookmarkEnd w:id="16"/>
      <w:r>
        <w:t>: Proposed clinical management algorithm</w:t>
      </w:r>
      <w:bookmarkEnd w:id="17"/>
    </w:p>
    <w:p w14:paraId="7C19D575" w14:textId="77777777" w:rsidR="0078664B" w:rsidRDefault="0078664B" w:rsidP="007D5E4B">
      <w:pPr>
        <w:jc w:val="left"/>
      </w:pPr>
      <w:r>
        <w:rPr>
          <w:noProof/>
        </w:rPr>
        <w:drawing>
          <wp:inline distT="0" distB="0" distL="0" distR="0" wp14:anchorId="5CB4FBDA" wp14:editId="1CB57C44">
            <wp:extent cx="5448300" cy="4838700"/>
            <wp:effectExtent l="0" t="0" r="0" b="0"/>
            <wp:docPr id="2" name="Picture 2" descr="Figure 2: Proposed clinical management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2: Proposed clinical management algorithm"/>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5448300" cy="4838700"/>
                    </a:xfrm>
                    <a:prstGeom prst="rect">
                      <a:avLst/>
                    </a:prstGeom>
                    <a:noFill/>
                    <a:ln>
                      <a:noFill/>
                    </a:ln>
                  </pic:spPr>
                </pic:pic>
              </a:graphicData>
            </a:graphic>
          </wp:inline>
        </w:drawing>
      </w:r>
    </w:p>
    <w:p w14:paraId="061EF2A0" w14:textId="77777777" w:rsidR="0078664B" w:rsidRDefault="0078664B" w:rsidP="007D5E4B">
      <w:pPr>
        <w:jc w:val="left"/>
        <w:rPr>
          <w:rFonts w:ascii="Arial Narrow" w:hAnsi="Arial Narrow"/>
          <w:snapToGrid w:val="0"/>
          <w:sz w:val="18"/>
          <w:szCs w:val="22"/>
        </w:rPr>
      </w:pPr>
      <w:r>
        <w:rPr>
          <w:rFonts w:ascii="Arial Narrow" w:hAnsi="Arial Narrow"/>
          <w:snapToGrid w:val="0"/>
          <w:sz w:val="18"/>
          <w:szCs w:val="22"/>
        </w:rPr>
        <w:t>Source: Figure 1.7, p37 of the submission.</w:t>
      </w:r>
    </w:p>
    <w:p w14:paraId="6C4EA72F" w14:textId="77777777" w:rsidR="0078664B" w:rsidRDefault="0078664B" w:rsidP="007D5E4B">
      <w:pPr>
        <w:jc w:val="left"/>
        <w:rPr>
          <w:rFonts w:ascii="Arial Narrow" w:hAnsi="Arial Narrow"/>
          <w:snapToGrid w:val="0"/>
          <w:sz w:val="18"/>
          <w:szCs w:val="22"/>
        </w:rPr>
      </w:pPr>
      <w:r>
        <w:rPr>
          <w:rFonts w:ascii="Arial Narrow" w:hAnsi="Arial Narrow"/>
          <w:snapToGrid w:val="0"/>
          <w:sz w:val="18"/>
          <w:szCs w:val="22"/>
        </w:rPr>
        <w:t>NF1 = neurofibromatosis type 1, PN = plexiform neurofibroma(s).</w:t>
      </w:r>
    </w:p>
    <w:p w14:paraId="2070A5B8" w14:textId="5E55A9D3" w:rsidR="0078664B" w:rsidRDefault="0078664B" w:rsidP="007D5E4B">
      <w:pPr>
        <w:rPr>
          <w:rFonts w:ascii="Arial Narrow" w:hAnsi="Arial Narrow"/>
          <w:snapToGrid w:val="0"/>
          <w:sz w:val="18"/>
          <w:szCs w:val="22"/>
        </w:rPr>
      </w:pPr>
      <w:r>
        <w:rPr>
          <w:rFonts w:ascii="Arial Narrow" w:hAnsi="Arial Narrow"/>
          <w:snapToGrid w:val="0"/>
          <w:sz w:val="18"/>
          <w:szCs w:val="22"/>
        </w:rPr>
        <w:t xml:space="preserve">* Supportive care is inclusive of, but not limited to, complex PN care, pain management, physical therapy, management of airway obstruction (e.g., tracheostomy), management of bladder and bowel morbidities (e.g., incontinence products, laxatives and diuretics), management of vision loss. </w:t>
      </w:r>
    </w:p>
    <w:p w14:paraId="341B6B87" w14:textId="42208D88" w:rsidR="0078664B" w:rsidRDefault="0078664B" w:rsidP="00177150">
      <w:pPr>
        <w:spacing w:after="120"/>
        <w:rPr>
          <w:rFonts w:ascii="Arial Narrow" w:hAnsi="Arial Narrow"/>
          <w:snapToGrid w:val="0"/>
          <w:sz w:val="18"/>
          <w:szCs w:val="22"/>
        </w:rPr>
      </w:pPr>
      <w:r>
        <w:rPr>
          <w:rFonts w:ascii="Arial Narrow" w:hAnsi="Arial Narrow"/>
          <w:snapToGrid w:val="0"/>
          <w:sz w:val="18"/>
          <w:szCs w:val="22"/>
          <w:vertAlign w:val="superscript"/>
        </w:rPr>
        <w:t>a</w:t>
      </w:r>
      <w:r>
        <w:rPr>
          <w:rFonts w:ascii="Arial Narrow" w:hAnsi="Arial Narrow"/>
          <w:snapToGrid w:val="0"/>
          <w:sz w:val="18"/>
          <w:szCs w:val="22"/>
        </w:rPr>
        <w:t xml:space="preserve"> Defined as PN has to cause significant morbidity, such as (but not limited to) head and neck PN that can compromise the airway or great vessels, paraspinal PN that can cause myelopathy, brachial or lumbar plexus PN that can cause nerve compression and loss of function, PN that can result in major deformity (e.g., orbital PN) or significant disfiguring, PN of the extremity that can cause limb hypertrophy or loss of function, and painful PN.</w:t>
      </w:r>
    </w:p>
    <w:p w14:paraId="1AF8D9F6" w14:textId="3E39819B" w:rsidR="0078664B" w:rsidRPr="00E331B7" w:rsidRDefault="0078664B" w:rsidP="00D4622B">
      <w:pPr>
        <w:pStyle w:val="3-BodyText"/>
        <w:rPr>
          <w:snapToGrid/>
        </w:rPr>
      </w:pPr>
      <w:r>
        <w:t>Selumetinib is a selective inhibitor of mitogen-activated protein kinase kinases 1 and 2 (MEK 1 and 2). MEK 1 and 2 are key components of the cellular growth signalling cascade which is overactive in NF1 due to mutations in the NF1 tumour suppressor gene. Inhibition of MEK prevents PN growth and promotes PN shrinkage by reducing cell proliferation and preventing abnormal cell survival.</w:t>
      </w:r>
    </w:p>
    <w:p w14:paraId="285844F3" w14:textId="4B1F01B6" w:rsidR="00E331B7" w:rsidRPr="00E331B7" w:rsidRDefault="00E331B7" w:rsidP="00E331B7">
      <w:pPr>
        <w:pStyle w:val="3-BodyText"/>
        <w:numPr>
          <w:ilvl w:val="0"/>
          <w:numId w:val="0"/>
        </w:numPr>
        <w:ind w:left="720"/>
        <w:rPr>
          <w:i/>
          <w:iCs/>
        </w:rPr>
      </w:pPr>
      <w:r w:rsidRPr="00E331B7">
        <w:rPr>
          <w:i/>
          <w:iCs/>
        </w:rPr>
        <w:t>For more detail on PBAC’s view, see section 7 PBAC outcome.</w:t>
      </w:r>
    </w:p>
    <w:p w14:paraId="57CE6385" w14:textId="77777777" w:rsidR="0078664B" w:rsidRPr="00407F2D" w:rsidRDefault="0078664B" w:rsidP="0078664B">
      <w:pPr>
        <w:pStyle w:val="2-SectionHeading"/>
      </w:pPr>
      <w:bookmarkStart w:id="18" w:name="_Toc114041586"/>
      <w:r w:rsidRPr="00407F2D">
        <w:lastRenderedPageBreak/>
        <w:t>Comparator</w:t>
      </w:r>
      <w:bookmarkEnd w:id="18"/>
    </w:p>
    <w:p w14:paraId="23CCC527" w14:textId="77777777" w:rsidR="0078664B" w:rsidRPr="00E331B7" w:rsidRDefault="0078664B" w:rsidP="003F5A2D">
      <w:pPr>
        <w:pStyle w:val="3-BodyText"/>
        <w:numPr>
          <w:ilvl w:val="1"/>
          <w:numId w:val="5"/>
        </w:numPr>
        <w:snapToGrid w:val="0"/>
        <w:rPr>
          <w:lang w:val="en-US"/>
        </w:rPr>
      </w:pPr>
      <w:bookmarkStart w:id="19" w:name="_Toc22897640"/>
      <w:r w:rsidRPr="00E331B7">
        <w:rPr>
          <w:lang w:val="en-US"/>
        </w:rPr>
        <w:t xml:space="preserve">The submission nominated supportive care as the main comparator. </w:t>
      </w:r>
      <w:r w:rsidRPr="00E331B7">
        <w:t xml:space="preserve">The submission defined supportive care as “inclusive of, but not limited to, complex PN care, pain management, physical therapy, management of airway obstruction (e.g., tracheostomy), management of bladder and bowel morbidities (e.g., incontinence products, laxatives and diuretics), management of vision loss”. </w:t>
      </w:r>
    </w:p>
    <w:p w14:paraId="01B428DC" w14:textId="77777777" w:rsidR="0078664B" w:rsidRPr="00E331B7" w:rsidRDefault="0078664B" w:rsidP="003F5A2D">
      <w:pPr>
        <w:pStyle w:val="3-BodyText"/>
        <w:numPr>
          <w:ilvl w:val="1"/>
          <w:numId w:val="5"/>
        </w:numPr>
        <w:snapToGrid w:val="0"/>
        <w:spacing w:after="0"/>
        <w:rPr>
          <w:lang w:val="en-US"/>
        </w:rPr>
      </w:pPr>
      <w:r w:rsidRPr="00E331B7">
        <w:rPr>
          <w:lang w:val="en-US"/>
        </w:rPr>
        <w:t>The main arguments provided in support of this nomination were:</w:t>
      </w:r>
    </w:p>
    <w:p w14:paraId="77904288" w14:textId="16EDC7BA" w:rsidR="0078664B" w:rsidRPr="00E331B7" w:rsidRDefault="0078664B" w:rsidP="00F70F2C">
      <w:pPr>
        <w:pStyle w:val="ListParagraph"/>
        <w:spacing w:after="0"/>
        <w:ind w:left="1134"/>
      </w:pPr>
      <w:r w:rsidRPr="00E331B7">
        <w:t>Currently, there are no approved pharmacological treatment</w:t>
      </w:r>
      <w:r w:rsidR="007D5B66" w:rsidRPr="00E331B7">
        <w:t>s</w:t>
      </w:r>
      <w:r w:rsidRPr="00E331B7">
        <w:t xml:space="preserve"> for symptomatic, inoperable PN in paediatric patients with NF1. </w:t>
      </w:r>
    </w:p>
    <w:p w14:paraId="7455479A" w14:textId="77777777" w:rsidR="0078664B" w:rsidRPr="00E331B7" w:rsidRDefault="0078664B" w:rsidP="00F70F2C">
      <w:pPr>
        <w:pStyle w:val="ListParagraph"/>
        <w:spacing w:after="0"/>
        <w:ind w:left="1134"/>
      </w:pPr>
      <w:r w:rsidRPr="00E331B7">
        <w:t xml:space="preserve">Traditional antineoplastic agents, such as chemotherapy or radiotherapy are inappropriate due to the risk of malignant transformation.  </w:t>
      </w:r>
    </w:p>
    <w:p w14:paraId="06A8DAF5" w14:textId="11B45709" w:rsidR="0078664B" w:rsidRPr="00E331B7" w:rsidRDefault="0078664B" w:rsidP="00766AFC">
      <w:pPr>
        <w:pStyle w:val="ListParagraph"/>
        <w:ind w:left="1134"/>
      </w:pPr>
      <w:r w:rsidRPr="00E331B7">
        <w:t>Debulking surgery</w:t>
      </w:r>
      <w:r w:rsidR="00766AFC" w:rsidRPr="00E331B7">
        <w:t xml:space="preserve"> (i.e., partial resection)</w:t>
      </w:r>
      <w:r w:rsidRPr="00E331B7">
        <w:t xml:space="preserve"> was not considered as an appropriate stand-alone comparator, given that selumetinib may be initiated prior to or after debulking surgery.</w:t>
      </w:r>
    </w:p>
    <w:p w14:paraId="2BBAD1F2" w14:textId="7D9B750D" w:rsidR="007D5B66" w:rsidRPr="00E331B7" w:rsidRDefault="007D5B66" w:rsidP="003F5A2D">
      <w:pPr>
        <w:pStyle w:val="3-BodyText"/>
        <w:numPr>
          <w:ilvl w:val="1"/>
          <w:numId w:val="5"/>
        </w:numPr>
        <w:snapToGrid w:val="0"/>
        <w:rPr>
          <w:lang w:val="en-US"/>
        </w:rPr>
      </w:pPr>
      <w:r w:rsidRPr="00E331B7">
        <w:rPr>
          <w:lang w:val="en-US"/>
        </w:rPr>
        <w:t>The ESC considered supportive care to be an appropriate comparator.</w:t>
      </w:r>
    </w:p>
    <w:p w14:paraId="592085B4" w14:textId="3784E399" w:rsidR="0078664B" w:rsidRPr="00E331B7" w:rsidRDefault="0078664B" w:rsidP="003F5A2D">
      <w:pPr>
        <w:pStyle w:val="3-BodyText"/>
        <w:numPr>
          <w:ilvl w:val="1"/>
          <w:numId w:val="5"/>
        </w:numPr>
        <w:snapToGrid w:val="0"/>
        <w:rPr>
          <w:lang w:val="en-US"/>
        </w:rPr>
      </w:pPr>
      <w:r w:rsidRPr="00E331B7">
        <w:rPr>
          <w:rFonts w:cstheme="minorHAnsi"/>
        </w:rPr>
        <w:t xml:space="preserve">During the Therapeutic Goods Administration (TGA) evaluation, the Advisory Committee on Medicines (ACM) </w:t>
      </w:r>
      <w:r w:rsidRPr="00E331B7">
        <w:t>commented that paediatric patients may have difficulty taking selumetinib twice daily on an empty stomach and this may lead to compliance issues. The capsule was considered to be relatively large for paediatric use (14 mm) and presented a potential choking hazard in young patients</w:t>
      </w:r>
      <w:r w:rsidR="009E025A" w:rsidRPr="00E331B7">
        <w:t>.</w:t>
      </w:r>
      <w:r w:rsidRPr="00E331B7">
        <w:t xml:space="preserve"> </w:t>
      </w:r>
      <w:r w:rsidR="00AF0475" w:rsidRPr="00E331B7">
        <w:t xml:space="preserve">According to the PI </w:t>
      </w:r>
      <w:r w:rsidR="00DB3C33" w:rsidRPr="00E331B7">
        <w:t>of</w:t>
      </w:r>
      <w:r w:rsidR="00AF0475" w:rsidRPr="00E331B7">
        <w:t xml:space="preserve"> selumetinib, the capsule should not be chewed, </w:t>
      </w:r>
      <w:r w:rsidR="00E95500" w:rsidRPr="00E331B7">
        <w:t>dissolved,</w:t>
      </w:r>
      <w:r w:rsidR="00AF0475" w:rsidRPr="00E331B7">
        <w:t xml:space="preserve"> or open</w:t>
      </w:r>
      <w:r w:rsidR="00E95500" w:rsidRPr="00E331B7">
        <w:t>ed</w:t>
      </w:r>
      <w:r w:rsidR="00AF0475" w:rsidRPr="00E331B7">
        <w:t xml:space="preserve">. </w:t>
      </w:r>
      <w:r w:rsidRPr="00E331B7">
        <w:t>The ACM also commented that an alternative dose form would be a useful option for very young children</w:t>
      </w:r>
      <w:r w:rsidRPr="00E331B7">
        <w:rPr>
          <w:rStyle w:val="FootnoteReference"/>
        </w:rPr>
        <w:t>2</w:t>
      </w:r>
      <w:r w:rsidRPr="00E331B7">
        <w:t xml:space="preserve">. </w:t>
      </w:r>
      <w:r w:rsidR="00D4622B" w:rsidRPr="00E331B7">
        <w:t xml:space="preserve">The ESC noted trametinib is provided in the TiNT study as a </w:t>
      </w:r>
      <w:r w:rsidR="001F4831" w:rsidRPr="00E331B7">
        <w:t xml:space="preserve">solution for children under 6 years of age or those that cannot take tablets.  </w:t>
      </w:r>
    </w:p>
    <w:p w14:paraId="0B79546C" w14:textId="1EF8F684" w:rsidR="00E331B7" w:rsidRPr="00E331B7" w:rsidRDefault="00E331B7" w:rsidP="00E331B7">
      <w:pPr>
        <w:pStyle w:val="3-BodyText"/>
        <w:numPr>
          <w:ilvl w:val="0"/>
          <w:numId w:val="0"/>
        </w:numPr>
        <w:ind w:left="720"/>
        <w:rPr>
          <w:i/>
          <w:iCs/>
        </w:rPr>
      </w:pPr>
      <w:r w:rsidRPr="00E331B7">
        <w:rPr>
          <w:i/>
          <w:iCs/>
        </w:rPr>
        <w:t>For more detail on PBAC’s view, see section 7 PBAC outcome.</w:t>
      </w:r>
    </w:p>
    <w:p w14:paraId="4FB625E1" w14:textId="77777777" w:rsidR="0078664B" w:rsidRPr="00407F2D" w:rsidRDefault="0078664B" w:rsidP="0078664B">
      <w:pPr>
        <w:pStyle w:val="2-SectionHeading"/>
      </w:pPr>
      <w:bookmarkStart w:id="20" w:name="_Toc114041587"/>
      <w:r>
        <w:t>C</w:t>
      </w:r>
      <w:r w:rsidRPr="00407F2D">
        <w:t>onsideration of the evidence</w:t>
      </w:r>
      <w:bookmarkEnd w:id="20"/>
    </w:p>
    <w:p w14:paraId="48B4D481" w14:textId="77777777" w:rsidR="00E331B7" w:rsidRPr="0034764B" w:rsidRDefault="00E331B7" w:rsidP="00E331B7">
      <w:pPr>
        <w:pStyle w:val="4-SubsectionHeading"/>
      </w:pPr>
      <w:bookmarkStart w:id="21" w:name="_Hlk76375935"/>
      <w:bookmarkStart w:id="22" w:name="_Toc114041588"/>
      <w:r w:rsidRPr="0034764B">
        <w:t>Sponsor hearing</w:t>
      </w:r>
    </w:p>
    <w:p w14:paraId="5C4935B3" w14:textId="25797F36" w:rsidR="00E331B7" w:rsidRPr="0034764B" w:rsidRDefault="00E331B7" w:rsidP="00E331B7">
      <w:pPr>
        <w:widowControl w:val="0"/>
        <w:numPr>
          <w:ilvl w:val="1"/>
          <w:numId w:val="1"/>
        </w:numPr>
        <w:spacing w:after="120"/>
        <w:rPr>
          <w:rFonts w:asciiTheme="minorHAnsi" w:hAnsiTheme="minorHAnsi"/>
          <w:bCs/>
          <w:snapToGrid w:val="0"/>
        </w:rPr>
      </w:pPr>
      <w:bookmarkStart w:id="23" w:name="_Hlk76382586"/>
      <w:r w:rsidRPr="0034764B">
        <w:rPr>
          <w:rFonts w:asciiTheme="minorHAnsi" w:hAnsiTheme="minorHAnsi"/>
          <w:bCs/>
          <w:snapToGrid w:val="0"/>
        </w:rPr>
        <w:t>The sponsor requested a hearing for this item. The clinician discussed the natural history of the disease</w:t>
      </w:r>
      <w:r w:rsidR="004E4594" w:rsidRPr="0034764B">
        <w:rPr>
          <w:rFonts w:asciiTheme="minorHAnsi" w:hAnsiTheme="minorHAnsi"/>
          <w:bCs/>
          <w:snapToGrid w:val="0"/>
        </w:rPr>
        <w:t>, described the quality of life issues associated with the disease</w:t>
      </w:r>
      <w:r w:rsidRPr="0034764B">
        <w:rPr>
          <w:rFonts w:asciiTheme="minorHAnsi" w:hAnsiTheme="minorHAnsi"/>
          <w:bCs/>
          <w:snapToGrid w:val="0"/>
        </w:rPr>
        <w:t xml:space="preserve">, </w:t>
      </w:r>
      <w:r w:rsidR="004E4594" w:rsidRPr="0034764B">
        <w:rPr>
          <w:rFonts w:asciiTheme="minorHAnsi" w:hAnsiTheme="minorHAnsi"/>
          <w:bCs/>
          <w:snapToGrid w:val="0"/>
        </w:rPr>
        <w:t xml:space="preserve">and </w:t>
      </w:r>
      <w:r w:rsidR="0061451A" w:rsidRPr="0034764B">
        <w:rPr>
          <w:rFonts w:asciiTheme="minorHAnsi" w:hAnsiTheme="minorHAnsi"/>
          <w:bCs/>
          <w:snapToGrid w:val="0"/>
        </w:rPr>
        <w:t>explained</w:t>
      </w:r>
      <w:r w:rsidR="004E4594" w:rsidRPr="0034764B">
        <w:rPr>
          <w:rFonts w:asciiTheme="minorHAnsi" w:hAnsiTheme="minorHAnsi"/>
          <w:bCs/>
          <w:snapToGrid w:val="0"/>
        </w:rPr>
        <w:t xml:space="preserve"> </w:t>
      </w:r>
      <w:r w:rsidRPr="0034764B">
        <w:rPr>
          <w:rFonts w:asciiTheme="minorHAnsi" w:hAnsiTheme="minorHAnsi"/>
          <w:bCs/>
          <w:snapToGrid w:val="0"/>
        </w:rPr>
        <w:t xml:space="preserve">how </w:t>
      </w:r>
      <w:r w:rsidR="004E4594" w:rsidRPr="0034764B">
        <w:rPr>
          <w:rFonts w:asciiTheme="minorHAnsi" w:hAnsiTheme="minorHAnsi"/>
          <w:bCs/>
          <w:snapToGrid w:val="0"/>
        </w:rPr>
        <w:t>selumetinib</w:t>
      </w:r>
      <w:r w:rsidRPr="0034764B">
        <w:rPr>
          <w:rFonts w:asciiTheme="minorHAnsi" w:hAnsiTheme="minorHAnsi"/>
          <w:bCs/>
          <w:snapToGrid w:val="0"/>
        </w:rPr>
        <w:t xml:space="preserve"> would be used in practice</w:t>
      </w:r>
      <w:r w:rsidR="004E4594" w:rsidRPr="0034764B">
        <w:rPr>
          <w:rFonts w:asciiTheme="minorHAnsi" w:hAnsiTheme="minorHAnsi"/>
          <w:bCs/>
          <w:snapToGrid w:val="0"/>
        </w:rPr>
        <w:t xml:space="preserve">. The clinician also discussed the difficulties associated with surgery as a treatment for PN </w:t>
      </w:r>
      <w:r w:rsidR="00094100" w:rsidRPr="0034764B">
        <w:rPr>
          <w:rFonts w:asciiTheme="minorHAnsi" w:hAnsiTheme="minorHAnsi"/>
          <w:bCs/>
          <w:snapToGrid w:val="0"/>
        </w:rPr>
        <w:t xml:space="preserve">in patients with </w:t>
      </w:r>
      <w:r w:rsidR="004E4594" w:rsidRPr="0034764B">
        <w:rPr>
          <w:rFonts w:asciiTheme="minorHAnsi" w:hAnsiTheme="minorHAnsi"/>
          <w:bCs/>
          <w:snapToGrid w:val="0"/>
        </w:rPr>
        <w:t>NF1</w:t>
      </w:r>
      <w:r w:rsidRPr="0034764B">
        <w:rPr>
          <w:rFonts w:asciiTheme="minorHAnsi" w:hAnsiTheme="minorHAnsi"/>
          <w:bCs/>
          <w:snapToGrid w:val="0"/>
        </w:rPr>
        <w:t>.</w:t>
      </w:r>
      <w:r w:rsidR="00FE7B74" w:rsidRPr="0034764B">
        <w:rPr>
          <w:rFonts w:asciiTheme="minorHAnsi" w:hAnsiTheme="minorHAnsi"/>
          <w:bCs/>
          <w:snapToGrid w:val="0"/>
        </w:rPr>
        <w:t xml:space="preserve"> The clinician noted that even a small reduction in tumour volume can have a significant impact on quality of life due to the location of tumours. </w:t>
      </w:r>
      <w:r w:rsidRPr="0034764B">
        <w:rPr>
          <w:rFonts w:asciiTheme="minorHAnsi" w:hAnsiTheme="minorHAnsi"/>
          <w:bCs/>
          <w:snapToGrid w:val="0"/>
        </w:rPr>
        <w:t xml:space="preserve"> The PBAC considered that the hearing was informative as it provided a clinical perspective on treating this uncommon disease.</w:t>
      </w:r>
    </w:p>
    <w:bookmarkEnd w:id="23"/>
    <w:p w14:paraId="1180614E" w14:textId="77777777" w:rsidR="00E331B7" w:rsidRPr="0034764B" w:rsidRDefault="00E331B7" w:rsidP="00E331B7">
      <w:pPr>
        <w:pStyle w:val="4-SubsectionHeading"/>
      </w:pPr>
      <w:r w:rsidRPr="0034764B">
        <w:t>Consumer comments</w:t>
      </w:r>
    </w:p>
    <w:p w14:paraId="50B641AD" w14:textId="04C24A03" w:rsidR="00D60F76" w:rsidRPr="0034764B" w:rsidRDefault="00BA3458" w:rsidP="00E331B7">
      <w:pPr>
        <w:widowControl w:val="0"/>
        <w:numPr>
          <w:ilvl w:val="1"/>
          <w:numId w:val="1"/>
        </w:numPr>
        <w:spacing w:after="120"/>
        <w:rPr>
          <w:rFonts w:asciiTheme="minorHAnsi" w:hAnsiTheme="minorHAnsi"/>
          <w:bCs/>
          <w:snapToGrid w:val="0"/>
        </w:rPr>
      </w:pPr>
      <w:bookmarkStart w:id="24" w:name="_Hlk76382618"/>
      <w:r w:rsidRPr="00BA3458">
        <w:rPr>
          <w:rFonts w:asciiTheme="minorHAnsi" w:hAnsiTheme="minorHAnsi"/>
          <w:bCs/>
          <w:snapToGrid w:val="0"/>
        </w:rPr>
        <w:t xml:space="preserve">The PBAC noted and welcomed the input from individuals (29) and organisations (1) via the Consumer Comments facility on the PBS website. The comments from </w:t>
      </w:r>
      <w:r w:rsidRPr="00BA3458">
        <w:rPr>
          <w:rFonts w:asciiTheme="minorHAnsi" w:hAnsiTheme="minorHAnsi"/>
          <w:bCs/>
          <w:snapToGrid w:val="0"/>
        </w:rPr>
        <w:lastRenderedPageBreak/>
        <w:t xml:space="preserve">individuals discussed the physical and psychological burden of the disease and the high unmet clinical need for effective treatments for PN in patients with NF1. Contributors described the limited surgical options available for some tumours due to their location, the need for repeated surgeries and the ongoing complications associated with tumours that have been surgically debulked. Both surgery and chemotherapy were considered to have a high treatment burden and access to these treatments and to clinical trials was also problematic, whilst the cost of access to </w:t>
      </w:r>
      <w:r>
        <w:rPr>
          <w:rFonts w:asciiTheme="minorHAnsi" w:hAnsiTheme="minorHAnsi"/>
          <w:bCs/>
          <w:snapToGrid w:val="0"/>
        </w:rPr>
        <w:t>s</w:t>
      </w:r>
      <w:r w:rsidRPr="00BA3458">
        <w:rPr>
          <w:rFonts w:asciiTheme="minorHAnsi" w:hAnsiTheme="minorHAnsi"/>
          <w:bCs/>
          <w:snapToGrid w:val="0"/>
        </w:rPr>
        <w:t xml:space="preserve">elumetinib was considered prohibitive. The comments emphasised the effects of </w:t>
      </w:r>
      <w:r>
        <w:rPr>
          <w:rFonts w:asciiTheme="minorHAnsi" w:hAnsiTheme="minorHAnsi"/>
          <w:bCs/>
          <w:snapToGrid w:val="0"/>
        </w:rPr>
        <w:t xml:space="preserve">PN associated with </w:t>
      </w:r>
      <w:r w:rsidRPr="00BA3458">
        <w:rPr>
          <w:rFonts w:asciiTheme="minorHAnsi" w:hAnsiTheme="minorHAnsi"/>
          <w:bCs/>
          <w:snapToGrid w:val="0"/>
        </w:rPr>
        <w:t>NF</w:t>
      </w:r>
      <w:r>
        <w:rPr>
          <w:rFonts w:asciiTheme="minorHAnsi" w:hAnsiTheme="minorHAnsi"/>
          <w:bCs/>
          <w:snapToGrid w:val="0"/>
        </w:rPr>
        <w:t>1</w:t>
      </w:r>
      <w:r w:rsidRPr="00BA3458">
        <w:rPr>
          <w:rFonts w:asciiTheme="minorHAnsi" w:hAnsiTheme="minorHAnsi"/>
          <w:bCs/>
          <w:snapToGrid w:val="0"/>
        </w:rPr>
        <w:t xml:space="preserve"> on physical health with multiple impairments and difficulties managing the pain associated with the condition and its treatment, in addition to the psychological and social impacts on quality of life due to disfigurement, and the inability to engage in school and work. There was strong support for this listing as a more effective treatment, associated with fewer disadvantages than surgery or chemotherapy.</w:t>
      </w:r>
    </w:p>
    <w:p w14:paraId="76F4F3CA" w14:textId="0A292D30" w:rsidR="00E331B7" w:rsidRPr="0034764B" w:rsidRDefault="00E331B7" w:rsidP="00E331B7">
      <w:pPr>
        <w:widowControl w:val="0"/>
        <w:numPr>
          <w:ilvl w:val="1"/>
          <w:numId w:val="1"/>
        </w:numPr>
        <w:spacing w:after="120"/>
        <w:rPr>
          <w:rFonts w:asciiTheme="minorHAnsi" w:hAnsiTheme="minorHAnsi"/>
          <w:bCs/>
          <w:snapToGrid w:val="0"/>
        </w:rPr>
      </w:pPr>
      <w:r w:rsidRPr="0034764B">
        <w:rPr>
          <w:rFonts w:asciiTheme="minorHAnsi" w:hAnsiTheme="minorHAnsi"/>
          <w:bCs/>
          <w:snapToGrid w:val="0"/>
        </w:rPr>
        <w:t xml:space="preserve">The PBAC noted the advice received from </w:t>
      </w:r>
      <w:r w:rsidR="00D60F76" w:rsidRPr="0034764B">
        <w:rPr>
          <w:rFonts w:asciiTheme="minorHAnsi" w:hAnsiTheme="minorHAnsi"/>
          <w:bCs/>
          <w:snapToGrid w:val="0"/>
        </w:rPr>
        <w:t xml:space="preserve">The Children’s Tumour Foundation which described the quality of life challenges faced by </w:t>
      </w:r>
      <w:r w:rsidR="00094100" w:rsidRPr="0034764B">
        <w:rPr>
          <w:rFonts w:asciiTheme="minorHAnsi" w:hAnsiTheme="minorHAnsi"/>
          <w:bCs/>
          <w:snapToGrid w:val="0"/>
        </w:rPr>
        <w:t xml:space="preserve">NF1 </w:t>
      </w:r>
      <w:r w:rsidR="00D60F76" w:rsidRPr="0034764B">
        <w:rPr>
          <w:rFonts w:asciiTheme="minorHAnsi" w:hAnsiTheme="minorHAnsi"/>
          <w:bCs/>
          <w:snapToGrid w:val="0"/>
        </w:rPr>
        <w:t>patients with PN. In addition, the advice described the unmet clinical need for effective, non-surgical treatments for this condition</w:t>
      </w:r>
      <w:r w:rsidR="00094100" w:rsidRPr="0034764B">
        <w:rPr>
          <w:rFonts w:asciiTheme="minorHAnsi" w:hAnsiTheme="minorHAnsi"/>
          <w:bCs/>
          <w:snapToGrid w:val="0"/>
        </w:rPr>
        <w:t xml:space="preserve">. </w:t>
      </w:r>
      <w:r w:rsidRPr="0034764B">
        <w:rPr>
          <w:rFonts w:asciiTheme="minorHAnsi" w:hAnsiTheme="minorHAnsi"/>
          <w:bCs/>
          <w:snapToGrid w:val="0"/>
        </w:rPr>
        <w:t>The PBAC noted that this advice was supportive of the evidence provided in the submission.</w:t>
      </w:r>
    </w:p>
    <w:bookmarkEnd w:id="21"/>
    <w:bookmarkEnd w:id="24"/>
    <w:p w14:paraId="19D7FA43" w14:textId="76D57AB2" w:rsidR="0078664B" w:rsidRPr="00C9624D" w:rsidRDefault="0078664B" w:rsidP="002E4F02">
      <w:pPr>
        <w:pStyle w:val="4-SubsectionHeading"/>
      </w:pPr>
      <w:r w:rsidRPr="00C9624D">
        <w:t xml:space="preserve">Clinical </w:t>
      </w:r>
      <w:r>
        <w:t>trials/studies</w:t>
      </w:r>
      <w:bookmarkEnd w:id="19"/>
      <w:bookmarkEnd w:id="22"/>
    </w:p>
    <w:p w14:paraId="0DA8A7CC" w14:textId="268D1A27" w:rsidR="0078664B" w:rsidRPr="00000058" w:rsidRDefault="0078664B" w:rsidP="0078664B">
      <w:pPr>
        <w:pStyle w:val="3-BodyText"/>
        <w:spacing w:after="0"/>
        <w:rPr>
          <w:snapToGrid/>
          <w:lang w:val="en-US"/>
        </w:rPr>
      </w:pPr>
      <w:r w:rsidRPr="00000058">
        <w:rPr>
          <w:snapToGrid/>
          <w:lang w:val="en-US"/>
        </w:rPr>
        <w:t xml:space="preserve">The submission stated that there were no direct head-to-head trials </w:t>
      </w:r>
      <w:r w:rsidR="007D5B66">
        <w:rPr>
          <w:snapToGrid/>
          <w:lang w:val="en-US"/>
        </w:rPr>
        <w:t>comparing</w:t>
      </w:r>
      <w:r w:rsidR="007D5B66" w:rsidRPr="00000058">
        <w:rPr>
          <w:snapToGrid/>
          <w:lang w:val="en-US"/>
        </w:rPr>
        <w:t xml:space="preserve"> </w:t>
      </w:r>
      <w:r w:rsidRPr="00000058">
        <w:rPr>
          <w:snapToGrid/>
          <w:lang w:val="en-US"/>
        </w:rPr>
        <w:t xml:space="preserve">selumetinib with supportive care for the treatment of paediatric patients with NF1 PN. </w:t>
      </w:r>
      <w:r w:rsidR="007D5B66">
        <w:rPr>
          <w:snapToGrid/>
          <w:lang w:val="en-US"/>
        </w:rPr>
        <w:t>Therefore,</w:t>
      </w:r>
      <w:r w:rsidRPr="00000058">
        <w:rPr>
          <w:snapToGrid/>
          <w:lang w:val="en-US"/>
        </w:rPr>
        <w:t xml:space="preserve"> the submission presented an indirect treatment comparison (ITC) of selumetinib and supportive care based on:</w:t>
      </w:r>
    </w:p>
    <w:p w14:paraId="1A39ED37" w14:textId="0A3460F6" w:rsidR="0078664B" w:rsidRPr="00000058" w:rsidRDefault="007D5B66" w:rsidP="00F70F2C">
      <w:pPr>
        <w:pStyle w:val="ListParagraph"/>
        <w:spacing w:after="0"/>
        <w:ind w:left="1134"/>
        <w:rPr>
          <w:snapToGrid/>
          <w:lang w:val="en-US"/>
        </w:rPr>
      </w:pPr>
      <w:r>
        <w:rPr>
          <w:snapToGrid/>
          <w:lang w:val="en-US"/>
        </w:rPr>
        <w:t>t</w:t>
      </w:r>
      <w:r w:rsidR="00144F24">
        <w:rPr>
          <w:snapToGrid/>
          <w:lang w:val="en-US"/>
        </w:rPr>
        <w:t xml:space="preserve">he </w:t>
      </w:r>
      <w:r w:rsidR="0078664B" w:rsidRPr="00000058">
        <w:rPr>
          <w:snapToGrid/>
          <w:lang w:val="en-US"/>
        </w:rPr>
        <w:t>SPRINT (Phase I and II) trial</w:t>
      </w:r>
      <w:r w:rsidR="00310444">
        <w:rPr>
          <w:snapToGrid/>
          <w:lang w:val="en-US"/>
        </w:rPr>
        <w:t>,</w:t>
      </w:r>
      <w:r w:rsidR="0078664B" w:rsidRPr="00000058">
        <w:rPr>
          <w:snapToGrid/>
          <w:lang w:val="en-US"/>
        </w:rPr>
        <w:t xml:space="preserve"> which informed the efficacy and safety of selumetinib</w:t>
      </w:r>
      <w:r>
        <w:rPr>
          <w:snapToGrid/>
          <w:lang w:val="en-US"/>
        </w:rPr>
        <w:t>; and</w:t>
      </w:r>
    </w:p>
    <w:p w14:paraId="3B4E21FC" w14:textId="2399B6A5" w:rsidR="0078664B" w:rsidRPr="00442441" w:rsidRDefault="007D5B66" w:rsidP="00F70F2C">
      <w:pPr>
        <w:pStyle w:val="ListParagraph"/>
        <w:ind w:left="1134"/>
        <w:rPr>
          <w:snapToGrid/>
          <w:lang w:val="en-US"/>
        </w:rPr>
      </w:pPr>
      <w:r>
        <w:rPr>
          <w:snapToGrid/>
          <w:lang w:val="en-US"/>
        </w:rPr>
        <w:t>t</w:t>
      </w:r>
      <w:r w:rsidR="00144F24">
        <w:rPr>
          <w:snapToGrid/>
          <w:lang w:val="en-US"/>
        </w:rPr>
        <w:t xml:space="preserve">he </w:t>
      </w:r>
      <w:r w:rsidR="0078664B" w:rsidRPr="00000058">
        <w:rPr>
          <w:snapToGrid/>
          <w:lang w:val="en-US"/>
        </w:rPr>
        <w:t xml:space="preserve">National Cancer Institute Natural History (NCI NH) Study and </w:t>
      </w:r>
      <w:r w:rsidR="009E025A">
        <w:rPr>
          <w:snapToGrid/>
          <w:lang w:val="en-US"/>
        </w:rPr>
        <w:t>the 01-C-0222 trial</w:t>
      </w:r>
      <w:r w:rsidR="00310444">
        <w:rPr>
          <w:snapToGrid/>
          <w:lang w:val="en-US"/>
        </w:rPr>
        <w:t>,</w:t>
      </w:r>
      <w:r w:rsidR="0078664B" w:rsidRPr="00000058">
        <w:rPr>
          <w:snapToGrid/>
          <w:lang w:val="en-US"/>
        </w:rPr>
        <w:t xml:space="preserve"> which informed the efficacy of supportive care.</w:t>
      </w:r>
    </w:p>
    <w:p w14:paraId="3F7A9391" w14:textId="50748AA1" w:rsidR="00B237F9" w:rsidRDefault="0078664B" w:rsidP="00466367">
      <w:pPr>
        <w:pStyle w:val="3-BodyText"/>
        <w:rPr>
          <w:snapToGrid/>
          <w:lang w:val="en-US"/>
        </w:rPr>
      </w:pPr>
      <w:r>
        <w:rPr>
          <w:snapToGrid/>
          <w:lang w:val="en-US"/>
        </w:rPr>
        <w:t xml:space="preserve">Details of the studies presented in the submission are provided in </w:t>
      </w:r>
      <w:r>
        <w:rPr>
          <w:snapToGrid/>
          <w:lang w:val="en-US"/>
        </w:rPr>
        <w:fldChar w:fldCharType="begin"/>
      </w:r>
      <w:r>
        <w:rPr>
          <w:snapToGrid/>
          <w:lang w:val="en-US"/>
        </w:rPr>
        <w:instrText xml:space="preserve"> REF _Ref104803956 \h </w:instrText>
      </w:r>
      <w:r>
        <w:rPr>
          <w:snapToGrid/>
          <w:lang w:val="en-US"/>
        </w:rPr>
      </w:r>
      <w:r>
        <w:rPr>
          <w:snapToGrid/>
          <w:lang w:val="en-US"/>
        </w:rPr>
        <w:fldChar w:fldCharType="separate"/>
      </w:r>
      <w:r w:rsidR="00BE0EE6">
        <w:t xml:space="preserve">Table </w:t>
      </w:r>
      <w:r w:rsidR="00BE0EE6">
        <w:rPr>
          <w:noProof/>
        </w:rPr>
        <w:t>2</w:t>
      </w:r>
      <w:r>
        <w:rPr>
          <w:snapToGrid/>
          <w:lang w:val="en-US"/>
        </w:rPr>
        <w:fldChar w:fldCharType="end"/>
      </w:r>
      <w:r>
        <w:rPr>
          <w:snapToGrid/>
          <w:lang w:val="en-US"/>
        </w:rPr>
        <w:t xml:space="preserve">. </w:t>
      </w:r>
    </w:p>
    <w:p w14:paraId="5C7C0567" w14:textId="6F6A557F" w:rsidR="0078664B" w:rsidRDefault="0078664B" w:rsidP="00AD606A">
      <w:pPr>
        <w:pStyle w:val="TableFigureHeading"/>
      </w:pPr>
      <w:bookmarkStart w:id="25" w:name="_Ref104803956"/>
      <w:r>
        <w:t xml:space="preserve">Table </w:t>
      </w:r>
      <w:fldSimple w:instr=" SEQ Table \* ARABIC ">
        <w:r w:rsidR="00BE0EE6">
          <w:rPr>
            <w:noProof/>
          </w:rPr>
          <w:t>2</w:t>
        </w:r>
      </w:fldSimple>
      <w:bookmarkEnd w:id="25"/>
      <w:r>
        <w:t>:</w:t>
      </w:r>
      <w:r w:rsidRPr="002E4F02">
        <w:rPr>
          <w:rStyle w:val="CommentReference"/>
          <w:b/>
          <w:szCs w:val="24"/>
        </w:rPr>
        <w:t xml:space="preserve"> </w:t>
      </w:r>
      <w:r>
        <w:rPr>
          <w:rStyle w:val="CommentReference"/>
          <w:b/>
          <w:szCs w:val="24"/>
        </w:rPr>
        <w:t>Trials/s</w:t>
      </w:r>
      <w:r w:rsidRPr="002E4F02">
        <w:rPr>
          <w:rStyle w:val="CommentReference"/>
          <w:b/>
          <w:szCs w:val="24"/>
        </w:rPr>
        <w:t>tudies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71"/>
        <w:gridCol w:w="5387"/>
        <w:gridCol w:w="2359"/>
      </w:tblGrid>
      <w:tr w:rsidR="0078664B" w:rsidRPr="00B41614" w14:paraId="012DCE2D" w14:textId="77777777" w:rsidTr="0044212E">
        <w:trPr>
          <w:tblHeader/>
        </w:trPr>
        <w:tc>
          <w:tcPr>
            <w:tcW w:w="705" w:type="pct"/>
            <w:vAlign w:val="center"/>
          </w:tcPr>
          <w:p w14:paraId="1CE8378E" w14:textId="77777777" w:rsidR="0078664B" w:rsidRPr="00B41614" w:rsidRDefault="0078664B" w:rsidP="00AD606A">
            <w:pPr>
              <w:pStyle w:val="In-tableHeading"/>
              <w:keepNext w:val="0"/>
              <w:keepLines/>
            </w:pPr>
            <w:r w:rsidRPr="00B41614">
              <w:t>Trial ID</w:t>
            </w:r>
          </w:p>
        </w:tc>
        <w:tc>
          <w:tcPr>
            <w:tcW w:w="2987" w:type="pct"/>
            <w:tcBorders>
              <w:bottom w:val="single" w:sz="4" w:space="0" w:color="auto"/>
            </w:tcBorders>
            <w:vAlign w:val="center"/>
          </w:tcPr>
          <w:p w14:paraId="13A81516" w14:textId="77777777" w:rsidR="0078664B" w:rsidRPr="00B41614" w:rsidRDefault="0078664B" w:rsidP="00AD606A">
            <w:pPr>
              <w:pStyle w:val="In-tableHeading"/>
              <w:keepNext w:val="0"/>
              <w:keepLines/>
            </w:pPr>
            <w:r w:rsidRPr="00B41614">
              <w:t>Protocol title/ Publication title</w:t>
            </w:r>
          </w:p>
        </w:tc>
        <w:tc>
          <w:tcPr>
            <w:tcW w:w="1308" w:type="pct"/>
            <w:tcBorders>
              <w:bottom w:val="single" w:sz="4" w:space="0" w:color="auto"/>
            </w:tcBorders>
            <w:vAlign w:val="center"/>
          </w:tcPr>
          <w:p w14:paraId="323D9FF2" w14:textId="77777777" w:rsidR="0078664B" w:rsidRPr="00B41614" w:rsidRDefault="0078664B" w:rsidP="00AD606A">
            <w:pPr>
              <w:pStyle w:val="In-tableHeading"/>
              <w:keepNext w:val="0"/>
              <w:keepLines/>
            </w:pPr>
            <w:r w:rsidRPr="00B41614">
              <w:t>Publication citation</w:t>
            </w:r>
          </w:p>
        </w:tc>
      </w:tr>
      <w:tr w:rsidR="0078664B" w:rsidRPr="00CB38A8" w14:paraId="2F153C28" w14:textId="77777777" w:rsidTr="0044212E">
        <w:tc>
          <w:tcPr>
            <w:tcW w:w="705" w:type="pct"/>
            <w:vMerge w:val="restart"/>
            <w:vAlign w:val="center"/>
          </w:tcPr>
          <w:p w14:paraId="554B3DDB" w14:textId="77777777" w:rsidR="0078664B" w:rsidRDefault="0078664B" w:rsidP="00AD606A">
            <w:pPr>
              <w:pStyle w:val="TableText0"/>
              <w:keepNext w:val="0"/>
              <w:keepLines/>
            </w:pPr>
            <w:r>
              <w:t>SPRINT</w:t>
            </w:r>
          </w:p>
          <w:p w14:paraId="4290EC87" w14:textId="77777777" w:rsidR="0078664B" w:rsidRPr="00CB38A8" w:rsidRDefault="0078664B" w:rsidP="00AD606A">
            <w:pPr>
              <w:pStyle w:val="TableText0"/>
              <w:keepNext w:val="0"/>
              <w:keepLines/>
            </w:pPr>
            <w:r>
              <w:t>(NCT01362803)</w:t>
            </w:r>
          </w:p>
        </w:tc>
        <w:tc>
          <w:tcPr>
            <w:tcW w:w="2987" w:type="pct"/>
            <w:tcBorders>
              <w:bottom w:val="nil"/>
            </w:tcBorders>
            <w:vAlign w:val="center"/>
          </w:tcPr>
          <w:p w14:paraId="4CCEC08C" w14:textId="61BEC324" w:rsidR="0078664B" w:rsidRPr="00AB6248" w:rsidRDefault="0078664B" w:rsidP="00AD606A">
            <w:pPr>
              <w:pStyle w:val="TableText0"/>
              <w:keepNext w:val="0"/>
              <w:keepLines/>
              <w:rPr>
                <w:szCs w:val="18"/>
              </w:rPr>
            </w:pPr>
            <w:r w:rsidRPr="00075814">
              <w:rPr>
                <w:szCs w:val="18"/>
              </w:rPr>
              <w:t>A Phase I/II Study of the Mitogen Activated Protein Kinase (MEK) 1 Inhibitor Selumetinib (AZD6244; HYD Sulfate) in Children with Neurofibromatosis Type 1 (NF1) and Inoperable Plexiform Neurofibromas.</w:t>
            </w:r>
          </w:p>
        </w:tc>
        <w:tc>
          <w:tcPr>
            <w:tcW w:w="1308" w:type="pct"/>
            <w:tcBorders>
              <w:bottom w:val="nil"/>
            </w:tcBorders>
            <w:vAlign w:val="center"/>
          </w:tcPr>
          <w:p w14:paraId="32BD9BF8" w14:textId="77777777" w:rsidR="0078664B" w:rsidRPr="00CB38A8" w:rsidRDefault="0078664B" w:rsidP="00AD606A">
            <w:pPr>
              <w:pStyle w:val="TableText0"/>
              <w:keepNext w:val="0"/>
              <w:keepLines/>
            </w:pPr>
            <w:r>
              <w:t>August 2019</w:t>
            </w:r>
          </w:p>
        </w:tc>
      </w:tr>
      <w:tr w:rsidR="0078664B" w:rsidRPr="00CB38A8" w14:paraId="037B6CA6" w14:textId="77777777" w:rsidTr="0044212E">
        <w:tc>
          <w:tcPr>
            <w:tcW w:w="705" w:type="pct"/>
            <w:vMerge/>
            <w:vAlign w:val="center"/>
          </w:tcPr>
          <w:p w14:paraId="5CB193CF" w14:textId="77777777" w:rsidR="0078664B" w:rsidRPr="00CB38A8" w:rsidRDefault="0078664B" w:rsidP="00AD606A">
            <w:pPr>
              <w:pStyle w:val="TableText0"/>
              <w:keepNext w:val="0"/>
              <w:keepLines/>
            </w:pPr>
          </w:p>
        </w:tc>
        <w:tc>
          <w:tcPr>
            <w:tcW w:w="2987" w:type="pct"/>
            <w:tcBorders>
              <w:top w:val="nil"/>
              <w:bottom w:val="nil"/>
            </w:tcBorders>
            <w:vAlign w:val="center"/>
          </w:tcPr>
          <w:p w14:paraId="23805EC4" w14:textId="57F7C188" w:rsidR="0078664B" w:rsidRPr="00E34A35" w:rsidRDefault="0078664B" w:rsidP="00AD606A">
            <w:pPr>
              <w:pStyle w:val="TableText0"/>
              <w:keepNext w:val="0"/>
              <w:keepLines/>
              <w:rPr>
                <w:szCs w:val="18"/>
              </w:rPr>
            </w:pPr>
            <w:r w:rsidRPr="00075814">
              <w:rPr>
                <w:szCs w:val="18"/>
              </w:rPr>
              <w:t>A Phase I/II Study of the Mitogen Activated Protein Kinase (MEK) 1 Inhibitor Selumetinib (AZD6244; HYD Sulfate) in Children with Neurofibromatosis Type 1 (NF1) and Inoperable Plexiform Neurofibromas (SPRINT). Long Term Efficacy and Safety Update.</w:t>
            </w:r>
          </w:p>
        </w:tc>
        <w:tc>
          <w:tcPr>
            <w:tcW w:w="1308" w:type="pct"/>
            <w:tcBorders>
              <w:top w:val="nil"/>
              <w:bottom w:val="nil"/>
            </w:tcBorders>
            <w:vAlign w:val="center"/>
          </w:tcPr>
          <w:p w14:paraId="0EC054A1" w14:textId="77777777" w:rsidR="0078664B" w:rsidRPr="00E34A35" w:rsidRDefault="0078664B" w:rsidP="00AD606A">
            <w:pPr>
              <w:pStyle w:val="TableText0"/>
              <w:keepNext w:val="0"/>
              <w:keepLines/>
              <w:rPr>
                <w:szCs w:val="18"/>
              </w:rPr>
            </w:pPr>
            <w:r>
              <w:rPr>
                <w:szCs w:val="18"/>
              </w:rPr>
              <w:t>April 2022</w:t>
            </w:r>
          </w:p>
        </w:tc>
      </w:tr>
      <w:tr w:rsidR="0078664B" w:rsidRPr="00CB38A8" w14:paraId="6033B231" w14:textId="77777777" w:rsidTr="0044212E">
        <w:tc>
          <w:tcPr>
            <w:tcW w:w="705" w:type="pct"/>
            <w:vMerge/>
            <w:vAlign w:val="center"/>
          </w:tcPr>
          <w:p w14:paraId="3103CCB6" w14:textId="77777777" w:rsidR="0078664B" w:rsidRPr="00CB38A8" w:rsidRDefault="0078664B" w:rsidP="00AD606A">
            <w:pPr>
              <w:pStyle w:val="TableText0"/>
              <w:keepNext w:val="0"/>
              <w:keepLines/>
            </w:pPr>
          </w:p>
        </w:tc>
        <w:tc>
          <w:tcPr>
            <w:tcW w:w="2987" w:type="pct"/>
            <w:tcBorders>
              <w:top w:val="nil"/>
              <w:bottom w:val="nil"/>
            </w:tcBorders>
            <w:vAlign w:val="center"/>
          </w:tcPr>
          <w:p w14:paraId="79D122A1" w14:textId="77777777" w:rsidR="0078664B" w:rsidRPr="00AB6248" w:rsidRDefault="0078664B" w:rsidP="00AD606A">
            <w:pPr>
              <w:pStyle w:val="TableText0"/>
              <w:keepNext w:val="0"/>
              <w:keepLines/>
              <w:rPr>
                <w:szCs w:val="18"/>
                <w:lang w:val="en-US"/>
              </w:rPr>
            </w:pPr>
            <w:r w:rsidRPr="00E31376">
              <w:rPr>
                <w:szCs w:val="18"/>
                <w:lang w:val="en-US"/>
              </w:rPr>
              <w:t>Gross A, Wolters P</w:t>
            </w:r>
            <w:r>
              <w:rPr>
                <w:szCs w:val="18"/>
                <w:lang w:val="en-US"/>
              </w:rPr>
              <w:t xml:space="preserve"> et al.</w:t>
            </w:r>
            <w:r w:rsidRPr="00E31376">
              <w:rPr>
                <w:szCs w:val="18"/>
                <w:lang w:val="en-US"/>
              </w:rPr>
              <w:t xml:space="preserve"> Selumetinib in children with inoperable plexiform neurofibromas. </w:t>
            </w:r>
          </w:p>
        </w:tc>
        <w:tc>
          <w:tcPr>
            <w:tcW w:w="1308" w:type="pct"/>
            <w:tcBorders>
              <w:top w:val="nil"/>
              <w:bottom w:val="nil"/>
            </w:tcBorders>
            <w:vAlign w:val="center"/>
          </w:tcPr>
          <w:p w14:paraId="672A6363" w14:textId="77777777" w:rsidR="0078664B" w:rsidRPr="00AB6248" w:rsidRDefault="0078664B" w:rsidP="00AD606A">
            <w:pPr>
              <w:pStyle w:val="TableText0"/>
              <w:keepNext w:val="0"/>
              <w:keepLines/>
              <w:rPr>
                <w:i/>
                <w:szCs w:val="18"/>
                <w:lang w:val="en-US"/>
              </w:rPr>
            </w:pPr>
            <w:r w:rsidRPr="00FE273B">
              <w:rPr>
                <w:i/>
                <w:iCs/>
                <w:szCs w:val="18"/>
                <w:lang w:val="en-US"/>
              </w:rPr>
              <w:t>New England Journal of Medicine</w:t>
            </w:r>
            <w:r>
              <w:rPr>
                <w:szCs w:val="18"/>
                <w:lang w:val="en-US"/>
              </w:rPr>
              <w:t xml:space="preserve"> 2020;</w:t>
            </w:r>
            <w:r w:rsidRPr="00E31376">
              <w:rPr>
                <w:szCs w:val="18"/>
                <w:lang w:val="en-US"/>
              </w:rPr>
              <w:t xml:space="preserve"> 382, 1430-1442</w:t>
            </w:r>
          </w:p>
        </w:tc>
      </w:tr>
      <w:tr w:rsidR="0078664B" w:rsidRPr="00CB38A8" w14:paraId="72DC3EF6" w14:textId="77777777" w:rsidTr="0044212E">
        <w:tc>
          <w:tcPr>
            <w:tcW w:w="705" w:type="pct"/>
            <w:vMerge/>
            <w:vAlign w:val="center"/>
          </w:tcPr>
          <w:p w14:paraId="3A47EADA" w14:textId="77777777" w:rsidR="0078664B" w:rsidRPr="00CB38A8" w:rsidRDefault="0078664B" w:rsidP="00AD606A">
            <w:pPr>
              <w:pStyle w:val="TableText0"/>
              <w:keepNext w:val="0"/>
              <w:keepLines/>
            </w:pPr>
          </w:p>
        </w:tc>
        <w:tc>
          <w:tcPr>
            <w:tcW w:w="2987" w:type="pct"/>
            <w:tcBorders>
              <w:top w:val="nil"/>
              <w:bottom w:val="nil"/>
            </w:tcBorders>
            <w:vAlign w:val="center"/>
          </w:tcPr>
          <w:p w14:paraId="740979FE" w14:textId="77777777" w:rsidR="0078664B" w:rsidRDefault="0078664B" w:rsidP="00AD606A">
            <w:pPr>
              <w:pStyle w:val="TableText0"/>
              <w:keepNext w:val="0"/>
              <w:keepLines/>
              <w:rPr>
                <w:szCs w:val="18"/>
                <w:lang w:val="en-US"/>
              </w:rPr>
            </w:pPr>
            <w:r w:rsidRPr="00FE273B">
              <w:rPr>
                <w:szCs w:val="18"/>
                <w:lang w:val="en-US"/>
              </w:rPr>
              <w:t>Glassberg B, Gross A</w:t>
            </w:r>
            <w:r>
              <w:rPr>
                <w:szCs w:val="18"/>
                <w:lang w:val="en-US"/>
              </w:rPr>
              <w:t xml:space="preserve"> et al. </w:t>
            </w:r>
            <w:r w:rsidRPr="00FE273B">
              <w:rPr>
                <w:szCs w:val="18"/>
                <w:lang w:val="en-US"/>
              </w:rPr>
              <w:t xml:space="preserve">Selumetinib in children with clinically asymptomatic inoperable </w:t>
            </w:r>
            <w:r>
              <w:rPr>
                <w:szCs w:val="18"/>
                <w:lang w:val="en-US"/>
              </w:rPr>
              <w:t>NF1</w:t>
            </w:r>
            <w:r w:rsidRPr="00FE273B">
              <w:rPr>
                <w:szCs w:val="18"/>
                <w:lang w:val="en-US"/>
              </w:rPr>
              <w:t xml:space="preserve"> related plexiform neurofibromas.</w:t>
            </w:r>
          </w:p>
        </w:tc>
        <w:tc>
          <w:tcPr>
            <w:tcW w:w="1308" w:type="pct"/>
            <w:tcBorders>
              <w:top w:val="nil"/>
              <w:bottom w:val="nil"/>
            </w:tcBorders>
            <w:vAlign w:val="center"/>
          </w:tcPr>
          <w:p w14:paraId="2A9A0C72" w14:textId="77777777" w:rsidR="0078664B" w:rsidRPr="00AB6248" w:rsidRDefault="0078664B" w:rsidP="00AD606A">
            <w:pPr>
              <w:pStyle w:val="TableText0"/>
              <w:keepNext w:val="0"/>
              <w:keepLines/>
              <w:rPr>
                <w:szCs w:val="18"/>
                <w:lang w:val="en-US"/>
              </w:rPr>
            </w:pPr>
            <w:r w:rsidRPr="00461161">
              <w:rPr>
                <w:i/>
                <w:iCs/>
                <w:szCs w:val="18"/>
                <w:lang w:val="en-US"/>
              </w:rPr>
              <w:t>Pediatric Blood and Cancer</w:t>
            </w:r>
            <w:r>
              <w:rPr>
                <w:szCs w:val="18"/>
                <w:lang w:val="en-US"/>
              </w:rPr>
              <w:t xml:space="preserve"> 2020; </w:t>
            </w:r>
            <w:r w:rsidRPr="00461161">
              <w:rPr>
                <w:szCs w:val="18"/>
                <w:lang w:val="en-US"/>
              </w:rPr>
              <w:t>67.</w:t>
            </w:r>
          </w:p>
        </w:tc>
      </w:tr>
      <w:tr w:rsidR="0078664B" w:rsidRPr="00CB38A8" w14:paraId="4697C12E" w14:textId="77777777" w:rsidTr="007B1BFA">
        <w:tc>
          <w:tcPr>
            <w:tcW w:w="705" w:type="pct"/>
            <w:vMerge/>
            <w:vAlign w:val="center"/>
          </w:tcPr>
          <w:p w14:paraId="06686380" w14:textId="77777777" w:rsidR="0078664B" w:rsidRPr="00CB38A8" w:rsidRDefault="0078664B" w:rsidP="00AD606A">
            <w:pPr>
              <w:pStyle w:val="TableText0"/>
              <w:keepNext w:val="0"/>
              <w:keepLines/>
            </w:pPr>
          </w:p>
        </w:tc>
        <w:tc>
          <w:tcPr>
            <w:tcW w:w="2987" w:type="pct"/>
            <w:tcBorders>
              <w:top w:val="nil"/>
              <w:bottom w:val="nil"/>
            </w:tcBorders>
            <w:vAlign w:val="center"/>
          </w:tcPr>
          <w:p w14:paraId="6DBDC9FD" w14:textId="77777777" w:rsidR="0078664B" w:rsidRDefault="0078664B" w:rsidP="00AD606A">
            <w:pPr>
              <w:pStyle w:val="TableText0"/>
              <w:keepNext w:val="0"/>
              <w:keepLines/>
              <w:rPr>
                <w:szCs w:val="18"/>
                <w:lang w:val="en-US"/>
              </w:rPr>
            </w:pPr>
            <w:r>
              <w:rPr>
                <w:szCs w:val="18"/>
                <w:lang w:val="en-US"/>
              </w:rPr>
              <w:t xml:space="preserve">Gross A, Wolters P et al. </w:t>
            </w:r>
            <w:r w:rsidRPr="00FE273B">
              <w:rPr>
                <w:szCs w:val="18"/>
                <w:lang w:val="en-US"/>
              </w:rPr>
              <w:t>Sprint: Phase II study of the MEK 1/2 inhibitor selumetinib (AZD6244, ARRY-142886) in children with neurofibromatosis type 1 (NF1) and inoperable plexiform neurofibromas.</w:t>
            </w:r>
          </w:p>
        </w:tc>
        <w:tc>
          <w:tcPr>
            <w:tcW w:w="1308" w:type="pct"/>
            <w:tcBorders>
              <w:top w:val="nil"/>
              <w:bottom w:val="nil"/>
            </w:tcBorders>
            <w:vAlign w:val="center"/>
          </w:tcPr>
          <w:p w14:paraId="24FADA5C" w14:textId="77777777" w:rsidR="0078664B" w:rsidRPr="00AB6248" w:rsidRDefault="0078664B" w:rsidP="00AD606A">
            <w:pPr>
              <w:pStyle w:val="TableText0"/>
              <w:keepNext w:val="0"/>
              <w:keepLines/>
              <w:rPr>
                <w:szCs w:val="18"/>
                <w:lang w:val="en-US"/>
              </w:rPr>
            </w:pPr>
            <w:r w:rsidRPr="00461161">
              <w:rPr>
                <w:i/>
                <w:iCs/>
                <w:szCs w:val="18"/>
                <w:lang w:val="en-US"/>
              </w:rPr>
              <w:t>Neuro-Oncology</w:t>
            </w:r>
            <w:r>
              <w:rPr>
                <w:szCs w:val="18"/>
                <w:lang w:val="en-US"/>
              </w:rPr>
              <w:t xml:space="preserve"> 2018;</w:t>
            </w:r>
            <w:r w:rsidRPr="00461161">
              <w:rPr>
                <w:szCs w:val="18"/>
                <w:lang w:val="en-US"/>
              </w:rPr>
              <w:t xml:space="preserve"> 20, i143-i144.</w:t>
            </w:r>
          </w:p>
        </w:tc>
      </w:tr>
      <w:tr w:rsidR="0078664B" w:rsidRPr="00CB38A8" w14:paraId="7A95E881" w14:textId="77777777" w:rsidTr="007B1BFA">
        <w:tc>
          <w:tcPr>
            <w:tcW w:w="705" w:type="pct"/>
            <w:vMerge/>
            <w:vAlign w:val="center"/>
          </w:tcPr>
          <w:p w14:paraId="46DADFAC" w14:textId="77777777" w:rsidR="0078664B" w:rsidRPr="00CB38A8" w:rsidRDefault="0078664B" w:rsidP="00AD606A">
            <w:pPr>
              <w:pStyle w:val="TableText0"/>
              <w:keepNext w:val="0"/>
              <w:keepLines/>
            </w:pPr>
          </w:p>
        </w:tc>
        <w:tc>
          <w:tcPr>
            <w:tcW w:w="2987" w:type="pct"/>
            <w:tcBorders>
              <w:top w:val="nil"/>
              <w:bottom w:val="single" w:sz="4" w:space="0" w:color="auto"/>
            </w:tcBorders>
            <w:vAlign w:val="center"/>
          </w:tcPr>
          <w:p w14:paraId="55C39AC8" w14:textId="77777777" w:rsidR="0078664B" w:rsidRDefault="0078664B" w:rsidP="00AD606A">
            <w:pPr>
              <w:pStyle w:val="TableText0"/>
              <w:keepNext w:val="0"/>
              <w:keepLines/>
              <w:rPr>
                <w:szCs w:val="18"/>
                <w:lang w:val="en-US"/>
              </w:rPr>
            </w:pPr>
            <w:r>
              <w:rPr>
                <w:szCs w:val="18"/>
                <w:lang w:val="en-US"/>
              </w:rPr>
              <w:t xml:space="preserve">Gross A, Baldwin A et al. </w:t>
            </w:r>
            <w:r w:rsidRPr="00FE273B">
              <w:rPr>
                <w:szCs w:val="18"/>
                <w:lang w:val="en-US"/>
              </w:rPr>
              <w:t>Phase II Study of the MEK 1/2 inhibitor selumetinib (AZD6244, ARRY-142886) in children with neurofibromatosis type 1 (NF1) and inoperable plexiform neurofibromas.</w:t>
            </w:r>
          </w:p>
        </w:tc>
        <w:tc>
          <w:tcPr>
            <w:tcW w:w="1308" w:type="pct"/>
            <w:tcBorders>
              <w:top w:val="nil"/>
              <w:bottom w:val="single" w:sz="4" w:space="0" w:color="auto"/>
            </w:tcBorders>
            <w:vAlign w:val="center"/>
          </w:tcPr>
          <w:p w14:paraId="4C15C791" w14:textId="77777777" w:rsidR="0078664B" w:rsidRPr="00AB6248" w:rsidRDefault="0078664B" w:rsidP="00AD606A">
            <w:pPr>
              <w:pStyle w:val="TableText0"/>
              <w:keepNext w:val="0"/>
              <w:keepLines/>
              <w:rPr>
                <w:szCs w:val="18"/>
                <w:lang w:val="en-US"/>
              </w:rPr>
            </w:pPr>
            <w:r w:rsidRPr="00461161">
              <w:rPr>
                <w:i/>
                <w:iCs/>
                <w:szCs w:val="18"/>
                <w:lang w:val="en-US"/>
              </w:rPr>
              <w:t>Journal of Clinical Oncology</w:t>
            </w:r>
            <w:r>
              <w:rPr>
                <w:szCs w:val="18"/>
                <w:lang w:val="en-US"/>
              </w:rPr>
              <w:t xml:space="preserve"> 2016;</w:t>
            </w:r>
            <w:r w:rsidRPr="00461161">
              <w:rPr>
                <w:szCs w:val="18"/>
                <w:lang w:val="en-US"/>
              </w:rPr>
              <w:t xml:space="preserve"> 34.</w:t>
            </w:r>
          </w:p>
        </w:tc>
      </w:tr>
      <w:tr w:rsidR="0078664B" w:rsidRPr="00CB38A8" w14:paraId="0C0FAD87" w14:textId="77777777" w:rsidTr="007B1BFA">
        <w:tc>
          <w:tcPr>
            <w:tcW w:w="705" w:type="pct"/>
            <w:vMerge/>
            <w:vAlign w:val="center"/>
          </w:tcPr>
          <w:p w14:paraId="64058D1B" w14:textId="77777777" w:rsidR="0078664B" w:rsidRPr="00CB38A8" w:rsidRDefault="0078664B" w:rsidP="00AD606A">
            <w:pPr>
              <w:pStyle w:val="TableText0"/>
              <w:keepNext w:val="0"/>
              <w:keepLines/>
            </w:pPr>
          </w:p>
        </w:tc>
        <w:tc>
          <w:tcPr>
            <w:tcW w:w="2987" w:type="pct"/>
            <w:tcBorders>
              <w:top w:val="single" w:sz="4" w:space="0" w:color="auto"/>
              <w:bottom w:val="nil"/>
            </w:tcBorders>
            <w:vAlign w:val="center"/>
          </w:tcPr>
          <w:p w14:paraId="4403228B" w14:textId="1235D560" w:rsidR="0078664B" w:rsidRDefault="0078664B" w:rsidP="00AD606A">
            <w:pPr>
              <w:pStyle w:val="TableText0"/>
              <w:keepNext w:val="0"/>
              <w:keepLines/>
              <w:rPr>
                <w:szCs w:val="18"/>
                <w:lang w:val="en-US"/>
              </w:rPr>
            </w:pPr>
            <w:r>
              <w:rPr>
                <w:szCs w:val="18"/>
                <w:lang w:val="en-US"/>
              </w:rPr>
              <w:t xml:space="preserve">Gross A, Glassberg B et al. </w:t>
            </w:r>
            <w:r w:rsidRPr="00FE273B">
              <w:rPr>
                <w:szCs w:val="18"/>
                <w:lang w:val="en-US"/>
              </w:rPr>
              <w:t xml:space="preserve">Selumetinib in Children with Neurofibromatosis Type 1 and Asymptomatic Inoperable Plexiform Neurofibroma </w:t>
            </w:r>
            <w:r w:rsidR="00BB05C7" w:rsidRPr="00FE273B">
              <w:rPr>
                <w:szCs w:val="18"/>
                <w:lang w:val="en-US"/>
              </w:rPr>
              <w:t>at</w:t>
            </w:r>
            <w:r w:rsidRPr="00FE273B">
              <w:rPr>
                <w:szCs w:val="18"/>
                <w:lang w:val="en-US"/>
              </w:rPr>
              <w:t xml:space="preserve"> Risk for Developing Tumor-Related Morbidity.</w:t>
            </w:r>
          </w:p>
        </w:tc>
        <w:tc>
          <w:tcPr>
            <w:tcW w:w="1308" w:type="pct"/>
            <w:tcBorders>
              <w:top w:val="single" w:sz="4" w:space="0" w:color="auto"/>
              <w:bottom w:val="nil"/>
            </w:tcBorders>
            <w:vAlign w:val="center"/>
          </w:tcPr>
          <w:p w14:paraId="47511140" w14:textId="77777777" w:rsidR="0078664B" w:rsidRPr="00461161" w:rsidRDefault="0078664B" w:rsidP="00AD606A">
            <w:pPr>
              <w:pStyle w:val="TableText0"/>
              <w:keepNext w:val="0"/>
              <w:keepLines/>
              <w:rPr>
                <w:szCs w:val="18"/>
                <w:lang w:val="en-US"/>
              </w:rPr>
            </w:pPr>
            <w:r>
              <w:rPr>
                <w:i/>
                <w:iCs/>
                <w:szCs w:val="18"/>
                <w:lang w:val="en-US"/>
              </w:rPr>
              <w:t xml:space="preserve">Neuro-Oncology </w:t>
            </w:r>
            <w:r>
              <w:rPr>
                <w:szCs w:val="18"/>
                <w:lang w:val="en-US"/>
              </w:rPr>
              <w:t>2022.</w:t>
            </w:r>
          </w:p>
        </w:tc>
      </w:tr>
      <w:tr w:rsidR="0078664B" w:rsidRPr="00CB38A8" w14:paraId="0D7CEEA4" w14:textId="77777777" w:rsidTr="0044212E">
        <w:tc>
          <w:tcPr>
            <w:tcW w:w="705" w:type="pct"/>
            <w:vMerge/>
            <w:vAlign w:val="center"/>
          </w:tcPr>
          <w:p w14:paraId="5080CF63" w14:textId="77777777" w:rsidR="0078664B" w:rsidRPr="00CB38A8" w:rsidRDefault="0078664B" w:rsidP="00AD606A">
            <w:pPr>
              <w:pStyle w:val="TableText0"/>
              <w:keepNext w:val="0"/>
              <w:keepLines/>
            </w:pPr>
          </w:p>
        </w:tc>
        <w:tc>
          <w:tcPr>
            <w:tcW w:w="2987" w:type="pct"/>
            <w:tcBorders>
              <w:top w:val="nil"/>
              <w:bottom w:val="nil"/>
            </w:tcBorders>
            <w:vAlign w:val="center"/>
          </w:tcPr>
          <w:p w14:paraId="78A0DD68" w14:textId="77777777" w:rsidR="0078664B" w:rsidRDefault="0078664B" w:rsidP="00AD606A">
            <w:pPr>
              <w:pStyle w:val="TableText0"/>
              <w:keepNext w:val="0"/>
              <w:keepLines/>
              <w:rPr>
                <w:szCs w:val="18"/>
                <w:lang w:val="en-US"/>
              </w:rPr>
            </w:pPr>
            <w:r>
              <w:rPr>
                <w:szCs w:val="18"/>
                <w:lang w:val="en-US"/>
              </w:rPr>
              <w:t xml:space="preserve">Gross A, Wolters P et al. </w:t>
            </w:r>
            <w:r w:rsidRPr="00FE273B">
              <w:rPr>
                <w:szCs w:val="18"/>
                <w:lang w:val="en-US"/>
              </w:rPr>
              <w:t>SPRINT: Phase II study of the MEK 1/2 inhibitor selumetinib (AZD6244, ARRY-142886) in children with neurofibromatosis type 1 (NF1) and inoperable plexiform neurofibromas.</w:t>
            </w:r>
          </w:p>
        </w:tc>
        <w:tc>
          <w:tcPr>
            <w:tcW w:w="1308" w:type="pct"/>
            <w:tcBorders>
              <w:top w:val="nil"/>
              <w:bottom w:val="nil"/>
            </w:tcBorders>
            <w:vAlign w:val="center"/>
          </w:tcPr>
          <w:p w14:paraId="4E5AD3D2" w14:textId="77777777" w:rsidR="0078664B" w:rsidRPr="00AB6248" w:rsidRDefault="0078664B" w:rsidP="00AD606A">
            <w:pPr>
              <w:pStyle w:val="TableText0"/>
              <w:keepNext w:val="0"/>
              <w:keepLines/>
              <w:rPr>
                <w:szCs w:val="18"/>
                <w:lang w:val="en-US"/>
              </w:rPr>
            </w:pPr>
            <w:r w:rsidRPr="00461161">
              <w:rPr>
                <w:i/>
                <w:iCs/>
                <w:szCs w:val="18"/>
                <w:lang w:val="en-US"/>
              </w:rPr>
              <w:t>Journal of Clinical Oncology</w:t>
            </w:r>
            <w:r>
              <w:rPr>
                <w:szCs w:val="18"/>
                <w:lang w:val="en-US"/>
              </w:rPr>
              <w:t xml:space="preserve"> 2018;</w:t>
            </w:r>
            <w:r w:rsidRPr="00461161">
              <w:rPr>
                <w:szCs w:val="18"/>
                <w:lang w:val="en-US"/>
              </w:rPr>
              <w:t xml:space="preserve"> 3</w:t>
            </w:r>
            <w:r>
              <w:rPr>
                <w:szCs w:val="18"/>
                <w:lang w:val="en-US"/>
              </w:rPr>
              <w:t>6</w:t>
            </w:r>
            <w:r w:rsidRPr="00461161">
              <w:rPr>
                <w:szCs w:val="18"/>
                <w:lang w:val="en-US"/>
              </w:rPr>
              <w:t>.</w:t>
            </w:r>
          </w:p>
        </w:tc>
      </w:tr>
      <w:tr w:rsidR="0078664B" w:rsidRPr="00CB38A8" w14:paraId="184231FC" w14:textId="77777777" w:rsidTr="0044212E">
        <w:tc>
          <w:tcPr>
            <w:tcW w:w="705" w:type="pct"/>
            <w:vMerge/>
            <w:vAlign w:val="center"/>
          </w:tcPr>
          <w:p w14:paraId="0CDBCAC5" w14:textId="77777777" w:rsidR="0078664B" w:rsidRPr="00CB38A8" w:rsidRDefault="0078664B" w:rsidP="00AD606A">
            <w:pPr>
              <w:pStyle w:val="TableText0"/>
              <w:keepNext w:val="0"/>
              <w:keepLines/>
            </w:pPr>
          </w:p>
        </w:tc>
        <w:tc>
          <w:tcPr>
            <w:tcW w:w="2987" w:type="pct"/>
            <w:tcBorders>
              <w:top w:val="nil"/>
              <w:bottom w:val="nil"/>
            </w:tcBorders>
            <w:vAlign w:val="center"/>
          </w:tcPr>
          <w:p w14:paraId="66FE9C17" w14:textId="77777777" w:rsidR="0078664B" w:rsidRDefault="0078664B" w:rsidP="00AD606A">
            <w:pPr>
              <w:pStyle w:val="TableText0"/>
              <w:keepNext w:val="0"/>
              <w:keepLines/>
              <w:rPr>
                <w:szCs w:val="18"/>
                <w:lang w:val="en-US"/>
              </w:rPr>
            </w:pPr>
            <w:r>
              <w:rPr>
                <w:szCs w:val="18"/>
                <w:lang w:val="en-US"/>
              </w:rPr>
              <w:t xml:space="preserve">Jackson S, Baker E et al. </w:t>
            </w:r>
            <w:r w:rsidRPr="009236B3">
              <w:rPr>
                <w:szCs w:val="18"/>
                <w:lang w:val="en-US"/>
              </w:rPr>
              <w:t>The effect of selumetinib on spinal neurofibromas in patients with NF1.</w:t>
            </w:r>
          </w:p>
        </w:tc>
        <w:tc>
          <w:tcPr>
            <w:tcW w:w="1308" w:type="pct"/>
            <w:tcBorders>
              <w:top w:val="nil"/>
              <w:bottom w:val="nil"/>
            </w:tcBorders>
            <w:vAlign w:val="center"/>
          </w:tcPr>
          <w:p w14:paraId="50B704DB" w14:textId="77777777" w:rsidR="0078664B" w:rsidRPr="00461161" w:rsidRDefault="0078664B" w:rsidP="00AD606A">
            <w:pPr>
              <w:pStyle w:val="TableText0"/>
              <w:keepNext w:val="0"/>
              <w:keepLines/>
              <w:rPr>
                <w:szCs w:val="18"/>
                <w:lang w:val="en-US"/>
              </w:rPr>
            </w:pPr>
            <w:r>
              <w:rPr>
                <w:i/>
                <w:iCs/>
                <w:szCs w:val="18"/>
                <w:lang w:val="en-US"/>
              </w:rPr>
              <w:t xml:space="preserve">Neuro-Oncology </w:t>
            </w:r>
            <w:r>
              <w:rPr>
                <w:szCs w:val="18"/>
                <w:lang w:val="en-US"/>
              </w:rPr>
              <w:t>2018; 20, vi237</w:t>
            </w:r>
          </w:p>
        </w:tc>
      </w:tr>
      <w:tr w:rsidR="0078664B" w:rsidRPr="00CB38A8" w14:paraId="24829E7C" w14:textId="77777777" w:rsidTr="0044212E">
        <w:tc>
          <w:tcPr>
            <w:tcW w:w="705" w:type="pct"/>
            <w:vMerge/>
            <w:vAlign w:val="center"/>
          </w:tcPr>
          <w:p w14:paraId="3E843DA7" w14:textId="77777777" w:rsidR="0078664B" w:rsidRPr="00CB38A8" w:rsidRDefault="0078664B" w:rsidP="00AD606A">
            <w:pPr>
              <w:pStyle w:val="TableText0"/>
              <w:keepNext w:val="0"/>
              <w:keepLines/>
            </w:pPr>
          </w:p>
        </w:tc>
        <w:tc>
          <w:tcPr>
            <w:tcW w:w="2987" w:type="pct"/>
            <w:tcBorders>
              <w:top w:val="nil"/>
              <w:bottom w:val="nil"/>
            </w:tcBorders>
            <w:vAlign w:val="center"/>
          </w:tcPr>
          <w:p w14:paraId="723E16D7" w14:textId="77777777" w:rsidR="0078664B" w:rsidRDefault="0078664B" w:rsidP="00AD606A">
            <w:pPr>
              <w:pStyle w:val="TableText0"/>
              <w:keepNext w:val="0"/>
              <w:keepLines/>
              <w:rPr>
                <w:szCs w:val="18"/>
                <w:lang w:val="en-US"/>
              </w:rPr>
            </w:pPr>
            <w:r>
              <w:rPr>
                <w:szCs w:val="18"/>
                <w:lang w:val="en-US"/>
              </w:rPr>
              <w:t xml:space="preserve">Jackson S, Baker E et al. </w:t>
            </w:r>
            <w:r w:rsidRPr="009236B3">
              <w:rPr>
                <w:szCs w:val="18"/>
                <w:lang w:val="en-US"/>
              </w:rPr>
              <w:t>The MEK inhibitor selumetinib reduces spinal neurofibroma burden in patients with NF1 and plexiform neurofibromas</w:t>
            </w:r>
          </w:p>
        </w:tc>
        <w:tc>
          <w:tcPr>
            <w:tcW w:w="1308" w:type="pct"/>
            <w:tcBorders>
              <w:top w:val="nil"/>
              <w:bottom w:val="nil"/>
            </w:tcBorders>
            <w:vAlign w:val="center"/>
          </w:tcPr>
          <w:p w14:paraId="52FF3AE1" w14:textId="77777777" w:rsidR="0078664B" w:rsidRPr="001B7742" w:rsidRDefault="0078664B" w:rsidP="00AD606A">
            <w:pPr>
              <w:pStyle w:val="TableText0"/>
              <w:keepNext w:val="0"/>
              <w:keepLines/>
              <w:rPr>
                <w:szCs w:val="18"/>
                <w:lang w:val="en-US"/>
              </w:rPr>
            </w:pPr>
            <w:r>
              <w:rPr>
                <w:i/>
                <w:iCs/>
                <w:szCs w:val="18"/>
                <w:lang w:val="en-US"/>
              </w:rPr>
              <w:t>Neuro-Oncology Advances</w:t>
            </w:r>
            <w:r>
              <w:rPr>
                <w:szCs w:val="18"/>
                <w:lang w:val="en-US"/>
              </w:rPr>
              <w:t xml:space="preserve"> 2020; 2, vdaa095</w:t>
            </w:r>
          </w:p>
        </w:tc>
      </w:tr>
      <w:tr w:rsidR="0078664B" w:rsidRPr="00CB38A8" w14:paraId="5893316F" w14:textId="77777777" w:rsidTr="007B1BFA">
        <w:tc>
          <w:tcPr>
            <w:tcW w:w="705" w:type="pct"/>
            <w:vMerge/>
            <w:vAlign w:val="center"/>
          </w:tcPr>
          <w:p w14:paraId="4206BF3B" w14:textId="77777777" w:rsidR="0078664B" w:rsidRPr="00CB38A8" w:rsidRDefault="0078664B" w:rsidP="00AD606A">
            <w:pPr>
              <w:pStyle w:val="TableText0"/>
              <w:keepNext w:val="0"/>
              <w:keepLines/>
            </w:pPr>
          </w:p>
        </w:tc>
        <w:tc>
          <w:tcPr>
            <w:tcW w:w="2987" w:type="pct"/>
            <w:tcBorders>
              <w:top w:val="nil"/>
              <w:bottom w:val="nil"/>
            </w:tcBorders>
            <w:vAlign w:val="center"/>
          </w:tcPr>
          <w:p w14:paraId="17E31F84" w14:textId="77777777" w:rsidR="0078664B" w:rsidRDefault="0078664B" w:rsidP="00AD606A">
            <w:pPr>
              <w:pStyle w:val="TableText0"/>
              <w:keepNext w:val="0"/>
              <w:keepLines/>
              <w:rPr>
                <w:szCs w:val="18"/>
                <w:lang w:val="en-US"/>
              </w:rPr>
            </w:pPr>
            <w:r>
              <w:rPr>
                <w:szCs w:val="18"/>
                <w:lang w:val="en-US"/>
              </w:rPr>
              <w:t xml:space="preserve">Dombi E, Baldwin A et al. </w:t>
            </w:r>
            <w:r w:rsidRPr="009236B3">
              <w:rPr>
                <w:szCs w:val="18"/>
                <w:lang w:val="en-US"/>
              </w:rPr>
              <w:t>Activity of selumetinib in neurofibromatosis type 1-related plexiform neurofibromas.</w:t>
            </w:r>
          </w:p>
        </w:tc>
        <w:tc>
          <w:tcPr>
            <w:tcW w:w="1308" w:type="pct"/>
            <w:tcBorders>
              <w:top w:val="nil"/>
              <w:bottom w:val="nil"/>
            </w:tcBorders>
            <w:vAlign w:val="center"/>
          </w:tcPr>
          <w:p w14:paraId="7F3CBFB3" w14:textId="77777777" w:rsidR="0078664B" w:rsidRPr="00AB6248" w:rsidRDefault="0078664B" w:rsidP="00AD606A">
            <w:pPr>
              <w:pStyle w:val="TableText0"/>
              <w:keepNext w:val="0"/>
              <w:keepLines/>
              <w:rPr>
                <w:szCs w:val="18"/>
                <w:lang w:val="en-US"/>
              </w:rPr>
            </w:pPr>
            <w:r w:rsidRPr="001B7742">
              <w:rPr>
                <w:i/>
                <w:iCs/>
                <w:szCs w:val="18"/>
                <w:lang w:val="en-US"/>
              </w:rPr>
              <w:t>New England Journal of Medicine</w:t>
            </w:r>
            <w:r>
              <w:rPr>
                <w:szCs w:val="18"/>
                <w:lang w:val="en-US"/>
              </w:rPr>
              <w:t xml:space="preserve"> 2016;</w:t>
            </w:r>
            <w:r w:rsidRPr="001B7742">
              <w:rPr>
                <w:szCs w:val="18"/>
                <w:lang w:val="en-US"/>
              </w:rPr>
              <w:t xml:space="preserve"> 375, 2550-2560.</w:t>
            </w:r>
          </w:p>
        </w:tc>
      </w:tr>
      <w:tr w:rsidR="0078664B" w:rsidRPr="00CB38A8" w14:paraId="734BCA73" w14:textId="77777777" w:rsidTr="007B1BFA">
        <w:tc>
          <w:tcPr>
            <w:tcW w:w="705" w:type="pct"/>
            <w:vMerge/>
            <w:vAlign w:val="center"/>
          </w:tcPr>
          <w:p w14:paraId="21DC4F76" w14:textId="77777777" w:rsidR="0078664B" w:rsidRPr="00CB38A8" w:rsidRDefault="0078664B" w:rsidP="00AD606A">
            <w:pPr>
              <w:pStyle w:val="TableText0"/>
              <w:keepNext w:val="0"/>
              <w:keepLines/>
            </w:pPr>
          </w:p>
        </w:tc>
        <w:tc>
          <w:tcPr>
            <w:tcW w:w="2987" w:type="pct"/>
            <w:tcBorders>
              <w:top w:val="nil"/>
              <w:bottom w:val="nil"/>
            </w:tcBorders>
            <w:vAlign w:val="center"/>
          </w:tcPr>
          <w:p w14:paraId="1BE11712" w14:textId="07617DF0" w:rsidR="0078664B" w:rsidRDefault="0078664B" w:rsidP="00AD606A">
            <w:pPr>
              <w:pStyle w:val="TableText0"/>
              <w:keepNext w:val="0"/>
              <w:keepLines/>
              <w:rPr>
                <w:szCs w:val="18"/>
                <w:lang w:val="en-US"/>
              </w:rPr>
            </w:pPr>
            <w:r>
              <w:rPr>
                <w:szCs w:val="18"/>
                <w:lang w:val="en-US"/>
              </w:rPr>
              <w:t xml:space="preserve">Fisher M, Marcus L et al. </w:t>
            </w:r>
            <w:r w:rsidRPr="009236B3">
              <w:rPr>
                <w:szCs w:val="18"/>
                <w:lang w:val="en-US"/>
              </w:rPr>
              <w:t xml:space="preserve">Selumetinib (AZD6244) hydrogen sulfate, a MEK1/2 inhibitor, in children with neurofibromatosis type 1 (NF1) and inoperable plexiform neurofibromas (PNS): A </w:t>
            </w:r>
            <w:r>
              <w:rPr>
                <w:szCs w:val="18"/>
                <w:lang w:val="en-US"/>
              </w:rPr>
              <w:t>P</w:t>
            </w:r>
            <w:r w:rsidRPr="009236B3">
              <w:rPr>
                <w:szCs w:val="18"/>
                <w:lang w:val="en-US"/>
              </w:rPr>
              <w:t xml:space="preserve">hase </w:t>
            </w:r>
            <w:r>
              <w:rPr>
                <w:szCs w:val="18"/>
                <w:lang w:val="en-US"/>
              </w:rPr>
              <w:t>I</w:t>
            </w:r>
            <w:r w:rsidRPr="009236B3">
              <w:rPr>
                <w:szCs w:val="18"/>
                <w:lang w:val="en-US"/>
              </w:rPr>
              <w:t xml:space="preserve"> study.</w:t>
            </w:r>
          </w:p>
        </w:tc>
        <w:tc>
          <w:tcPr>
            <w:tcW w:w="1308" w:type="pct"/>
            <w:tcBorders>
              <w:top w:val="nil"/>
              <w:bottom w:val="nil"/>
            </w:tcBorders>
            <w:vAlign w:val="center"/>
          </w:tcPr>
          <w:p w14:paraId="253EBFAB" w14:textId="77777777" w:rsidR="0078664B" w:rsidRPr="00AB6248" w:rsidRDefault="0078664B" w:rsidP="00AD606A">
            <w:pPr>
              <w:pStyle w:val="TableText0"/>
              <w:keepNext w:val="0"/>
              <w:keepLines/>
              <w:rPr>
                <w:szCs w:val="18"/>
                <w:lang w:val="en-US"/>
              </w:rPr>
            </w:pPr>
            <w:r w:rsidRPr="001B7742">
              <w:rPr>
                <w:i/>
                <w:iCs/>
                <w:szCs w:val="18"/>
                <w:lang w:val="en-US"/>
              </w:rPr>
              <w:t>Neuro-Oncology</w:t>
            </w:r>
            <w:r>
              <w:rPr>
                <w:szCs w:val="18"/>
                <w:lang w:val="en-US"/>
              </w:rPr>
              <w:t xml:space="preserve"> 2014;</w:t>
            </w:r>
            <w:r w:rsidRPr="001B7742">
              <w:rPr>
                <w:szCs w:val="18"/>
                <w:lang w:val="en-US"/>
              </w:rPr>
              <w:t xml:space="preserve"> 16, i129</w:t>
            </w:r>
          </w:p>
        </w:tc>
      </w:tr>
      <w:tr w:rsidR="0078664B" w:rsidRPr="00CB38A8" w14:paraId="7A014B47" w14:textId="77777777" w:rsidTr="007B1BFA">
        <w:tc>
          <w:tcPr>
            <w:tcW w:w="705" w:type="pct"/>
            <w:vMerge/>
            <w:tcBorders>
              <w:bottom w:val="nil"/>
            </w:tcBorders>
            <w:vAlign w:val="center"/>
          </w:tcPr>
          <w:p w14:paraId="3DA29AFC" w14:textId="77777777" w:rsidR="0078664B" w:rsidRPr="00CB38A8" w:rsidRDefault="0078664B" w:rsidP="00AD606A">
            <w:pPr>
              <w:pStyle w:val="TableText0"/>
              <w:keepNext w:val="0"/>
              <w:keepLines/>
            </w:pPr>
          </w:p>
        </w:tc>
        <w:tc>
          <w:tcPr>
            <w:tcW w:w="2987" w:type="pct"/>
            <w:tcBorders>
              <w:top w:val="nil"/>
              <w:bottom w:val="single" w:sz="4" w:space="0" w:color="auto"/>
            </w:tcBorders>
            <w:vAlign w:val="center"/>
          </w:tcPr>
          <w:p w14:paraId="22207D1B" w14:textId="4688C104" w:rsidR="0078664B" w:rsidRDefault="0078664B" w:rsidP="00AD606A">
            <w:pPr>
              <w:pStyle w:val="TableText0"/>
              <w:keepNext w:val="0"/>
              <w:keepLines/>
              <w:rPr>
                <w:szCs w:val="18"/>
                <w:lang w:val="en-US"/>
              </w:rPr>
            </w:pPr>
            <w:r>
              <w:rPr>
                <w:szCs w:val="18"/>
                <w:lang w:val="en-US"/>
              </w:rPr>
              <w:t xml:space="preserve">Widemann B, Marcus L et al. </w:t>
            </w:r>
            <w:r w:rsidRPr="009236B3">
              <w:rPr>
                <w:szCs w:val="18"/>
                <w:lang w:val="en-US"/>
              </w:rPr>
              <w:t>Phase I study of the MEK1/2 inhibitor selumetinib (AZD6244) hydrogen sulfate in children and young adults with neurofibromatosis type 1 (NF1) and inoperable plexiform neurofibromas (PNs).</w:t>
            </w:r>
          </w:p>
        </w:tc>
        <w:tc>
          <w:tcPr>
            <w:tcW w:w="1308" w:type="pct"/>
            <w:tcBorders>
              <w:top w:val="nil"/>
              <w:bottom w:val="single" w:sz="4" w:space="0" w:color="auto"/>
            </w:tcBorders>
            <w:vAlign w:val="center"/>
          </w:tcPr>
          <w:p w14:paraId="536C3A31" w14:textId="77777777" w:rsidR="0078664B" w:rsidRPr="00AB6248" w:rsidRDefault="0078664B" w:rsidP="00AD606A">
            <w:pPr>
              <w:pStyle w:val="TableText0"/>
              <w:keepNext w:val="0"/>
              <w:keepLines/>
              <w:rPr>
                <w:szCs w:val="18"/>
                <w:lang w:val="en-US"/>
              </w:rPr>
            </w:pPr>
            <w:r w:rsidRPr="001B7742">
              <w:rPr>
                <w:i/>
                <w:iCs/>
                <w:szCs w:val="18"/>
                <w:lang w:val="en-US"/>
              </w:rPr>
              <w:t>Journal of Clinical Oncology</w:t>
            </w:r>
            <w:r>
              <w:rPr>
                <w:szCs w:val="18"/>
                <w:lang w:val="en-US"/>
              </w:rPr>
              <w:t xml:space="preserve"> 2014;</w:t>
            </w:r>
            <w:r w:rsidRPr="001B7742">
              <w:rPr>
                <w:szCs w:val="18"/>
                <w:lang w:val="en-US"/>
              </w:rPr>
              <w:t xml:space="preserve"> 32.</w:t>
            </w:r>
          </w:p>
        </w:tc>
      </w:tr>
      <w:tr w:rsidR="0078664B" w:rsidRPr="00CB38A8" w14:paraId="346AAC5E" w14:textId="77777777" w:rsidTr="0044212E">
        <w:tc>
          <w:tcPr>
            <w:tcW w:w="705" w:type="pct"/>
            <w:vMerge w:val="restart"/>
            <w:vAlign w:val="center"/>
          </w:tcPr>
          <w:p w14:paraId="1EB1EF10" w14:textId="77777777" w:rsidR="0078664B" w:rsidRDefault="0078664B" w:rsidP="00AD606A">
            <w:pPr>
              <w:pStyle w:val="TableText0"/>
              <w:keepNext w:val="0"/>
              <w:keepLines/>
            </w:pPr>
            <w:r>
              <w:t>NH study</w:t>
            </w:r>
          </w:p>
          <w:p w14:paraId="2B2CED7D" w14:textId="77777777" w:rsidR="0078664B" w:rsidRPr="00CB38A8" w:rsidRDefault="0078664B" w:rsidP="00AD606A">
            <w:pPr>
              <w:pStyle w:val="TableText0"/>
              <w:keepNext w:val="0"/>
              <w:keepLines/>
            </w:pPr>
            <w:r>
              <w:t>(NCT00924196)</w:t>
            </w:r>
          </w:p>
        </w:tc>
        <w:tc>
          <w:tcPr>
            <w:tcW w:w="2987" w:type="pct"/>
            <w:tcBorders>
              <w:bottom w:val="nil"/>
            </w:tcBorders>
            <w:vAlign w:val="center"/>
          </w:tcPr>
          <w:p w14:paraId="759FA27C" w14:textId="77777777" w:rsidR="0078664B" w:rsidRPr="00CB38A8" w:rsidRDefault="0078664B" w:rsidP="00AD606A">
            <w:pPr>
              <w:pStyle w:val="TableText0"/>
              <w:keepNext w:val="0"/>
              <w:keepLines/>
            </w:pPr>
            <w:r>
              <w:t xml:space="preserve">Akshintala S, Baldwin A et al. </w:t>
            </w:r>
            <w:r w:rsidRPr="00647398">
              <w:t xml:space="preserve">Longitudinal evaluation of peripheral nerve sheath </w:t>
            </w:r>
            <w:r>
              <w:t>t</w:t>
            </w:r>
            <w:r w:rsidRPr="00647398">
              <w:t>umours in neurofibromatosis type 1: growth analysis of plexiform neurofibromas and distinct nodular lesions.</w:t>
            </w:r>
          </w:p>
        </w:tc>
        <w:tc>
          <w:tcPr>
            <w:tcW w:w="1308" w:type="pct"/>
            <w:tcBorders>
              <w:bottom w:val="nil"/>
            </w:tcBorders>
            <w:vAlign w:val="center"/>
          </w:tcPr>
          <w:p w14:paraId="0829533B" w14:textId="77777777" w:rsidR="0078664B" w:rsidRPr="004A2558" w:rsidRDefault="0078664B" w:rsidP="00AD606A">
            <w:pPr>
              <w:pStyle w:val="TableText0"/>
              <w:keepNext w:val="0"/>
              <w:keepLines/>
            </w:pPr>
            <w:r w:rsidRPr="001B7742">
              <w:rPr>
                <w:i/>
                <w:iCs/>
              </w:rPr>
              <w:t>Neuro-Oncology</w:t>
            </w:r>
            <w:r w:rsidRPr="001B7742">
              <w:t xml:space="preserve"> </w:t>
            </w:r>
            <w:r>
              <w:t xml:space="preserve">2020; </w:t>
            </w:r>
            <w:r w:rsidRPr="001B7742">
              <w:t>22, 1368-1378.</w:t>
            </w:r>
          </w:p>
        </w:tc>
      </w:tr>
      <w:tr w:rsidR="0078664B" w:rsidRPr="00CB38A8" w14:paraId="7828EB7B" w14:textId="77777777" w:rsidTr="0044212E">
        <w:tc>
          <w:tcPr>
            <w:tcW w:w="705" w:type="pct"/>
            <w:vMerge/>
            <w:vAlign w:val="center"/>
          </w:tcPr>
          <w:p w14:paraId="7B6352E2" w14:textId="77777777" w:rsidR="0078664B" w:rsidRPr="00CB38A8" w:rsidRDefault="0078664B" w:rsidP="00AD606A">
            <w:pPr>
              <w:pStyle w:val="TableText0"/>
              <w:keepNext w:val="0"/>
              <w:keepLines/>
            </w:pPr>
          </w:p>
        </w:tc>
        <w:tc>
          <w:tcPr>
            <w:tcW w:w="2987" w:type="pct"/>
            <w:tcBorders>
              <w:top w:val="nil"/>
              <w:bottom w:val="nil"/>
            </w:tcBorders>
            <w:vAlign w:val="center"/>
          </w:tcPr>
          <w:p w14:paraId="2C6FA5E8" w14:textId="77777777" w:rsidR="0078664B" w:rsidRPr="00E34A35" w:rsidRDefault="0078664B" w:rsidP="00AD606A">
            <w:pPr>
              <w:pStyle w:val="TableText0"/>
              <w:keepNext w:val="0"/>
              <w:keepLines/>
              <w:rPr>
                <w:szCs w:val="18"/>
              </w:rPr>
            </w:pPr>
            <w:r>
              <w:rPr>
                <w:szCs w:val="18"/>
              </w:rPr>
              <w:t xml:space="preserve">Akshintala S, Dombi E et al. </w:t>
            </w:r>
            <w:r w:rsidRPr="003113D6">
              <w:rPr>
                <w:szCs w:val="18"/>
              </w:rPr>
              <w:t>Predictors of plexiform neurofibroma growth in patients with neurofibromatosis 1 (NF1).</w:t>
            </w:r>
          </w:p>
        </w:tc>
        <w:tc>
          <w:tcPr>
            <w:tcW w:w="1308" w:type="pct"/>
            <w:tcBorders>
              <w:top w:val="nil"/>
              <w:bottom w:val="nil"/>
            </w:tcBorders>
            <w:vAlign w:val="center"/>
          </w:tcPr>
          <w:p w14:paraId="523C8E38" w14:textId="77777777" w:rsidR="0078664B" w:rsidRPr="00CB38A8" w:rsidRDefault="0078664B" w:rsidP="00AD606A">
            <w:pPr>
              <w:pStyle w:val="TableText0"/>
              <w:keepNext w:val="0"/>
              <w:keepLines/>
              <w:rPr>
                <w:i/>
              </w:rPr>
            </w:pPr>
            <w:r w:rsidRPr="001B7742">
              <w:rPr>
                <w:i/>
              </w:rPr>
              <w:t>Pediatric Blood and Cancer</w:t>
            </w:r>
            <w:r w:rsidRPr="001B7742">
              <w:rPr>
                <w:iCs/>
              </w:rPr>
              <w:t xml:space="preserve"> </w:t>
            </w:r>
            <w:r>
              <w:rPr>
                <w:iCs/>
              </w:rPr>
              <w:t xml:space="preserve">2014; </w:t>
            </w:r>
            <w:r w:rsidRPr="001B7742">
              <w:rPr>
                <w:iCs/>
              </w:rPr>
              <w:t>61, S32-S33.</w:t>
            </w:r>
          </w:p>
        </w:tc>
      </w:tr>
      <w:tr w:rsidR="0078664B" w:rsidRPr="00CB38A8" w14:paraId="28147FB8" w14:textId="77777777" w:rsidTr="0044212E">
        <w:tc>
          <w:tcPr>
            <w:tcW w:w="705" w:type="pct"/>
            <w:vMerge/>
            <w:vAlign w:val="center"/>
          </w:tcPr>
          <w:p w14:paraId="54DED886" w14:textId="77777777" w:rsidR="0078664B" w:rsidRPr="00CB38A8" w:rsidRDefault="0078664B" w:rsidP="00AD606A">
            <w:pPr>
              <w:pStyle w:val="TableText0"/>
              <w:keepNext w:val="0"/>
              <w:keepLines/>
            </w:pPr>
          </w:p>
        </w:tc>
        <w:tc>
          <w:tcPr>
            <w:tcW w:w="2987" w:type="pct"/>
            <w:tcBorders>
              <w:top w:val="nil"/>
              <w:bottom w:val="nil"/>
            </w:tcBorders>
            <w:vAlign w:val="center"/>
          </w:tcPr>
          <w:p w14:paraId="04257CDA" w14:textId="77777777" w:rsidR="0078664B" w:rsidRPr="00804917" w:rsidRDefault="0078664B" w:rsidP="00AD606A">
            <w:pPr>
              <w:pStyle w:val="TableText0"/>
              <w:keepNext w:val="0"/>
              <w:keepLines/>
              <w:rPr>
                <w:szCs w:val="18"/>
              </w:rPr>
            </w:pPr>
            <w:r>
              <w:rPr>
                <w:szCs w:val="18"/>
              </w:rPr>
              <w:t xml:space="preserve">Dagalakis U, Lodish M et al. </w:t>
            </w:r>
            <w:r w:rsidRPr="003113D6">
              <w:rPr>
                <w:szCs w:val="18"/>
              </w:rPr>
              <w:t xml:space="preserve">Puberty and plexiform neurofibroma tumour growth in patients with neurofibromatosis type </w:t>
            </w:r>
            <w:r>
              <w:rPr>
                <w:szCs w:val="18"/>
              </w:rPr>
              <w:t>1</w:t>
            </w:r>
            <w:r w:rsidRPr="003113D6">
              <w:rPr>
                <w:szCs w:val="18"/>
              </w:rPr>
              <w:t>.</w:t>
            </w:r>
          </w:p>
        </w:tc>
        <w:tc>
          <w:tcPr>
            <w:tcW w:w="1308" w:type="pct"/>
            <w:tcBorders>
              <w:top w:val="nil"/>
              <w:bottom w:val="nil"/>
            </w:tcBorders>
            <w:vAlign w:val="center"/>
          </w:tcPr>
          <w:p w14:paraId="2D336773" w14:textId="77777777" w:rsidR="0078664B" w:rsidRPr="005C3BD2" w:rsidRDefault="0078664B" w:rsidP="00AD606A">
            <w:pPr>
              <w:pStyle w:val="TableText0"/>
              <w:keepNext w:val="0"/>
              <w:keepLines/>
            </w:pPr>
            <w:r w:rsidRPr="001B7742">
              <w:rPr>
                <w:i/>
                <w:iCs/>
              </w:rPr>
              <w:t>Journal of Pediatrics</w:t>
            </w:r>
            <w:r>
              <w:rPr>
                <w:i/>
                <w:iCs/>
              </w:rPr>
              <w:t xml:space="preserve"> </w:t>
            </w:r>
            <w:r>
              <w:t>2014;</w:t>
            </w:r>
            <w:r w:rsidRPr="001B7742">
              <w:t xml:space="preserve"> 164, 620-624.</w:t>
            </w:r>
          </w:p>
        </w:tc>
      </w:tr>
      <w:tr w:rsidR="0078664B" w:rsidRPr="00CB38A8" w14:paraId="7C06C942" w14:textId="77777777" w:rsidTr="0044212E">
        <w:tc>
          <w:tcPr>
            <w:tcW w:w="705" w:type="pct"/>
            <w:vMerge/>
            <w:vAlign w:val="center"/>
          </w:tcPr>
          <w:p w14:paraId="357480A0" w14:textId="77777777" w:rsidR="0078664B" w:rsidRPr="00CB38A8" w:rsidRDefault="0078664B" w:rsidP="00AD606A">
            <w:pPr>
              <w:pStyle w:val="TableText0"/>
              <w:keepNext w:val="0"/>
              <w:keepLines/>
            </w:pPr>
          </w:p>
        </w:tc>
        <w:tc>
          <w:tcPr>
            <w:tcW w:w="2987" w:type="pct"/>
            <w:tcBorders>
              <w:top w:val="nil"/>
              <w:bottom w:val="nil"/>
            </w:tcBorders>
            <w:vAlign w:val="center"/>
          </w:tcPr>
          <w:p w14:paraId="5177383D" w14:textId="77777777" w:rsidR="0078664B" w:rsidRDefault="0078664B" w:rsidP="00AD606A">
            <w:pPr>
              <w:pStyle w:val="TableText0"/>
              <w:keepNext w:val="0"/>
              <w:keepLines/>
              <w:rPr>
                <w:szCs w:val="18"/>
              </w:rPr>
            </w:pPr>
            <w:r>
              <w:rPr>
                <w:szCs w:val="18"/>
              </w:rPr>
              <w:t xml:space="preserve">Gross A, Singh G et al. </w:t>
            </w:r>
            <w:r w:rsidRPr="003113D6">
              <w:rPr>
                <w:szCs w:val="18"/>
              </w:rPr>
              <w:t>Association of plexiform neurofibroma volume changes and development of clinical morbidities in neurofibromatosis 1</w:t>
            </w:r>
            <w:r>
              <w:rPr>
                <w:szCs w:val="18"/>
              </w:rPr>
              <w:t>.</w:t>
            </w:r>
          </w:p>
        </w:tc>
        <w:tc>
          <w:tcPr>
            <w:tcW w:w="1308" w:type="pct"/>
            <w:tcBorders>
              <w:top w:val="nil"/>
              <w:bottom w:val="nil"/>
            </w:tcBorders>
            <w:vAlign w:val="center"/>
          </w:tcPr>
          <w:p w14:paraId="65B56C40" w14:textId="77777777" w:rsidR="0078664B" w:rsidRPr="001B7742" w:rsidRDefault="0078664B" w:rsidP="00AD606A">
            <w:pPr>
              <w:pStyle w:val="TableText0"/>
              <w:keepNext w:val="0"/>
              <w:keepLines/>
            </w:pPr>
            <w:r w:rsidRPr="001B7742">
              <w:rPr>
                <w:i/>
                <w:iCs/>
              </w:rPr>
              <w:t>Neuro-Oncology</w:t>
            </w:r>
            <w:r>
              <w:t xml:space="preserve"> 2018;</w:t>
            </w:r>
            <w:r w:rsidRPr="001B7742">
              <w:t xml:space="preserve"> 20, 1643-1651.</w:t>
            </w:r>
          </w:p>
        </w:tc>
      </w:tr>
      <w:tr w:rsidR="0078664B" w:rsidRPr="00CB38A8" w14:paraId="00950601" w14:textId="77777777" w:rsidTr="0044212E">
        <w:tc>
          <w:tcPr>
            <w:tcW w:w="705" w:type="pct"/>
            <w:vMerge/>
            <w:vAlign w:val="center"/>
          </w:tcPr>
          <w:p w14:paraId="2B63EC67" w14:textId="77777777" w:rsidR="0078664B" w:rsidRPr="00CB38A8" w:rsidRDefault="0078664B" w:rsidP="00AD606A">
            <w:pPr>
              <w:pStyle w:val="TableText0"/>
              <w:keepNext w:val="0"/>
              <w:keepLines/>
            </w:pPr>
          </w:p>
        </w:tc>
        <w:tc>
          <w:tcPr>
            <w:tcW w:w="2987" w:type="pct"/>
            <w:tcBorders>
              <w:top w:val="nil"/>
              <w:bottom w:val="nil"/>
            </w:tcBorders>
            <w:vAlign w:val="center"/>
          </w:tcPr>
          <w:p w14:paraId="3370F5F9" w14:textId="77777777" w:rsidR="0078664B" w:rsidRDefault="0078664B" w:rsidP="00AD606A">
            <w:pPr>
              <w:pStyle w:val="TableText0"/>
              <w:keepNext w:val="0"/>
              <w:keepLines/>
              <w:rPr>
                <w:szCs w:val="18"/>
              </w:rPr>
            </w:pPr>
            <w:r>
              <w:rPr>
                <w:szCs w:val="18"/>
              </w:rPr>
              <w:t xml:space="preserve">Hou Y, Allen T et al. </w:t>
            </w:r>
            <w:r w:rsidRPr="003113D6">
              <w:rPr>
                <w:szCs w:val="18"/>
              </w:rPr>
              <w:t>Predictors of cognitive development in children with neurofibromatosis type 1 and plexiform neurofibromas.</w:t>
            </w:r>
          </w:p>
        </w:tc>
        <w:tc>
          <w:tcPr>
            <w:tcW w:w="1308" w:type="pct"/>
            <w:tcBorders>
              <w:top w:val="nil"/>
              <w:bottom w:val="nil"/>
            </w:tcBorders>
            <w:vAlign w:val="center"/>
          </w:tcPr>
          <w:p w14:paraId="0F992109" w14:textId="77777777" w:rsidR="0078664B" w:rsidRPr="005C3BD2" w:rsidRDefault="0078664B" w:rsidP="00AD606A">
            <w:pPr>
              <w:pStyle w:val="TableText0"/>
              <w:keepNext w:val="0"/>
              <w:keepLines/>
            </w:pPr>
            <w:r w:rsidRPr="001B7742">
              <w:rPr>
                <w:i/>
                <w:iCs/>
              </w:rPr>
              <w:t>Developmental Medicine and Child Neurology</w:t>
            </w:r>
            <w:r>
              <w:t xml:space="preserve"> 2020;</w:t>
            </w:r>
            <w:r w:rsidRPr="001B7742">
              <w:t xml:space="preserve"> 62, 977-984.</w:t>
            </w:r>
          </w:p>
        </w:tc>
      </w:tr>
      <w:tr w:rsidR="0078664B" w:rsidRPr="00CB38A8" w14:paraId="46A09823" w14:textId="77777777" w:rsidTr="0044212E">
        <w:tc>
          <w:tcPr>
            <w:tcW w:w="705" w:type="pct"/>
            <w:vMerge/>
            <w:vAlign w:val="center"/>
          </w:tcPr>
          <w:p w14:paraId="7013FC86" w14:textId="77777777" w:rsidR="0078664B" w:rsidRPr="00CB38A8" w:rsidRDefault="0078664B" w:rsidP="00AD606A">
            <w:pPr>
              <w:pStyle w:val="TableText0"/>
              <w:keepNext w:val="0"/>
              <w:keepLines/>
            </w:pPr>
          </w:p>
        </w:tc>
        <w:tc>
          <w:tcPr>
            <w:tcW w:w="2987" w:type="pct"/>
            <w:tcBorders>
              <w:top w:val="nil"/>
              <w:bottom w:val="nil"/>
            </w:tcBorders>
            <w:vAlign w:val="center"/>
          </w:tcPr>
          <w:p w14:paraId="49CB884E" w14:textId="77777777" w:rsidR="0078664B" w:rsidRDefault="0078664B" w:rsidP="00AD606A">
            <w:pPr>
              <w:pStyle w:val="TableText0"/>
              <w:keepNext w:val="0"/>
              <w:keepLines/>
              <w:rPr>
                <w:szCs w:val="18"/>
              </w:rPr>
            </w:pPr>
            <w:r>
              <w:rPr>
                <w:szCs w:val="18"/>
              </w:rPr>
              <w:t xml:space="preserve">Kim A, Gillespie A et al. </w:t>
            </w:r>
            <w:r w:rsidRPr="003113D6">
              <w:rPr>
                <w:szCs w:val="18"/>
              </w:rPr>
              <w:t>Characteristics of children enrolled in treatment trials for NF1-related plexiform neurofibromas.</w:t>
            </w:r>
          </w:p>
        </w:tc>
        <w:tc>
          <w:tcPr>
            <w:tcW w:w="1308" w:type="pct"/>
            <w:tcBorders>
              <w:top w:val="nil"/>
              <w:bottom w:val="nil"/>
            </w:tcBorders>
            <w:vAlign w:val="center"/>
          </w:tcPr>
          <w:p w14:paraId="203905CF" w14:textId="77777777" w:rsidR="0078664B" w:rsidRPr="005C3BD2" w:rsidRDefault="0078664B" w:rsidP="00AD606A">
            <w:pPr>
              <w:pStyle w:val="TableText0"/>
              <w:keepNext w:val="0"/>
              <w:keepLines/>
            </w:pPr>
            <w:r w:rsidRPr="00E04423">
              <w:rPr>
                <w:i/>
                <w:iCs/>
              </w:rPr>
              <w:t xml:space="preserve">Neurology </w:t>
            </w:r>
            <w:r>
              <w:t>2009; 79, 1273-1279</w:t>
            </w:r>
          </w:p>
        </w:tc>
      </w:tr>
      <w:tr w:rsidR="0078664B" w:rsidRPr="00CB38A8" w14:paraId="242BAE27" w14:textId="77777777" w:rsidTr="0044212E">
        <w:tc>
          <w:tcPr>
            <w:tcW w:w="705" w:type="pct"/>
            <w:vMerge/>
            <w:vAlign w:val="center"/>
          </w:tcPr>
          <w:p w14:paraId="19F94A90" w14:textId="77777777" w:rsidR="0078664B" w:rsidRPr="00CB38A8" w:rsidRDefault="0078664B" w:rsidP="00AD606A">
            <w:pPr>
              <w:pStyle w:val="TableText0"/>
              <w:keepNext w:val="0"/>
              <w:keepLines/>
            </w:pPr>
          </w:p>
        </w:tc>
        <w:tc>
          <w:tcPr>
            <w:tcW w:w="2987" w:type="pct"/>
            <w:tcBorders>
              <w:top w:val="nil"/>
              <w:bottom w:val="nil"/>
            </w:tcBorders>
            <w:vAlign w:val="center"/>
          </w:tcPr>
          <w:p w14:paraId="0BAE339B" w14:textId="77777777" w:rsidR="0078664B" w:rsidRDefault="0078664B" w:rsidP="00AD606A">
            <w:pPr>
              <w:pStyle w:val="TableText0"/>
              <w:keepNext w:val="0"/>
              <w:keepLines/>
              <w:rPr>
                <w:szCs w:val="18"/>
              </w:rPr>
            </w:pPr>
            <w:r>
              <w:rPr>
                <w:szCs w:val="18"/>
              </w:rPr>
              <w:t xml:space="preserve">Loucas C, Wolters P et al. </w:t>
            </w:r>
            <w:r w:rsidRPr="003113D6">
              <w:rPr>
                <w:szCs w:val="18"/>
              </w:rPr>
              <w:t>Verbal learning and memory in youth with neurofibromatosis type 1 and plexiform neurofibromas: Relationships with disease severity.</w:t>
            </w:r>
          </w:p>
        </w:tc>
        <w:tc>
          <w:tcPr>
            <w:tcW w:w="1308" w:type="pct"/>
            <w:tcBorders>
              <w:top w:val="nil"/>
              <w:bottom w:val="nil"/>
            </w:tcBorders>
            <w:vAlign w:val="center"/>
          </w:tcPr>
          <w:p w14:paraId="34FE8B1D" w14:textId="77777777" w:rsidR="0078664B" w:rsidRPr="005C3BD2" w:rsidRDefault="0078664B" w:rsidP="00AD606A">
            <w:pPr>
              <w:pStyle w:val="TableText0"/>
              <w:keepNext w:val="0"/>
              <w:keepLines/>
            </w:pPr>
            <w:r>
              <w:rPr>
                <w:i/>
                <w:iCs/>
              </w:rPr>
              <w:t>European Journal of Paediatric Ne</w:t>
            </w:r>
            <w:r w:rsidRPr="00E04423">
              <w:rPr>
                <w:i/>
                <w:iCs/>
              </w:rPr>
              <w:t xml:space="preserve">urology </w:t>
            </w:r>
            <w:r>
              <w:t>2022; 38, 7-12.</w:t>
            </w:r>
          </w:p>
        </w:tc>
      </w:tr>
      <w:tr w:rsidR="0078664B" w:rsidRPr="00CB38A8" w14:paraId="7B599134" w14:textId="77777777" w:rsidTr="0044212E">
        <w:tc>
          <w:tcPr>
            <w:tcW w:w="705" w:type="pct"/>
            <w:vMerge/>
            <w:vAlign w:val="center"/>
          </w:tcPr>
          <w:p w14:paraId="3AC4E71C" w14:textId="77777777" w:rsidR="0078664B" w:rsidRPr="00CB38A8" w:rsidRDefault="0078664B" w:rsidP="00AD606A">
            <w:pPr>
              <w:pStyle w:val="TableText0"/>
              <w:keepNext w:val="0"/>
              <w:keepLines/>
            </w:pPr>
          </w:p>
        </w:tc>
        <w:tc>
          <w:tcPr>
            <w:tcW w:w="2987" w:type="pct"/>
            <w:tcBorders>
              <w:top w:val="nil"/>
              <w:bottom w:val="nil"/>
            </w:tcBorders>
            <w:vAlign w:val="center"/>
          </w:tcPr>
          <w:p w14:paraId="2EE2E7F4" w14:textId="77777777" w:rsidR="0078664B" w:rsidRDefault="0078664B" w:rsidP="00AD606A">
            <w:pPr>
              <w:pStyle w:val="TableText0"/>
              <w:keepNext w:val="0"/>
              <w:keepLines/>
              <w:rPr>
                <w:szCs w:val="18"/>
              </w:rPr>
            </w:pPr>
            <w:r>
              <w:rPr>
                <w:szCs w:val="18"/>
              </w:rPr>
              <w:t xml:space="preserve">Meany H, Dombi et al. </w:t>
            </w:r>
            <w:r w:rsidRPr="003113D6">
              <w:rPr>
                <w:szCs w:val="18"/>
              </w:rPr>
              <w:t>18-fluorodeoxyglucose-positron emission tomography (FDG-PET) evaluation of nodular lesions in patients with neurofibromatosis type 1 and plexiform neurofibromas or malignant peripheral nerve sheath tumours (MPNST).</w:t>
            </w:r>
          </w:p>
        </w:tc>
        <w:tc>
          <w:tcPr>
            <w:tcW w:w="1308" w:type="pct"/>
            <w:tcBorders>
              <w:top w:val="nil"/>
              <w:bottom w:val="nil"/>
            </w:tcBorders>
            <w:vAlign w:val="center"/>
          </w:tcPr>
          <w:p w14:paraId="51E939C1" w14:textId="77777777" w:rsidR="0078664B" w:rsidRPr="005C3BD2" w:rsidRDefault="0078664B" w:rsidP="00AD606A">
            <w:pPr>
              <w:pStyle w:val="TableText0"/>
              <w:keepNext w:val="0"/>
              <w:keepLines/>
            </w:pPr>
            <w:r w:rsidRPr="00C84A69">
              <w:rPr>
                <w:i/>
                <w:iCs/>
              </w:rPr>
              <w:t>Pediatric Blood and Cancer</w:t>
            </w:r>
            <w:r>
              <w:t xml:space="preserve"> </w:t>
            </w:r>
            <w:r w:rsidRPr="00C84A69">
              <w:t>2013</w:t>
            </w:r>
            <w:r>
              <w:t>;</w:t>
            </w:r>
            <w:r w:rsidRPr="00C84A69">
              <w:t xml:space="preserve"> 60, 59-64.</w:t>
            </w:r>
          </w:p>
        </w:tc>
      </w:tr>
      <w:tr w:rsidR="0078664B" w:rsidRPr="00CB38A8" w14:paraId="2C3A2263" w14:textId="77777777" w:rsidTr="0044212E">
        <w:tc>
          <w:tcPr>
            <w:tcW w:w="705" w:type="pct"/>
            <w:vMerge/>
            <w:vAlign w:val="center"/>
          </w:tcPr>
          <w:p w14:paraId="36246DE7" w14:textId="77777777" w:rsidR="0078664B" w:rsidRPr="00CB38A8" w:rsidRDefault="0078664B" w:rsidP="00AD606A">
            <w:pPr>
              <w:pStyle w:val="TableText0"/>
              <w:keepNext w:val="0"/>
              <w:keepLines/>
            </w:pPr>
          </w:p>
        </w:tc>
        <w:tc>
          <w:tcPr>
            <w:tcW w:w="2987" w:type="pct"/>
            <w:tcBorders>
              <w:top w:val="nil"/>
              <w:bottom w:val="nil"/>
            </w:tcBorders>
            <w:vAlign w:val="center"/>
          </w:tcPr>
          <w:p w14:paraId="2E99140E" w14:textId="77777777" w:rsidR="0078664B" w:rsidRDefault="0078664B" w:rsidP="00AD606A">
            <w:pPr>
              <w:pStyle w:val="TableText0"/>
              <w:keepNext w:val="0"/>
              <w:keepLines/>
              <w:rPr>
                <w:szCs w:val="18"/>
              </w:rPr>
            </w:pPr>
            <w:r>
              <w:rPr>
                <w:szCs w:val="18"/>
              </w:rPr>
              <w:t xml:space="preserve">Ngyuen R, Dombi E et al. </w:t>
            </w:r>
            <w:r w:rsidRPr="003113D6">
              <w:rPr>
                <w:szCs w:val="18"/>
              </w:rPr>
              <w:t>Characterization of spinal findings in children and adults with neurofibromatosis type 1 enrolled in a natural history study using magnetic resonance imaging.</w:t>
            </w:r>
          </w:p>
        </w:tc>
        <w:tc>
          <w:tcPr>
            <w:tcW w:w="1308" w:type="pct"/>
            <w:tcBorders>
              <w:top w:val="nil"/>
              <w:bottom w:val="nil"/>
            </w:tcBorders>
            <w:vAlign w:val="center"/>
          </w:tcPr>
          <w:p w14:paraId="41A32E75" w14:textId="77777777" w:rsidR="0078664B" w:rsidRPr="005C3BD2" w:rsidRDefault="0078664B" w:rsidP="00AD606A">
            <w:pPr>
              <w:pStyle w:val="TableText0"/>
              <w:keepNext w:val="0"/>
              <w:keepLines/>
            </w:pPr>
            <w:r w:rsidRPr="00C84A69">
              <w:rPr>
                <w:i/>
                <w:iCs/>
              </w:rPr>
              <w:t>Journal of Neuro-Oncology</w:t>
            </w:r>
            <w:r>
              <w:rPr>
                <w:i/>
                <w:iCs/>
              </w:rPr>
              <w:t xml:space="preserve"> </w:t>
            </w:r>
            <w:r>
              <w:t xml:space="preserve">2015; </w:t>
            </w:r>
            <w:r w:rsidRPr="00C84A69">
              <w:t>121, 209-215.</w:t>
            </w:r>
          </w:p>
        </w:tc>
      </w:tr>
      <w:tr w:rsidR="0078664B" w:rsidRPr="00CB38A8" w14:paraId="0ABE51FE" w14:textId="77777777" w:rsidTr="0044212E">
        <w:tc>
          <w:tcPr>
            <w:tcW w:w="705" w:type="pct"/>
            <w:vMerge/>
            <w:vAlign w:val="center"/>
          </w:tcPr>
          <w:p w14:paraId="4D45E84F" w14:textId="77777777" w:rsidR="0078664B" w:rsidRPr="00CB38A8" w:rsidRDefault="0078664B" w:rsidP="00AD606A">
            <w:pPr>
              <w:pStyle w:val="TableText0"/>
              <w:keepNext w:val="0"/>
              <w:keepLines/>
            </w:pPr>
          </w:p>
        </w:tc>
        <w:tc>
          <w:tcPr>
            <w:tcW w:w="2987" w:type="pct"/>
            <w:tcBorders>
              <w:top w:val="nil"/>
              <w:bottom w:val="nil"/>
            </w:tcBorders>
            <w:vAlign w:val="center"/>
          </w:tcPr>
          <w:p w14:paraId="0DEE0F52" w14:textId="77777777" w:rsidR="0078664B" w:rsidRDefault="0078664B" w:rsidP="00AD606A">
            <w:pPr>
              <w:pStyle w:val="TableText0"/>
              <w:keepNext w:val="0"/>
              <w:keepLines/>
              <w:rPr>
                <w:szCs w:val="18"/>
              </w:rPr>
            </w:pPr>
            <w:r>
              <w:rPr>
                <w:szCs w:val="18"/>
              </w:rPr>
              <w:t xml:space="preserve">Widemann B. </w:t>
            </w:r>
            <w:r w:rsidRPr="003113D6">
              <w:rPr>
                <w:szCs w:val="18"/>
              </w:rPr>
              <w:t>Natural history of peripheral nerve sheath tumours in NF1: Identification and characterization of malignant precursor lesions.</w:t>
            </w:r>
          </w:p>
        </w:tc>
        <w:tc>
          <w:tcPr>
            <w:tcW w:w="1308" w:type="pct"/>
            <w:tcBorders>
              <w:top w:val="nil"/>
              <w:bottom w:val="nil"/>
            </w:tcBorders>
            <w:vAlign w:val="center"/>
          </w:tcPr>
          <w:p w14:paraId="00CE707E" w14:textId="77777777" w:rsidR="0078664B" w:rsidRPr="005C3BD2" w:rsidRDefault="0078664B" w:rsidP="00AD606A">
            <w:pPr>
              <w:pStyle w:val="TableText0"/>
              <w:keepNext w:val="0"/>
              <w:keepLines/>
            </w:pPr>
            <w:r w:rsidRPr="00C84A69">
              <w:t>Clinical Cancer Research</w:t>
            </w:r>
            <w:r>
              <w:t xml:space="preserve"> 2018;</w:t>
            </w:r>
            <w:r w:rsidRPr="00C84A69">
              <w:t xml:space="preserve"> 24.</w:t>
            </w:r>
          </w:p>
        </w:tc>
      </w:tr>
      <w:tr w:rsidR="0078664B" w:rsidRPr="00CB38A8" w14:paraId="41908AD4" w14:textId="77777777" w:rsidTr="0044212E">
        <w:tc>
          <w:tcPr>
            <w:tcW w:w="705" w:type="pct"/>
            <w:vMerge/>
            <w:vAlign w:val="center"/>
          </w:tcPr>
          <w:p w14:paraId="425C23F0" w14:textId="77777777" w:rsidR="0078664B" w:rsidRPr="00CB38A8" w:rsidRDefault="0078664B" w:rsidP="00AD606A">
            <w:pPr>
              <w:pStyle w:val="TableText0"/>
              <w:keepNext w:val="0"/>
              <w:keepLines/>
            </w:pPr>
          </w:p>
        </w:tc>
        <w:tc>
          <w:tcPr>
            <w:tcW w:w="2987" w:type="pct"/>
            <w:tcBorders>
              <w:top w:val="nil"/>
              <w:bottom w:val="single" w:sz="4" w:space="0" w:color="auto"/>
            </w:tcBorders>
            <w:vAlign w:val="center"/>
          </w:tcPr>
          <w:p w14:paraId="63DB8909" w14:textId="77777777" w:rsidR="0078664B" w:rsidRDefault="0078664B" w:rsidP="00AD606A">
            <w:pPr>
              <w:pStyle w:val="TableText0"/>
              <w:keepNext w:val="0"/>
              <w:keepLines/>
              <w:rPr>
                <w:szCs w:val="18"/>
              </w:rPr>
            </w:pPr>
            <w:r>
              <w:rPr>
                <w:szCs w:val="18"/>
              </w:rPr>
              <w:t xml:space="preserve">Wolters P, Burns K et al. Pain </w:t>
            </w:r>
            <w:r w:rsidRPr="00BA53F8">
              <w:rPr>
                <w:szCs w:val="18"/>
              </w:rPr>
              <w:t>interference in youth with neurofibromatosis type 1 and plexiform neurofibromas and relation to disease severity, social-emotional functioning, and quality of life.</w:t>
            </w:r>
          </w:p>
        </w:tc>
        <w:tc>
          <w:tcPr>
            <w:tcW w:w="1308" w:type="pct"/>
            <w:tcBorders>
              <w:top w:val="nil"/>
              <w:bottom w:val="single" w:sz="4" w:space="0" w:color="auto"/>
            </w:tcBorders>
            <w:vAlign w:val="center"/>
          </w:tcPr>
          <w:p w14:paraId="78251481" w14:textId="77777777" w:rsidR="0078664B" w:rsidRPr="005C3BD2" w:rsidRDefault="0078664B" w:rsidP="00AD606A">
            <w:pPr>
              <w:pStyle w:val="TableText0"/>
              <w:keepNext w:val="0"/>
              <w:keepLines/>
            </w:pPr>
            <w:r w:rsidRPr="00C84A69">
              <w:rPr>
                <w:i/>
                <w:iCs/>
              </w:rPr>
              <w:t>American Journal of Medical Genetics</w:t>
            </w:r>
            <w:r>
              <w:t xml:space="preserve"> 2015;</w:t>
            </w:r>
            <w:r w:rsidRPr="00C84A69">
              <w:t xml:space="preserve"> Part A, 167, 2103-2113.</w:t>
            </w:r>
          </w:p>
        </w:tc>
      </w:tr>
      <w:tr w:rsidR="0078664B" w:rsidRPr="00CB38A8" w14:paraId="65EB54E3" w14:textId="77777777" w:rsidTr="0044212E">
        <w:tc>
          <w:tcPr>
            <w:tcW w:w="705" w:type="pct"/>
          </w:tcPr>
          <w:p w14:paraId="612ACB7E" w14:textId="6D79E4DA" w:rsidR="0078664B" w:rsidRDefault="0078664B" w:rsidP="00AD606A">
            <w:pPr>
              <w:pStyle w:val="TableText0"/>
              <w:keepNext w:val="0"/>
              <w:keepLines/>
            </w:pPr>
            <w:r w:rsidRPr="003D035E">
              <w:t>01- C0222</w:t>
            </w:r>
            <w:r w:rsidR="009E025A">
              <w:t xml:space="preserve"> trial</w:t>
            </w:r>
          </w:p>
          <w:p w14:paraId="41CD90DE" w14:textId="77777777" w:rsidR="0078664B" w:rsidRPr="00CB38A8" w:rsidRDefault="0078664B" w:rsidP="00AD606A">
            <w:pPr>
              <w:pStyle w:val="TableText0"/>
              <w:keepNext w:val="0"/>
              <w:keepLines/>
            </w:pPr>
            <w:r>
              <w:t>(NCT00021541)</w:t>
            </w:r>
          </w:p>
        </w:tc>
        <w:tc>
          <w:tcPr>
            <w:tcW w:w="2987" w:type="pct"/>
            <w:tcBorders>
              <w:bottom w:val="single" w:sz="4" w:space="0" w:color="auto"/>
            </w:tcBorders>
            <w:vAlign w:val="center"/>
          </w:tcPr>
          <w:p w14:paraId="063B644D" w14:textId="77777777" w:rsidR="0078664B" w:rsidRPr="00CB38A8" w:rsidRDefault="0078664B" w:rsidP="00AD606A">
            <w:pPr>
              <w:pStyle w:val="TableText0"/>
              <w:keepNext w:val="0"/>
              <w:keepLines/>
            </w:pPr>
            <w:r>
              <w:t xml:space="preserve">Widemann B, Dombi E et al. </w:t>
            </w:r>
            <w:r w:rsidRPr="009236B3">
              <w:t>Phase 2 randomized, flexible crossover, double-blinded, placebo-controlled trial of the farnesyltransferase inhibitor tipifarnib in children and young adults with neurofibromatosis type 1 and progressive plexiform neurofibromas.</w:t>
            </w:r>
          </w:p>
        </w:tc>
        <w:tc>
          <w:tcPr>
            <w:tcW w:w="1308" w:type="pct"/>
            <w:tcBorders>
              <w:bottom w:val="single" w:sz="4" w:space="0" w:color="auto"/>
            </w:tcBorders>
            <w:vAlign w:val="center"/>
          </w:tcPr>
          <w:p w14:paraId="2F8394AC" w14:textId="77777777" w:rsidR="0078664B" w:rsidRPr="00647398" w:rsidRDefault="0078664B" w:rsidP="00AD606A">
            <w:pPr>
              <w:pStyle w:val="TableText0"/>
              <w:keepNext w:val="0"/>
              <w:keepLines/>
            </w:pPr>
            <w:r>
              <w:rPr>
                <w:i/>
                <w:iCs/>
              </w:rPr>
              <w:t xml:space="preserve">Neuro-Oncology </w:t>
            </w:r>
            <w:r>
              <w:t>2014; 16, 707-718.</w:t>
            </w:r>
          </w:p>
        </w:tc>
      </w:tr>
    </w:tbl>
    <w:p w14:paraId="10247078" w14:textId="77777777" w:rsidR="0078664B" w:rsidRDefault="0078664B" w:rsidP="0044212E">
      <w:pPr>
        <w:pStyle w:val="FooterTableFigure"/>
      </w:pPr>
      <w:r>
        <w:t xml:space="preserve">Source: Table 2.11, pp68-71 of the submission. </w:t>
      </w:r>
    </w:p>
    <w:p w14:paraId="60FB6390" w14:textId="40849931" w:rsidR="0078664B" w:rsidRPr="00B1011F" w:rsidRDefault="0078664B" w:rsidP="00EC5836">
      <w:pPr>
        <w:pStyle w:val="FooterTableFigure"/>
        <w:rPr>
          <w:sz w:val="20"/>
        </w:rPr>
      </w:pPr>
      <w:r w:rsidRPr="00E15729">
        <w:t>MEK = mitogen-activated protein kinase</w:t>
      </w:r>
      <w:r>
        <w:t xml:space="preserve">, </w:t>
      </w:r>
      <w:r w:rsidRPr="00E15729">
        <w:t xml:space="preserve">NF1 = neurofibromatosis type 1, PN = plexiform neurofibroma(s). </w:t>
      </w:r>
    </w:p>
    <w:p w14:paraId="27277F74" w14:textId="394ECCEA" w:rsidR="00177150" w:rsidRDefault="0078664B" w:rsidP="0078664B">
      <w:pPr>
        <w:pStyle w:val="3-BodyText"/>
      </w:pPr>
      <w:r w:rsidRPr="00B50DB8">
        <w:t xml:space="preserve">The key features of the </w:t>
      </w:r>
      <w:r>
        <w:t xml:space="preserve">included evidence </w:t>
      </w:r>
      <w:r w:rsidRPr="00B50DB8">
        <w:t>are summarised in</w:t>
      </w:r>
      <w:r>
        <w:t xml:space="preserve"> </w:t>
      </w:r>
      <w:r>
        <w:fldChar w:fldCharType="begin"/>
      </w:r>
      <w:r>
        <w:instrText xml:space="preserve"> REF _Ref104804098 \h  \* MERGEFORMAT </w:instrText>
      </w:r>
      <w:r>
        <w:fldChar w:fldCharType="separate"/>
      </w:r>
      <w:r w:rsidR="00BE0EE6" w:rsidRPr="00BE0EE6">
        <w:t>Table 3</w:t>
      </w:r>
      <w:r>
        <w:fldChar w:fldCharType="end"/>
      </w:r>
      <w:r w:rsidRPr="00B50DB8">
        <w:t>.</w:t>
      </w:r>
      <w:r w:rsidR="00177150">
        <w:t xml:space="preserve"> </w:t>
      </w:r>
    </w:p>
    <w:p w14:paraId="31514D73" w14:textId="31364F4A" w:rsidR="0078664B" w:rsidRPr="00D6076E" w:rsidRDefault="0078664B" w:rsidP="00D6076E">
      <w:pPr>
        <w:pStyle w:val="Caption"/>
        <w:rPr>
          <w:rStyle w:val="CommentReference"/>
          <w:rFonts w:eastAsiaTheme="majorEastAsia" w:cstheme="majorBidi"/>
          <w:b/>
          <w:szCs w:val="24"/>
        </w:rPr>
      </w:pPr>
      <w:bookmarkStart w:id="26" w:name="_Ref104804098"/>
      <w:r w:rsidRPr="00D6076E">
        <w:rPr>
          <w:rStyle w:val="CommentReference"/>
          <w:rFonts w:eastAsiaTheme="majorEastAsia" w:cstheme="majorBidi"/>
          <w:b/>
          <w:szCs w:val="24"/>
        </w:rPr>
        <w:t xml:space="preserve">Table </w:t>
      </w:r>
      <w:r w:rsidRPr="00D6076E">
        <w:rPr>
          <w:rStyle w:val="CommentReference"/>
          <w:rFonts w:eastAsiaTheme="majorEastAsia" w:cstheme="majorBidi"/>
          <w:b/>
          <w:szCs w:val="24"/>
        </w:rPr>
        <w:fldChar w:fldCharType="begin"/>
      </w:r>
      <w:r w:rsidRPr="00D6076E">
        <w:rPr>
          <w:rStyle w:val="CommentReference"/>
          <w:rFonts w:eastAsiaTheme="majorEastAsia" w:cstheme="majorBidi"/>
          <w:b/>
          <w:szCs w:val="24"/>
        </w:rPr>
        <w:instrText xml:space="preserve"> SEQ Table \* ARABIC </w:instrText>
      </w:r>
      <w:r w:rsidRPr="00D6076E">
        <w:rPr>
          <w:rStyle w:val="CommentReference"/>
          <w:rFonts w:eastAsiaTheme="majorEastAsia" w:cstheme="majorBidi"/>
          <w:b/>
          <w:szCs w:val="24"/>
        </w:rPr>
        <w:fldChar w:fldCharType="separate"/>
      </w:r>
      <w:r w:rsidR="00BE0EE6">
        <w:rPr>
          <w:rStyle w:val="CommentReference"/>
          <w:rFonts w:eastAsiaTheme="majorEastAsia" w:cstheme="majorBidi"/>
          <w:b/>
          <w:noProof/>
          <w:szCs w:val="24"/>
        </w:rPr>
        <w:t>3</w:t>
      </w:r>
      <w:r w:rsidRPr="00D6076E">
        <w:rPr>
          <w:rStyle w:val="CommentReference"/>
          <w:rFonts w:eastAsiaTheme="majorEastAsia" w:cstheme="majorBidi"/>
          <w:b/>
          <w:szCs w:val="24"/>
        </w:rPr>
        <w:fldChar w:fldCharType="end"/>
      </w:r>
      <w:bookmarkEnd w:id="26"/>
      <w:r w:rsidRPr="00D6076E">
        <w:rPr>
          <w:rStyle w:val="CommentReference"/>
          <w:rFonts w:eastAsiaTheme="majorEastAsia" w:cstheme="majorBidi"/>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1"/>
        <w:gridCol w:w="566"/>
        <w:gridCol w:w="1419"/>
        <w:gridCol w:w="992"/>
        <w:gridCol w:w="1701"/>
        <w:gridCol w:w="2128"/>
        <w:gridCol w:w="1080"/>
      </w:tblGrid>
      <w:tr w:rsidR="0078664B" w:rsidRPr="00B41614" w14:paraId="3FB43BBD" w14:textId="77777777" w:rsidTr="001C30D8">
        <w:trPr>
          <w:cantSplit/>
          <w:tblHeader/>
        </w:trPr>
        <w:tc>
          <w:tcPr>
            <w:tcW w:w="627" w:type="pct"/>
            <w:shd w:val="clear" w:color="auto" w:fill="auto"/>
            <w:vAlign w:val="center"/>
          </w:tcPr>
          <w:p w14:paraId="1714F31F" w14:textId="77777777" w:rsidR="0078664B" w:rsidRPr="00B41614" w:rsidRDefault="0078664B" w:rsidP="001E34DF">
            <w:pPr>
              <w:pStyle w:val="In-tableHeading"/>
            </w:pPr>
            <w:r w:rsidRPr="00B41614">
              <w:t>Trial</w:t>
            </w:r>
          </w:p>
        </w:tc>
        <w:tc>
          <w:tcPr>
            <w:tcW w:w="314" w:type="pct"/>
            <w:shd w:val="clear" w:color="auto" w:fill="auto"/>
            <w:vAlign w:val="center"/>
          </w:tcPr>
          <w:p w14:paraId="19BFA489" w14:textId="77777777" w:rsidR="0078664B" w:rsidRPr="00B41614" w:rsidRDefault="0078664B" w:rsidP="00EC5836">
            <w:pPr>
              <w:pStyle w:val="In-tableHeading"/>
              <w:jc w:val="center"/>
            </w:pPr>
            <w:r w:rsidRPr="00B41614">
              <w:t>N</w:t>
            </w:r>
          </w:p>
        </w:tc>
        <w:tc>
          <w:tcPr>
            <w:tcW w:w="787" w:type="pct"/>
            <w:shd w:val="clear" w:color="auto" w:fill="auto"/>
            <w:vAlign w:val="center"/>
          </w:tcPr>
          <w:p w14:paraId="6817DF0E" w14:textId="53D957D6" w:rsidR="0078664B" w:rsidRPr="00B41614" w:rsidRDefault="0078664B" w:rsidP="00EC5836">
            <w:pPr>
              <w:pStyle w:val="In-tableHeading"/>
              <w:jc w:val="center"/>
            </w:pPr>
            <w:r w:rsidRPr="00B41614">
              <w:t>Design/duration</w:t>
            </w:r>
          </w:p>
        </w:tc>
        <w:tc>
          <w:tcPr>
            <w:tcW w:w="550" w:type="pct"/>
            <w:shd w:val="clear" w:color="auto" w:fill="auto"/>
            <w:vAlign w:val="center"/>
          </w:tcPr>
          <w:p w14:paraId="76D4FA45" w14:textId="77777777" w:rsidR="0078664B" w:rsidRPr="00B41614" w:rsidRDefault="0078664B" w:rsidP="00EC5836">
            <w:pPr>
              <w:pStyle w:val="In-tableHeading"/>
              <w:jc w:val="center"/>
            </w:pPr>
            <w:r w:rsidRPr="00B41614">
              <w:t>Risk of bias</w:t>
            </w:r>
          </w:p>
        </w:tc>
        <w:tc>
          <w:tcPr>
            <w:tcW w:w="943" w:type="pct"/>
            <w:shd w:val="clear" w:color="auto" w:fill="auto"/>
            <w:vAlign w:val="center"/>
          </w:tcPr>
          <w:p w14:paraId="63920F44" w14:textId="77777777" w:rsidR="0078664B" w:rsidRPr="00B41614" w:rsidRDefault="0078664B" w:rsidP="00EC5836">
            <w:pPr>
              <w:pStyle w:val="In-tableHeading"/>
              <w:jc w:val="center"/>
            </w:pPr>
            <w:r w:rsidRPr="00B41614">
              <w:t>Patient population</w:t>
            </w:r>
          </w:p>
        </w:tc>
        <w:tc>
          <w:tcPr>
            <w:tcW w:w="1180" w:type="pct"/>
            <w:shd w:val="clear" w:color="auto" w:fill="auto"/>
            <w:vAlign w:val="center"/>
          </w:tcPr>
          <w:p w14:paraId="75609A9D" w14:textId="77777777" w:rsidR="0078664B" w:rsidRPr="00B41614" w:rsidRDefault="0078664B" w:rsidP="00EC5836">
            <w:pPr>
              <w:pStyle w:val="In-tableHeading"/>
              <w:jc w:val="center"/>
            </w:pPr>
            <w:r w:rsidRPr="00B41614">
              <w:t>Outcome(s)</w:t>
            </w:r>
          </w:p>
        </w:tc>
        <w:tc>
          <w:tcPr>
            <w:tcW w:w="600" w:type="pct"/>
            <w:shd w:val="clear" w:color="auto" w:fill="auto"/>
            <w:vAlign w:val="center"/>
          </w:tcPr>
          <w:p w14:paraId="16185CFE" w14:textId="77777777" w:rsidR="0078664B" w:rsidRPr="00B41614" w:rsidRDefault="0078664B" w:rsidP="00EC5836">
            <w:pPr>
              <w:pStyle w:val="In-tableHeading"/>
              <w:jc w:val="center"/>
            </w:pPr>
            <w:r w:rsidRPr="00B41614">
              <w:t>Use in modelled evaluation</w:t>
            </w:r>
          </w:p>
        </w:tc>
      </w:tr>
      <w:tr w:rsidR="0078664B" w:rsidRPr="00E2771E" w14:paraId="2DD0F922" w14:textId="77777777" w:rsidTr="00682BA6">
        <w:trPr>
          <w:cantSplit/>
        </w:trPr>
        <w:tc>
          <w:tcPr>
            <w:tcW w:w="5000" w:type="pct"/>
            <w:gridSpan w:val="7"/>
            <w:shd w:val="clear" w:color="auto" w:fill="auto"/>
            <w:vAlign w:val="center"/>
          </w:tcPr>
          <w:p w14:paraId="006495BC" w14:textId="77777777" w:rsidR="0078664B" w:rsidRPr="00EC5836" w:rsidRDefault="0078664B" w:rsidP="00EC5836">
            <w:pPr>
              <w:pStyle w:val="In-tableHeading"/>
            </w:pPr>
            <w:r>
              <w:t xml:space="preserve">Selumetinib </w:t>
            </w:r>
          </w:p>
        </w:tc>
      </w:tr>
      <w:tr w:rsidR="0078664B" w:rsidRPr="00E2771E" w14:paraId="5AD17E19" w14:textId="77777777" w:rsidTr="001C30D8">
        <w:trPr>
          <w:cantSplit/>
        </w:trPr>
        <w:tc>
          <w:tcPr>
            <w:tcW w:w="627" w:type="pct"/>
            <w:shd w:val="clear" w:color="auto" w:fill="auto"/>
            <w:vAlign w:val="center"/>
          </w:tcPr>
          <w:p w14:paraId="44F24ACB" w14:textId="77777777" w:rsidR="0078664B" w:rsidRPr="004B5FCB" w:rsidRDefault="0078664B" w:rsidP="00EC5836">
            <w:pPr>
              <w:pStyle w:val="TableText0"/>
              <w:rPr>
                <w:lang w:val="en-US"/>
              </w:rPr>
            </w:pPr>
            <w:r w:rsidRPr="004B5FCB">
              <w:rPr>
                <w:lang w:val="en-US"/>
              </w:rPr>
              <w:t>SPRINT</w:t>
            </w:r>
          </w:p>
        </w:tc>
        <w:tc>
          <w:tcPr>
            <w:tcW w:w="314" w:type="pct"/>
            <w:shd w:val="clear" w:color="auto" w:fill="auto"/>
            <w:vAlign w:val="center"/>
          </w:tcPr>
          <w:p w14:paraId="1E2C33E0" w14:textId="77777777" w:rsidR="0078664B" w:rsidRPr="00E2771E" w:rsidRDefault="0078664B" w:rsidP="00EC5836">
            <w:pPr>
              <w:pStyle w:val="TableText0"/>
              <w:jc w:val="center"/>
              <w:rPr>
                <w:lang w:val="en-US"/>
              </w:rPr>
            </w:pPr>
            <w:r>
              <w:rPr>
                <w:lang w:val="en-US"/>
              </w:rPr>
              <w:t>50</w:t>
            </w:r>
          </w:p>
        </w:tc>
        <w:tc>
          <w:tcPr>
            <w:tcW w:w="787" w:type="pct"/>
            <w:shd w:val="clear" w:color="auto" w:fill="auto"/>
            <w:vAlign w:val="center"/>
          </w:tcPr>
          <w:p w14:paraId="20CEE1F5" w14:textId="77777777" w:rsidR="0078664B" w:rsidRDefault="0078664B" w:rsidP="00EC5836">
            <w:pPr>
              <w:pStyle w:val="TableText0"/>
              <w:jc w:val="center"/>
              <w:rPr>
                <w:lang w:val="en-US"/>
              </w:rPr>
            </w:pPr>
            <w:r>
              <w:rPr>
                <w:lang w:val="en-US"/>
              </w:rPr>
              <w:t>OL, MC</w:t>
            </w:r>
          </w:p>
          <w:p w14:paraId="3BBF35B7" w14:textId="623E900B" w:rsidR="0078664B" w:rsidRPr="00E2771E" w:rsidRDefault="0078664B" w:rsidP="00EC5836">
            <w:pPr>
              <w:pStyle w:val="TableText0"/>
              <w:jc w:val="center"/>
              <w:rPr>
                <w:lang w:val="en-US"/>
              </w:rPr>
            </w:pPr>
            <w:r>
              <w:rPr>
                <w:lang w:val="en-US"/>
              </w:rPr>
              <w:t>Median follow-up of 4 years</w:t>
            </w:r>
            <w:r w:rsidR="003E4262">
              <w:rPr>
                <w:lang w:val="en-US"/>
              </w:rPr>
              <w:t xml:space="preserve"> </w:t>
            </w:r>
            <w:r w:rsidR="003E4262" w:rsidRPr="003E4262">
              <w:rPr>
                <w:vertAlign w:val="superscript"/>
                <w:lang w:val="en-US"/>
              </w:rPr>
              <w:t>a</w:t>
            </w:r>
          </w:p>
        </w:tc>
        <w:tc>
          <w:tcPr>
            <w:tcW w:w="550" w:type="pct"/>
            <w:shd w:val="clear" w:color="auto" w:fill="auto"/>
            <w:vAlign w:val="center"/>
          </w:tcPr>
          <w:p w14:paraId="317C92C9" w14:textId="5B00A57E" w:rsidR="0078664B" w:rsidRPr="007D5B66" w:rsidRDefault="0078664B" w:rsidP="00EC5836">
            <w:pPr>
              <w:pStyle w:val="TableText0"/>
              <w:jc w:val="center"/>
              <w:rPr>
                <w:iCs/>
                <w:lang w:val="en-US"/>
              </w:rPr>
            </w:pPr>
            <w:r w:rsidRPr="007D5B66">
              <w:rPr>
                <w:iCs/>
                <w:lang w:val="en-US"/>
              </w:rPr>
              <w:t xml:space="preserve">Low to Moderate </w:t>
            </w:r>
            <w:r w:rsidR="003E4262">
              <w:rPr>
                <w:iCs/>
                <w:vertAlign w:val="superscript"/>
                <w:lang w:val="en-US"/>
              </w:rPr>
              <w:t>b</w:t>
            </w:r>
          </w:p>
        </w:tc>
        <w:tc>
          <w:tcPr>
            <w:tcW w:w="943" w:type="pct"/>
            <w:shd w:val="clear" w:color="auto" w:fill="auto"/>
            <w:vAlign w:val="center"/>
          </w:tcPr>
          <w:p w14:paraId="1317F2AD" w14:textId="77777777" w:rsidR="0078664B" w:rsidRPr="00E2771E" w:rsidRDefault="0078664B" w:rsidP="00EC5836">
            <w:pPr>
              <w:pStyle w:val="TableText0"/>
              <w:jc w:val="center"/>
              <w:rPr>
                <w:lang w:val="en-US"/>
              </w:rPr>
            </w:pPr>
            <w:r>
              <w:rPr>
                <w:lang w:val="en-US"/>
              </w:rPr>
              <w:t xml:space="preserve">Children </w:t>
            </w:r>
            <w:r w:rsidRPr="001A52BE">
              <w:t>aged ≥2 years and ≤18 years</w:t>
            </w:r>
            <w:r>
              <w:t xml:space="preserve"> </w:t>
            </w:r>
            <w:r w:rsidRPr="00E90852">
              <w:t>with NF1 and</w:t>
            </w:r>
            <w:r>
              <w:t xml:space="preserve"> symptomatic and</w:t>
            </w:r>
            <w:r w:rsidRPr="00E90852">
              <w:t xml:space="preserve"> inoperable PN</w:t>
            </w:r>
          </w:p>
        </w:tc>
        <w:tc>
          <w:tcPr>
            <w:tcW w:w="1180" w:type="pct"/>
            <w:shd w:val="clear" w:color="auto" w:fill="auto"/>
            <w:vAlign w:val="center"/>
          </w:tcPr>
          <w:p w14:paraId="18C59F88" w14:textId="711C7429" w:rsidR="0078664B" w:rsidRPr="004B5FCB" w:rsidRDefault="0078664B" w:rsidP="00EC5836">
            <w:pPr>
              <w:pStyle w:val="TableText0"/>
              <w:jc w:val="center"/>
              <w:rPr>
                <w:color w:val="FF0000"/>
                <w:lang w:val="en-US"/>
              </w:rPr>
            </w:pPr>
            <w:r>
              <w:rPr>
                <w:lang w:val="en-US"/>
              </w:rPr>
              <w:t>ORR, DoR, TTP, PFS, TTR, e</w:t>
            </w:r>
            <w:r w:rsidRPr="00E76282">
              <w:rPr>
                <w:lang w:val="en-US"/>
              </w:rPr>
              <w:t>ffect on pain</w:t>
            </w:r>
            <w:r>
              <w:rPr>
                <w:lang w:val="en-US"/>
              </w:rPr>
              <w:t>;</w:t>
            </w:r>
            <w:r w:rsidRPr="00E76282">
              <w:rPr>
                <w:lang w:val="en-US"/>
              </w:rPr>
              <w:t xml:space="preserve"> quality of life</w:t>
            </w:r>
            <w:r>
              <w:rPr>
                <w:lang w:val="en-US"/>
              </w:rPr>
              <w:t xml:space="preserve">; </w:t>
            </w:r>
            <w:r w:rsidRPr="00E76282">
              <w:rPr>
                <w:lang w:val="en-US"/>
              </w:rPr>
              <w:t>physical functioning</w:t>
            </w:r>
            <w:r>
              <w:rPr>
                <w:lang w:val="en-US"/>
              </w:rPr>
              <w:t>;</w:t>
            </w:r>
            <w:r w:rsidRPr="00E76282">
              <w:rPr>
                <w:lang w:val="en-US"/>
              </w:rPr>
              <w:t xml:space="preserve"> </w:t>
            </w:r>
            <w:r>
              <w:rPr>
                <w:lang w:val="en-US"/>
              </w:rPr>
              <w:t xml:space="preserve">BMD; </w:t>
            </w:r>
            <w:r w:rsidRPr="00E76282">
              <w:rPr>
                <w:lang w:val="en-US"/>
              </w:rPr>
              <w:t xml:space="preserve">functional impairments specific to PN </w:t>
            </w:r>
            <w:r>
              <w:rPr>
                <w:lang w:val="en-US"/>
              </w:rPr>
              <w:t>location; and disfigurement, safety and tolerability</w:t>
            </w:r>
          </w:p>
        </w:tc>
        <w:tc>
          <w:tcPr>
            <w:tcW w:w="600" w:type="pct"/>
            <w:shd w:val="clear" w:color="auto" w:fill="auto"/>
            <w:vAlign w:val="center"/>
          </w:tcPr>
          <w:p w14:paraId="7085DF39" w14:textId="77777777" w:rsidR="0078664B" w:rsidRPr="00E2771E" w:rsidRDefault="0078664B" w:rsidP="00392AB7">
            <w:pPr>
              <w:pStyle w:val="TableText0"/>
              <w:jc w:val="center"/>
              <w:rPr>
                <w:lang w:val="en-US"/>
              </w:rPr>
            </w:pPr>
            <w:r>
              <w:rPr>
                <w:lang w:val="en-US"/>
              </w:rPr>
              <w:t>PFS, TTD</w:t>
            </w:r>
          </w:p>
        </w:tc>
      </w:tr>
      <w:tr w:rsidR="0078664B" w:rsidRPr="00E2771E" w14:paraId="63EFB6E2" w14:textId="77777777" w:rsidTr="00E5798C">
        <w:trPr>
          <w:cantSplit/>
        </w:trPr>
        <w:tc>
          <w:tcPr>
            <w:tcW w:w="5000" w:type="pct"/>
            <w:gridSpan w:val="7"/>
            <w:shd w:val="clear" w:color="auto" w:fill="auto"/>
            <w:vAlign w:val="center"/>
          </w:tcPr>
          <w:p w14:paraId="31DF709B" w14:textId="77777777" w:rsidR="0078664B" w:rsidRPr="007D5B66" w:rsidRDefault="0078664B" w:rsidP="00E5798C">
            <w:pPr>
              <w:pStyle w:val="TableText0"/>
              <w:rPr>
                <w:b/>
                <w:bCs w:val="0"/>
                <w:iCs/>
                <w:lang w:val="en-US"/>
              </w:rPr>
            </w:pPr>
            <w:r w:rsidRPr="007D5B66">
              <w:rPr>
                <w:b/>
                <w:bCs w:val="0"/>
                <w:iCs/>
                <w:lang w:val="en-US"/>
              </w:rPr>
              <w:t>Supportive Care</w:t>
            </w:r>
          </w:p>
        </w:tc>
      </w:tr>
      <w:tr w:rsidR="0078664B" w:rsidRPr="00E2771E" w14:paraId="0BD14B16" w14:textId="77777777" w:rsidTr="001C30D8">
        <w:trPr>
          <w:cantSplit/>
        </w:trPr>
        <w:tc>
          <w:tcPr>
            <w:tcW w:w="627" w:type="pct"/>
            <w:shd w:val="clear" w:color="auto" w:fill="auto"/>
            <w:vAlign w:val="center"/>
          </w:tcPr>
          <w:p w14:paraId="7E47EE5D" w14:textId="77777777" w:rsidR="0078664B" w:rsidRPr="00E2771E" w:rsidRDefault="0078664B" w:rsidP="00EC5836">
            <w:pPr>
              <w:pStyle w:val="TableText0"/>
              <w:rPr>
                <w:lang w:val="en-US"/>
              </w:rPr>
            </w:pPr>
            <w:r>
              <w:rPr>
                <w:lang w:val="en-US"/>
              </w:rPr>
              <w:t>NH Study</w:t>
            </w:r>
          </w:p>
        </w:tc>
        <w:tc>
          <w:tcPr>
            <w:tcW w:w="314" w:type="pct"/>
            <w:shd w:val="clear" w:color="auto" w:fill="auto"/>
            <w:vAlign w:val="center"/>
          </w:tcPr>
          <w:p w14:paraId="28906610" w14:textId="77777777" w:rsidR="0078664B" w:rsidRPr="00E2771E" w:rsidRDefault="0078664B" w:rsidP="00EC5836">
            <w:pPr>
              <w:pStyle w:val="TableText0"/>
              <w:jc w:val="center"/>
              <w:rPr>
                <w:lang w:val="en-US"/>
              </w:rPr>
            </w:pPr>
            <w:r>
              <w:rPr>
                <w:lang w:val="en-US"/>
              </w:rPr>
              <w:t>250</w:t>
            </w:r>
          </w:p>
        </w:tc>
        <w:tc>
          <w:tcPr>
            <w:tcW w:w="787" w:type="pct"/>
            <w:shd w:val="clear" w:color="auto" w:fill="auto"/>
            <w:vAlign w:val="center"/>
          </w:tcPr>
          <w:p w14:paraId="46A84C74" w14:textId="77777777" w:rsidR="0078664B" w:rsidRDefault="0078664B" w:rsidP="00EC5836">
            <w:pPr>
              <w:pStyle w:val="TableText0"/>
              <w:jc w:val="center"/>
              <w:rPr>
                <w:lang w:val="en-US"/>
              </w:rPr>
            </w:pPr>
            <w:r>
              <w:rPr>
                <w:lang w:val="en-US"/>
              </w:rPr>
              <w:t>OB</w:t>
            </w:r>
          </w:p>
          <w:p w14:paraId="4189D369" w14:textId="77777777" w:rsidR="0078664B" w:rsidRPr="00E2771E" w:rsidRDefault="0078664B" w:rsidP="00EC5836">
            <w:pPr>
              <w:pStyle w:val="TableText0"/>
              <w:jc w:val="center"/>
              <w:rPr>
                <w:lang w:val="en-US"/>
              </w:rPr>
            </w:pPr>
            <w:r>
              <w:rPr>
                <w:lang w:val="en-US"/>
              </w:rPr>
              <w:t>Median follow-up of 6.6 years</w:t>
            </w:r>
          </w:p>
        </w:tc>
        <w:tc>
          <w:tcPr>
            <w:tcW w:w="550" w:type="pct"/>
            <w:shd w:val="clear" w:color="auto" w:fill="auto"/>
            <w:vAlign w:val="center"/>
          </w:tcPr>
          <w:p w14:paraId="5F8031BE" w14:textId="022F6E5E" w:rsidR="0078664B" w:rsidRPr="007D5B66" w:rsidRDefault="0078664B" w:rsidP="00EC5836">
            <w:pPr>
              <w:pStyle w:val="TableText0"/>
              <w:jc w:val="center"/>
              <w:rPr>
                <w:iCs/>
                <w:lang w:val="en-US"/>
              </w:rPr>
            </w:pPr>
            <w:r w:rsidRPr="007D5B66">
              <w:rPr>
                <w:iCs/>
                <w:lang w:val="en-US"/>
              </w:rPr>
              <w:t xml:space="preserve">Low to Moderate </w:t>
            </w:r>
            <w:r w:rsidR="00A56402">
              <w:rPr>
                <w:iCs/>
                <w:vertAlign w:val="superscript"/>
                <w:lang w:val="en-US"/>
              </w:rPr>
              <w:t>b</w:t>
            </w:r>
          </w:p>
        </w:tc>
        <w:tc>
          <w:tcPr>
            <w:tcW w:w="943" w:type="pct"/>
            <w:shd w:val="clear" w:color="auto" w:fill="auto"/>
            <w:vAlign w:val="center"/>
          </w:tcPr>
          <w:p w14:paraId="5401349E" w14:textId="77777777" w:rsidR="0078664B" w:rsidRPr="00E2771E" w:rsidRDefault="0078664B" w:rsidP="00EC5836">
            <w:pPr>
              <w:pStyle w:val="TableText0"/>
              <w:jc w:val="center"/>
              <w:rPr>
                <w:lang w:val="en-US"/>
              </w:rPr>
            </w:pPr>
            <w:r>
              <w:rPr>
                <w:lang w:val="en-US"/>
              </w:rPr>
              <w:t>P</w:t>
            </w:r>
            <w:r w:rsidRPr="0087005D">
              <w:rPr>
                <w:lang w:val="en-US"/>
              </w:rPr>
              <w:t>atients (children, adolescents, and adults) with a confirmed diagnosis of NF1 or a confirmed NF1 mutation.</w:t>
            </w:r>
          </w:p>
        </w:tc>
        <w:tc>
          <w:tcPr>
            <w:tcW w:w="1180" w:type="pct"/>
            <w:shd w:val="clear" w:color="auto" w:fill="auto"/>
            <w:vAlign w:val="center"/>
          </w:tcPr>
          <w:p w14:paraId="4D4C6F22" w14:textId="77777777" w:rsidR="0078664B" w:rsidRPr="00F70FCC" w:rsidRDefault="0078664B" w:rsidP="00EC5836">
            <w:pPr>
              <w:pStyle w:val="TableText0"/>
              <w:jc w:val="center"/>
              <w:rPr>
                <w:lang w:val="en-US"/>
              </w:rPr>
            </w:pPr>
            <w:r w:rsidRPr="00F70FCC">
              <w:rPr>
                <w:lang w:val="en-US"/>
              </w:rPr>
              <w:t>PFS, PN growth rate</w:t>
            </w:r>
          </w:p>
        </w:tc>
        <w:tc>
          <w:tcPr>
            <w:tcW w:w="600" w:type="pct"/>
            <w:shd w:val="clear" w:color="auto" w:fill="auto"/>
            <w:vAlign w:val="center"/>
          </w:tcPr>
          <w:p w14:paraId="08504E1C" w14:textId="77777777" w:rsidR="0078664B" w:rsidRPr="00E2771E" w:rsidRDefault="0078664B" w:rsidP="00EC5836">
            <w:pPr>
              <w:pStyle w:val="TableText0"/>
              <w:jc w:val="center"/>
              <w:rPr>
                <w:lang w:val="en-US"/>
              </w:rPr>
            </w:pPr>
            <w:r>
              <w:rPr>
                <w:lang w:val="en-US"/>
              </w:rPr>
              <w:t>PFS</w:t>
            </w:r>
          </w:p>
        </w:tc>
      </w:tr>
      <w:tr w:rsidR="0078664B" w:rsidRPr="00E2771E" w14:paraId="47484ED2" w14:textId="77777777" w:rsidTr="001C30D8">
        <w:trPr>
          <w:cantSplit/>
        </w:trPr>
        <w:tc>
          <w:tcPr>
            <w:tcW w:w="627" w:type="pct"/>
            <w:shd w:val="clear" w:color="auto" w:fill="auto"/>
            <w:vAlign w:val="center"/>
          </w:tcPr>
          <w:p w14:paraId="773A4655" w14:textId="5475155A" w:rsidR="0078664B" w:rsidRPr="00E2771E" w:rsidRDefault="009E025A" w:rsidP="00EC5836">
            <w:pPr>
              <w:pStyle w:val="TableText0"/>
              <w:rPr>
                <w:lang w:val="en-US"/>
              </w:rPr>
            </w:pPr>
            <w:r>
              <w:rPr>
                <w:lang w:val="en-US"/>
              </w:rPr>
              <w:t>01-C-0222 trial</w:t>
            </w:r>
            <w:r w:rsidR="0078664B">
              <w:rPr>
                <w:lang w:val="en-US"/>
              </w:rPr>
              <w:t xml:space="preserve"> (Phase A)</w:t>
            </w:r>
          </w:p>
        </w:tc>
        <w:tc>
          <w:tcPr>
            <w:tcW w:w="314" w:type="pct"/>
            <w:shd w:val="clear" w:color="auto" w:fill="auto"/>
            <w:vAlign w:val="center"/>
          </w:tcPr>
          <w:p w14:paraId="11A925B1" w14:textId="77777777" w:rsidR="0078664B" w:rsidRPr="00E2771E" w:rsidRDefault="0078664B" w:rsidP="00EC5836">
            <w:pPr>
              <w:pStyle w:val="TableText0"/>
              <w:jc w:val="center"/>
              <w:rPr>
                <w:lang w:val="en-US"/>
              </w:rPr>
            </w:pPr>
            <w:r>
              <w:rPr>
                <w:lang w:val="en-US"/>
              </w:rPr>
              <w:t>60</w:t>
            </w:r>
          </w:p>
        </w:tc>
        <w:tc>
          <w:tcPr>
            <w:tcW w:w="787" w:type="pct"/>
            <w:shd w:val="clear" w:color="auto" w:fill="auto"/>
            <w:vAlign w:val="center"/>
          </w:tcPr>
          <w:p w14:paraId="21179FB0" w14:textId="77777777" w:rsidR="0078664B" w:rsidRDefault="0078664B" w:rsidP="00EC5836">
            <w:pPr>
              <w:pStyle w:val="TableText0"/>
              <w:jc w:val="center"/>
              <w:rPr>
                <w:lang w:val="en-US"/>
              </w:rPr>
            </w:pPr>
            <w:r>
              <w:rPr>
                <w:lang w:val="en-US"/>
              </w:rPr>
              <w:t>R, DB</w:t>
            </w:r>
          </w:p>
          <w:p w14:paraId="2255F91B" w14:textId="77777777" w:rsidR="0078664B" w:rsidRPr="00E2771E" w:rsidRDefault="0078664B" w:rsidP="00EC5836">
            <w:pPr>
              <w:pStyle w:val="TableText0"/>
              <w:jc w:val="center"/>
              <w:rPr>
                <w:lang w:val="en-US"/>
              </w:rPr>
            </w:pPr>
            <w:r>
              <w:rPr>
                <w:lang w:val="en-US"/>
              </w:rPr>
              <w:t>NR</w:t>
            </w:r>
          </w:p>
        </w:tc>
        <w:tc>
          <w:tcPr>
            <w:tcW w:w="550" w:type="pct"/>
            <w:shd w:val="clear" w:color="auto" w:fill="auto"/>
            <w:vAlign w:val="center"/>
          </w:tcPr>
          <w:p w14:paraId="5742564D" w14:textId="77777777" w:rsidR="0078664B" w:rsidRPr="007D5B66" w:rsidRDefault="0078664B" w:rsidP="00EC5836">
            <w:pPr>
              <w:pStyle w:val="TableText0"/>
              <w:jc w:val="center"/>
              <w:rPr>
                <w:iCs/>
                <w:lang w:val="en-US"/>
              </w:rPr>
            </w:pPr>
            <w:r w:rsidRPr="007D5B66">
              <w:rPr>
                <w:iCs/>
                <w:lang w:val="en-US"/>
              </w:rPr>
              <w:t>Low</w:t>
            </w:r>
          </w:p>
        </w:tc>
        <w:tc>
          <w:tcPr>
            <w:tcW w:w="943" w:type="pct"/>
            <w:shd w:val="clear" w:color="auto" w:fill="auto"/>
            <w:vAlign w:val="center"/>
          </w:tcPr>
          <w:p w14:paraId="26F5AB7B" w14:textId="01F00172" w:rsidR="0078664B" w:rsidRPr="00E2771E" w:rsidRDefault="003D10D4" w:rsidP="00EC5836">
            <w:pPr>
              <w:pStyle w:val="TableText0"/>
              <w:jc w:val="center"/>
              <w:rPr>
                <w:lang w:val="en-US"/>
              </w:rPr>
            </w:pPr>
            <w:r>
              <w:rPr>
                <w:lang w:val="en-US"/>
              </w:rPr>
              <w:t>C</w:t>
            </w:r>
            <w:r w:rsidR="0078664B" w:rsidRPr="00FA0CE3">
              <w:rPr>
                <w:lang w:val="en-US"/>
              </w:rPr>
              <w:t>hildren and young adults (aged 3 to 25 years) with NF1 and unresectable, progressive PN.</w:t>
            </w:r>
          </w:p>
        </w:tc>
        <w:tc>
          <w:tcPr>
            <w:tcW w:w="1180" w:type="pct"/>
            <w:shd w:val="clear" w:color="auto" w:fill="auto"/>
            <w:vAlign w:val="center"/>
          </w:tcPr>
          <w:p w14:paraId="39C0498D" w14:textId="77777777" w:rsidR="0078664B" w:rsidRPr="00F70FCC" w:rsidRDefault="0078664B" w:rsidP="00EC5836">
            <w:pPr>
              <w:pStyle w:val="TableText0"/>
              <w:jc w:val="center"/>
              <w:rPr>
                <w:lang w:val="en-US"/>
              </w:rPr>
            </w:pPr>
            <w:r w:rsidRPr="00F70FCC">
              <w:rPr>
                <w:lang w:val="en-US"/>
              </w:rPr>
              <w:t>TTP, PFS</w:t>
            </w:r>
          </w:p>
        </w:tc>
        <w:tc>
          <w:tcPr>
            <w:tcW w:w="600" w:type="pct"/>
            <w:shd w:val="clear" w:color="auto" w:fill="auto"/>
            <w:vAlign w:val="center"/>
          </w:tcPr>
          <w:p w14:paraId="20D28516" w14:textId="77777777" w:rsidR="0078664B" w:rsidRPr="00E2771E" w:rsidRDefault="0078664B" w:rsidP="00EC5836">
            <w:pPr>
              <w:pStyle w:val="TableText0"/>
              <w:jc w:val="center"/>
              <w:rPr>
                <w:lang w:val="en-US"/>
              </w:rPr>
            </w:pPr>
            <w:r w:rsidRPr="00E2771E">
              <w:rPr>
                <w:lang w:val="en-US"/>
              </w:rPr>
              <w:t>Not used</w:t>
            </w:r>
          </w:p>
        </w:tc>
      </w:tr>
    </w:tbl>
    <w:p w14:paraId="3C04A01C" w14:textId="77777777" w:rsidR="0078664B" w:rsidRDefault="0078664B" w:rsidP="00EC5836">
      <w:pPr>
        <w:pStyle w:val="FooterTableFigure"/>
      </w:pPr>
      <w:r>
        <w:t>Source: Table 2.24, p94, Table 2.26, pp98-106 and Section 3 of the submission.</w:t>
      </w:r>
    </w:p>
    <w:p w14:paraId="187F3980" w14:textId="68405257" w:rsidR="0078664B" w:rsidRDefault="0078664B" w:rsidP="00EC5836">
      <w:pPr>
        <w:pStyle w:val="FooterTableFigure"/>
      </w:pPr>
      <w:r>
        <w:t xml:space="preserve">BMD = bone mineral density, </w:t>
      </w:r>
      <w:r w:rsidRPr="0072416F">
        <w:t>DB</w:t>
      </w:r>
      <w:r>
        <w:t xml:space="preserve"> </w:t>
      </w:r>
      <w:r w:rsidRPr="0072416F">
        <w:t>=</w:t>
      </w:r>
      <w:r>
        <w:t xml:space="preserve"> </w:t>
      </w:r>
      <w:r w:rsidRPr="0072416F">
        <w:t>double blind</w:t>
      </w:r>
      <w:r>
        <w:t>, DoR = duration of response, HRQoL = health-related quality of life,</w:t>
      </w:r>
      <w:r w:rsidRPr="0072416F">
        <w:t xml:space="preserve"> MC</w:t>
      </w:r>
      <w:r>
        <w:t xml:space="preserve"> </w:t>
      </w:r>
      <w:r w:rsidRPr="0072416F">
        <w:t>=</w:t>
      </w:r>
      <w:r>
        <w:t xml:space="preserve"> </w:t>
      </w:r>
      <w:r w:rsidRPr="0072416F">
        <w:t>multi-centre</w:t>
      </w:r>
      <w:r>
        <w:t>, NF1 = neurofibromatosis type 1, NH = Natural History, NR = not reported,</w:t>
      </w:r>
      <w:r w:rsidRPr="0072416F">
        <w:t xml:space="preserve"> </w:t>
      </w:r>
      <w:r>
        <w:t xml:space="preserve">OB = observational, </w:t>
      </w:r>
      <w:r w:rsidRPr="0072416F">
        <w:t>OL</w:t>
      </w:r>
      <w:r>
        <w:t xml:space="preserve"> </w:t>
      </w:r>
      <w:r w:rsidRPr="0072416F">
        <w:t>=</w:t>
      </w:r>
      <w:r>
        <w:t xml:space="preserve"> </w:t>
      </w:r>
      <w:r w:rsidRPr="0072416F">
        <w:t>open label</w:t>
      </w:r>
      <w:r>
        <w:t xml:space="preserve">, ORR = </w:t>
      </w:r>
      <w:r w:rsidR="00200CAD">
        <w:t xml:space="preserve">objective </w:t>
      </w:r>
      <w:r>
        <w:t xml:space="preserve">response rate, </w:t>
      </w:r>
      <w:r w:rsidRPr="0072416F">
        <w:t>OS</w:t>
      </w:r>
      <w:r>
        <w:t xml:space="preserve"> </w:t>
      </w:r>
      <w:r w:rsidRPr="0072416F">
        <w:t>=</w:t>
      </w:r>
      <w:r>
        <w:t xml:space="preserve"> </w:t>
      </w:r>
      <w:r w:rsidRPr="0072416F">
        <w:t>overall survival</w:t>
      </w:r>
      <w:r>
        <w:t>,</w:t>
      </w:r>
      <w:r w:rsidRPr="0072416F">
        <w:t xml:space="preserve"> PFS</w:t>
      </w:r>
      <w:r>
        <w:t xml:space="preserve"> </w:t>
      </w:r>
      <w:r w:rsidRPr="0072416F">
        <w:t>=</w:t>
      </w:r>
      <w:r>
        <w:t xml:space="preserve"> </w:t>
      </w:r>
      <w:r w:rsidRPr="0072416F">
        <w:t>progression-free survival</w:t>
      </w:r>
      <w:r>
        <w:t>, PN = plexiform neurofibroma(s),</w:t>
      </w:r>
      <w:r w:rsidRPr="0072416F">
        <w:t xml:space="preserve"> </w:t>
      </w:r>
      <w:r>
        <w:t xml:space="preserve">PRO = patient-reported outcomes, </w:t>
      </w:r>
      <w:r w:rsidRPr="0072416F">
        <w:t>R</w:t>
      </w:r>
      <w:r>
        <w:t xml:space="preserve"> </w:t>
      </w:r>
      <w:r w:rsidRPr="0072416F">
        <w:t>=</w:t>
      </w:r>
      <w:r>
        <w:t xml:space="preserve"> </w:t>
      </w:r>
      <w:r w:rsidRPr="0072416F">
        <w:t>randomised</w:t>
      </w:r>
      <w:r>
        <w:t xml:space="preserve">, </w:t>
      </w:r>
      <w:r w:rsidR="00E422A8">
        <w:t xml:space="preserve">TTP = time to progression, </w:t>
      </w:r>
      <w:r>
        <w:t>TTR = time to response.</w:t>
      </w:r>
    </w:p>
    <w:p w14:paraId="5A2191C2" w14:textId="4CA54BB6" w:rsidR="003E4262" w:rsidRDefault="0078664B" w:rsidP="00EC5836">
      <w:pPr>
        <w:pStyle w:val="FooterTableFigure"/>
      </w:pPr>
      <w:r w:rsidRPr="00CA4F5A">
        <w:rPr>
          <w:vertAlign w:val="superscript"/>
        </w:rPr>
        <w:t>a</w:t>
      </w:r>
      <w:r>
        <w:t xml:space="preserve"> </w:t>
      </w:r>
      <w:r w:rsidR="00A2349A">
        <w:t>Dat</w:t>
      </w:r>
      <w:r w:rsidR="00D80A4A">
        <w:t xml:space="preserve">a cut-off March 2021, </w:t>
      </w:r>
      <w:r w:rsidR="005D32D0">
        <w:t>maximum duration of follow-up 5.6 years</w:t>
      </w:r>
    </w:p>
    <w:p w14:paraId="63CDA97B" w14:textId="6E75C214" w:rsidR="0078664B" w:rsidRPr="007908F3" w:rsidRDefault="003E4262" w:rsidP="00EC5836">
      <w:pPr>
        <w:pStyle w:val="FooterTableFigure"/>
      </w:pPr>
      <w:r w:rsidRPr="003E4262">
        <w:rPr>
          <w:vertAlign w:val="superscript"/>
        </w:rPr>
        <w:t>b</w:t>
      </w:r>
      <w:r>
        <w:t xml:space="preserve"> </w:t>
      </w:r>
      <w:r w:rsidR="0078664B">
        <w:t>Risk of bias in non-randomized studies of intervention</w:t>
      </w:r>
      <w:r w:rsidR="003D10D4">
        <w:t>s</w:t>
      </w:r>
      <w:r w:rsidR="0078664B">
        <w:t xml:space="preserve"> (ROBINS-I) was used to estimate the risk of bias.</w:t>
      </w:r>
    </w:p>
    <w:p w14:paraId="59EBF8C3" w14:textId="77777777" w:rsidR="00F74924" w:rsidRDefault="0078664B" w:rsidP="00F74924">
      <w:pPr>
        <w:pStyle w:val="3-BodyText"/>
        <w:snapToGrid w:val="0"/>
      </w:pPr>
      <w:r w:rsidRPr="00F07B57">
        <w:t xml:space="preserve">All three studies were sponsored and conducted by </w:t>
      </w:r>
      <w:r>
        <w:t xml:space="preserve">the </w:t>
      </w:r>
      <w:r w:rsidRPr="00F07B57">
        <w:t xml:space="preserve">National Cancer Institute (NCI) Paediatric Oncology Branch (POB). </w:t>
      </w:r>
    </w:p>
    <w:p w14:paraId="2183F758" w14:textId="457BE0EE" w:rsidR="00F74924" w:rsidRDefault="00F74924" w:rsidP="00F74924">
      <w:pPr>
        <w:pStyle w:val="3-BodyText"/>
        <w:snapToGrid w:val="0"/>
      </w:pPr>
      <w:r>
        <w:t xml:space="preserve">The </w:t>
      </w:r>
      <w:r w:rsidRPr="00E90852">
        <w:t xml:space="preserve">SPRINT </w:t>
      </w:r>
      <w:r>
        <w:t>trial was</w:t>
      </w:r>
      <w:r w:rsidRPr="00E90852">
        <w:t xml:space="preserve"> an open-label, single-arm, multi-centre study of selumetinib in children</w:t>
      </w:r>
      <w:r>
        <w:t xml:space="preserve"> (</w:t>
      </w:r>
      <w:r w:rsidRPr="001A52BE">
        <w:t xml:space="preserve">aged ≥2 years and ≤18 years, with the ability to swallow whole capsules) </w:t>
      </w:r>
      <w:r w:rsidRPr="00E90852">
        <w:t>with NF1 and</w:t>
      </w:r>
      <w:r>
        <w:t xml:space="preserve"> symptomatic and</w:t>
      </w:r>
      <w:r w:rsidRPr="00E90852">
        <w:t xml:space="preserve"> inoperable PN</w:t>
      </w:r>
      <w:r>
        <w:t>. P</w:t>
      </w:r>
      <w:r w:rsidR="0078664B" w:rsidRPr="00F07B57">
        <w:t>re-specified analyses included comparisons with</w:t>
      </w:r>
      <w:r w:rsidR="003D10D4">
        <w:t xml:space="preserve"> the</w:t>
      </w:r>
      <w:r w:rsidR="0078664B" w:rsidRPr="00F07B57">
        <w:t xml:space="preserve"> NH study and the placebo arm of </w:t>
      </w:r>
      <w:r w:rsidR="009E025A">
        <w:t>the 01-C-0222 trial</w:t>
      </w:r>
      <w:r w:rsidR="0078664B" w:rsidRPr="00F07B57">
        <w:t xml:space="preserve"> (Phase A). </w:t>
      </w:r>
    </w:p>
    <w:p w14:paraId="63EBC68C" w14:textId="46B1AD57" w:rsidR="0078664B" w:rsidRDefault="00F74924" w:rsidP="00F74924">
      <w:pPr>
        <w:pStyle w:val="3-BodyText"/>
        <w:snapToGrid w:val="0"/>
      </w:pPr>
      <w:r>
        <w:t>The NCI NH study was a longitudinal, observational, natural history study of patients (</w:t>
      </w:r>
      <w:r w:rsidRPr="001A52BE">
        <w:t>children, adolescents, and adults</w:t>
      </w:r>
      <w:r>
        <w:t xml:space="preserve">) with a confirmed diagnosis of NF1 or a confirmed </w:t>
      </w:r>
      <w:r>
        <w:lastRenderedPageBreak/>
        <w:t xml:space="preserve">NF1 mutation. </w:t>
      </w:r>
      <w:r w:rsidR="00761BC4">
        <w:t>C</w:t>
      </w:r>
      <w:r w:rsidR="0078664B" w:rsidRPr="00F07B57">
        <w:t xml:space="preserve">omparative analyses </w:t>
      </w:r>
      <w:r w:rsidR="00761BC4">
        <w:t xml:space="preserve">with the SPRINT trial </w:t>
      </w:r>
      <w:r w:rsidR="0078664B" w:rsidRPr="00F07B57">
        <w:t xml:space="preserve">were performed using </w:t>
      </w:r>
      <w:r w:rsidR="00144F24">
        <w:t xml:space="preserve">an </w:t>
      </w:r>
      <w:r w:rsidR="0078664B" w:rsidRPr="00F07B57">
        <w:t xml:space="preserve">age-matched cohort (N=92) aligned with the maximum follow-up of </w:t>
      </w:r>
      <w:r w:rsidR="003D10D4">
        <w:t xml:space="preserve">the </w:t>
      </w:r>
      <w:r w:rsidR="0078664B" w:rsidRPr="00F07B57">
        <w:t xml:space="preserve">SPRINT trial (5.6 years). </w:t>
      </w:r>
    </w:p>
    <w:p w14:paraId="372E36F2" w14:textId="7AAC70E4" w:rsidR="00761BC4" w:rsidRPr="00F07B57" w:rsidRDefault="00761BC4" w:rsidP="0078664B">
      <w:pPr>
        <w:pStyle w:val="3-BodyText"/>
        <w:snapToGrid w:val="0"/>
      </w:pPr>
      <w:r>
        <w:t xml:space="preserve">The </w:t>
      </w:r>
      <w:r w:rsidRPr="00276211">
        <w:t>01-C-0222 trial (tipifarnib=31, placebo=29) was a Phase II, randomised, crossover, double-blinded, placebo-controlled study of tipifarnib</w:t>
      </w:r>
      <w:r>
        <w:t xml:space="preserve"> (an experimental treatment)</w:t>
      </w:r>
      <w:r w:rsidRPr="00276211">
        <w:t xml:space="preserve"> in children and young adults (aged 3 to 25 years) with NF1 and unresectable, progressive PN</w:t>
      </w:r>
      <w:r>
        <w:t>.</w:t>
      </w:r>
    </w:p>
    <w:p w14:paraId="672CD428" w14:textId="222109A2" w:rsidR="0078664B" w:rsidRPr="00523685" w:rsidRDefault="0078664B" w:rsidP="0078664B">
      <w:pPr>
        <w:pStyle w:val="3-BodyText"/>
        <w:snapToGrid w:val="0"/>
        <w:spacing w:after="0"/>
      </w:pPr>
      <w:bookmarkStart w:id="27" w:name="_Ref120870873"/>
      <w:r w:rsidRPr="00523685">
        <w:t xml:space="preserve">The eligibility criteria were largely similar across the studies. However, </w:t>
      </w:r>
      <w:r w:rsidRPr="00E331B7">
        <w:t>the</w:t>
      </w:r>
      <w:r w:rsidR="002D1858" w:rsidRPr="00E331B7">
        <w:t xml:space="preserve"> ESC noted that</w:t>
      </w:r>
      <w:r w:rsidR="002D1858" w:rsidRPr="002D1858">
        <w:rPr>
          <w:i/>
          <w:iCs/>
        </w:rPr>
        <w:t xml:space="preserve"> </w:t>
      </w:r>
      <w:r w:rsidR="002D1858">
        <w:t>the</w:t>
      </w:r>
      <w:r w:rsidRPr="00523685">
        <w:t>re were key differences that may affect transitivity</w:t>
      </w:r>
      <w:r w:rsidR="0055594A">
        <w:t>. Specifically, compared with the SPRINT trial</w:t>
      </w:r>
      <w:r w:rsidRPr="00523685">
        <w:t>:</w:t>
      </w:r>
      <w:bookmarkEnd w:id="27"/>
    </w:p>
    <w:p w14:paraId="3DD3E091" w14:textId="42D9AC8A" w:rsidR="0078664B" w:rsidRPr="00523685" w:rsidRDefault="0078664B" w:rsidP="00F70F2C">
      <w:pPr>
        <w:pStyle w:val="ListParagraph"/>
        <w:spacing w:after="0"/>
        <w:ind w:left="1134"/>
      </w:pPr>
      <w:r w:rsidRPr="00523685">
        <w:t>patients were younger in the age-matched cohort of the NH study (10.2 years versus 7.8 years) and</w:t>
      </w:r>
      <w:r w:rsidR="009E025A">
        <w:t xml:space="preserve"> the</w:t>
      </w:r>
      <w:r w:rsidRPr="00523685">
        <w:t xml:space="preserve"> </w:t>
      </w:r>
      <w:r w:rsidR="009E025A">
        <w:t>01-C-0222 trial</w:t>
      </w:r>
      <w:r w:rsidRPr="00523685">
        <w:t xml:space="preserve"> (10.2 years versus 8.2 years). </w:t>
      </w:r>
      <w:r w:rsidR="00F11F31" w:rsidRPr="000E5F8A">
        <w:t>O</w:t>
      </w:r>
      <w:r w:rsidRPr="000E5F8A">
        <w:t>lder age was found to be a predictor of a better outcome</w:t>
      </w:r>
      <w:r w:rsidRPr="000E5F8A">
        <w:rPr>
          <w:rStyle w:val="FootnoteReference"/>
        </w:rPr>
        <w:footnoteReference w:id="3"/>
      </w:r>
      <w:r w:rsidRPr="000E5F8A">
        <w:t>;</w:t>
      </w:r>
      <w:r w:rsidR="00F11F31" w:rsidRPr="000E5F8A">
        <w:t xml:space="preserve"> this </w:t>
      </w:r>
      <w:r w:rsidR="007878C3" w:rsidRPr="000E5F8A">
        <w:t xml:space="preserve">could </w:t>
      </w:r>
      <w:r w:rsidR="00F11F31" w:rsidRPr="000E5F8A">
        <w:t>favour selumetinib.</w:t>
      </w:r>
      <w:r w:rsidR="00F11F31">
        <w:rPr>
          <w:i/>
          <w:iCs/>
        </w:rPr>
        <w:t xml:space="preserve"> </w:t>
      </w:r>
    </w:p>
    <w:p w14:paraId="045AF2F2" w14:textId="33BCF4D6" w:rsidR="0078664B" w:rsidRPr="000E5F8A" w:rsidRDefault="009E025A" w:rsidP="00F70F2C">
      <w:pPr>
        <w:pStyle w:val="ListParagraph"/>
        <w:spacing w:after="0"/>
        <w:ind w:left="1134"/>
      </w:pPr>
      <w:r>
        <w:t xml:space="preserve">a </w:t>
      </w:r>
      <w:r w:rsidR="0078664B" w:rsidRPr="00523685">
        <w:t xml:space="preserve">lower proportion of patients had progressive PN in the age-matched cohort of the NH study (42.0% versus 33.3%). All patients in </w:t>
      </w:r>
      <w:r>
        <w:t>the 01-C-0222 trial</w:t>
      </w:r>
      <w:r w:rsidR="0078664B" w:rsidRPr="00523685">
        <w:t xml:space="preserve"> had progressive PN, given the eligibility criteria. </w:t>
      </w:r>
      <w:r w:rsidR="0078664B" w:rsidRPr="000E5F8A">
        <w:t>The potential impact on trial comparison was not clear.</w:t>
      </w:r>
    </w:p>
    <w:p w14:paraId="3026E058" w14:textId="73099340" w:rsidR="0078664B" w:rsidRPr="000E5F8A" w:rsidRDefault="0078664B" w:rsidP="00F70F2C">
      <w:pPr>
        <w:pStyle w:val="ListParagraph"/>
        <w:spacing w:after="0"/>
        <w:ind w:left="1134"/>
      </w:pPr>
      <w:r w:rsidRPr="00523685">
        <w:t xml:space="preserve">the median PN volume was lower in the age-matched cohort of </w:t>
      </w:r>
      <w:r w:rsidR="008F15B5">
        <w:t xml:space="preserve">the </w:t>
      </w:r>
      <w:r w:rsidRPr="00523685">
        <w:t xml:space="preserve">NH study (487.5 mL versus 301.5 mL) and </w:t>
      </w:r>
      <w:r w:rsidR="009E025A">
        <w:t>the 01-C-0222 trial</w:t>
      </w:r>
      <w:r w:rsidRPr="00523685">
        <w:t xml:space="preserve"> (487.5 mL versus 316.0 mL). </w:t>
      </w:r>
      <w:r w:rsidRPr="000E5F8A">
        <w:t>The potential impact on trial comparison was not clear.</w:t>
      </w:r>
    </w:p>
    <w:p w14:paraId="5E794CCF" w14:textId="7BED612E" w:rsidR="0078664B" w:rsidRPr="000E5F8A" w:rsidRDefault="009E025A" w:rsidP="00F70F2C">
      <w:pPr>
        <w:pStyle w:val="ListParagraph"/>
        <w:spacing w:after="0"/>
        <w:ind w:left="1134"/>
      </w:pPr>
      <w:r>
        <w:t xml:space="preserve">a </w:t>
      </w:r>
      <w:r w:rsidR="0078664B" w:rsidRPr="00523685">
        <w:t xml:space="preserve">lower proportion of patients had PN located in the head/neck in the age-matched cohort of NH study (24.0% versus 14.1%). </w:t>
      </w:r>
      <w:r w:rsidR="00034C1E" w:rsidRPr="000E5F8A">
        <w:t>T</w:t>
      </w:r>
      <w:r w:rsidR="0078664B" w:rsidRPr="000E5F8A">
        <w:t>umours of the head, neck, and face were most likely to progress following resection compared with tumours of the extremities</w:t>
      </w:r>
      <w:r w:rsidR="00034C1E" w:rsidRPr="000E5F8A">
        <w:t xml:space="preserve">, this </w:t>
      </w:r>
      <w:r w:rsidR="007878C3" w:rsidRPr="000E5F8A">
        <w:t xml:space="preserve">could </w:t>
      </w:r>
      <w:r w:rsidR="00034C1E" w:rsidRPr="000E5F8A">
        <w:t xml:space="preserve">favour </w:t>
      </w:r>
      <w:r w:rsidR="00D87E5E" w:rsidRPr="000E5F8A">
        <w:t>SC.</w:t>
      </w:r>
      <w:r w:rsidR="0078664B" w:rsidRPr="000E5F8A">
        <w:t xml:space="preserve"> </w:t>
      </w:r>
    </w:p>
    <w:p w14:paraId="6E848DEB" w14:textId="5BFC8E94" w:rsidR="0078664B" w:rsidRPr="000E5F8A" w:rsidRDefault="009E025A" w:rsidP="00F70F2C">
      <w:pPr>
        <w:pStyle w:val="ListParagraph"/>
        <w:ind w:left="1134"/>
      </w:pPr>
      <w:r>
        <w:t xml:space="preserve">a </w:t>
      </w:r>
      <w:r w:rsidR="0078664B" w:rsidRPr="003A0D82">
        <w:t xml:space="preserve">lower proportion of patients had received prior treatment for PN in </w:t>
      </w:r>
      <w:r>
        <w:t>the 01-C-0222 trial</w:t>
      </w:r>
      <w:r w:rsidR="0078664B" w:rsidRPr="003A0D82">
        <w:t xml:space="preserve"> (62.0% versus 13.8%). </w:t>
      </w:r>
      <w:r w:rsidR="0078664B" w:rsidRPr="000E5F8A">
        <w:t>The potential impact on trial comparison was not clear.</w:t>
      </w:r>
    </w:p>
    <w:p w14:paraId="7675C652" w14:textId="02F6AB52" w:rsidR="0078664B" w:rsidRDefault="0078664B" w:rsidP="0078664B">
      <w:pPr>
        <w:pStyle w:val="3-BodyText"/>
      </w:pPr>
      <w:r w:rsidRPr="003014F0">
        <w:t>The submission presented propensity score analyses to adjust for differences in age, target PN volume, and target PN location.</w:t>
      </w:r>
    </w:p>
    <w:p w14:paraId="4A4FE085" w14:textId="1C5613CC" w:rsidR="00B60939" w:rsidRPr="00C9624D" w:rsidRDefault="00B60939" w:rsidP="00EC5836">
      <w:pPr>
        <w:pStyle w:val="4-SubsectionHeading"/>
      </w:pPr>
      <w:bookmarkStart w:id="28" w:name="_Toc114041589"/>
      <w:r w:rsidRPr="00C9624D">
        <w:t>Comparative effectiveness</w:t>
      </w:r>
      <w:bookmarkEnd w:id="5"/>
      <w:bookmarkEnd w:id="28"/>
    </w:p>
    <w:p w14:paraId="4D9B6D63" w14:textId="6D7FF78A" w:rsidR="00B24364" w:rsidRPr="00B24364" w:rsidRDefault="00B24364" w:rsidP="00466367">
      <w:pPr>
        <w:spacing w:after="120"/>
        <w:rPr>
          <w:b/>
          <w:bCs/>
          <w:u w:val="single"/>
        </w:rPr>
      </w:pPr>
      <w:r w:rsidRPr="00B24364">
        <w:rPr>
          <w:b/>
          <w:bCs/>
          <w:u w:val="single"/>
        </w:rPr>
        <w:t>SPRINT trial</w:t>
      </w:r>
    </w:p>
    <w:p w14:paraId="20748ACE" w14:textId="257D2C8C" w:rsidR="0056573D" w:rsidRDefault="009F4E47" w:rsidP="00466367">
      <w:pPr>
        <w:rPr>
          <w:u w:val="single"/>
        </w:rPr>
      </w:pPr>
      <w:r w:rsidRPr="009E3D1C">
        <w:rPr>
          <w:u w:val="single"/>
        </w:rPr>
        <w:t>O</w:t>
      </w:r>
      <w:r>
        <w:rPr>
          <w:u w:val="single"/>
        </w:rPr>
        <w:t>bjective</w:t>
      </w:r>
      <w:r w:rsidRPr="009E3D1C">
        <w:rPr>
          <w:u w:val="single"/>
        </w:rPr>
        <w:t xml:space="preserve"> </w:t>
      </w:r>
      <w:r w:rsidR="0078601D" w:rsidRPr="009E3D1C">
        <w:rPr>
          <w:u w:val="single"/>
        </w:rPr>
        <w:t>Response Rate</w:t>
      </w:r>
      <w:r w:rsidR="000F65D6">
        <w:rPr>
          <w:u w:val="single"/>
        </w:rPr>
        <w:t xml:space="preserve"> (ORR)</w:t>
      </w:r>
    </w:p>
    <w:p w14:paraId="14214920" w14:textId="7C9799E0" w:rsidR="00DA3167" w:rsidRPr="00D94B7C" w:rsidRDefault="007D5B66" w:rsidP="00EC5836">
      <w:pPr>
        <w:pStyle w:val="3-BodyText"/>
      </w:pPr>
      <w:r>
        <w:t>ORR</w:t>
      </w:r>
      <w:r w:rsidR="00F74924">
        <w:t xml:space="preserve"> (</w:t>
      </w:r>
      <w:r w:rsidR="0034764B">
        <w:t xml:space="preserve">assessed </w:t>
      </w:r>
      <w:r w:rsidR="00F74924">
        <w:t>by NCI POB central review)</w:t>
      </w:r>
      <w:r w:rsidR="00C92A32">
        <w:t xml:space="preserve">, </w:t>
      </w:r>
      <w:r w:rsidR="008F15B5">
        <w:t xml:space="preserve">the </w:t>
      </w:r>
      <w:r w:rsidR="003877C7" w:rsidRPr="007220B8">
        <w:t>primary efficacy outcome</w:t>
      </w:r>
      <w:r w:rsidR="00C92A32">
        <w:t xml:space="preserve">, </w:t>
      </w:r>
      <w:r w:rsidR="002159C3" w:rsidRPr="002159C3">
        <w:t>was defined as the percentage of patients with complete response or confirmed partial response</w:t>
      </w:r>
      <w:r w:rsidR="00CF16C6">
        <w:t xml:space="preserve"> </w:t>
      </w:r>
      <w:r w:rsidR="00CF16C6">
        <w:lastRenderedPageBreak/>
        <w:t>(PR)</w:t>
      </w:r>
      <w:r w:rsidR="002159C3" w:rsidRPr="002159C3">
        <w:t>.</w:t>
      </w:r>
      <w:r w:rsidR="003877C7">
        <w:t xml:space="preserve"> </w:t>
      </w:r>
      <w:r w:rsidR="00CF16C6" w:rsidRPr="00CF16C6">
        <w:t>PR was defined as PN volume decrease ≥20% compared to baseline</w:t>
      </w:r>
      <w:r w:rsidR="00CF16C6">
        <w:t xml:space="preserve"> with a</w:t>
      </w:r>
      <w:r w:rsidR="00CF16C6" w:rsidRPr="00CF16C6">
        <w:t xml:space="preserve"> confirmed </w:t>
      </w:r>
      <w:r w:rsidR="00CF16C6">
        <w:t xml:space="preserve">PR </w:t>
      </w:r>
      <w:r w:rsidR="00CF16C6" w:rsidRPr="00CF16C6">
        <w:t xml:space="preserve">defined as </w:t>
      </w:r>
      <w:r w:rsidR="00CF16C6">
        <w:t>a PR</w:t>
      </w:r>
      <w:r w:rsidR="00CF16C6" w:rsidRPr="00CF16C6">
        <w:t xml:space="preserve"> on consecutive restaging examinations at least 3 months apart</w:t>
      </w:r>
      <w:r w:rsidR="00CF16C6">
        <w:t xml:space="preserve">. </w:t>
      </w:r>
      <w:r w:rsidR="00D94B7C" w:rsidRPr="00D94B7C">
        <w:rPr>
          <w:snapToGrid/>
          <w:lang w:val="en-US"/>
        </w:rPr>
        <w:fldChar w:fldCharType="begin"/>
      </w:r>
      <w:r w:rsidR="00D94B7C" w:rsidRPr="00D94B7C">
        <w:rPr>
          <w:snapToGrid/>
          <w:lang w:val="en-US"/>
        </w:rPr>
        <w:instrText xml:space="preserve"> REF _Ref111113328 \h </w:instrText>
      </w:r>
      <w:r w:rsidR="00D94B7C" w:rsidRPr="00D94B7C">
        <w:rPr>
          <w:snapToGrid/>
          <w:lang w:val="en-US"/>
        </w:rPr>
      </w:r>
      <w:r w:rsidR="00D94B7C" w:rsidRPr="00D94B7C">
        <w:rPr>
          <w:snapToGrid/>
          <w:lang w:val="en-US"/>
        </w:rPr>
        <w:fldChar w:fldCharType="separate"/>
      </w:r>
      <w:r w:rsidR="00BE0EE6">
        <w:t xml:space="preserve">Table </w:t>
      </w:r>
      <w:r w:rsidR="00BE0EE6">
        <w:rPr>
          <w:noProof/>
        </w:rPr>
        <w:t>4</w:t>
      </w:r>
      <w:r w:rsidR="00D94B7C" w:rsidRPr="00D94B7C">
        <w:rPr>
          <w:snapToGrid/>
          <w:lang w:val="en-US"/>
        </w:rPr>
        <w:fldChar w:fldCharType="end"/>
      </w:r>
      <w:r w:rsidR="00D94B7C" w:rsidRPr="00D94B7C">
        <w:rPr>
          <w:snapToGrid/>
          <w:lang w:val="en-US"/>
        </w:rPr>
        <w:t xml:space="preserve"> </w:t>
      </w:r>
      <w:r w:rsidR="007B2EF4" w:rsidRPr="00D94B7C">
        <w:rPr>
          <w:snapToGrid/>
          <w:lang w:val="en-US"/>
        </w:rPr>
        <w:t xml:space="preserve">summarises the results of ORR in </w:t>
      </w:r>
      <w:r w:rsidR="0061451A">
        <w:rPr>
          <w:snapToGrid/>
          <w:lang w:val="en-US"/>
        </w:rPr>
        <w:t xml:space="preserve">the </w:t>
      </w:r>
      <w:r w:rsidR="007B2EF4" w:rsidRPr="00D94B7C">
        <w:rPr>
          <w:snapToGrid/>
          <w:lang w:val="en-US"/>
        </w:rPr>
        <w:t xml:space="preserve">SPRINT </w:t>
      </w:r>
      <w:r w:rsidR="00D94B7C">
        <w:rPr>
          <w:snapToGrid/>
          <w:lang w:val="en-US"/>
        </w:rPr>
        <w:t>t</w:t>
      </w:r>
      <w:r w:rsidR="007B2EF4" w:rsidRPr="00D94B7C">
        <w:rPr>
          <w:snapToGrid/>
          <w:lang w:val="en-US"/>
        </w:rPr>
        <w:t>rial</w:t>
      </w:r>
      <w:r w:rsidR="00D94B7C">
        <w:rPr>
          <w:snapToGrid/>
          <w:lang w:val="en-US"/>
        </w:rPr>
        <w:t>.</w:t>
      </w:r>
    </w:p>
    <w:p w14:paraId="10EABC23" w14:textId="3DB407CD" w:rsidR="00D94B7C" w:rsidRDefault="00D94B7C" w:rsidP="00D94B7C">
      <w:pPr>
        <w:pStyle w:val="Caption"/>
        <w:rPr>
          <w:b w:val="0"/>
          <w:szCs w:val="16"/>
        </w:rPr>
      </w:pPr>
      <w:bookmarkStart w:id="29" w:name="_Ref111113328"/>
      <w:r>
        <w:t xml:space="preserve">Table </w:t>
      </w:r>
      <w:fldSimple w:instr=" SEQ Table \* ARABIC ">
        <w:r w:rsidR="00BE0EE6">
          <w:rPr>
            <w:noProof/>
          </w:rPr>
          <w:t>4</w:t>
        </w:r>
      </w:fldSimple>
      <w:bookmarkEnd w:id="29"/>
      <w:r w:rsidRPr="002E2158">
        <w:rPr>
          <w:rStyle w:val="CommentReference"/>
        </w:rPr>
        <w:t>:</w:t>
      </w:r>
      <w:r>
        <w:rPr>
          <w:rStyle w:val="CommentReference"/>
        </w:rPr>
        <w:t xml:space="preserve"> </w:t>
      </w:r>
      <w:r w:rsidRPr="00D94B7C">
        <w:rPr>
          <w:rStyle w:val="CommentReference"/>
          <w:b/>
          <w:bCs w:val="0"/>
        </w:rPr>
        <w:t>Summary of ORR in SPRINT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7"/>
        <w:gridCol w:w="6020"/>
      </w:tblGrid>
      <w:tr w:rsidR="00D94B7C" w14:paraId="23FF31F5" w14:textId="77777777" w:rsidTr="001C30D8">
        <w:trPr>
          <w:tblHeader/>
        </w:trPr>
        <w:tc>
          <w:tcPr>
            <w:tcW w:w="1662" w:type="pct"/>
            <w:tcBorders>
              <w:top w:val="single" w:sz="4" w:space="0" w:color="auto"/>
              <w:left w:val="single" w:sz="4" w:space="0" w:color="auto"/>
              <w:bottom w:val="single" w:sz="4" w:space="0" w:color="auto"/>
              <w:right w:val="single" w:sz="4" w:space="0" w:color="auto"/>
            </w:tcBorders>
            <w:vAlign w:val="center"/>
          </w:tcPr>
          <w:p w14:paraId="18403C78" w14:textId="77777777" w:rsidR="00D94B7C" w:rsidRDefault="00D94B7C" w:rsidP="001C30D8">
            <w:pPr>
              <w:keepNext/>
              <w:widowControl w:val="0"/>
              <w:jc w:val="left"/>
              <w:rPr>
                <w:rFonts w:ascii="Arial Narrow" w:hAnsi="Arial Narrow" w:cs="Times New Roman"/>
                <w:b/>
                <w:sz w:val="20"/>
                <w:lang w:val="en-US"/>
              </w:rPr>
            </w:pPr>
            <w:r>
              <w:rPr>
                <w:rFonts w:ascii="Arial Narrow" w:hAnsi="Arial Narrow" w:cs="Times New Roman"/>
                <w:b/>
                <w:sz w:val="20"/>
                <w:lang w:val="en-US"/>
              </w:rPr>
              <w:t>Outcome</w:t>
            </w:r>
          </w:p>
        </w:tc>
        <w:tc>
          <w:tcPr>
            <w:tcW w:w="3338" w:type="pct"/>
            <w:tcBorders>
              <w:top w:val="single" w:sz="4" w:space="0" w:color="auto"/>
              <w:left w:val="single" w:sz="4" w:space="0" w:color="auto"/>
              <w:bottom w:val="single" w:sz="4" w:space="0" w:color="auto"/>
              <w:right w:val="single" w:sz="4" w:space="0" w:color="auto"/>
            </w:tcBorders>
            <w:vAlign w:val="center"/>
            <w:hideMark/>
          </w:tcPr>
          <w:p w14:paraId="735C9272" w14:textId="77777777" w:rsidR="00D94B7C" w:rsidRDefault="00D94B7C" w:rsidP="001C30D8">
            <w:pPr>
              <w:keepNext/>
              <w:widowControl w:val="0"/>
              <w:jc w:val="center"/>
              <w:rPr>
                <w:rFonts w:ascii="Arial Narrow" w:hAnsi="Arial Narrow" w:cs="Times New Roman"/>
                <w:b/>
                <w:sz w:val="20"/>
                <w:lang w:val="en-US"/>
              </w:rPr>
            </w:pPr>
            <w:r>
              <w:rPr>
                <w:rFonts w:ascii="Arial Narrow" w:hAnsi="Arial Narrow" w:cs="Times New Roman"/>
                <w:b/>
                <w:sz w:val="20"/>
                <w:lang w:val="en-US"/>
              </w:rPr>
              <w:t>SPRINT</w:t>
            </w:r>
          </w:p>
          <w:p w14:paraId="416B0ADD" w14:textId="77777777" w:rsidR="00D94B7C" w:rsidRDefault="00D94B7C" w:rsidP="001C30D8">
            <w:pPr>
              <w:keepNext/>
              <w:widowControl w:val="0"/>
              <w:jc w:val="center"/>
              <w:rPr>
                <w:rFonts w:ascii="Arial Narrow" w:hAnsi="Arial Narrow" w:cs="Times New Roman"/>
                <w:b/>
                <w:sz w:val="20"/>
                <w:lang w:val="en-US"/>
              </w:rPr>
            </w:pPr>
            <w:r w:rsidRPr="00C03F3A">
              <w:rPr>
                <w:rFonts w:ascii="Arial Narrow" w:hAnsi="Arial Narrow" w:cs="Times New Roman"/>
                <w:b/>
                <w:sz w:val="20"/>
                <w:lang w:val="en-US"/>
              </w:rPr>
              <w:t>Selumetinib 25 mg/m</w:t>
            </w:r>
            <w:r w:rsidRPr="00C03F3A">
              <w:rPr>
                <w:rFonts w:ascii="Arial Narrow" w:hAnsi="Arial Narrow" w:cs="Times New Roman"/>
                <w:b/>
                <w:sz w:val="20"/>
                <w:vertAlign w:val="superscript"/>
                <w:lang w:val="en-US"/>
              </w:rPr>
              <w:t>2</w:t>
            </w:r>
            <w:r w:rsidRPr="00C03F3A">
              <w:rPr>
                <w:rFonts w:ascii="Arial Narrow" w:hAnsi="Arial Narrow" w:cs="Times New Roman"/>
                <w:b/>
                <w:sz w:val="20"/>
                <w:lang w:val="en-US"/>
              </w:rPr>
              <w:t xml:space="preserve"> BID</w:t>
            </w:r>
          </w:p>
          <w:p w14:paraId="428C860B" w14:textId="77777777" w:rsidR="00D94B7C" w:rsidRDefault="00D94B7C" w:rsidP="001C30D8">
            <w:pPr>
              <w:keepNext/>
              <w:widowControl w:val="0"/>
              <w:jc w:val="center"/>
              <w:rPr>
                <w:rFonts w:ascii="Arial Narrow" w:hAnsi="Arial Narrow" w:cs="Times New Roman"/>
                <w:b/>
                <w:sz w:val="20"/>
                <w:lang w:val="en-US"/>
              </w:rPr>
            </w:pPr>
            <w:r>
              <w:rPr>
                <w:rFonts w:ascii="Arial Narrow" w:hAnsi="Arial Narrow" w:cs="Times New Roman"/>
                <w:b/>
                <w:sz w:val="20"/>
                <w:lang w:val="en-US"/>
              </w:rPr>
              <w:t>n/N (%)</w:t>
            </w:r>
          </w:p>
        </w:tc>
      </w:tr>
      <w:tr w:rsidR="00D94B7C" w14:paraId="6ABF8BEE" w14:textId="77777777" w:rsidTr="001C30D8">
        <w:tc>
          <w:tcPr>
            <w:tcW w:w="1662" w:type="pct"/>
            <w:tcBorders>
              <w:top w:val="single" w:sz="4" w:space="0" w:color="auto"/>
              <w:left w:val="single" w:sz="4" w:space="0" w:color="auto"/>
              <w:bottom w:val="single" w:sz="4" w:space="0" w:color="auto"/>
              <w:right w:val="single" w:sz="4" w:space="0" w:color="auto"/>
            </w:tcBorders>
            <w:vAlign w:val="center"/>
            <w:hideMark/>
          </w:tcPr>
          <w:p w14:paraId="102C554E" w14:textId="77777777" w:rsidR="00D94B7C" w:rsidRDefault="00D94B7C" w:rsidP="001C30D8">
            <w:pPr>
              <w:keepNext/>
              <w:widowControl w:val="0"/>
              <w:jc w:val="left"/>
              <w:rPr>
                <w:rFonts w:ascii="Arial Narrow" w:hAnsi="Arial Narrow" w:cs="Times New Roman"/>
                <w:bCs/>
                <w:sz w:val="20"/>
              </w:rPr>
            </w:pPr>
            <w:r>
              <w:rPr>
                <w:rFonts w:ascii="Arial Narrow" w:hAnsi="Arial Narrow" w:cs="Times New Roman"/>
                <w:bCs/>
                <w:sz w:val="20"/>
              </w:rPr>
              <w:t xml:space="preserve">Confirmed ORR, (95% CI) </w:t>
            </w:r>
          </w:p>
        </w:tc>
        <w:tc>
          <w:tcPr>
            <w:tcW w:w="3338" w:type="pct"/>
            <w:tcBorders>
              <w:top w:val="single" w:sz="4" w:space="0" w:color="auto"/>
              <w:left w:val="single" w:sz="4" w:space="0" w:color="auto"/>
              <w:bottom w:val="single" w:sz="4" w:space="0" w:color="auto"/>
              <w:right w:val="single" w:sz="4" w:space="0" w:color="auto"/>
            </w:tcBorders>
            <w:vAlign w:val="center"/>
          </w:tcPr>
          <w:p w14:paraId="0FD147E3" w14:textId="30CF4AA3" w:rsidR="00D94B7C" w:rsidRPr="00D726FA" w:rsidRDefault="00D94B7C" w:rsidP="001C30D8">
            <w:pPr>
              <w:keepNext/>
              <w:widowControl w:val="0"/>
              <w:jc w:val="center"/>
              <w:rPr>
                <w:rFonts w:ascii="Arial Narrow" w:hAnsi="Arial Narrow" w:cs="Times New Roman"/>
                <w:bCs/>
                <w:sz w:val="20"/>
              </w:rPr>
            </w:pPr>
            <w:r w:rsidRPr="00D726FA">
              <w:rPr>
                <w:rFonts w:ascii="Arial Narrow" w:hAnsi="Arial Narrow" w:cs="Times New Roman"/>
                <w:bCs/>
                <w:sz w:val="20"/>
              </w:rPr>
              <w:t>34/50 (68</w:t>
            </w:r>
            <w:r w:rsidR="001F4831" w:rsidRPr="00D726FA">
              <w:rPr>
                <w:rFonts w:ascii="Arial Narrow" w:hAnsi="Arial Narrow" w:cs="Times New Roman"/>
                <w:bCs/>
                <w:sz w:val="20"/>
              </w:rPr>
              <w:t>.0</w:t>
            </w:r>
            <w:r w:rsidRPr="00D726FA">
              <w:rPr>
                <w:rFonts w:ascii="Arial Narrow" w:hAnsi="Arial Narrow" w:cs="Times New Roman"/>
                <w:bCs/>
                <w:sz w:val="20"/>
              </w:rPr>
              <w:t>%), (53.3, 80.5)</w:t>
            </w:r>
          </w:p>
        </w:tc>
      </w:tr>
      <w:tr w:rsidR="00D94B7C" w:rsidRPr="007D5B66" w14:paraId="21AEEBFA" w14:textId="77777777" w:rsidTr="001C30D8">
        <w:tc>
          <w:tcPr>
            <w:tcW w:w="5000" w:type="pct"/>
            <w:gridSpan w:val="2"/>
            <w:tcBorders>
              <w:top w:val="single" w:sz="4" w:space="0" w:color="auto"/>
              <w:left w:val="single" w:sz="4" w:space="0" w:color="auto"/>
              <w:bottom w:val="single" w:sz="4" w:space="0" w:color="auto"/>
              <w:right w:val="single" w:sz="4" w:space="0" w:color="auto"/>
            </w:tcBorders>
            <w:vAlign w:val="center"/>
          </w:tcPr>
          <w:p w14:paraId="516819B4" w14:textId="77777777" w:rsidR="00D94B7C" w:rsidRPr="00D726FA" w:rsidRDefault="00D94B7C" w:rsidP="001C30D8">
            <w:pPr>
              <w:keepNext/>
              <w:widowControl w:val="0"/>
              <w:jc w:val="left"/>
              <w:rPr>
                <w:rFonts w:ascii="Arial Narrow" w:hAnsi="Arial Narrow" w:cs="Times New Roman"/>
                <w:b/>
                <w:sz w:val="20"/>
              </w:rPr>
            </w:pPr>
            <w:r w:rsidRPr="00D726FA">
              <w:rPr>
                <w:rFonts w:ascii="Arial Narrow" w:hAnsi="Arial Narrow" w:cs="Times New Roman"/>
                <w:b/>
                <w:sz w:val="20"/>
              </w:rPr>
              <w:t>Best objective response</w:t>
            </w:r>
          </w:p>
        </w:tc>
      </w:tr>
      <w:tr w:rsidR="00D94B7C" w14:paraId="758E86E3" w14:textId="77777777" w:rsidTr="001C30D8">
        <w:tc>
          <w:tcPr>
            <w:tcW w:w="1662" w:type="pct"/>
            <w:tcBorders>
              <w:top w:val="single" w:sz="4" w:space="0" w:color="auto"/>
              <w:left w:val="single" w:sz="4" w:space="0" w:color="auto"/>
              <w:bottom w:val="single" w:sz="4" w:space="0" w:color="auto"/>
              <w:right w:val="single" w:sz="4" w:space="0" w:color="auto"/>
            </w:tcBorders>
            <w:vAlign w:val="center"/>
          </w:tcPr>
          <w:p w14:paraId="4E9FAAA3" w14:textId="77777777" w:rsidR="00D94B7C" w:rsidRDefault="00D94B7C" w:rsidP="001C30D8">
            <w:pPr>
              <w:keepNext/>
              <w:widowControl w:val="0"/>
              <w:jc w:val="left"/>
              <w:rPr>
                <w:rFonts w:ascii="Arial Narrow" w:hAnsi="Arial Narrow" w:cs="Times New Roman"/>
                <w:bCs/>
                <w:sz w:val="20"/>
              </w:rPr>
            </w:pPr>
            <w:r w:rsidRPr="009B360E">
              <w:rPr>
                <w:rFonts w:ascii="Arial Narrow" w:hAnsi="Arial Narrow" w:cs="Times New Roman"/>
                <w:bCs/>
                <w:sz w:val="20"/>
              </w:rPr>
              <w:t>Complete response</w:t>
            </w:r>
          </w:p>
        </w:tc>
        <w:tc>
          <w:tcPr>
            <w:tcW w:w="3338" w:type="pct"/>
            <w:tcBorders>
              <w:top w:val="single" w:sz="4" w:space="0" w:color="auto"/>
              <w:left w:val="single" w:sz="4" w:space="0" w:color="auto"/>
              <w:bottom w:val="single" w:sz="4" w:space="0" w:color="auto"/>
              <w:right w:val="single" w:sz="4" w:space="0" w:color="auto"/>
            </w:tcBorders>
            <w:vAlign w:val="center"/>
          </w:tcPr>
          <w:p w14:paraId="5E6220BB" w14:textId="77777777" w:rsidR="00D94B7C" w:rsidRPr="00D726FA" w:rsidRDefault="00D94B7C" w:rsidP="001C30D8">
            <w:pPr>
              <w:keepNext/>
              <w:widowControl w:val="0"/>
              <w:jc w:val="center"/>
              <w:rPr>
                <w:rFonts w:ascii="Arial Narrow" w:hAnsi="Arial Narrow" w:cs="Times New Roman"/>
                <w:bCs/>
                <w:sz w:val="20"/>
              </w:rPr>
            </w:pPr>
            <w:r w:rsidRPr="00D726FA">
              <w:rPr>
                <w:rFonts w:ascii="Arial Narrow" w:hAnsi="Arial Narrow" w:cs="Times New Roman"/>
                <w:bCs/>
                <w:sz w:val="20"/>
              </w:rPr>
              <w:t>0</w:t>
            </w:r>
          </w:p>
        </w:tc>
      </w:tr>
      <w:tr w:rsidR="00D94B7C" w14:paraId="474F0DAD" w14:textId="77777777" w:rsidTr="001C30D8">
        <w:tc>
          <w:tcPr>
            <w:tcW w:w="1662" w:type="pct"/>
            <w:tcBorders>
              <w:top w:val="single" w:sz="4" w:space="0" w:color="auto"/>
              <w:left w:val="single" w:sz="4" w:space="0" w:color="auto"/>
              <w:bottom w:val="single" w:sz="4" w:space="0" w:color="auto"/>
              <w:right w:val="single" w:sz="4" w:space="0" w:color="auto"/>
            </w:tcBorders>
            <w:vAlign w:val="center"/>
          </w:tcPr>
          <w:p w14:paraId="77D9B450" w14:textId="620FA099" w:rsidR="00D94B7C" w:rsidRDefault="00D94B7C" w:rsidP="001C30D8">
            <w:pPr>
              <w:keepNext/>
              <w:widowControl w:val="0"/>
              <w:jc w:val="left"/>
              <w:rPr>
                <w:rFonts w:ascii="Arial Narrow" w:hAnsi="Arial Narrow" w:cs="Times New Roman"/>
                <w:bCs/>
                <w:sz w:val="20"/>
              </w:rPr>
            </w:pPr>
            <w:r w:rsidRPr="009B360E">
              <w:rPr>
                <w:rFonts w:ascii="Arial Narrow" w:hAnsi="Arial Narrow" w:cs="Times New Roman"/>
                <w:bCs/>
                <w:sz w:val="20"/>
              </w:rPr>
              <w:t>Confirmed partial response</w:t>
            </w:r>
            <w:r w:rsidR="000466F9">
              <w:rPr>
                <w:rFonts w:ascii="Arial Narrow" w:hAnsi="Arial Narrow" w:cs="Times New Roman"/>
                <w:bCs/>
                <w:sz w:val="20"/>
              </w:rPr>
              <w:t xml:space="preserve"> </w:t>
            </w:r>
            <w:r w:rsidR="000466F9" w:rsidRPr="000466F9">
              <w:rPr>
                <w:rFonts w:ascii="Arial Narrow" w:hAnsi="Arial Narrow" w:cs="Times New Roman"/>
                <w:bCs/>
                <w:sz w:val="20"/>
                <w:vertAlign w:val="superscript"/>
              </w:rPr>
              <w:t>a</w:t>
            </w:r>
          </w:p>
        </w:tc>
        <w:tc>
          <w:tcPr>
            <w:tcW w:w="3338" w:type="pct"/>
            <w:tcBorders>
              <w:top w:val="single" w:sz="4" w:space="0" w:color="auto"/>
              <w:left w:val="single" w:sz="4" w:space="0" w:color="auto"/>
              <w:bottom w:val="single" w:sz="4" w:space="0" w:color="auto"/>
              <w:right w:val="single" w:sz="4" w:space="0" w:color="auto"/>
            </w:tcBorders>
            <w:vAlign w:val="center"/>
          </w:tcPr>
          <w:p w14:paraId="75E75905" w14:textId="0E60C411" w:rsidR="00D94B7C" w:rsidRPr="00D726FA" w:rsidRDefault="00D94B7C" w:rsidP="001C30D8">
            <w:pPr>
              <w:keepNext/>
              <w:widowControl w:val="0"/>
              <w:jc w:val="center"/>
              <w:rPr>
                <w:rFonts w:ascii="Arial Narrow" w:hAnsi="Arial Narrow" w:cs="Times New Roman"/>
                <w:bCs/>
                <w:sz w:val="20"/>
              </w:rPr>
            </w:pPr>
            <w:r w:rsidRPr="00D726FA">
              <w:rPr>
                <w:rFonts w:ascii="Arial Narrow" w:hAnsi="Arial Narrow" w:cs="Times New Roman"/>
                <w:bCs/>
                <w:sz w:val="20"/>
              </w:rPr>
              <w:t>34/50 (68%)</w:t>
            </w:r>
          </w:p>
        </w:tc>
      </w:tr>
      <w:tr w:rsidR="00D94B7C" w14:paraId="3D5342B8" w14:textId="77777777" w:rsidTr="001C30D8">
        <w:tc>
          <w:tcPr>
            <w:tcW w:w="1662" w:type="pct"/>
            <w:tcBorders>
              <w:top w:val="single" w:sz="4" w:space="0" w:color="auto"/>
              <w:left w:val="single" w:sz="4" w:space="0" w:color="auto"/>
              <w:bottom w:val="single" w:sz="4" w:space="0" w:color="auto"/>
              <w:right w:val="single" w:sz="4" w:space="0" w:color="auto"/>
            </w:tcBorders>
            <w:vAlign w:val="center"/>
          </w:tcPr>
          <w:p w14:paraId="3ECC7F3D" w14:textId="4E22C0AA" w:rsidR="00D94B7C" w:rsidRDefault="00D94B7C" w:rsidP="001C30D8">
            <w:pPr>
              <w:keepNext/>
              <w:widowControl w:val="0"/>
              <w:jc w:val="left"/>
              <w:rPr>
                <w:rFonts w:ascii="Arial Narrow" w:hAnsi="Arial Narrow" w:cs="Times New Roman"/>
                <w:bCs/>
                <w:sz w:val="20"/>
              </w:rPr>
            </w:pPr>
            <w:r w:rsidRPr="009B360E">
              <w:rPr>
                <w:rFonts w:ascii="Arial Narrow" w:hAnsi="Arial Narrow" w:cs="Times New Roman"/>
                <w:bCs/>
                <w:sz w:val="20"/>
              </w:rPr>
              <w:t>Unconfirmed partial response</w:t>
            </w:r>
            <w:r>
              <w:rPr>
                <w:rFonts w:ascii="Arial Narrow" w:hAnsi="Arial Narrow" w:cs="Times New Roman"/>
                <w:bCs/>
                <w:sz w:val="20"/>
              </w:rPr>
              <w:t xml:space="preserve"> </w:t>
            </w:r>
            <w:r w:rsidR="000466F9">
              <w:rPr>
                <w:rFonts w:ascii="Arial Narrow" w:hAnsi="Arial Narrow" w:cs="Times New Roman"/>
                <w:bCs/>
                <w:sz w:val="20"/>
                <w:vertAlign w:val="superscript"/>
              </w:rPr>
              <w:t>b</w:t>
            </w:r>
          </w:p>
        </w:tc>
        <w:tc>
          <w:tcPr>
            <w:tcW w:w="3338" w:type="pct"/>
            <w:tcBorders>
              <w:top w:val="single" w:sz="4" w:space="0" w:color="auto"/>
              <w:left w:val="single" w:sz="4" w:space="0" w:color="auto"/>
              <w:bottom w:val="single" w:sz="4" w:space="0" w:color="auto"/>
              <w:right w:val="single" w:sz="4" w:space="0" w:color="auto"/>
            </w:tcBorders>
            <w:vAlign w:val="center"/>
          </w:tcPr>
          <w:p w14:paraId="463A1563" w14:textId="314E81D0" w:rsidR="00D94B7C" w:rsidRPr="00D726FA" w:rsidRDefault="00D94B7C" w:rsidP="001C30D8">
            <w:pPr>
              <w:keepNext/>
              <w:widowControl w:val="0"/>
              <w:jc w:val="center"/>
              <w:rPr>
                <w:rFonts w:ascii="Arial Narrow" w:hAnsi="Arial Narrow" w:cs="Times New Roman"/>
                <w:bCs/>
                <w:sz w:val="20"/>
              </w:rPr>
            </w:pPr>
            <w:r w:rsidRPr="00D726FA">
              <w:rPr>
                <w:rFonts w:ascii="Arial Narrow" w:hAnsi="Arial Narrow" w:cs="Times New Roman"/>
                <w:bCs/>
                <w:sz w:val="20"/>
              </w:rPr>
              <w:t>3/50 (6%)</w:t>
            </w:r>
          </w:p>
        </w:tc>
      </w:tr>
      <w:tr w:rsidR="00D94B7C" w14:paraId="75ADD980" w14:textId="77777777" w:rsidTr="001C30D8">
        <w:tc>
          <w:tcPr>
            <w:tcW w:w="1662" w:type="pct"/>
            <w:tcBorders>
              <w:top w:val="single" w:sz="4" w:space="0" w:color="auto"/>
              <w:left w:val="single" w:sz="4" w:space="0" w:color="auto"/>
              <w:bottom w:val="single" w:sz="4" w:space="0" w:color="auto"/>
              <w:right w:val="single" w:sz="4" w:space="0" w:color="auto"/>
            </w:tcBorders>
            <w:vAlign w:val="center"/>
          </w:tcPr>
          <w:p w14:paraId="3E3358D2" w14:textId="26461060" w:rsidR="00D94B7C" w:rsidRDefault="00D94B7C" w:rsidP="001C30D8">
            <w:pPr>
              <w:keepNext/>
              <w:widowControl w:val="0"/>
              <w:jc w:val="left"/>
              <w:rPr>
                <w:rFonts w:ascii="Arial Narrow" w:hAnsi="Arial Narrow" w:cs="Times New Roman"/>
                <w:bCs/>
                <w:sz w:val="20"/>
              </w:rPr>
            </w:pPr>
            <w:r w:rsidRPr="009B360E">
              <w:rPr>
                <w:rFonts w:ascii="Arial Narrow" w:hAnsi="Arial Narrow" w:cs="Times New Roman"/>
                <w:bCs/>
                <w:sz w:val="20"/>
              </w:rPr>
              <w:t>Stable disease</w:t>
            </w:r>
            <w:r>
              <w:rPr>
                <w:rFonts w:ascii="Arial Narrow" w:hAnsi="Arial Narrow" w:cs="Times New Roman"/>
                <w:bCs/>
                <w:sz w:val="20"/>
              </w:rPr>
              <w:t xml:space="preserve"> </w:t>
            </w:r>
            <w:r w:rsidR="000466F9">
              <w:rPr>
                <w:rFonts w:ascii="Arial Narrow" w:hAnsi="Arial Narrow" w:cs="Times New Roman"/>
                <w:bCs/>
                <w:sz w:val="20"/>
                <w:vertAlign w:val="superscript"/>
              </w:rPr>
              <w:t>c</w:t>
            </w:r>
          </w:p>
        </w:tc>
        <w:tc>
          <w:tcPr>
            <w:tcW w:w="3338" w:type="pct"/>
            <w:tcBorders>
              <w:top w:val="single" w:sz="4" w:space="0" w:color="auto"/>
              <w:left w:val="single" w:sz="4" w:space="0" w:color="auto"/>
              <w:bottom w:val="single" w:sz="4" w:space="0" w:color="auto"/>
              <w:right w:val="single" w:sz="4" w:space="0" w:color="auto"/>
            </w:tcBorders>
            <w:vAlign w:val="center"/>
          </w:tcPr>
          <w:p w14:paraId="52E3512C" w14:textId="2BD6E6E6" w:rsidR="00D94B7C" w:rsidRPr="00D726FA" w:rsidRDefault="00D94B7C" w:rsidP="001C30D8">
            <w:pPr>
              <w:keepNext/>
              <w:widowControl w:val="0"/>
              <w:jc w:val="center"/>
              <w:rPr>
                <w:rFonts w:ascii="Arial Narrow" w:hAnsi="Arial Narrow" w:cs="Times New Roman"/>
                <w:bCs/>
                <w:sz w:val="20"/>
              </w:rPr>
            </w:pPr>
            <w:r w:rsidRPr="00D726FA">
              <w:rPr>
                <w:rFonts w:ascii="Arial Narrow" w:hAnsi="Arial Narrow" w:cs="Times New Roman"/>
                <w:bCs/>
                <w:sz w:val="20"/>
              </w:rPr>
              <w:t>11/50 (22%)</w:t>
            </w:r>
          </w:p>
        </w:tc>
      </w:tr>
      <w:tr w:rsidR="00D94B7C" w14:paraId="1A690F33" w14:textId="77777777" w:rsidTr="001C30D8">
        <w:tc>
          <w:tcPr>
            <w:tcW w:w="1662" w:type="pct"/>
            <w:tcBorders>
              <w:top w:val="single" w:sz="4" w:space="0" w:color="auto"/>
              <w:left w:val="single" w:sz="4" w:space="0" w:color="auto"/>
              <w:bottom w:val="single" w:sz="4" w:space="0" w:color="auto"/>
              <w:right w:val="single" w:sz="4" w:space="0" w:color="auto"/>
            </w:tcBorders>
            <w:vAlign w:val="center"/>
          </w:tcPr>
          <w:p w14:paraId="297DFF82" w14:textId="77777777" w:rsidR="00D94B7C" w:rsidRDefault="00D94B7C" w:rsidP="001C30D8">
            <w:pPr>
              <w:keepNext/>
              <w:widowControl w:val="0"/>
              <w:jc w:val="left"/>
              <w:rPr>
                <w:rFonts w:ascii="Arial Narrow" w:hAnsi="Arial Narrow" w:cs="Times New Roman"/>
                <w:bCs/>
                <w:sz w:val="20"/>
              </w:rPr>
            </w:pPr>
            <w:r w:rsidRPr="009B360E">
              <w:rPr>
                <w:rFonts w:ascii="Arial Narrow" w:hAnsi="Arial Narrow" w:cs="Times New Roman"/>
                <w:bCs/>
                <w:sz w:val="20"/>
              </w:rPr>
              <w:t>Progression</w:t>
            </w:r>
          </w:p>
        </w:tc>
        <w:tc>
          <w:tcPr>
            <w:tcW w:w="3338" w:type="pct"/>
            <w:tcBorders>
              <w:top w:val="single" w:sz="4" w:space="0" w:color="auto"/>
              <w:left w:val="single" w:sz="4" w:space="0" w:color="auto"/>
              <w:bottom w:val="single" w:sz="4" w:space="0" w:color="auto"/>
              <w:right w:val="single" w:sz="4" w:space="0" w:color="auto"/>
            </w:tcBorders>
            <w:vAlign w:val="center"/>
          </w:tcPr>
          <w:p w14:paraId="61BFE961" w14:textId="77777777" w:rsidR="00D94B7C" w:rsidRPr="00D726FA" w:rsidRDefault="00D94B7C" w:rsidP="001C30D8">
            <w:pPr>
              <w:keepNext/>
              <w:widowControl w:val="0"/>
              <w:jc w:val="center"/>
              <w:rPr>
                <w:rFonts w:ascii="Arial Narrow" w:hAnsi="Arial Narrow" w:cs="Times New Roman"/>
                <w:bCs/>
                <w:sz w:val="20"/>
              </w:rPr>
            </w:pPr>
            <w:r w:rsidRPr="00D726FA">
              <w:rPr>
                <w:rFonts w:ascii="Arial Narrow" w:hAnsi="Arial Narrow" w:cs="Times New Roman"/>
                <w:bCs/>
                <w:sz w:val="20"/>
              </w:rPr>
              <w:t>0</w:t>
            </w:r>
          </w:p>
        </w:tc>
      </w:tr>
      <w:tr w:rsidR="00D94B7C" w14:paraId="3A57C741" w14:textId="77777777" w:rsidTr="001C30D8">
        <w:tc>
          <w:tcPr>
            <w:tcW w:w="1662" w:type="pct"/>
            <w:tcBorders>
              <w:top w:val="single" w:sz="4" w:space="0" w:color="auto"/>
              <w:left w:val="single" w:sz="4" w:space="0" w:color="auto"/>
              <w:bottom w:val="single" w:sz="4" w:space="0" w:color="auto"/>
              <w:right w:val="single" w:sz="4" w:space="0" w:color="auto"/>
            </w:tcBorders>
            <w:vAlign w:val="center"/>
          </w:tcPr>
          <w:p w14:paraId="4B78CCA7" w14:textId="77777777" w:rsidR="00D94B7C" w:rsidRPr="009B360E" w:rsidRDefault="00D94B7C" w:rsidP="001C30D8">
            <w:pPr>
              <w:keepNext/>
              <w:widowControl w:val="0"/>
              <w:jc w:val="left"/>
              <w:rPr>
                <w:rFonts w:ascii="Arial Narrow" w:hAnsi="Arial Narrow" w:cs="Times New Roman"/>
                <w:bCs/>
                <w:sz w:val="20"/>
              </w:rPr>
            </w:pPr>
            <w:r>
              <w:rPr>
                <w:rFonts w:ascii="Arial Narrow" w:hAnsi="Arial Narrow" w:cs="Times New Roman"/>
                <w:bCs/>
                <w:sz w:val="20"/>
              </w:rPr>
              <w:t>Not evaluable</w:t>
            </w:r>
          </w:p>
        </w:tc>
        <w:tc>
          <w:tcPr>
            <w:tcW w:w="3338" w:type="pct"/>
            <w:tcBorders>
              <w:top w:val="single" w:sz="4" w:space="0" w:color="auto"/>
              <w:left w:val="single" w:sz="4" w:space="0" w:color="auto"/>
              <w:bottom w:val="single" w:sz="4" w:space="0" w:color="auto"/>
              <w:right w:val="single" w:sz="4" w:space="0" w:color="auto"/>
            </w:tcBorders>
            <w:vAlign w:val="center"/>
          </w:tcPr>
          <w:p w14:paraId="744FF430" w14:textId="6E64D354" w:rsidR="00D94B7C" w:rsidRPr="00D726FA" w:rsidRDefault="00D94B7C" w:rsidP="001C30D8">
            <w:pPr>
              <w:keepNext/>
              <w:widowControl w:val="0"/>
              <w:jc w:val="center"/>
              <w:rPr>
                <w:rFonts w:ascii="Arial Narrow" w:hAnsi="Arial Narrow" w:cs="Times New Roman"/>
                <w:bCs/>
                <w:sz w:val="20"/>
              </w:rPr>
            </w:pPr>
            <w:r w:rsidRPr="00D726FA">
              <w:rPr>
                <w:rFonts w:ascii="Arial Narrow" w:hAnsi="Arial Narrow" w:cs="Times New Roman"/>
                <w:bCs/>
                <w:sz w:val="20"/>
              </w:rPr>
              <w:t>2/50 (4%)</w:t>
            </w:r>
          </w:p>
        </w:tc>
      </w:tr>
      <w:tr w:rsidR="00D94B7C" w:rsidRPr="007D5B66" w14:paraId="6214D380" w14:textId="77777777" w:rsidTr="001C30D8">
        <w:tc>
          <w:tcPr>
            <w:tcW w:w="5000" w:type="pct"/>
            <w:gridSpan w:val="2"/>
            <w:tcBorders>
              <w:top w:val="single" w:sz="4" w:space="0" w:color="auto"/>
              <w:left w:val="single" w:sz="4" w:space="0" w:color="auto"/>
              <w:bottom w:val="single" w:sz="4" w:space="0" w:color="auto"/>
              <w:right w:val="single" w:sz="4" w:space="0" w:color="auto"/>
            </w:tcBorders>
            <w:vAlign w:val="center"/>
          </w:tcPr>
          <w:p w14:paraId="5483DF28" w14:textId="77777777" w:rsidR="00D94B7C" w:rsidRPr="00D726FA" w:rsidRDefault="00D94B7C" w:rsidP="001C30D8">
            <w:pPr>
              <w:keepNext/>
              <w:widowControl w:val="0"/>
              <w:jc w:val="left"/>
              <w:rPr>
                <w:rFonts w:ascii="Arial Narrow" w:hAnsi="Arial Narrow" w:cs="Times New Roman"/>
                <w:b/>
                <w:sz w:val="20"/>
              </w:rPr>
            </w:pPr>
            <w:r w:rsidRPr="00D726FA">
              <w:rPr>
                <w:rFonts w:ascii="Arial Narrow" w:hAnsi="Arial Narrow" w:cs="Times New Roman"/>
                <w:b/>
                <w:sz w:val="20"/>
              </w:rPr>
              <w:t>Confirmed ORR by PN status at enrolment</w:t>
            </w:r>
          </w:p>
        </w:tc>
      </w:tr>
      <w:tr w:rsidR="00D94B7C" w14:paraId="74F7D72A" w14:textId="77777777" w:rsidTr="001C30D8">
        <w:tc>
          <w:tcPr>
            <w:tcW w:w="1662" w:type="pct"/>
            <w:tcBorders>
              <w:top w:val="single" w:sz="4" w:space="0" w:color="auto"/>
              <w:left w:val="single" w:sz="4" w:space="0" w:color="auto"/>
              <w:bottom w:val="single" w:sz="4" w:space="0" w:color="auto"/>
              <w:right w:val="single" w:sz="4" w:space="0" w:color="auto"/>
            </w:tcBorders>
            <w:vAlign w:val="center"/>
          </w:tcPr>
          <w:p w14:paraId="5402CAC3" w14:textId="68EF0BD0" w:rsidR="00D94B7C" w:rsidRDefault="00D94B7C" w:rsidP="001C30D8">
            <w:pPr>
              <w:keepNext/>
              <w:widowControl w:val="0"/>
              <w:jc w:val="left"/>
              <w:rPr>
                <w:rFonts w:ascii="Arial Narrow" w:hAnsi="Arial Narrow" w:cs="Times New Roman"/>
                <w:bCs/>
                <w:sz w:val="20"/>
              </w:rPr>
            </w:pPr>
            <w:r>
              <w:rPr>
                <w:rFonts w:ascii="Arial Narrow" w:hAnsi="Arial Narrow" w:cs="Times New Roman"/>
                <w:bCs/>
                <w:sz w:val="20"/>
              </w:rPr>
              <w:t xml:space="preserve">Progressive PN, (95% CI) </w:t>
            </w:r>
            <w:r w:rsidR="000466F9">
              <w:rPr>
                <w:rFonts w:ascii="Arial Narrow" w:hAnsi="Arial Narrow" w:cs="Times New Roman"/>
                <w:bCs/>
                <w:sz w:val="20"/>
                <w:vertAlign w:val="superscript"/>
              </w:rPr>
              <w:t>d</w:t>
            </w:r>
          </w:p>
        </w:tc>
        <w:tc>
          <w:tcPr>
            <w:tcW w:w="3338" w:type="pct"/>
            <w:tcBorders>
              <w:top w:val="single" w:sz="4" w:space="0" w:color="auto"/>
              <w:left w:val="single" w:sz="4" w:space="0" w:color="auto"/>
              <w:bottom w:val="single" w:sz="4" w:space="0" w:color="auto"/>
              <w:right w:val="single" w:sz="4" w:space="0" w:color="auto"/>
            </w:tcBorders>
            <w:vAlign w:val="center"/>
          </w:tcPr>
          <w:p w14:paraId="0A297EF3" w14:textId="77777777" w:rsidR="00D94B7C" w:rsidRPr="00D726FA" w:rsidRDefault="00D94B7C" w:rsidP="001C30D8">
            <w:pPr>
              <w:keepNext/>
              <w:widowControl w:val="0"/>
              <w:jc w:val="center"/>
              <w:rPr>
                <w:rFonts w:ascii="Arial Narrow" w:hAnsi="Arial Narrow" w:cs="Times New Roman"/>
                <w:bCs/>
                <w:sz w:val="20"/>
              </w:rPr>
            </w:pPr>
            <w:r w:rsidRPr="00D726FA">
              <w:rPr>
                <w:rFonts w:ascii="Arial Narrow" w:hAnsi="Arial Narrow" w:cs="Times New Roman"/>
                <w:bCs/>
                <w:sz w:val="20"/>
              </w:rPr>
              <w:t>13/21 (61.9%), (38.4, 81.9)</w:t>
            </w:r>
          </w:p>
        </w:tc>
      </w:tr>
      <w:tr w:rsidR="00D94B7C" w14:paraId="62F7940B" w14:textId="77777777" w:rsidTr="001C30D8">
        <w:tc>
          <w:tcPr>
            <w:tcW w:w="1662" w:type="pct"/>
            <w:tcBorders>
              <w:top w:val="single" w:sz="4" w:space="0" w:color="auto"/>
              <w:left w:val="single" w:sz="4" w:space="0" w:color="auto"/>
              <w:bottom w:val="single" w:sz="4" w:space="0" w:color="auto"/>
              <w:right w:val="single" w:sz="4" w:space="0" w:color="auto"/>
            </w:tcBorders>
            <w:vAlign w:val="center"/>
          </w:tcPr>
          <w:p w14:paraId="63064A83" w14:textId="35A51BB5" w:rsidR="00D94B7C" w:rsidRDefault="00D94B7C" w:rsidP="001C30D8">
            <w:pPr>
              <w:keepNext/>
              <w:widowControl w:val="0"/>
              <w:jc w:val="left"/>
              <w:rPr>
                <w:rFonts w:ascii="Arial Narrow" w:hAnsi="Arial Narrow" w:cs="Times New Roman"/>
                <w:bCs/>
                <w:sz w:val="20"/>
              </w:rPr>
            </w:pPr>
            <w:r>
              <w:rPr>
                <w:rFonts w:ascii="Arial Narrow" w:hAnsi="Arial Narrow" w:cs="Times New Roman"/>
                <w:bCs/>
                <w:sz w:val="20"/>
              </w:rPr>
              <w:t xml:space="preserve">Non-progressive PN, (95% CI) </w:t>
            </w:r>
            <w:r w:rsidR="000466F9">
              <w:rPr>
                <w:rFonts w:ascii="Arial Narrow" w:hAnsi="Arial Narrow" w:cs="Times New Roman"/>
                <w:bCs/>
                <w:sz w:val="20"/>
                <w:vertAlign w:val="superscript"/>
              </w:rPr>
              <w:t>e</w:t>
            </w:r>
          </w:p>
        </w:tc>
        <w:tc>
          <w:tcPr>
            <w:tcW w:w="3338" w:type="pct"/>
            <w:tcBorders>
              <w:top w:val="single" w:sz="4" w:space="0" w:color="auto"/>
              <w:left w:val="single" w:sz="4" w:space="0" w:color="auto"/>
              <w:bottom w:val="single" w:sz="4" w:space="0" w:color="auto"/>
              <w:right w:val="single" w:sz="4" w:space="0" w:color="auto"/>
            </w:tcBorders>
            <w:vAlign w:val="center"/>
          </w:tcPr>
          <w:p w14:paraId="03655EEE" w14:textId="77777777" w:rsidR="00D94B7C" w:rsidRPr="00D726FA" w:rsidRDefault="00D94B7C" w:rsidP="001C30D8">
            <w:pPr>
              <w:keepNext/>
              <w:widowControl w:val="0"/>
              <w:jc w:val="center"/>
              <w:rPr>
                <w:rFonts w:ascii="Arial Narrow" w:hAnsi="Arial Narrow" w:cs="Times New Roman"/>
                <w:bCs/>
                <w:sz w:val="20"/>
              </w:rPr>
            </w:pPr>
            <w:r w:rsidRPr="00D726FA">
              <w:rPr>
                <w:rFonts w:ascii="Arial Narrow" w:hAnsi="Arial Narrow" w:cs="Times New Roman"/>
                <w:bCs/>
                <w:sz w:val="20"/>
              </w:rPr>
              <w:t>10/15 (66.7%), (38.4, 88.2)</w:t>
            </w:r>
          </w:p>
        </w:tc>
      </w:tr>
      <w:tr w:rsidR="00D94B7C" w14:paraId="67FDAAE1" w14:textId="77777777" w:rsidTr="001C30D8">
        <w:tc>
          <w:tcPr>
            <w:tcW w:w="1662" w:type="pct"/>
            <w:tcBorders>
              <w:top w:val="single" w:sz="4" w:space="0" w:color="auto"/>
              <w:left w:val="single" w:sz="4" w:space="0" w:color="auto"/>
              <w:bottom w:val="single" w:sz="4" w:space="0" w:color="auto"/>
              <w:right w:val="single" w:sz="4" w:space="0" w:color="auto"/>
            </w:tcBorders>
            <w:vAlign w:val="center"/>
          </w:tcPr>
          <w:p w14:paraId="4EF7640E" w14:textId="1A24ACDF" w:rsidR="00D94B7C" w:rsidRDefault="00D94B7C" w:rsidP="001C30D8">
            <w:pPr>
              <w:keepNext/>
              <w:widowControl w:val="0"/>
              <w:jc w:val="left"/>
              <w:rPr>
                <w:rFonts w:ascii="Arial Narrow" w:hAnsi="Arial Narrow" w:cs="Times New Roman"/>
                <w:bCs/>
                <w:sz w:val="20"/>
              </w:rPr>
            </w:pPr>
            <w:r>
              <w:rPr>
                <w:rFonts w:ascii="Arial Narrow" w:hAnsi="Arial Narrow" w:cs="Times New Roman"/>
                <w:bCs/>
                <w:sz w:val="20"/>
              </w:rPr>
              <w:t xml:space="preserve">Unknown, (95% CI) </w:t>
            </w:r>
            <w:r w:rsidR="000466F9">
              <w:rPr>
                <w:rFonts w:ascii="Arial Narrow" w:hAnsi="Arial Narrow" w:cs="Times New Roman"/>
                <w:bCs/>
                <w:sz w:val="20"/>
                <w:vertAlign w:val="superscript"/>
              </w:rPr>
              <w:t>f</w:t>
            </w:r>
          </w:p>
        </w:tc>
        <w:tc>
          <w:tcPr>
            <w:tcW w:w="3338" w:type="pct"/>
            <w:tcBorders>
              <w:top w:val="single" w:sz="4" w:space="0" w:color="auto"/>
              <w:left w:val="single" w:sz="4" w:space="0" w:color="auto"/>
              <w:bottom w:val="single" w:sz="4" w:space="0" w:color="auto"/>
              <w:right w:val="single" w:sz="4" w:space="0" w:color="auto"/>
            </w:tcBorders>
            <w:vAlign w:val="center"/>
          </w:tcPr>
          <w:p w14:paraId="03C642CF" w14:textId="77777777" w:rsidR="00D94B7C" w:rsidRPr="00D726FA" w:rsidRDefault="00D94B7C" w:rsidP="001C30D8">
            <w:pPr>
              <w:keepNext/>
              <w:widowControl w:val="0"/>
              <w:jc w:val="center"/>
              <w:rPr>
                <w:rFonts w:ascii="Arial Narrow" w:hAnsi="Arial Narrow" w:cs="Times New Roman"/>
                <w:bCs/>
                <w:sz w:val="20"/>
              </w:rPr>
            </w:pPr>
            <w:r w:rsidRPr="00D726FA">
              <w:rPr>
                <w:rFonts w:ascii="Arial Narrow" w:hAnsi="Arial Narrow" w:cs="Times New Roman"/>
                <w:bCs/>
                <w:sz w:val="20"/>
              </w:rPr>
              <w:t>11/14 (78.6%), (49.2, 95.3)</w:t>
            </w:r>
          </w:p>
        </w:tc>
      </w:tr>
    </w:tbl>
    <w:p w14:paraId="099175F9" w14:textId="77777777" w:rsidR="00D94B7C" w:rsidRDefault="00D94B7C" w:rsidP="00D94B7C">
      <w:pPr>
        <w:rPr>
          <w:rFonts w:ascii="Arial Narrow" w:hAnsi="Arial Narrow"/>
          <w:snapToGrid w:val="0"/>
          <w:sz w:val="18"/>
          <w:szCs w:val="22"/>
        </w:rPr>
      </w:pPr>
      <w:r>
        <w:rPr>
          <w:rFonts w:ascii="Arial Narrow" w:hAnsi="Arial Narrow"/>
          <w:snapToGrid w:val="0"/>
          <w:sz w:val="18"/>
          <w:szCs w:val="22"/>
        </w:rPr>
        <w:t>Source: Table 2.28, p111 and Table 2.29, p111 of the submission.</w:t>
      </w:r>
    </w:p>
    <w:p w14:paraId="2C678B14" w14:textId="49DFFA7D" w:rsidR="00D94B7C" w:rsidRDefault="00D94B7C" w:rsidP="00D94B7C">
      <w:pPr>
        <w:rPr>
          <w:rFonts w:ascii="Arial Narrow" w:hAnsi="Arial Narrow"/>
          <w:snapToGrid w:val="0"/>
          <w:sz w:val="18"/>
          <w:szCs w:val="22"/>
        </w:rPr>
      </w:pPr>
      <w:r>
        <w:rPr>
          <w:rFonts w:ascii="Arial Narrow" w:hAnsi="Arial Narrow"/>
          <w:snapToGrid w:val="0"/>
          <w:sz w:val="18"/>
          <w:szCs w:val="22"/>
        </w:rPr>
        <w:t xml:space="preserve">BID = twice daily, CI = confidence interval, </w:t>
      </w:r>
      <w:r w:rsidRPr="007B0641">
        <w:rPr>
          <w:rFonts w:ascii="Arial Narrow" w:hAnsi="Arial Narrow"/>
          <w:snapToGrid w:val="0"/>
          <w:sz w:val="18"/>
          <w:szCs w:val="22"/>
        </w:rPr>
        <w:t>n = number of participants with event</w:t>
      </w:r>
      <w:r>
        <w:rPr>
          <w:rFonts w:ascii="Arial Narrow" w:hAnsi="Arial Narrow"/>
          <w:snapToGrid w:val="0"/>
          <w:sz w:val="18"/>
          <w:szCs w:val="22"/>
        </w:rPr>
        <w:t>,</w:t>
      </w:r>
      <w:r w:rsidRPr="007B0641">
        <w:rPr>
          <w:rFonts w:ascii="Arial Narrow" w:hAnsi="Arial Narrow"/>
          <w:snapToGrid w:val="0"/>
          <w:sz w:val="18"/>
          <w:szCs w:val="22"/>
        </w:rPr>
        <w:t xml:space="preserve"> N = total participants in group</w:t>
      </w:r>
      <w:r>
        <w:rPr>
          <w:rFonts w:ascii="Arial Narrow" w:hAnsi="Arial Narrow"/>
          <w:snapToGrid w:val="0"/>
          <w:sz w:val="18"/>
          <w:szCs w:val="22"/>
        </w:rPr>
        <w:t>, ORR = objective response rate, PN = plexiform neurofibroma(s).</w:t>
      </w:r>
    </w:p>
    <w:p w14:paraId="41EF34C7" w14:textId="17AF8B08" w:rsidR="000466F9" w:rsidRDefault="00D94B7C" w:rsidP="00D94B7C">
      <w:pPr>
        <w:rPr>
          <w:rFonts w:ascii="Arial Narrow" w:hAnsi="Arial Narrow"/>
          <w:snapToGrid w:val="0"/>
          <w:sz w:val="18"/>
          <w:szCs w:val="22"/>
        </w:rPr>
      </w:pPr>
      <w:r w:rsidRPr="003B7A96">
        <w:rPr>
          <w:rFonts w:ascii="Arial Narrow" w:hAnsi="Arial Narrow"/>
          <w:snapToGrid w:val="0"/>
          <w:sz w:val="18"/>
          <w:szCs w:val="22"/>
          <w:vertAlign w:val="superscript"/>
        </w:rPr>
        <w:t>a</w:t>
      </w:r>
      <w:r w:rsidRPr="003B7A96">
        <w:rPr>
          <w:rFonts w:ascii="Arial Narrow" w:hAnsi="Arial Narrow"/>
          <w:snapToGrid w:val="0"/>
          <w:sz w:val="18"/>
          <w:szCs w:val="22"/>
        </w:rPr>
        <w:t xml:space="preserve"> </w:t>
      </w:r>
      <w:r w:rsidR="000466F9" w:rsidRPr="000466F9">
        <w:rPr>
          <w:rFonts w:ascii="Arial Narrow" w:hAnsi="Arial Narrow"/>
          <w:snapToGrid w:val="0"/>
          <w:sz w:val="18"/>
          <w:szCs w:val="22"/>
        </w:rPr>
        <w:t xml:space="preserve">Partial Response (PR) was defined as PN volume decrease ≥20% compared to baseline. </w:t>
      </w:r>
      <w:r w:rsidR="00C92792">
        <w:rPr>
          <w:rFonts w:ascii="Arial Narrow" w:hAnsi="Arial Narrow"/>
          <w:snapToGrid w:val="0"/>
          <w:sz w:val="18"/>
          <w:szCs w:val="22"/>
        </w:rPr>
        <w:t>A</w:t>
      </w:r>
      <w:r w:rsidR="00C92792" w:rsidRPr="00C92792">
        <w:rPr>
          <w:rFonts w:ascii="Arial Narrow" w:hAnsi="Arial Narrow"/>
          <w:snapToGrid w:val="0"/>
          <w:sz w:val="18"/>
          <w:szCs w:val="22"/>
        </w:rPr>
        <w:t xml:space="preserve"> confirmed partial response was defined as a partial response on consecutive restaging examinations at least 3 months apart</w:t>
      </w:r>
    </w:p>
    <w:p w14:paraId="1B4F4BE5" w14:textId="3545B491" w:rsidR="00D94B7C" w:rsidRPr="003B7A96" w:rsidRDefault="000466F9" w:rsidP="00D94B7C">
      <w:pPr>
        <w:rPr>
          <w:rFonts w:ascii="Arial Narrow" w:hAnsi="Arial Narrow"/>
          <w:snapToGrid w:val="0"/>
          <w:sz w:val="18"/>
          <w:szCs w:val="22"/>
        </w:rPr>
      </w:pPr>
      <w:r w:rsidRPr="000466F9">
        <w:rPr>
          <w:rFonts w:ascii="Arial Narrow" w:hAnsi="Arial Narrow"/>
          <w:snapToGrid w:val="0"/>
          <w:sz w:val="18"/>
          <w:szCs w:val="22"/>
          <w:vertAlign w:val="superscript"/>
        </w:rPr>
        <w:t>b</w:t>
      </w:r>
      <w:r>
        <w:rPr>
          <w:rFonts w:ascii="Arial Narrow" w:hAnsi="Arial Narrow"/>
          <w:snapToGrid w:val="0"/>
          <w:sz w:val="18"/>
          <w:szCs w:val="22"/>
        </w:rPr>
        <w:t xml:space="preserve"> </w:t>
      </w:r>
      <w:r w:rsidR="00D94B7C" w:rsidRPr="003B7A96">
        <w:rPr>
          <w:rFonts w:ascii="Arial Narrow" w:hAnsi="Arial Narrow"/>
          <w:snapToGrid w:val="0"/>
          <w:sz w:val="18"/>
          <w:szCs w:val="22"/>
        </w:rPr>
        <w:t>Partial response was achieved but either no confirmation assessment was performed, or a confirmation assessment was performed but the response was not confirmed.</w:t>
      </w:r>
    </w:p>
    <w:p w14:paraId="4C1F4A8F" w14:textId="447138AC" w:rsidR="00D94B7C" w:rsidRPr="003B7A96" w:rsidRDefault="000466F9" w:rsidP="00D94B7C">
      <w:pPr>
        <w:rPr>
          <w:rFonts w:ascii="Arial Narrow" w:hAnsi="Arial Narrow"/>
          <w:snapToGrid w:val="0"/>
          <w:sz w:val="18"/>
          <w:szCs w:val="22"/>
        </w:rPr>
      </w:pPr>
      <w:r>
        <w:rPr>
          <w:rFonts w:ascii="Arial Narrow" w:hAnsi="Arial Narrow"/>
          <w:snapToGrid w:val="0"/>
          <w:sz w:val="18"/>
          <w:szCs w:val="22"/>
          <w:vertAlign w:val="superscript"/>
        </w:rPr>
        <w:t>c</w:t>
      </w:r>
      <w:r w:rsidRPr="003B7A96">
        <w:rPr>
          <w:rFonts w:ascii="Arial Narrow" w:hAnsi="Arial Narrow"/>
          <w:snapToGrid w:val="0"/>
          <w:sz w:val="18"/>
          <w:szCs w:val="22"/>
        </w:rPr>
        <w:t xml:space="preserve"> </w:t>
      </w:r>
      <w:r w:rsidR="00D94B7C" w:rsidRPr="003B7A96">
        <w:rPr>
          <w:rFonts w:ascii="Arial Narrow" w:hAnsi="Arial Narrow"/>
          <w:snapToGrid w:val="0"/>
          <w:sz w:val="18"/>
          <w:szCs w:val="22"/>
        </w:rPr>
        <w:t>Insufficient volume change from baseline to qualify for either partial response or progressive disease.</w:t>
      </w:r>
    </w:p>
    <w:p w14:paraId="677C3CE5" w14:textId="4F99F443" w:rsidR="00D94B7C" w:rsidRPr="003B7A96" w:rsidRDefault="000466F9" w:rsidP="00D94B7C">
      <w:pPr>
        <w:rPr>
          <w:rFonts w:ascii="Arial Narrow" w:hAnsi="Arial Narrow"/>
          <w:snapToGrid w:val="0"/>
          <w:sz w:val="18"/>
          <w:szCs w:val="22"/>
        </w:rPr>
      </w:pPr>
      <w:r>
        <w:rPr>
          <w:rFonts w:ascii="Arial Narrow" w:hAnsi="Arial Narrow"/>
          <w:snapToGrid w:val="0"/>
          <w:sz w:val="18"/>
          <w:szCs w:val="22"/>
          <w:vertAlign w:val="superscript"/>
        </w:rPr>
        <w:t>d</w:t>
      </w:r>
      <w:r w:rsidRPr="003B7A96">
        <w:rPr>
          <w:rFonts w:ascii="Arial Narrow" w:hAnsi="Arial Narrow"/>
          <w:snapToGrid w:val="0"/>
          <w:sz w:val="18"/>
          <w:szCs w:val="22"/>
        </w:rPr>
        <w:t xml:space="preserve"> </w:t>
      </w:r>
      <w:r w:rsidR="00D94B7C" w:rsidRPr="003B7A96">
        <w:rPr>
          <w:rFonts w:ascii="Arial Narrow" w:hAnsi="Arial Narrow"/>
          <w:snapToGrid w:val="0"/>
          <w:sz w:val="18"/>
          <w:szCs w:val="22"/>
        </w:rPr>
        <w:t>Progressive disease in the 18 months prior to enrolment.</w:t>
      </w:r>
    </w:p>
    <w:p w14:paraId="2438FB14" w14:textId="0F6065F2" w:rsidR="00D94B7C" w:rsidRPr="003B7A96" w:rsidRDefault="000466F9" w:rsidP="00D94B7C">
      <w:pPr>
        <w:rPr>
          <w:rFonts w:ascii="Arial Narrow" w:hAnsi="Arial Narrow"/>
          <w:snapToGrid w:val="0"/>
          <w:sz w:val="18"/>
          <w:szCs w:val="22"/>
        </w:rPr>
      </w:pPr>
      <w:r>
        <w:rPr>
          <w:rFonts w:ascii="Arial Narrow" w:hAnsi="Arial Narrow"/>
          <w:snapToGrid w:val="0"/>
          <w:sz w:val="18"/>
          <w:szCs w:val="22"/>
          <w:vertAlign w:val="superscript"/>
        </w:rPr>
        <w:t>e</w:t>
      </w:r>
      <w:r w:rsidRPr="003B7A96">
        <w:rPr>
          <w:rFonts w:ascii="Arial Narrow" w:hAnsi="Arial Narrow"/>
          <w:snapToGrid w:val="0"/>
          <w:sz w:val="18"/>
          <w:szCs w:val="22"/>
        </w:rPr>
        <w:t xml:space="preserve"> </w:t>
      </w:r>
      <w:r w:rsidR="00D94B7C" w:rsidRPr="003B7A96">
        <w:rPr>
          <w:rFonts w:ascii="Arial Narrow" w:hAnsi="Arial Narrow"/>
          <w:snapToGrid w:val="0"/>
          <w:sz w:val="18"/>
          <w:szCs w:val="22"/>
        </w:rPr>
        <w:t>Not meeting criteria for progressive disease prior to enrolment.</w:t>
      </w:r>
    </w:p>
    <w:p w14:paraId="6B369449" w14:textId="57010AD2" w:rsidR="007B2EF4" w:rsidRPr="007B2EF4" w:rsidRDefault="000466F9" w:rsidP="00177150">
      <w:pPr>
        <w:spacing w:after="120"/>
      </w:pPr>
      <w:r>
        <w:rPr>
          <w:rFonts w:ascii="Arial Narrow" w:hAnsi="Arial Narrow"/>
          <w:snapToGrid w:val="0"/>
          <w:sz w:val="18"/>
          <w:szCs w:val="22"/>
          <w:vertAlign w:val="superscript"/>
        </w:rPr>
        <w:t>f</w:t>
      </w:r>
      <w:r w:rsidRPr="003B7A96">
        <w:rPr>
          <w:rFonts w:ascii="Arial Narrow" w:hAnsi="Arial Narrow"/>
          <w:snapToGrid w:val="0"/>
          <w:sz w:val="18"/>
          <w:szCs w:val="22"/>
        </w:rPr>
        <w:t xml:space="preserve"> </w:t>
      </w:r>
      <w:r w:rsidR="00D94B7C" w:rsidRPr="003B7A96">
        <w:rPr>
          <w:rFonts w:ascii="Arial Narrow" w:hAnsi="Arial Narrow"/>
          <w:snapToGrid w:val="0"/>
          <w:sz w:val="18"/>
          <w:szCs w:val="22"/>
        </w:rPr>
        <w:t>Determination of progressive/non-progressive PN was not possible based on the prior image available.</w:t>
      </w:r>
    </w:p>
    <w:p w14:paraId="4F2E7525" w14:textId="49D3566A" w:rsidR="00177150" w:rsidRDefault="009E63FA" w:rsidP="00466367">
      <w:pPr>
        <w:pStyle w:val="3-BodyText"/>
      </w:pPr>
      <w:r>
        <w:t>A</w:t>
      </w:r>
      <w:r w:rsidRPr="009E63FA">
        <w:t>n ORR of 68.0% (95% CI: 53.3</w:t>
      </w:r>
      <w:r w:rsidR="007D5B66">
        <w:t xml:space="preserve">, </w:t>
      </w:r>
      <w:r w:rsidRPr="009E63FA">
        <w:t>80.5) was observed</w:t>
      </w:r>
      <w:r w:rsidR="00401517" w:rsidRPr="00401517">
        <w:t xml:space="preserve"> </w:t>
      </w:r>
      <w:r w:rsidR="00401517">
        <w:t>a</w:t>
      </w:r>
      <w:r w:rsidR="00401517" w:rsidRPr="00401517">
        <w:t>t the latest data cut-off (March 2021)</w:t>
      </w:r>
      <w:r w:rsidRPr="009E63FA">
        <w:t xml:space="preserve">. </w:t>
      </w:r>
    </w:p>
    <w:p w14:paraId="52BF3F93" w14:textId="12B3C9DB" w:rsidR="008C1867" w:rsidRPr="008C1867" w:rsidRDefault="008C1867" w:rsidP="00177150">
      <w:pPr>
        <w:rPr>
          <w:u w:val="single"/>
        </w:rPr>
      </w:pPr>
      <w:r>
        <w:rPr>
          <w:u w:val="single"/>
        </w:rPr>
        <w:t>PN Growth Rate</w:t>
      </w:r>
    </w:p>
    <w:p w14:paraId="74CEA313" w14:textId="288B6FA1" w:rsidR="00505DB2" w:rsidRDefault="00694802" w:rsidP="00177150">
      <w:pPr>
        <w:pStyle w:val="3-BodyText"/>
      </w:pPr>
      <w:r w:rsidRPr="00694802">
        <w:t xml:space="preserve">Percentage change from baseline in target PN volume over time is presented in </w:t>
      </w:r>
      <w:r w:rsidR="00B41AF6">
        <w:fldChar w:fldCharType="begin"/>
      </w:r>
      <w:r w:rsidR="00B41AF6">
        <w:instrText xml:space="preserve"> REF _Ref111113536 \h </w:instrText>
      </w:r>
      <w:r w:rsidR="00B41AF6">
        <w:fldChar w:fldCharType="separate"/>
      </w:r>
      <w:r w:rsidR="00BE0EE6">
        <w:t xml:space="preserve">Figure </w:t>
      </w:r>
      <w:r w:rsidR="00BE0EE6">
        <w:rPr>
          <w:noProof/>
        </w:rPr>
        <w:t>3</w:t>
      </w:r>
      <w:r w:rsidR="00B41AF6">
        <w:fldChar w:fldCharType="end"/>
      </w:r>
      <w:r w:rsidRPr="00694802">
        <w:t xml:space="preserve"> and </w:t>
      </w:r>
      <w:r w:rsidR="001A1804">
        <w:t xml:space="preserve">a </w:t>
      </w:r>
      <w:r w:rsidRPr="00694802">
        <w:t xml:space="preserve">waterfall plot </w:t>
      </w:r>
      <w:r w:rsidR="002B4F91">
        <w:t xml:space="preserve">of </w:t>
      </w:r>
      <w:r w:rsidRPr="00694802">
        <w:t xml:space="preserve">best percent change from baseline in target PN volume is presented in </w:t>
      </w:r>
      <w:r w:rsidR="00B41AF6">
        <w:fldChar w:fldCharType="begin"/>
      </w:r>
      <w:r w:rsidR="00B41AF6">
        <w:instrText xml:space="preserve"> REF _Ref111113558 \h </w:instrText>
      </w:r>
      <w:r w:rsidR="00B41AF6">
        <w:fldChar w:fldCharType="separate"/>
      </w:r>
      <w:r w:rsidR="00BE0EE6">
        <w:t xml:space="preserve">Figure </w:t>
      </w:r>
      <w:r w:rsidR="00BE0EE6">
        <w:rPr>
          <w:noProof/>
        </w:rPr>
        <w:t>4</w:t>
      </w:r>
      <w:r w:rsidR="00B41AF6">
        <w:fldChar w:fldCharType="end"/>
      </w:r>
      <w:r w:rsidRPr="00694802">
        <w:t>.</w:t>
      </w:r>
    </w:p>
    <w:p w14:paraId="2824F7A4" w14:textId="307ABBF7" w:rsidR="00505DB2" w:rsidRDefault="00505DB2" w:rsidP="00505DB2">
      <w:pPr>
        <w:pStyle w:val="Caption"/>
      </w:pPr>
      <w:bookmarkStart w:id="30" w:name="_Ref111113536"/>
      <w:r>
        <w:lastRenderedPageBreak/>
        <w:t xml:space="preserve">Figure </w:t>
      </w:r>
      <w:fldSimple w:instr=" SEQ Figure \* ARABIC ">
        <w:r w:rsidR="00BE0EE6">
          <w:rPr>
            <w:noProof/>
          </w:rPr>
          <w:t>3</w:t>
        </w:r>
      </w:fldSimple>
      <w:bookmarkEnd w:id="30"/>
      <w:r>
        <w:t>. Percent change from baseline in target PN volume over time in SPRINT trial</w:t>
      </w:r>
    </w:p>
    <w:p w14:paraId="2D3D2100" w14:textId="77777777" w:rsidR="00505DB2" w:rsidRPr="006E2F86" w:rsidRDefault="00505DB2" w:rsidP="00505DB2">
      <w:pPr>
        <w:pStyle w:val="TableFigureHeading"/>
      </w:pPr>
      <w:r w:rsidRPr="00BA5B24">
        <w:rPr>
          <w:noProof/>
        </w:rPr>
        <w:drawing>
          <wp:inline distT="0" distB="0" distL="0" distR="0" wp14:anchorId="72339B67" wp14:editId="796CF69F">
            <wp:extent cx="5553075" cy="2889004"/>
            <wp:effectExtent l="0" t="0" r="0" b="6985"/>
            <wp:docPr id="325" name="Picture 325" descr="Figure 3. Percent change from baseline in target PN volume over time in SPRINT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Picture 325" descr="Figure 3. Percent change from baseline in target PN volume over time in SPRINT trial"/>
                    <pic:cNvPicPr/>
                  </pic:nvPicPr>
                  <pic:blipFill>
                    <a:blip r:embed="rId10" cstate="email">
                      <a:extLst>
                        <a:ext uri="{28A0092B-C50C-407E-A947-70E740481C1C}">
                          <a14:useLocalDpi xmlns:a14="http://schemas.microsoft.com/office/drawing/2010/main"/>
                        </a:ext>
                      </a:extLst>
                    </a:blip>
                    <a:stretch>
                      <a:fillRect/>
                    </a:stretch>
                  </pic:blipFill>
                  <pic:spPr>
                    <a:xfrm>
                      <a:off x="0" y="0"/>
                      <a:ext cx="5558715" cy="2891938"/>
                    </a:xfrm>
                    <a:prstGeom prst="rect">
                      <a:avLst/>
                    </a:prstGeom>
                  </pic:spPr>
                </pic:pic>
              </a:graphicData>
            </a:graphic>
          </wp:inline>
        </w:drawing>
      </w:r>
    </w:p>
    <w:p w14:paraId="1B4A54B6" w14:textId="77264DD4" w:rsidR="00505DB2" w:rsidRPr="0065023F" w:rsidRDefault="00505DB2" w:rsidP="00177150">
      <w:pPr>
        <w:pStyle w:val="TableFigureFooter"/>
        <w:contextualSpacing w:val="0"/>
      </w:pPr>
      <w:r>
        <w:t>Source: Figure 2.8, p112 of the submission.</w:t>
      </w:r>
    </w:p>
    <w:p w14:paraId="0DA0999F" w14:textId="2C9B45F3" w:rsidR="00505DB2" w:rsidRDefault="00505DB2" w:rsidP="00505DB2">
      <w:pPr>
        <w:pStyle w:val="Caption"/>
      </w:pPr>
      <w:bookmarkStart w:id="31" w:name="_Ref111113558"/>
      <w:r>
        <w:t xml:space="preserve">Figure </w:t>
      </w:r>
      <w:fldSimple w:instr=" SEQ Figure \* ARABIC ">
        <w:r w:rsidR="00BE0EE6">
          <w:rPr>
            <w:noProof/>
          </w:rPr>
          <w:t>4</w:t>
        </w:r>
      </w:fldSimple>
      <w:bookmarkEnd w:id="31"/>
      <w:r>
        <w:t xml:space="preserve">. </w:t>
      </w:r>
      <w:r w:rsidRPr="00DA2B26">
        <w:t xml:space="preserve">Waterfall plot </w:t>
      </w:r>
      <w:bookmarkStart w:id="32" w:name="_Hlk109858909"/>
      <w:r w:rsidRPr="00DA2B26">
        <w:t xml:space="preserve">best percent change from baseline in target PN volume </w:t>
      </w:r>
      <w:bookmarkEnd w:id="32"/>
      <w:r w:rsidRPr="00DA2B26">
        <w:t>NCI POB analysis</w:t>
      </w:r>
      <w:r>
        <w:t xml:space="preserve"> in SPRINT trial</w:t>
      </w:r>
    </w:p>
    <w:p w14:paraId="65321185" w14:textId="77777777" w:rsidR="00505DB2" w:rsidRPr="006E2F86" w:rsidRDefault="00505DB2" w:rsidP="00505DB2">
      <w:pPr>
        <w:pStyle w:val="TableFigureHeading"/>
      </w:pPr>
      <w:r w:rsidRPr="00017A82">
        <w:rPr>
          <w:rFonts w:asciiTheme="minorHAnsi" w:hAnsiTheme="minorHAnsi" w:cstheme="minorHAnsi"/>
          <w:noProof/>
        </w:rPr>
        <w:drawing>
          <wp:inline distT="0" distB="0" distL="0" distR="0" wp14:anchorId="11E199CF" wp14:editId="643E1B42">
            <wp:extent cx="5414406" cy="2711395"/>
            <wp:effectExtent l="0" t="0" r="5715" b="8890"/>
            <wp:docPr id="27" name="Picture 27" descr="Figure 4. Waterfall plot best percent change from baseline in target PN volume NCI POB analysis in SPRINT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Figure 4. Waterfall plot best percent change from baseline in target PN volume NCI POB analysis in SPRINT trial"/>
                    <pic:cNvPicPr/>
                  </pic:nvPicPr>
                  <pic:blipFill>
                    <a:blip r:embed="rId11" cstate="screen">
                      <a:extLst>
                        <a:ext uri="{28A0092B-C50C-407E-A947-70E740481C1C}">
                          <a14:useLocalDpi xmlns:a14="http://schemas.microsoft.com/office/drawing/2010/main"/>
                        </a:ext>
                      </a:extLst>
                    </a:blip>
                    <a:stretch>
                      <a:fillRect/>
                    </a:stretch>
                  </pic:blipFill>
                  <pic:spPr>
                    <a:xfrm>
                      <a:off x="0" y="0"/>
                      <a:ext cx="5414406" cy="2711395"/>
                    </a:xfrm>
                    <a:prstGeom prst="rect">
                      <a:avLst/>
                    </a:prstGeom>
                  </pic:spPr>
                </pic:pic>
              </a:graphicData>
            </a:graphic>
          </wp:inline>
        </w:drawing>
      </w:r>
    </w:p>
    <w:p w14:paraId="288D8AA0" w14:textId="1E341ED5" w:rsidR="00505DB2" w:rsidRPr="009E63FA" w:rsidRDefault="00505DB2" w:rsidP="00B41AF6">
      <w:pPr>
        <w:pStyle w:val="TableFigureFooter"/>
      </w:pPr>
      <w:r>
        <w:t>Source: Figure 2.9, p113 of the submission.</w:t>
      </w:r>
    </w:p>
    <w:p w14:paraId="1E959A95" w14:textId="77396B16" w:rsidR="007B2EF4" w:rsidRDefault="00B9124D" w:rsidP="00EC5836">
      <w:pPr>
        <w:pStyle w:val="3-BodyText"/>
      </w:pPr>
      <w:r w:rsidRPr="000F3500">
        <w:t xml:space="preserve">In </w:t>
      </w:r>
      <w:r>
        <w:t xml:space="preserve">the </w:t>
      </w:r>
      <w:r w:rsidRPr="000F3500">
        <w:t>SPRINT trial, a median reduction of ≥</w:t>
      </w:r>
      <w:r>
        <w:t xml:space="preserve"> </w:t>
      </w:r>
      <w:r w:rsidRPr="000F3500">
        <w:t>20% in target PN volume from baseline was observed at all timepoints, except for pre-cycle 5. In 46 out of 48</w:t>
      </w:r>
      <w:r>
        <w:t xml:space="preserve"> (95.8%)</w:t>
      </w:r>
      <w:r w:rsidRPr="000F3500">
        <w:t xml:space="preserve"> patients, there was a reduction from baseline in target PN volume, with the largest change being -60.3% at pre-Cycle 55. Out of these 48 patients, 37 (77.1%) had a maximum reduction from baseline of ≥</w:t>
      </w:r>
      <w:r>
        <w:t xml:space="preserve"> </w:t>
      </w:r>
      <w:r w:rsidRPr="000F3500">
        <w:t>20% in target PN volume and 5 (10.4%) patients had a maximum reduction from baseline of ≥</w:t>
      </w:r>
      <w:r>
        <w:t xml:space="preserve"> </w:t>
      </w:r>
      <w:r w:rsidRPr="000F3500">
        <w:t xml:space="preserve">40%. </w:t>
      </w:r>
      <w:r w:rsidRPr="000E5F8A">
        <w:t>It is important to note that the SPRINT trial did not find any correlation between changes in functional or patient-reported outcome assessments and percentage change in tumour volume.</w:t>
      </w:r>
      <w:r>
        <w:t xml:space="preserve"> </w:t>
      </w:r>
      <w:r w:rsidRPr="00E331B7">
        <w:t xml:space="preserve">The PSCR noted that clinically the volume of the target PN does not necessarily correlate with severity of </w:t>
      </w:r>
      <w:r w:rsidRPr="00E331B7">
        <w:lastRenderedPageBreak/>
        <w:t>symptoms and given the heterogeneity of the size and location of PN and the associated morbidities, it would be difficult to define a quantitative relationship between change in PN volume and each clinical outcome.</w:t>
      </w:r>
      <w:r w:rsidR="00832EA7">
        <w:t xml:space="preserve"> </w:t>
      </w:r>
    </w:p>
    <w:p w14:paraId="7CC16EFE" w14:textId="77777777" w:rsidR="00B9124D" w:rsidRPr="00791399" w:rsidRDefault="00B9124D" w:rsidP="00B9124D">
      <w:pPr>
        <w:pStyle w:val="3-BodyText"/>
        <w:numPr>
          <w:ilvl w:val="0"/>
          <w:numId w:val="0"/>
        </w:numPr>
        <w:rPr>
          <w:u w:val="single"/>
        </w:rPr>
      </w:pPr>
      <w:r w:rsidRPr="00791399">
        <w:rPr>
          <w:u w:val="single"/>
        </w:rPr>
        <w:t>Progression-Free Survival</w:t>
      </w:r>
      <w:r>
        <w:rPr>
          <w:u w:val="single"/>
        </w:rPr>
        <w:t xml:space="preserve"> (PFS)</w:t>
      </w:r>
    </w:p>
    <w:p w14:paraId="23CC0760" w14:textId="682FBF18" w:rsidR="00B9124D" w:rsidRDefault="00B9124D" w:rsidP="00B9124D">
      <w:pPr>
        <w:pStyle w:val="3-BodyText"/>
      </w:pPr>
      <w:r>
        <w:t>PFS</w:t>
      </w:r>
      <w:r w:rsidRPr="00DA3158">
        <w:t xml:space="preserve"> was defined as the time from study treatment initiation to the pre-cycle </w:t>
      </w:r>
      <w:r>
        <w:t>(a</w:t>
      </w:r>
      <w:r w:rsidRPr="00CA38EE">
        <w:t xml:space="preserve"> cycle was defined as 28 days </w:t>
      </w:r>
      <w:r>
        <w:t xml:space="preserve">of treatment) </w:t>
      </w:r>
      <w:r w:rsidRPr="00DA3158">
        <w:t>documented progression or death</w:t>
      </w:r>
      <w:r>
        <w:t>. Progression was defined as</w:t>
      </w:r>
      <w:r w:rsidRPr="00BF7A00">
        <w:t xml:space="preserve"> ≥</w:t>
      </w:r>
      <w:r>
        <w:t xml:space="preserve"> </w:t>
      </w:r>
      <w:r w:rsidRPr="00BF7A00">
        <w:t>20% increase in PN volume</w:t>
      </w:r>
      <w:r>
        <w:t xml:space="preserve"> (as per</w:t>
      </w:r>
      <w:r w:rsidRPr="006E740E">
        <w:t xml:space="preserve"> </w:t>
      </w:r>
      <w:r>
        <w:t>R</w:t>
      </w:r>
      <w:r w:rsidRPr="006E740E">
        <w:t xml:space="preserve">esponse </w:t>
      </w:r>
      <w:r>
        <w:t>E</w:t>
      </w:r>
      <w:r w:rsidRPr="006E740E">
        <w:t xml:space="preserve">valuation in </w:t>
      </w:r>
      <w:r>
        <w:t>N</w:t>
      </w:r>
      <w:r w:rsidRPr="006E740E">
        <w:t xml:space="preserve">eurofibromatosis and </w:t>
      </w:r>
      <w:r>
        <w:t>S</w:t>
      </w:r>
      <w:r w:rsidRPr="006E740E">
        <w:t>chwannomatosis</w:t>
      </w:r>
      <w:r>
        <w:t xml:space="preserve"> (</w:t>
      </w:r>
      <w:r w:rsidRPr="00BF7A00">
        <w:t>REiNS</w:t>
      </w:r>
      <w:r>
        <w:t>)</w:t>
      </w:r>
      <w:r w:rsidRPr="00BF7A00">
        <w:t xml:space="preserve"> criteria</w:t>
      </w:r>
      <w:r>
        <w:t>)</w:t>
      </w:r>
      <w:r w:rsidRPr="00BF7A00">
        <w:t>.</w:t>
      </w:r>
      <w:r w:rsidRPr="00DA3158">
        <w:t xml:space="preserve"> </w:t>
      </w:r>
      <w:r>
        <w:t xml:space="preserve">A </w:t>
      </w:r>
      <w:r w:rsidRPr="00DA47E1">
        <w:t xml:space="preserve">Kaplan-Meier plot of PFS by NCI POB central analysis is presented in </w:t>
      </w:r>
      <w:r w:rsidRPr="00DA47E1">
        <w:fldChar w:fldCharType="begin"/>
      </w:r>
      <w:r w:rsidRPr="00DA47E1">
        <w:instrText xml:space="preserve"> REF _Ref111113810 \h </w:instrText>
      </w:r>
      <w:r w:rsidRPr="00DA47E1">
        <w:fldChar w:fldCharType="separate"/>
      </w:r>
      <w:r w:rsidR="00BE0EE6">
        <w:t xml:space="preserve">Figure </w:t>
      </w:r>
      <w:r w:rsidR="00BE0EE6">
        <w:rPr>
          <w:noProof/>
        </w:rPr>
        <w:t>5</w:t>
      </w:r>
      <w:r w:rsidRPr="00DA47E1">
        <w:fldChar w:fldCharType="end"/>
      </w:r>
      <w:r w:rsidRPr="00DA47E1">
        <w:t>.</w:t>
      </w:r>
      <w:r>
        <w:t xml:space="preserve"> </w:t>
      </w:r>
    </w:p>
    <w:p w14:paraId="3FF86E26" w14:textId="5AC5E82B" w:rsidR="00FA6B7A" w:rsidRDefault="00DA47E1" w:rsidP="00DA47E1">
      <w:pPr>
        <w:pStyle w:val="Caption"/>
      </w:pPr>
      <w:bookmarkStart w:id="33" w:name="_Ref111113810"/>
      <w:r>
        <w:t xml:space="preserve">Figure </w:t>
      </w:r>
      <w:fldSimple w:instr=" SEQ Figure \* ARABIC ">
        <w:r w:rsidR="00BE0EE6">
          <w:rPr>
            <w:noProof/>
          </w:rPr>
          <w:t>5</w:t>
        </w:r>
      </w:fldSimple>
      <w:bookmarkEnd w:id="33"/>
      <w:r>
        <w:t xml:space="preserve">. </w:t>
      </w:r>
      <w:r w:rsidR="00FA6B7A" w:rsidRPr="004D3860">
        <w:t xml:space="preserve">Kaplan-Meier Plot of </w:t>
      </w:r>
      <w:r w:rsidR="00FA6B7A">
        <w:t>PFS</w:t>
      </w:r>
      <w:r w:rsidR="00FA6B7A" w:rsidRPr="004D3860">
        <w:t>, NCI POB central analysis</w:t>
      </w:r>
      <w:r w:rsidR="00FA6B7A">
        <w:t xml:space="preserve"> in SPRINT trial</w:t>
      </w:r>
    </w:p>
    <w:p w14:paraId="38A67368" w14:textId="77777777" w:rsidR="00FA6B7A" w:rsidRPr="006E2F86" w:rsidRDefault="00FA6B7A" w:rsidP="00FA6B7A">
      <w:pPr>
        <w:pStyle w:val="TableFigureHeading"/>
      </w:pPr>
      <w:r w:rsidRPr="007605A1">
        <w:rPr>
          <w:noProof/>
        </w:rPr>
        <w:drawing>
          <wp:inline distT="0" distB="0" distL="0" distR="0" wp14:anchorId="722DB14B" wp14:editId="3DA8A997">
            <wp:extent cx="5405933" cy="3086100"/>
            <wp:effectExtent l="0" t="0" r="4445" b="0"/>
            <wp:docPr id="327" name="Picture 327" descr="Figure 5. Kaplan-Meier Plot of PFS, NCI POB central analysis in SPRINT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Picture 327" descr="Figure 5. Kaplan-Meier Plot of PFS, NCI POB central analysis in SPRINT trial"/>
                    <pic:cNvPicPr/>
                  </pic:nvPicPr>
                  <pic:blipFill>
                    <a:blip r:embed="rId12" cstate="email">
                      <a:extLst>
                        <a:ext uri="{28A0092B-C50C-407E-A947-70E740481C1C}">
                          <a14:useLocalDpi xmlns:a14="http://schemas.microsoft.com/office/drawing/2010/main"/>
                        </a:ext>
                      </a:extLst>
                    </a:blip>
                    <a:stretch>
                      <a:fillRect/>
                    </a:stretch>
                  </pic:blipFill>
                  <pic:spPr>
                    <a:xfrm>
                      <a:off x="0" y="0"/>
                      <a:ext cx="5409129" cy="3087925"/>
                    </a:xfrm>
                    <a:prstGeom prst="rect">
                      <a:avLst/>
                    </a:prstGeom>
                  </pic:spPr>
                </pic:pic>
              </a:graphicData>
            </a:graphic>
          </wp:inline>
        </w:drawing>
      </w:r>
    </w:p>
    <w:p w14:paraId="64A6412F" w14:textId="77777777" w:rsidR="00FA6B7A" w:rsidRDefault="00FA6B7A" w:rsidP="00FA6B7A">
      <w:pPr>
        <w:pStyle w:val="TableFigureFooter"/>
      </w:pPr>
      <w:r>
        <w:t>Source: Figure 2.11, p115 of the submission.</w:t>
      </w:r>
    </w:p>
    <w:p w14:paraId="591F9133" w14:textId="77777777" w:rsidR="00FA6B7A" w:rsidRDefault="00FA6B7A" w:rsidP="00FA6B7A">
      <w:pPr>
        <w:pStyle w:val="TableFigureFooter"/>
      </w:pPr>
      <w:r>
        <w:t>BID = Twice daily, MRI = magnetic imaging resonance, NCI = National Cancer Institute, POB = Paediatric Oncology Branch, PR = Partial response.</w:t>
      </w:r>
    </w:p>
    <w:p w14:paraId="4CC1C40C" w14:textId="1B24D019" w:rsidR="007B2EF4" w:rsidRPr="00DA47E1" w:rsidRDefault="00FA6B7A" w:rsidP="00DA47E1">
      <w:pPr>
        <w:pStyle w:val="TableFigureFooter"/>
      </w:pPr>
      <w:r>
        <w:t>Progression-free survival was defined as the time from study treatment initiation until the pre-cycle of objective disease progression or death (by any cause in the absence of progression</w:t>
      </w:r>
      <w:r w:rsidR="00AC12ED">
        <w:t xml:space="preserve">). </w:t>
      </w:r>
      <w:r>
        <w:t xml:space="preserve">Patients not known to have progressed at the time of analysis were censored at the last evaluable on-treatment pre-cycle volumetric MRI assessment. The values at the base of the figure indicate number of patients at risk. Dots represent censored observations. </w:t>
      </w:r>
      <w:bookmarkStart w:id="34" w:name="_Hlk111466404"/>
      <w:r>
        <w:t>A cycle was defined as 28 days</w:t>
      </w:r>
      <w:bookmarkEnd w:id="34"/>
      <w:r>
        <w:t>.</w:t>
      </w:r>
    </w:p>
    <w:p w14:paraId="62DA7342" w14:textId="70182AE7" w:rsidR="000C5C37" w:rsidRDefault="003E4262" w:rsidP="00466367">
      <w:pPr>
        <w:pStyle w:val="3-BodyText"/>
      </w:pPr>
      <w:r>
        <w:t>T</w:t>
      </w:r>
      <w:r w:rsidR="00CA38EE">
        <w:t xml:space="preserve">he </w:t>
      </w:r>
      <w:r w:rsidR="00C3077E" w:rsidRPr="000F65D6">
        <w:t xml:space="preserve">median PFS was not reached. The proportion of patients who were progression free at </w:t>
      </w:r>
      <w:r w:rsidR="004966FA">
        <w:t>C</w:t>
      </w:r>
      <w:r w:rsidR="00C3077E" w:rsidRPr="000F65D6">
        <w:t xml:space="preserve">ycle 16 </w:t>
      </w:r>
      <w:r w:rsidR="00CA38EE">
        <w:t>was</w:t>
      </w:r>
      <w:r w:rsidR="00C3077E" w:rsidRPr="000F65D6">
        <w:t xml:space="preserve"> 100%</w:t>
      </w:r>
      <w:r w:rsidR="00DD72C6">
        <w:t xml:space="preserve"> </w:t>
      </w:r>
      <w:r w:rsidR="006E740E">
        <w:t>(95% CI: NE, NE)</w:t>
      </w:r>
      <w:r w:rsidR="00C3077E" w:rsidRPr="000F65D6">
        <w:t xml:space="preserve">, </w:t>
      </w:r>
      <w:r w:rsidR="004966FA">
        <w:t>C</w:t>
      </w:r>
      <w:r w:rsidR="00C3077E" w:rsidRPr="000F65D6">
        <w:t xml:space="preserve">ycle 24 was 94.8% (95% CI: 81.0, 98.7), </w:t>
      </w:r>
      <w:r w:rsidR="004966FA">
        <w:t>C</w:t>
      </w:r>
      <w:r w:rsidR="00C3077E" w:rsidRPr="000F65D6">
        <w:t xml:space="preserve">ycle 36 was 83.0% (95% CI: 65.9, 92.0) and </w:t>
      </w:r>
      <w:r w:rsidR="004966FA">
        <w:t>C</w:t>
      </w:r>
      <w:r w:rsidR="00C3077E" w:rsidRPr="000F65D6">
        <w:t xml:space="preserve">ycle 48 was 69.7% (95% CI: 50.8, 82.5). </w:t>
      </w:r>
    </w:p>
    <w:p w14:paraId="6785ECEC" w14:textId="6B1DC4C7" w:rsidR="00A2426D" w:rsidRPr="00A2426D" w:rsidRDefault="00A2426D" w:rsidP="00A2426D">
      <w:pPr>
        <w:pStyle w:val="3-BodyText"/>
        <w:numPr>
          <w:ilvl w:val="0"/>
          <w:numId w:val="0"/>
        </w:numPr>
        <w:rPr>
          <w:u w:val="single"/>
        </w:rPr>
      </w:pPr>
      <w:r w:rsidRPr="00A2426D">
        <w:rPr>
          <w:u w:val="single"/>
        </w:rPr>
        <w:t>P</w:t>
      </w:r>
      <w:r w:rsidR="004966FA">
        <w:rPr>
          <w:u w:val="single"/>
        </w:rPr>
        <w:t>atient Reported Outcomes (P</w:t>
      </w:r>
      <w:r w:rsidRPr="00A2426D">
        <w:rPr>
          <w:u w:val="single"/>
        </w:rPr>
        <w:t>ROs</w:t>
      </w:r>
      <w:r w:rsidR="004966FA">
        <w:rPr>
          <w:u w:val="single"/>
        </w:rPr>
        <w:t>)</w:t>
      </w:r>
      <w:r w:rsidRPr="00A2426D">
        <w:rPr>
          <w:u w:val="single"/>
        </w:rPr>
        <w:t xml:space="preserve"> and Functional Outcomes</w:t>
      </w:r>
    </w:p>
    <w:p w14:paraId="27E0DEEE" w14:textId="6C4ECDA2" w:rsidR="00956132" w:rsidRDefault="00DB7C35" w:rsidP="00C3077E">
      <w:pPr>
        <w:pStyle w:val="3-BodyText"/>
      </w:pPr>
      <w:r w:rsidRPr="00DB7C35">
        <w:t xml:space="preserve">A range of clinical outcome assessments (PROs and functional outcomes) were used to assess the clinical benefit of selumetinib treatment and are presented in </w:t>
      </w:r>
      <w:r w:rsidR="006F6ACA">
        <w:fldChar w:fldCharType="begin"/>
      </w:r>
      <w:r w:rsidR="006F6ACA">
        <w:instrText xml:space="preserve"> REF _Ref111114180 \h </w:instrText>
      </w:r>
      <w:r w:rsidR="006F6ACA">
        <w:fldChar w:fldCharType="separate"/>
      </w:r>
      <w:r w:rsidR="00BE0EE6">
        <w:t xml:space="preserve">Figure </w:t>
      </w:r>
      <w:r w:rsidR="00BE0EE6">
        <w:rPr>
          <w:noProof/>
        </w:rPr>
        <w:t>6</w:t>
      </w:r>
      <w:r w:rsidR="006F6ACA">
        <w:fldChar w:fldCharType="end"/>
      </w:r>
      <w:r w:rsidR="006F6ACA">
        <w:t>.</w:t>
      </w:r>
    </w:p>
    <w:p w14:paraId="251C0FE8" w14:textId="742AD6E8" w:rsidR="006F6ACA" w:rsidRDefault="006F6ACA" w:rsidP="006F6ACA">
      <w:pPr>
        <w:pStyle w:val="Caption"/>
      </w:pPr>
      <w:bookmarkStart w:id="35" w:name="_Ref111114180"/>
      <w:r>
        <w:lastRenderedPageBreak/>
        <w:t xml:space="preserve">Figure </w:t>
      </w:r>
      <w:fldSimple w:instr=" SEQ Figure \* ARABIC ">
        <w:r w:rsidR="00BE0EE6">
          <w:rPr>
            <w:noProof/>
          </w:rPr>
          <w:t>6</w:t>
        </w:r>
      </w:fldSimple>
      <w:bookmarkEnd w:id="35"/>
      <w:r>
        <w:t xml:space="preserve">. </w:t>
      </w:r>
      <w:r w:rsidRPr="00FB3FCC">
        <w:t>Overview of clinical outcome assessments conducted in SPRINT</w:t>
      </w:r>
    </w:p>
    <w:p w14:paraId="409AEB0F" w14:textId="2242F277" w:rsidR="006F6ACA" w:rsidRDefault="00BA4F8B" w:rsidP="006F6ACA">
      <w:r w:rsidRPr="004116FF">
        <w:rPr>
          <w:rFonts w:asciiTheme="minorHAnsi" w:hAnsiTheme="minorHAnsi" w:cstheme="minorHAnsi"/>
          <w:noProof/>
        </w:rPr>
        <w:drawing>
          <wp:inline distT="0" distB="0" distL="0" distR="0" wp14:anchorId="032014C0" wp14:editId="0A7ECDF1">
            <wp:extent cx="5731510" cy="3184525"/>
            <wp:effectExtent l="0" t="0" r="2540" b="0"/>
            <wp:docPr id="328" name="Picture 328" descr="Figure 6. Overview of clinical outcome assessments conducted in SPR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Picture 328" descr="Figure 6. Overview of clinical outcome assessments conducted in SPRINT"/>
                    <pic:cNvPicPr/>
                  </pic:nvPicPr>
                  <pic:blipFill>
                    <a:blip r:embed="rId13" cstate="screen">
                      <a:extLst>
                        <a:ext uri="{28A0092B-C50C-407E-A947-70E740481C1C}">
                          <a14:useLocalDpi xmlns:a14="http://schemas.microsoft.com/office/drawing/2010/main"/>
                        </a:ext>
                      </a:extLst>
                    </a:blip>
                    <a:stretch>
                      <a:fillRect/>
                    </a:stretch>
                  </pic:blipFill>
                  <pic:spPr>
                    <a:xfrm>
                      <a:off x="0" y="0"/>
                      <a:ext cx="5731510" cy="3184525"/>
                    </a:xfrm>
                    <a:prstGeom prst="rect">
                      <a:avLst/>
                    </a:prstGeom>
                  </pic:spPr>
                </pic:pic>
              </a:graphicData>
            </a:graphic>
          </wp:inline>
        </w:drawing>
      </w:r>
    </w:p>
    <w:p w14:paraId="123865A2" w14:textId="77777777" w:rsidR="006F6ACA" w:rsidRDefault="006F6ACA" w:rsidP="006F6ACA">
      <w:pPr>
        <w:pStyle w:val="TableFooter"/>
        <w:rPr>
          <w:rFonts w:eastAsia="Calibri"/>
          <w:lang w:eastAsia="en-US"/>
        </w:rPr>
      </w:pPr>
      <w:r w:rsidRPr="00FB3FCC">
        <w:rPr>
          <w:rFonts w:eastAsia="Calibri"/>
          <w:lang w:eastAsia="en-US"/>
        </w:rPr>
        <w:t>Source: Figure 2.12, p116 of the submission.</w:t>
      </w:r>
    </w:p>
    <w:p w14:paraId="0976A94D" w14:textId="376C452E" w:rsidR="008346EC" w:rsidRPr="008346EC" w:rsidRDefault="006F6ACA" w:rsidP="00177150">
      <w:pPr>
        <w:pStyle w:val="TableFooter"/>
        <w:spacing w:after="120"/>
        <w:rPr>
          <w:rFonts w:eastAsia="Calibri"/>
          <w:lang w:eastAsia="en-US"/>
        </w:rPr>
      </w:pPr>
      <w:r w:rsidRPr="00AD72A9">
        <w:rPr>
          <w:rFonts w:eastAsia="Calibri"/>
          <w:lang w:eastAsia="en-US"/>
        </w:rPr>
        <w:t>DVQ</w:t>
      </w:r>
      <w:r>
        <w:rPr>
          <w:rFonts w:eastAsia="Calibri"/>
          <w:lang w:eastAsia="en-US"/>
        </w:rPr>
        <w:t xml:space="preserve"> =</w:t>
      </w:r>
      <w:r w:rsidRPr="00AD72A9">
        <w:rPr>
          <w:rFonts w:eastAsia="Calibri"/>
          <w:lang w:eastAsia="en-US"/>
        </w:rPr>
        <w:t xml:space="preserve"> Dysfunctional voiding questionnaire</w:t>
      </w:r>
      <w:r>
        <w:rPr>
          <w:rFonts w:eastAsia="Calibri"/>
          <w:lang w:eastAsia="en-US"/>
        </w:rPr>
        <w:t xml:space="preserve">, </w:t>
      </w:r>
      <w:r w:rsidRPr="00AD72A9">
        <w:rPr>
          <w:rFonts w:eastAsia="Calibri"/>
          <w:lang w:eastAsia="en-US"/>
        </w:rPr>
        <w:t xml:space="preserve"> FEV1/0.75</w:t>
      </w:r>
      <w:r>
        <w:rPr>
          <w:rFonts w:eastAsia="Calibri"/>
          <w:lang w:eastAsia="en-US"/>
        </w:rPr>
        <w:t xml:space="preserve"> =</w:t>
      </w:r>
      <w:r w:rsidRPr="00AD72A9">
        <w:rPr>
          <w:rFonts w:eastAsia="Calibri"/>
          <w:lang w:eastAsia="en-US"/>
        </w:rPr>
        <w:t xml:space="preserve"> Forced expiratory volume in 1 second/0.75 seconds</w:t>
      </w:r>
      <w:r>
        <w:rPr>
          <w:rFonts w:eastAsia="Calibri"/>
          <w:lang w:eastAsia="en-US"/>
        </w:rPr>
        <w:t>,</w:t>
      </w:r>
      <w:r w:rsidRPr="00AD72A9">
        <w:rPr>
          <w:rFonts w:eastAsia="Calibri"/>
          <w:lang w:eastAsia="en-US"/>
        </w:rPr>
        <w:t xml:space="preserve"> GIC</w:t>
      </w:r>
      <w:r>
        <w:rPr>
          <w:rFonts w:eastAsia="Calibri"/>
          <w:lang w:eastAsia="en-US"/>
        </w:rPr>
        <w:t xml:space="preserve"> =</w:t>
      </w:r>
      <w:r w:rsidRPr="00AD72A9">
        <w:rPr>
          <w:rFonts w:eastAsia="Calibri"/>
          <w:lang w:eastAsia="en-US"/>
        </w:rPr>
        <w:t xml:space="preserve"> Global Impression of Change</w:t>
      </w:r>
      <w:r>
        <w:rPr>
          <w:rFonts w:eastAsia="Calibri"/>
          <w:lang w:eastAsia="en-US"/>
        </w:rPr>
        <w:t>,</w:t>
      </w:r>
      <w:r w:rsidRPr="00AD72A9">
        <w:rPr>
          <w:rFonts w:eastAsia="Calibri"/>
          <w:lang w:eastAsia="en-US"/>
        </w:rPr>
        <w:t xml:space="preserve"> HRQoL</w:t>
      </w:r>
      <w:r>
        <w:rPr>
          <w:rFonts w:eastAsia="Calibri"/>
          <w:lang w:eastAsia="en-US"/>
        </w:rPr>
        <w:t xml:space="preserve"> =</w:t>
      </w:r>
      <w:r w:rsidRPr="00AD72A9">
        <w:rPr>
          <w:rFonts w:eastAsia="Calibri"/>
          <w:lang w:eastAsia="en-US"/>
        </w:rPr>
        <w:t xml:space="preserve"> Health-related quality of life</w:t>
      </w:r>
      <w:r>
        <w:rPr>
          <w:rFonts w:eastAsia="Calibri"/>
          <w:lang w:eastAsia="en-US"/>
        </w:rPr>
        <w:t xml:space="preserve">, </w:t>
      </w:r>
      <w:r w:rsidRPr="00AD72A9">
        <w:rPr>
          <w:rFonts w:eastAsia="Calibri"/>
          <w:lang w:eastAsia="en-US"/>
        </w:rPr>
        <w:t xml:space="preserve"> </w:t>
      </w:r>
      <w:r w:rsidRPr="003239B1">
        <w:t>n = number of participants reporting data</w:t>
      </w:r>
      <w:r>
        <w:t xml:space="preserve">, </w:t>
      </w:r>
      <w:r>
        <w:rPr>
          <w:rFonts w:eastAsia="Calibri"/>
        </w:rPr>
        <w:t xml:space="preserve">N = total participants in group, </w:t>
      </w:r>
      <w:r w:rsidRPr="00AD72A9">
        <w:rPr>
          <w:rFonts w:eastAsia="Calibri"/>
          <w:lang w:eastAsia="en-US"/>
        </w:rPr>
        <w:t>NRS-11</w:t>
      </w:r>
      <w:r>
        <w:rPr>
          <w:rFonts w:eastAsia="Calibri"/>
          <w:lang w:eastAsia="en-US"/>
        </w:rPr>
        <w:t xml:space="preserve"> =</w:t>
      </w:r>
      <w:r w:rsidRPr="00AD72A9">
        <w:rPr>
          <w:rFonts w:eastAsia="Calibri"/>
          <w:lang w:eastAsia="en-US"/>
        </w:rPr>
        <w:t xml:space="preserve"> Numerical rating scale-11</w:t>
      </w:r>
      <w:r>
        <w:rPr>
          <w:rFonts w:eastAsia="Calibri"/>
          <w:lang w:eastAsia="en-US"/>
        </w:rPr>
        <w:t>,</w:t>
      </w:r>
      <w:r w:rsidRPr="00AD72A9">
        <w:rPr>
          <w:rFonts w:eastAsia="Calibri"/>
          <w:lang w:eastAsia="en-US"/>
        </w:rPr>
        <w:t xml:space="preserve"> PedsQL</w:t>
      </w:r>
      <w:r>
        <w:rPr>
          <w:rFonts w:eastAsia="Calibri"/>
          <w:lang w:eastAsia="en-US"/>
        </w:rPr>
        <w:t xml:space="preserve"> =</w:t>
      </w:r>
      <w:r w:rsidRPr="00AD72A9">
        <w:rPr>
          <w:rFonts w:eastAsia="Calibri"/>
          <w:lang w:eastAsia="en-US"/>
        </w:rPr>
        <w:t xml:space="preserve"> Paediatric Quality of Life Inventory</w:t>
      </w:r>
      <w:r>
        <w:rPr>
          <w:rFonts w:eastAsia="Calibri"/>
          <w:lang w:eastAsia="en-US"/>
        </w:rPr>
        <w:t xml:space="preserve">, </w:t>
      </w:r>
      <w:r w:rsidRPr="00AD72A9">
        <w:rPr>
          <w:rFonts w:eastAsia="Calibri"/>
          <w:lang w:eastAsia="en-US"/>
        </w:rPr>
        <w:t>PFT</w:t>
      </w:r>
      <w:r>
        <w:rPr>
          <w:rFonts w:eastAsia="Calibri"/>
          <w:lang w:eastAsia="en-US"/>
        </w:rPr>
        <w:t xml:space="preserve"> = </w:t>
      </w:r>
      <w:r w:rsidRPr="00AD72A9">
        <w:rPr>
          <w:rFonts w:eastAsia="Calibri"/>
          <w:lang w:eastAsia="en-US"/>
        </w:rPr>
        <w:t>Pulmonary function test</w:t>
      </w:r>
      <w:r>
        <w:rPr>
          <w:rFonts w:eastAsia="Calibri"/>
          <w:lang w:eastAsia="en-US"/>
        </w:rPr>
        <w:t xml:space="preserve">, </w:t>
      </w:r>
      <w:r w:rsidRPr="00AD72A9">
        <w:rPr>
          <w:rFonts w:eastAsia="Calibri"/>
          <w:lang w:eastAsia="en-US"/>
        </w:rPr>
        <w:t xml:space="preserve"> PII</w:t>
      </w:r>
      <w:r>
        <w:rPr>
          <w:rFonts w:eastAsia="Calibri"/>
          <w:lang w:eastAsia="en-US"/>
        </w:rPr>
        <w:t xml:space="preserve"> =</w:t>
      </w:r>
      <w:r w:rsidRPr="00AD72A9">
        <w:rPr>
          <w:rFonts w:eastAsia="Calibri"/>
          <w:lang w:eastAsia="en-US"/>
        </w:rPr>
        <w:t xml:space="preserve"> Pain interference index</w:t>
      </w:r>
      <w:r>
        <w:rPr>
          <w:rFonts w:eastAsia="Calibri"/>
          <w:lang w:eastAsia="en-US"/>
        </w:rPr>
        <w:t>,</w:t>
      </w:r>
      <w:r w:rsidRPr="00AD72A9">
        <w:rPr>
          <w:rFonts w:eastAsia="Calibri"/>
          <w:lang w:eastAsia="en-US"/>
        </w:rPr>
        <w:t xml:space="preserve"> PN</w:t>
      </w:r>
      <w:r>
        <w:rPr>
          <w:rFonts w:eastAsia="Calibri"/>
          <w:lang w:eastAsia="en-US"/>
        </w:rPr>
        <w:t xml:space="preserve"> =</w:t>
      </w:r>
      <w:r w:rsidRPr="00AD72A9">
        <w:rPr>
          <w:rFonts w:eastAsia="Calibri"/>
          <w:lang w:eastAsia="en-US"/>
        </w:rPr>
        <w:t xml:space="preserve"> Plexiform neurofibroma(s)</w:t>
      </w:r>
      <w:r>
        <w:rPr>
          <w:rFonts w:eastAsia="Calibri"/>
          <w:lang w:eastAsia="en-US"/>
        </w:rPr>
        <w:t>,</w:t>
      </w:r>
      <w:r w:rsidRPr="00AD72A9">
        <w:rPr>
          <w:rFonts w:eastAsia="Calibri"/>
          <w:lang w:eastAsia="en-US"/>
        </w:rPr>
        <w:t xml:space="preserve"> PROMIS</w:t>
      </w:r>
      <w:r>
        <w:rPr>
          <w:rFonts w:eastAsia="Calibri"/>
          <w:lang w:eastAsia="en-US"/>
        </w:rPr>
        <w:t xml:space="preserve"> = </w:t>
      </w:r>
      <w:r w:rsidRPr="00AD72A9">
        <w:rPr>
          <w:rFonts w:eastAsia="Calibri"/>
          <w:lang w:eastAsia="en-US"/>
        </w:rPr>
        <w:t>Patient-reported outcomes measurement information system</w:t>
      </w:r>
      <w:r>
        <w:rPr>
          <w:rFonts w:eastAsia="Calibri"/>
          <w:lang w:eastAsia="en-US"/>
        </w:rPr>
        <w:t xml:space="preserve">, </w:t>
      </w:r>
      <w:r w:rsidRPr="00AD72A9">
        <w:rPr>
          <w:rFonts w:eastAsia="Calibri"/>
          <w:lang w:eastAsia="en-US"/>
        </w:rPr>
        <w:t xml:space="preserve"> R</w:t>
      </w:r>
      <w:r>
        <w:rPr>
          <w:rFonts w:eastAsia="Calibri"/>
          <w:lang w:eastAsia="en-US"/>
        </w:rPr>
        <w:t xml:space="preserve"> =</w:t>
      </w:r>
      <w:r w:rsidRPr="00AD72A9">
        <w:rPr>
          <w:rFonts w:eastAsia="Calibri"/>
          <w:lang w:eastAsia="en-US"/>
        </w:rPr>
        <w:t xml:space="preserve"> Resistance.</w:t>
      </w:r>
    </w:p>
    <w:p w14:paraId="69521CEC" w14:textId="6E995A1C" w:rsidR="00BA4F8B" w:rsidRPr="00E331B7" w:rsidRDefault="004966FA" w:rsidP="00BA4F8B">
      <w:pPr>
        <w:pStyle w:val="3-BodyText"/>
      </w:pPr>
      <w:r w:rsidRPr="00E331B7">
        <w:t>With the e</w:t>
      </w:r>
      <w:r w:rsidR="00005292" w:rsidRPr="00E331B7">
        <w:t>xcept</w:t>
      </w:r>
      <w:r w:rsidRPr="00E331B7">
        <w:t>ion of</w:t>
      </w:r>
      <w:r w:rsidR="00BA4F8B" w:rsidRPr="00E331B7">
        <w:t xml:space="preserve"> the Pain Interference Index (PII) and measurements of visual acuity, </w:t>
      </w:r>
      <w:r w:rsidRPr="00E331B7">
        <w:t xml:space="preserve">the </w:t>
      </w:r>
      <w:r w:rsidR="00BA4F8B" w:rsidRPr="00E331B7">
        <w:t>PROs used by the submission have not been validated in PN, and</w:t>
      </w:r>
      <w:r w:rsidRPr="00E331B7">
        <w:t>,</w:t>
      </w:r>
      <w:r w:rsidR="00BA4F8B" w:rsidRPr="00E331B7">
        <w:t xml:space="preserve"> as such</w:t>
      </w:r>
      <w:r w:rsidR="005208BD" w:rsidRPr="00E331B7">
        <w:t>,</w:t>
      </w:r>
      <w:r w:rsidR="00BA4F8B" w:rsidRPr="00E331B7">
        <w:t xml:space="preserve"> no validated thresholds for clinically meaningful change exist in this population. Furthermore, PROs and functional outcomes were not used in the economic model.</w:t>
      </w:r>
      <w:r w:rsidR="004C007A" w:rsidRPr="00E331B7">
        <w:t xml:space="preserve"> The PSCR stated that it was not feasible to validate the PROs in patients with PN given the nature of the disease and the heterogeneity of NF1 PN.</w:t>
      </w:r>
    </w:p>
    <w:p w14:paraId="437AA42B" w14:textId="6F50B486" w:rsidR="00CD4873" w:rsidRPr="00E331B7" w:rsidRDefault="00CD4873" w:rsidP="00300D55">
      <w:pPr>
        <w:pStyle w:val="3-BodyText"/>
        <w:spacing w:after="0"/>
      </w:pPr>
      <w:r w:rsidRPr="00E331B7">
        <w:t xml:space="preserve"> </w:t>
      </w:r>
      <w:r w:rsidR="005D32D0" w:rsidRPr="00E331B7">
        <w:t>C</w:t>
      </w:r>
      <w:r w:rsidRPr="00E331B7">
        <w:t>linically meaningful improvements were seen in the following PROs and functional outcomes:</w:t>
      </w:r>
    </w:p>
    <w:p w14:paraId="52F8EE4C" w14:textId="6AA93829" w:rsidR="00CD4873" w:rsidRDefault="00CD4873" w:rsidP="00F70F2C">
      <w:pPr>
        <w:pStyle w:val="ListParagraph"/>
        <w:spacing w:after="0"/>
        <w:ind w:left="1134"/>
      </w:pPr>
      <w:r>
        <w:t>Pain: NRS-11 pain intensity scale at pre-Cycle 25 (adjusted mean change from baseline: -2.17, 95% CI: -3.17, -1.17) and pre-Cycle 49 (adjusted mean change from baseline: -2.43, 95% CI: -3.47, -1.40)</w:t>
      </w:r>
      <w:r w:rsidR="00300D55">
        <w:t>.</w:t>
      </w:r>
    </w:p>
    <w:p w14:paraId="280FD26F" w14:textId="7184A089" w:rsidR="00300D55" w:rsidRDefault="00CD4873" w:rsidP="00F70F2C">
      <w:pPr>
        <w:pStyle w:val="ListParagraph"/>
        <w:spacing w:after="0"/>
        <w:ind w:left="1134"/>
      </w:pPr>
      <w:r>
        <w:t>Pain interference: child-reported interference of pain in daily functioning scores at pre-Cycle 37 (the adjusted mean change from baseline was -0.79</w:t>
      </w:r>
      <w:r w:rsidR="00B77C74">
        <w:t xml:space="preserve">, </w:t>
      </w:r>
      <w:r>
        <w:t>95% CI: -1.15, -0.43)</w:t>
      </w:r>
      <w:r w:rsidR="00300D55">
        <w:t>.</w:t>
      </w:r>
    </w:p>
    <w:p w14:paraId="09B604E1" w14:textId="232B7FDE" w:rsidR="00CD4873" w:rsidRDefault="00CD4873" w:rsidP="00F70F2C">
      <w:pPr>
        <w:pStyle w:val="ListParagraph"/>
        <w:spacing w:after="0"/>
        <w:ind w:left="1134"/>
      </w:pPr>
      <w:r>
        <w:t xml:space="preserve">Motor function: </w:t>
      </w:r>
    </w:p>
    <w:p w14:paraId="26E5D10E" w14:textId="1FA205B0" w:rsidR="00CD4873" w:rsidRDefault="00CD4873" w:rsidP="00F70F2C">
      <w:pPr>
        <w:pStyle w:val="ListParagraph"/>
        <w:numPr>
          <w:ilvl w:val="1"/>
          <w:numId w:val="3"/>
        </w:numPr>
        <w:spacing w:after="0"/>
        <w:ind w:left="1560"/>
      </w:pPr>
      <w:r>
        <w:t>At each time point for strength and range of motion, most patients showed no change or improvement; very few patients showed a deterioration</w:t>
      </w:r>
      <w:r w:rsidR="00BF0198">
        <w:t>.</w:t>
      </w:r>
    </w:p>
    <w:p w14:paraId="5991CB18" w14:textId="2845CE77" w:rsidR="00CD4873" w:rsidRDefault="00CD4873" w:rsidP="00F70F2C">
      <w:pPr>
        <w:pStyle w:val="ListParagraph"/>
        <w:numPr>
          <w:ilvl w:val="1"/>
          <w:numId w:val="3"/>
        </w:numPr>
        <w:spacing w:after="0"/>
        <w:ind w:left="1560"/>
      </w:pPr>
      <w:r>
        <w:t xml:space="preserve">Self-reported </w:t>
      </w:r>
      <w:r w:rsidR="00231446">
        <w:rPr>
          <w:rFonts w:eastAsia="Calibri"/>
          <w:lang w:eastAsia="en-US"/>
        </w:rPr>
        <w:t>patient-reported outcomes measurement information system</w:t>
      </w:r>
      <w:r w:rsidR="00231446">
        <w:t xml:space="preserve"> (</w:t>
      </w:r>
      <w:r>
        <w:t>PROMIS</w:t>
      </w:r>
      <w:r w:rsidR="00231446">
        <w:t>)</w:t>
      </w:r>
      <w:r>
        <w:t xml:space="preserve"> scores at pre-Cycle 25 </w:t>
      </w:r>
      <w:r w:rsidR="00820200">
        <w:t xml:space="preserve">(the adjusted mean change from baseline was 3.59, 95% CI: </w:t>
      </w:r>
      <w:r w:rsidR="00820200" w:rsidRPr="00820200">
        <w:t>-0.13, 7.31</w:t>
      </w:r>
      <w:r w:rsidR="00820200">
        <w:t xml:space="preserve">) </w:t>
      </w:r>
      <w:r>
        <w:t>and pre-Cycle 49</w:t>
      </w:r>
      <w:r w:rsidR="00820200">
        <w:t xml:space="preserve"> (the adjusted mean change from baseline was 3.86, 95% CI: </w:t>
      </w:r>
      <w:r w:rsidR="00820200" w:rsidRPr="00820200">
        <w:t>-0.86, 8.59</w:t>
      </w:r>
      <w:r w:rsidR="00820200">
        <w:t>).</w:t>
      </w:r>
    </w:p>
    <w:p w14:paraId="49293CB9" w14:textId="213B7AB1" w:rsidR="00CD4873" w:rsidRDefault="00CD4873" w:rsidP="00F70F2C">
      <w:pPr>
        <w:pStyle w:val="ListParagraph"/>
        <w:numPr>
          <w:ilvl w:val="1"/>
          <w:numId w:val="3"/>
        </w:numPr>
        <w:spacing w:after="0"/>
        <w:ind w:left="1560"/>
      </w:pPr>
      <w:r>
        <w:lastRenderedPageBreak/>
        <w:t>Self-reported upper extremity function scores at pre-Cycle 37</w:t>
      </w:r>
      <w:r w:rsidR="00820200">
        <w:t xml:space="preserve"> (the adjusted mean change from baseline was 6.53, 95% CI: 2.70, 10.35)</w:t>
      </w:r>
      <w:r w:rsidR="00BF0198">
        <w:t>.</w:t>
      </w:r>
    </w:p>
    <w:p w14:paraId="1CC3CC60" w14:textId="76BD1FE8" w:rsidR="00A23B4C" w:rsidRDefault="00CD4873" w:rsidP="00F70F2C">
      <w:pPr>
        <w:pStyle w:val="ListParagraph"/>
        <w:numPr>
          <w:ilvl w:val="1"/>
          <w:numId w:val="3"/>
        </w:numPr>
        <w:ind w:left="1560"/>
      </w:pPr>
      <w:r>
        <w:t>Parent-reported mobility score reported at pre-Cycle 25 through pre-Cycle 49</w:t>
      </w:r>
      <w:r w:rsidR="00BF0198">
        <w:t>.</w:t>
      </w:r>
    </w:p>
    <w:p w14:paraId="507E0B01" w14:textId="4D4F33B8" w:rsidR="001C0C7B" w:rsidRPr="000E5F8A" w:rsidRDefault="001C0C7B" w:rsidP="00820200">
      <w:pPr>
        <w:pStyle w:val="3-BodyText"/>
      </w:pPr>
      <w:r w:rsidRPr="000E5F8A">
        <w:t>Notably, the clinically meaningful improvement in PROs and functional outcomes were not consistently observed throughout the trial but intermittently at some cycles. No clinically meaningful improvement was observed in airway function, bowel/bladder function, vision function or disfigurement.</w:t>
      </w:r>
    </w:p>
    <w:p w14:paraId="67DC0F90" w14:textId="6D27AA70" w:rsidR="005A3991" w:rsidRPr="007460A2" w:rsidRDefault="00780506" w:rsidP="005A3991">
      <w:pPr>
        <w:pStyle w:val="3-BodyText"/>
      </w:pPr>
      <w:r>
        <w:t>H</w:t>
      </w:r>
      <w:r w:rsidRPr="00780506">
        <w:t>ealth-related Quality of life (HRQoL)</w:t>
      </w:r>
      <w:r w:rsidR="005A3991" w:rsidRPr="007C053D">
        <w:rPr>
          <w:rFonts w:eastAsia="Calibri"/>
          <w:lang w:eastAsia="en-US"/>
        </w:rPr>
        <w:t xml:space="preserve"> was measured using the PedsQL 4.0 Generic Core Scales. Mean change in self-reported and parent-reported HRQoL from baseline is presented in</w:t>
      </w:r>
      <w:r w:rsidR="005A3991">
        <w:rPr>
          <w:rFonts w:eastAsia="Calibri"/>
          <w:lang w:eastAsia="en-US"/>
        </w:rPr>
        <w:t xml:space="preserve"> </w:t>
      </w:r>
      <w:r w:rsidR="005A3991">
        <w:rPr>
          <w:rFonts w:eastAsia="Calibri"/>
          <w:lang w:eastAsia="en-US"/>
        </w:rPr>
        <w:fldChar w:fldCharType="begin"/>
      </w:r>
      <w:r w:rsidR="005A3991">
        <w:rPr>
          <w:rFonts w:eastAsia="Calibri"/>
          <w:lang w:eastAsia="en-US"/>
        </w:rPr>
        <w:instrText xml:space="preserve"> REF _Ref111114099 \h </w:instrText>
      </w:r>
      <w:r w:rsidR="005A3991">
        <w:rPr>
          <w:rFonts w:eastAsia="Calibri"/>
          <w:lang w:eastAsia="en-US"/>
        </w:rPr>
      </w:r>
      <w:r w:rsidR="005A3991">
        <w:rPr>
          <w:rFonts w:eastAsia="Calibri"/>
          <w:lang w:eastAsia="en-US"/>
        </w:rPr>
        <w:fldChar w:fldCharType="separate"/>
      </w:r>
      <w:r w:rsidR="00BE0EE6">
        <w:t xml:space="preserve">Figure </w:t>
      </w:r>
      <w:r w:rsidR="00BE0EE6">
        <w:rPr>
          <w:noProof/>
        </w:rPr>
        <w:t>7</w:t>
      </w:r>
      <w:r w:rsidR="005A3991">
        <w:rPr>
          <w:rFonts w:eastAsia="Calibri"/>
          <w:lang w:eastAsia="en-US"/>
        </w:rPr>
        <w:fldChar w:fldCharType="end"/>
      </w:r>
      <w:r w:rsidR="005A3991" w:rsidRPr="007C053D">
        <w:rPr>
          <w:rFonts w:eastAsia="Calibri"/>
          <w:lang w:eastAsia="en-US"/>
        </w:rPr>
        <w:t xml:space="preserve"> and </w:t>
      </w:r>
      <w:r w:rsidR="005A3991">
        <w:rPr>
          <w:rFonts w:eastAsia="Calibri"/>
          <w:lang w:eastAsia="en-US"/>
        </w:rPr>
        <w:fldChar w:fldCharType="begin"/>
      </w:r>
      <w:r w:rsidR="005A3991">
        <w:rPr>
          <w:rFonts w:eastAsia="Calibri"/>
          <w:lang w:eastAsia="en-US"/>
        </w:rPr>
        <w:instrText xml:space="preserve"> REF _Ref111114102 \h </w:instrText>
      </w:r>
      <w:r w:rsidR="005A3991">
        <w:rPr>
          <w:rFonts w:eastAsia="Calibri"/>
          <w:lang w:eastAsia="en-US"/>
        </w:rPr>
      </w:r>
      <w:r w:rsidR="005A3991">
        <w:rPr>
          <w:rFonts w:eastAsia="Calibri"/>
          <w:lang w:eastAsia="en-US"/>
        </w:rPr>
        <w:fldChar w:fldCharType="separate"/>
      </w:r>
      <w:r w:rsidR="00BE0EE6">
        <w:t xml:space="preserve">Figure </w:t>
      </w:r>
      <w:r w:rsidR="00BE0EE6">
        <w:rPr>
          <w:noProof/>
        </w:rPr>
        <w:t>8</w:t>
      </w:r>
      <w:r w:rsidR="005A3991">
        <w:rPr>
          <w:rFonts w:eastAsia="Calibri"/>
          <w:lang w:eastAsia="en-US"/>
        </w:rPr>
        <w:fldChar w:fldCharType="end"/>
      </w:r>
      <w:r w:rsidR="005A3991">
        <w:rPr>
          <w:rFonts w:eastAsia="Calibri"/>
          <w:lang w:eastAsia="en-US"/>
        </w:rPr>
        <w:t>.</w:t>
      </w:r>
    </w:p>
    <w:p w14:paraId="004E05B9" w14:textId="18952C96" w:rsidR="005A3991" w:rsidRPr="007C053D" w:rsidRDefault="005A3991" w:rsidP="005A3991">
      <w:pPr>
        <w:pStyle w:val="Caption"/>
        <w:rPr>
          <w:rFonts w:eastAsiaTheme="majorEastAsia" w:cstheme="majorBidi"/>
          <w:lang w:eastAsia="en-US"/>
        </w:rPr>
      </w:pPr>
      <w:bookmarkStart w:id="36" w:name="_Ref111114099"/>
      <w:bookmarkStart w:id="37" w:name="_Toc105069220"/>
      <w:bookmarkStart w:id="38" w:name="_Toc107921702"/>
      <w:r>
        <w:t xml:space="preserve">Figure </w:t>
      </w:r>
      <w:fldSimple w:instr=" SEQ Figure \* ARABIC ">
        <w:r w:rsidR="00BE0EE6">
          <w:rPr>
            <w:noProof/>
          </w:rPr>
          <w:t>7</w:t>
        </w:r>
      </w:fldSimple>
      <w:bookmarkEnd w:id="36"/>
      <w:r>
        <w:t xml:space="preserve">. </w:t>
      </w:r>
      <w:r w:rsidRPr="007C053D">
        <w:rPr>
          <w:rFonts w:eastAsiaTheme="majorEastAsia" w:cstheme="majorBidi"/>
          <w:lang w:eastAsia="en-US"/>
        </w:rPr>
        <w:t xml:space="preserve">Mean Change from Baseline of PedsQL Self-report Scores Over Time </w:t>
      </w:r>
      <w:r w:rsidRPr="007C053D">
        <w:rPr>
          <w:rFonts w:eastAsiaTheme="majorEastAsia" w:cstheme="majorBidi" w:hint="eastAsia"/>
          <w:lang w:eastAsia="en-US"/>
        </w:rPr>
        <w:t>–</w:t>
      </w:r>
      <w:r w:rsidRPr="007C053D">
        <w:rPr>
          <w:rFonts w:eastAsiaTheme="majorEastAsia" w:cstheme="majorBidi" w:hint="eastAsia"/>
          <w:lang w:eastAsia="en-US"/>
        </w:rPr>
        <w:t xml:space="preserve"> </w:t>
      </w:r>
      <w:r w:rsidRPr="007C053D">
        <w:rPr>
          <w:rFonts w:eastAsiaTheme="majorEastAsia" w:cstheme="majorBidi"/>
          <w:lang w:eastAsia="en-US"/>
        </w:rPr>
        <w:t>Transformed Scores</w:t>
      </w:r>
      <w:bookmarkEnd w:id="37"/>
      <w:bookmarkEnd w:id="38"/>
    </w:p>
    <w:p w14:paraId="4C3E27BA" w14:textId="77777777" w:rsidR="005A3991" w:rsidRPr="007C053D" w:rsidRDefault="005A3991" w:rsidP="005A3991">
      <w:pPr>
        <w:rPr>
          <w:rFonts w:eastAsia="Calibri"/>
          <w:lang w:eastAsia="en-US"/>
        </w:rPr>
      </w:pPr>
      <w:r w:rsidRPr="007C053D">
        <w:rPr>
          <w:rFonts w:eastAsia="Calibri"/>
          <w:noProof/>
          <w:lang w:eastAsia="en-US"/>
        </w:rPr>
        <w:drawing>
          <wp:inline distT="0" distB="0" distL="0" distR="0" wp14:anchorId="663F47DE" wp14:editId="3DAF3FFD">
            <wp:extent cx="5358060" cy="2686050"/>
            <wp:effectExtent l="0" t="0" r="0" b="0"/>
            <wp:docPr id="8" name="Picture 8" descr="Figure 7. Mean Change from Baseline of PedsQL Self-report Scores Over Time – Transformed Sc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ure 7. Mean Change from Baseline of PedsQL Self-report Scores Over Time – Transformed Scores"/>
                    <pic:cNvPicPr/>
                  </pic:nvPicPr>
                  <pic:blipFill rotWithShape="1">
                    <a:blip r:embed="rId14" cstate="screen">
                      <a:extLst>
                        <a:ext uri="{28A0092B-C50C-407E-A947-70E740481C1C}">
                          <a14:useLocalDpi xmlns:a14="http://schemas.microsoft.com/office/drawing/2010/main"/>
                        </a:ext>
                      </a:extLst>
                    </a:blip>
                    <a:srcRect/>
                    <a:stretch/>
                  </pic:blipFill>
                  <pic:spPr bwMode="auto">
                    <a:xfrm>
                      <a:off x="0" y="0"/>
                      <a:ext cx="5381845" cy="2697973"/>
                    </a:xfrm>
                    <a:prstGeom prst="rect">
                      <a:avLst/>
                    </a:prstGeom>
                    <a:ln>
                      <a:noFill/>
                    </a:ln>
                    <a:extLst>
                      <a:ext uri="{53640926-AAD7-44D8-BBD7-CCE9431645EC}">
                        <a14:shadowObscured xmlns:a14="http://schemas.microsoft.com/office/drawing/2010/main"/>
                      </a:ext>
                    </a:extLst>
                  </pic:spPr>
                </pic:pic>
              </a:graphicData>
            </a:graphic>
          </wp:inline>
        </w:drawing>
      </w:r>
    </w:p>
    <w:p w14:paraId="0786FA25" w14:textId="77777777" w:rsidR="005A3991" w:rsidRPr="007C053D" w:rsidRDefault="005A3991" w:rsidP="005A3991">
      <w:pPr>
        <w:snapToGrid w:val="0"/>
        <w:spacing w:after="120"/>
        <w:contextualSpacing/>
        <w:rPr>
          <w:rFonts w:ascii="Arial Narrow" w:eastAsia="Calibri" w:hAnsi="Arial Narrow"/>
          <w:sz w:val="18"/>
          <w:szCs w:val="20"/>
        </w:rPr>
      </w:pPr>
      <w:r w:rsidRPr="007C053D">
        <w:rPr>
          <w:rFonts w:ascii="Arial Narrow" w:eastAsia="Calibri" w:hAnsi="Arial Narrow"/>
          <w:sz w:val="18"/>
          <w:szCs w:val="20"/>
        </w:rPr>
        <w:t>Source: Figure 2.20, p128</w:t>
      </w:r>
    </w:p>
    <w:p w14:paraId="60370AB2" w14:textId="77777777" w:rsidR="005A3991" w:rsidRPr="007C053D" w:rsidRDefault="005A3991" w:rsidP="005A3991">
      <w:pPr>
        <w:snapToGrid w:val="0"/>
        <w:spacing w:after="120"/>
        <w:contextualSpacing/>
        <w:rPr>
          <w:rFonts w:ascii="Arial Narrow" w:eastAsia="Calibri" w:hAnsi="Arial Narrow"/>
          <w:sz w:val="18"/>
          <w:szCs w:val="20"/>
        </w:rPr>
      </w:pPr>
      <w:r w:rsidRPr="007C053D">
        <w:rPr>
          <w:rFonts w:ascii="Arial Narrow" w:eastAsia="Calibri" w:hAnsi="Arial Narrow"/>
          <w:sz w:val="18"/>
          <w:szCs w:val="20"/>
        </w:rPr>
        <w:t>PedsQL = Paediatric Quality of Life Inventory</w:t>
      </w:r>
    </w:p>
    <w:p w14:paraId="7E0EFF75" w14:textId="3A4087F8" w:rsidR="005A3991" w:rsidRPr="007460A2" w:rsidRDefault="005A3991" w:rsidP="007460A2">
      <w:pPr>
        <w:snapToGrid w:val="0"/>
        <w:spacing w:after="120"/>
        <w:contextualSpacing/>
        <w:rPr>
          <w:rFonts w:ascii="Arial Narrow" w:eastAsia="Calibri" w:hAnsi="Arial Narrow"/>
          <w:sz w:val="18"/>
          <w:szCs w:val="20"/>
        </w:rPr>
      </w:pPr>
      <w:r w:rsidRPr="007C053D">
        <w:rPr>
          <w:rFonts w:ascii="Arial Narrow" w:eastAsia="Calibri" w:hAnsi="Arial Narrow"/>
          <w:sz w:val="18"/>
          <w:szCs w:val="20"/>
        </w:rPr>
        <w:t>Patients aged 8 to 18 years at enrolment expected to complete self-report measures of the PedsQL (N = 34).</w:t>
      </w:r>
      <w:bookmarkStart w:id="39" w:name="_Ref104282921"/>
      <w:bookmarkStart w:id="40" w:name="_Toc105069221"/>
    </w:p>
    <w:p w14:paraId="206B275D" w14:textId="5A6E3D1F" w:rsidR="005A3991" w:rsidRPr="007C053D" w:rsidRDefault="005A3991" w:rsidP="005A3991">
      <w:pPr>
        <w:pStyle w:val="Caption"/>
        <w:rPr>
          <w:rFonts w:eastAsiaTheme="majorEastAsia" w:cstheme="majorBidi"/>
          <w:lang w:eastAsia="en-US"/>
        </w:rPr>
      </w:pPr>
      <w:bookmarkStart w:id="41" w:name="_Ref111114102"/>
      <w:bookmarkStart w:id="42" w:name="_Toc107921703"/>
      <w:bookmarkEnd w:id="39"/>
      <w:r>
        <w:lastRenderedPageBreak/>
        <w:t xml:space="preserve">Figure </w:t>
      </w:r>
      <w:fldSimple w:instr=" SEQ Figure \* ARABIC ">
        <w:r w:rsidR="00BE0EE6">
          <w:rPr>
            <w:noProof/>
          </w:rPr>
          <w:t>8</w:t>
        </w:r>
      </w:fldSimple>
      <w:bookmarkEnd w:id="41"/>
      <w:r>
        <w:t xml:space="preserve">. </w:t>
      </w:r>
      <w:r w:rsidRPr="007C053D">
        <w:rPr>
          <w:rFonts w:eastAsiaTheme="majorEastAsia" w:cstheme="majorBidi"/>
          <w:lang w:eastAsia="en-US"/>
        </w:rPr>
        <w:t xml:space="preserve">Mean Change from Baseline of PedsQL Parent-report Scores Over Time </w:t>
      </w:r>
      <w:r w:rsidRPr="007C053D">
        <w:rPr>
          <w:rFonts w:eastAsiaTheme="majorEastAsia" w:cstheme="majorBidi" w:hint="eastAsia"/>
          <w:lang w:eastAsia="en-US"/>
        </w:rPr>
        <w:t>–</w:t>
      </w:r>
      <w:r w:rsidRPr="007C053D">
        <w:rPr>
          <w:rFonts w:eastAsiaTheme="majorEastAsia" w:cstheme="majorBidi" w:hint="eastAsia"/>
          <w:lang w:eastAsia="en-US"/>
        </w:rPr>
        <w:t xml:space="preserve"> </w:t>
      </w:r>
      <w:r w:rsidRPr="007C053D">
        <w:rPr>
          <w:rFonts w:eastAsiaTheme="majorEastAsia" w:cstheme="majorBidi"/>
          <w:lang w:eastAsia="en-US"/>
        </w:rPr>
        <w:t>Transformed Scores</w:t>
      </w:r>
      <w:bookmarkEnd w:id="40"/>
      <w:bookmarkEnd w:id="42"/>
    </w:p>
    <w:p w14:paraId="49D1D800" w14:textId="77777777" w:rsidR="005A3991" w:rsidRPr="007C053D" w:rsidRDefault="005A3991" w:rsidP="005A3991">
      <w:pPr>
        <w:rPr>
          <w:rFonts w:eastAsia="Calibri"/>
          <w:lang w:eastAsia="en-US"/>
        </w:rPr>
      </w:pPr>
      <w:r w:rsidRPr="007C053D">
        <w:rPr>
          <w:rFonts w:eastAsia="Calibri"/>
          <w:noProof/>
          <w:lang w:eastAsia="en-US"/>
        </w:rPr>
        <w:drawing>
          <wp:inline distT="0" distB="0" distL="0" distR="0" wp14:anchorId="50EEB2B6" wp14:editId="0736918C">
            <wp:extent cx="5731510" cy="3209290"/>
            <wp:effectExtent l="0" t="0" r="2540" b="9525"/>
            <wp:docPr id="332" name="Picture 332" descr="Figure 8. Mean Change from Baseline of PedsQL Parent-report Scores Over Time – Transformed Sc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Picture 332" descr="Figure 8. Mean Change from Baseline of PedsQL Parent-report Scores Over Time – Transformed Scores"/>
                    <pic:cNvPicPr/>
                  </pic:nvPicPr>
                  <pic:blipFill>
                    <a:blip r:embed="rId15" cstate="email">
                      <a:extLst>
                        <a:ext uri="{28A0092B-C50C-407E-A947-70E740481C1C}">
                          <a14:useLocalDpi xmlns:a14="http://schemas.microsoft.com/office/drawing/2010/main"/>
                        </a:ext>
                      </a:extLst>
                    </a:blip>
                    <a:stretch>
                      <a:fillRect/>
                    </a:stretch>
                  </pic:blipFill>
                  <pic:spPr>
                    <a:xfrm>
                      <a:off x="0" y="0"/>
                      <a:ext cx="5731510" cy="3209290"/>
                    </a:xfrm>
                    <a:prstGeom prst="rect">
                      <a:avLst/>
                    </a:prstGeom>
                  </pic:spPr>
                </pic:pic>
              </a:graphicData>
            </a:graphic>
          </wp:inline>
        </w:drawing>
      </w:r>
    </w:p>
    <w:p w14:paraId="12586134" w14:textId="77777777" w:rsidR="005A3991" w:rsidRPr="007C053D" w:rsidRDefault="005A3991" w:rsidP="005A3991">
      <w:pPr>
        <w:snapToGrid w:val="0"/>
        <w:spacing w:after="120"/>
        <w:contextualSpacing/>
        <w:rPr>
          <w:rFonts w:ascii="Arial Narrow" w:eastAsia="Calibri" w:hAnsi="Arial Narrow"/>
          <w:sz w:val="18"/>
          <w:szCs w:val="20"/>
        </w:rPr>
      </w:pPr>
      <w:r w:rsidRPr="007C053D">
        <w:rPr>
          <w:rFonts w:ascii="Arial Narrow" w:eastAsia="Calibri" w:hAnsi="Arial Narrow"/>
          <w:sz w:val="18"/>
          <w:szCs w:val="20"/>
        </w:rPr>
        <w:t>Source: Figure 2.21, p128</w:t>
      </w:r>
    </w:p>
    <w:p w14:paraId="6395BC43" w14:textId="77777777" w:rsidR="005A3991" w:rsidRPr="007C053D" w:rsidRDefault="005A3991" w:rsidP="005A3991">
      <w:pPr>
        <w:snapToGrid w:val="0"/>
        <w:spacing w:after="120"/>
        <w:contextualSpacing/>
        <w:rPr>
          <w:rFonts w:ascii="Arial Narrow" w:eastAsia="Calibri" w:hAnsi="Arial Narrow"/>
          <w:sz w:val="18"/>
          <w:szCs w:val="20"/>
        </w:rPr>
      </w:pPr>
      <w:r w:rsidRPr="007C053D">
        <w:rPr>
          <w:rFonts w:ascii="Arial Narrow" w:eastAsia="Calibri" w:hAnsi="Arial Narrow"/>
          <w:sz w:val="18"/>
          <w:szCs w:val="20"/>
        </w:rPr>
        <w:t>PedsQL = Paediatric Quality of Life Inventory</w:t>
      </w:r>
    </w:p>
    <w:p w14:paraId="02645546" w14:textId="77777777" w:rsidR="005A3991" w:rsidRPr="007C053D" w:rsidRDefault="005A3991" w:rsidP="005A3991">
      <w:pPr>
        <w:snapToGrid w:val="0"/>
        <w:spacing w:after="120"/>
        <w:contextualSpacing/>
        <w:rPr>
          <w:rFonts w:ascii="Arial Narrow" w:eastAsia="Calibri" w:hAnsi="Arial Narrow"/>
          <w:sz w:val="18"/>
          <w:szCs w:val="20"/>
        </w:rPr>
      </w:pPr>
      <w:r w:rsidRPr="007C053D">
        <w:rPr>
          <w:rFonts w:ascii="Arial Narrow" w:eastAsia="Calibri" w:hAnsi="Arial Narrow"/>
          <w:sz w:val="18"/>
          <w:szCs w:val="20"/>
        </w:rPr>
        <w:t>Parents or legal guardians of children aged 2 to 18 years at enrolment expected to complete the parent proxy</w:t>
      </w:r>
    </w:p>
    <w:p w14:paraId="5E28065D" w14:textId="77777777" w:rsidR="005A3991" w:rsidRPr="007C053D" w:rsidRDefault="005A3991" w:rsidP="005A3991">
      <w:pPr>
        <w:snapToGrid w:val="0"/>
        <w:spacing w:after="120"/>
        <w:contextualSpacing/>
        <w:rPr>
          <w:rFonts w:ascii="Arial Narrow" w:eastAsia="Calibri" w:hAnsi="Arial Narrow"/>
          <w:sz w:val="18"/>
          <w:szCs w:val="20"/>
        </w:rPr>
      </w:pPr>
      <w:r w:rsidRPr="007C053D">
        <w:rPr>
          <w:rFonts w:ascii="Arial Narrow" w:eastAsia="Calibri" w:hAnsi="Arial Narrow"/>
          <w:sz w:val="18"/>
          <w:szCs w:val="20"/>
        </w:rPr>
        <w:t>measures of the PedsQL (N = 50).</w:t>
      </w:r>
    </w:p>
    <w:p w14:paraId="22589F5A" w14:textId="122EFCF5" w:rsidR="005A3991" w:rsidRPr="000E5F8A" w:rsidRDefault="005A3991" w:rsidP="005A3991">
      <w:pPr>
        <w:pStyle w:val="3-BodyText"/>
      </w:pPr>
      <w:r w:rsidRPr="007C053D">
        <w:rPr>
          <w:rFonts w:ascii="Calibri" w:eastAsia="Calibri" w:hAnsi="Calibri"/>
          <w:snapToGrid/>
          <w:lang w:eastAsia="en-US"/>
        </w:rPr>
        <w:t xml:space="preserve">An improvement was observed in self- and parent-reported HRQoL over time based on mean change from baseline in PedsQL total score and domain scores. For self-reported PedsQL total scores, clinically meaningful improvements from baseline were observed at pre-Cycles 37 and 49. For parent-reported PedsQL total scores, clinically meaningful improvements from baseline were observed at pre-Cycles 13, 25, 37 and 49. </w:t>
      </w:r>
      <w:r w:rsidRPr="000E5F8A">
        <w:rPr>
          <w:rFonts w:ascii="Calibri" w:eastAsia="Calibri" w:hAnsi="Calibri"/>
          <w:snapToGrid/>
          <w:lang w:eastAsia="en-US"/>
        </w:rPr>
        <w:t>However, HRQoL data from the SPRINT trial were not used to derive utilities in the economic model.</w:t>
      </w:r>
    </w:p>
    <w:p w14:paraId="037761FD" w14:textId="57BEF770" w:rsidR="00956132" w:rsidRDefault="00B24364" w:rsidP="00B24364">
      <w:pPr>
        <w:pStyle w:val="3-BodyText"/>
        <w:numPr>
          <w:ilvl w:val="0"/>
          <w:numId w:val="0"/>
        </w:numPr>
        <w:rPr>
          <w:b/>
          <w:bCs/>
          <w:u w:val="single"/>
        </w:rPr>
      </w:pPr>
      <w:r w:rsidRPr="00B24364">
        <w:rPr>
          <w:b/>
          <w:bCs/>
          <w:u w:val="single"/>
        </w:rPr>
        <w:t>NH Study</w:t>
      </w:r>
    </w:p>
    <w:p w14:paraId="645B5004" w14:textId="68F8B2C8" w:rsidR="00956132" w:rsidRDefault="00FB18A8" w:rsidP="00C44864">
      <w:pPr>
        <w:pStyle w:val="3-BodyText"/>
        <w:spacing w:after="240"/>
      </w:pPr>
      <w:r w:rsidRPr="00FB18A8">
        <w:t>Percentage change in target PN volume in NH study for age-matched cohort</w:t>
      </w:r>
      <w:r w:rsidR="001662FD">
        <w:t xml:space="preserve"> (aligned to maximum duration of follow up in SPRINT) </w:t>
      </w:r>
      <w:r w:rsidRPr="00FB18A8">
        <w:t>is presented in</w:t>
      </w:r>
      <w:r w:rsidR="00984F67">
        <w:t xml:space="preserve"> </w:t>
      </w:r>
      <w:r w:rsidR="008742BE">
        <w:fldChar w:fldCharType="begin"/>
      </w:r>
      <w:r w:rsidR="008742BE">
        <w:instrText xml:space="preserve"> REF _Ref111115337 \h </w:instrText>
      </w:r>
      <w:r w:rsidR="008742BE">
        <w:fldChar w:fldCharType="separate"/>
      </w:r>
      <w:r w:rsidR="00BE0EE6">
        <w:t xml:space="preserve">Figure </w:t>
      </w:r>
      <w:r w:rsidR="00BE0EE6">
        <w:rPr>
          <w:noProof/>
        </w:rPr>
        <w:t>9</w:t>
      </w:r>
      <w:r w:rsidR="008742BE">
        <w:fldChar w:fldCharType="end"/>
      </w:r>
      <w:r w:rsidRPr="00FB18A8">
        <w:t>.</w:t>
      </w:r>
    </w:p>
    <w:p w14:paraId="764D55A6" w14:textId="77777777" w:rsidR="008742BE" w:rsidRPr="0065023F" w:rsidRDefault="008742BE" w:rsidP="008742BE">
      <w:pPr>
        <w:pStyle w:val="TableFigureFooter"/>
      </w:pPr>
    </w:p>
    <w:p w14:paraId="0FDBC4CF" w14:textId="00B6884B" w:rsidR="008742BE" w:rsidRDefault="008742BE" w:rsidP="008742BE">
      <w:pPr>
        <w:pStyle w:val="Caption"/>
      </w:pPr>
      <w:bookmarkStart w:id="43" w:name="_Ref111115337"/>
      <w:r>
        <w:lastRenderedPageBreak/>
        <w:t xml:space="preserve">Figure </w:t>
      </w:r>
      <w:fldSimple w:instr=" SEQ Figure \* ARABIC ">
        <w:r w:rsidR="00BE0EE6">
          <w:rPr>
            <w:noProof/>
          </w:rPr>
          <w:t>9</w:t>
        </w:r>
      </w:fldSimple>
      <w:bookmarkEnd w:id="43"/>
      <w:r>
        <w:t xml:space="preserve">. </w:t>
      </w:r>
      <w:r w:rsidRPr="00571CC6">
        <w:t>Percentage change in target PN volume in NH study, aligned to maximum follow-up (5.6 years) duration in SPRINT (age-matched cohort)</w:t>
      </w:r>
    </w:p>
    <w:p w14:paraId="7D19E448" w14:textId="77777777" w:rsidR="008742BE" w:rsidRPr="006E2F86" w:rsidRDefault="008742BE" w:rsidP="008742BE">
      <w:pPr>
        <w:pStyle w:val="TableFigureHeading"/>
      </w:pPr>
      <w:r w:rsidRPr="00571CC6">
        <w:rPr>
          <w:noProof/>
        </w:rPr>
        <w:drawing>
          <wp:inline distT="0" distB="0" distL="0" distR="0" wp14:anchorId="5C9C780C" wp14:editId="537A6A05">
            <wp:extent cx="5684520" cy="3168243"/>
            <wp:effectExtent l="0" t="0" r="0" b="0"/>
            <wp:docPr id="13" name="Picture 13" descr="Figure 9. Percentage change in target PN volume in NH study, aligned to maximum follow-up (5.6 years) duration in SPRINT (age-matched coh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igure 9. Percentage change in target PN volume in NH study, aligned to maximum follow-up (5.6 years) duration in SPRINT (age-matched cohort)"/>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5691520" cy="3172144"/>
                    </a:xfrm>
                    <a:prstGeom prst="rect">
                      <a:avLst/>
                    </a:prstGeom>
                    <a:noFill/>
                    <a:ln>
                      <a:noFill/>
                    </a:ln>
                  </pic:spPr>
                </pic:pic>
              </a:graphicData>
            </a:graphic>
          </wp:inline>
        </w:drawing>
      </w:r>
    </w:p>
    <w:p w14:paraId="65578901" w14:textId="77777777" w:rsidR="008742BE" w:rsidRDefault="008742BE" w:rsidP="008742BE">
      <w:pPr>
        <w:pStyle w:val="TableFigureFooter"/>
      </w:pPr>
      <w:r>
        <w:t>Source: Figure 2.23, p139 of the submission.</w:t>
      </w:r>
    </w:p>
    <w:p w14:paraId="25518792" w14:textId="0D22173F" w:rsidR="00984F67" w:rsidRDefault="008742BE" w:rsidP="00E430E3">
      <w:pPr>
        <w:pStyle w:val="TableFigureFooter"/>
      </w:pPr>
      <w:r>
        <w:t>NH = Natural History, PN = plexiform neurofibroma(s)</w:t>
      </w:r>
    </w:p>
    <w:p w14:paraId="79CF73D1" w14:textId="3C70DAC9" w:rsidR="00984F67" w:rsidRDefault="00AB60F6" w:rsidP="00AB60F6">
      <w:pPr>
        <w:pStyle w:val="3-BodyText"/>
      </w:pPr>
      <w:r w:rsidRPr="00AB60F6">
        <w:t>The majority of patients in the NH study had PN that grew continuously over time or remained stable in size. The target PN growth rates of 73.4% (95% CI: -40.0, 1</w:t>
      </w:r>
      <w:r w:rsidR="004966FA">
        <w:t>,</w:t>
      </w:r>
      <w:r w:rsidRPr="00AB60F6">
        <w:t>426.0) and 78.4% (95% CI: -40.0, 1</w:t>
      </w:r>
      <w:r w:rsidR="004966FA">
        <w:t>,</w:t>
      </w:r>
      <w:r w:rsidRPr="00AB60F6">
        <w:t xml:space="preserve">429.0) </w:t>
      </w:r>
      <w:r w:rsidR="009C5673">
        <w:t>were</w:t>
      </w:r>
      <w:r w:rsidR="009C5673" w:rsidRPr="00AB60F6">
        <w:t xml:space="preserve"> </w:t>
      </w:r>
      <w:r w:rsidRPr="00AB60F6">
        <w:t xml:space="preserve">observed in </w:t>
      </w:r>
      <w:r w:rsidR="004B575C">
        <w:t>the full analysis set (F</w:t>
      </w:r>
      <w:r w:rsidRPr="00AB60F6">
        <w:t>AS</w:t>
      </w:r>
      <w:r w:rsidR="004B575C">
        <w:t xml:space="preserve">) </w:t>
      </w:r>
      <w:r w:rsidRPr="00AB60F6">
        <w:t xml:space="preserve">population </w:t>
      </w:r>
      <w:r w:rsidRPr="00273E02">
        <w:t>and age-matched cohort, respectively. The target PN growth rates per year were similar across both the age-matched cohort and the age-matched cohort aligned to maximum follow-up in SPRINT, 15.1% (95% CI: -3.7, 126.2) and 16.0% (95% CI: -3.2, 136.2)</w:t>
      </w:r>
      <w:r w:rsidR="002D5BD9" w:rsidRPr="00273E02">
        <w:t>, respectively</w:t>
      </w:r>
      <w:r w:rsidRPr="00AB60F6">
        <w:t>.</w:t>
      </w:r>
    </w:p>
    <w:p w14:paraId="1DA42791" w14:textId="029C94CA" w:rsidR="000F65D6" w:rsidRDefault="00273CBB" w:rsidP="00C3077E">
      <w:pPr>
        <w:pStyle w:val="3-BodyText"/>
      </w:pPr>
      <w:r w:rsidRPr="00273CBB">
        <w:t xml:space="preserve">Median PFS in the NH age-matched cohort was 1.3 years (95% CI: 1.1, 1.6). The </w:t>
      </w:r>
      <w:r w:rsidR="006E48D8">
        <w:t xml:space="preserve">proportion of patients </w:t>
      </w:r>
      <w:r w:rsidRPr="00273CBB">
        <w:t>without progression after 5 years was 23.1% (95% CI: 15.4, 31.7) in the FAS and 18.2% (95% CI: 10.8, 27.1) in the age-matched cohort of the NH study.</w:t>
      </w:r>
    </w:p>
    <w:p w14:paraId="1ABF6508" w14:textId="2B1B0FCE" w:rsidR="00402080" w:rsidRPr="000E5F8A" w:rsidRDefault="00E4066C" w:rsidP="00C3077E">
      <w:pPr>
        <w:pStyle w:val="3-BodyText"/>
      </w:pPr>
      <w:r w:rsidRPr="00E4066C">
        <w:t xml:space="preserve">HRQoL data was collected in the NH study using the Impact of Pediatric Illness Scale and Skindex. </w:t>
      </w:r>
      <w:r w:rsidR="009E025A" w:rsidRPr="000E5F8A">
        <w:t>Comparison of HRQoL data was not presented in the submission because data in the SPRINT trial and NH study were collected at different intervals using different instruments</w:t>
      </w:r>
      <w:r w:rsidR="006E740E" w:rsidRPr="000E5F8A">
        <w:t xml:space="preserve"> (</w:t>
      </w:r>
      <w:r w:rsidR="006E740E" w:rsidRPr="000E5F8A">
        <w:rPr>
          <w:rFonts w:eastAsia="Calibri"/>
          <w:lang w:eastAsia="en-US"/>
        </w:rPr>
        <w:t>PedsQL 4.0 Generic Core Scales</w:t>
      </w:r>
      <w:r w:rsidR="006E740E" w:rsidRPr="000E5F8A">
        <w:t xml:space="preserve"> in SPRINT trial and Impact of Pediatric Illness Scale and Skindex in the NH study)</w:t>
      </w:r>
      <w:r w:rsidR="009E025A" w:rsidRPr="000E5F8A">
        <w:t>.</w:t>
      </w:r>
    </w:p>
    <w:p w14:paraId="27615146" w14:textId="7188654F" w:rsidR="00B92381" w:rsidRDefault="009E025A" w:rsidP="00077F67">
      <w:pPr>
        <w:pStyle w:val="3-BodyText"/>
        <w:numPr>
          <w:ilvl w:val="0"/>
          <w:numId w:val="0"/>
        </w:numPr>
        <w:spacing w:before="240"/>
        <w:rPr>
          <w:b/>
          <w:bCs/>
          <w:u w:val="single"/>
        </w:rPr>
      </w:pPr>
      <w:r>
        <w:rPr>
          <w:b/>
          <w:bCs/>
          <w:u w:val="single"/>
        </w:rPr>
        <w:t>01-C-0222 trial</w:t>
      </w:r>
    </w:p>
    <w:p w14:paraId="5D0572D9" w14:textId="2091061D" w:rsidR="00E4066C" w:rsidRDefault="0061388F" w:rsidP="0061388F">
      <w:pPr>
        <w:pStyle w:val="3-BodyText"/>
        <w:spacing w:before="240" w:after="240"/>
      </w:pPr>
      <w:r w:rsidRPr="0061388F">
        <w:t xml:space="preserve">Kaplan-Meier plots of PFS in </w:t>
      </w:r>
      <w:r w:rsidR="009E025A">
        <w:t>the 01-C-0222 trial</w:t>
      </w:r>
      <w:r w:rsidRPr="0061388F">
        <w:t xml:space="preserve"> is presented in </w:t>
      </w:r>
      <w:r w:rsidR="00D726F8">
        <w:fldChar w:fldCharType="begin"/>
      </w:r>
      <w:r w:rsidR="00D726F8">
        <w:instrText xml:space="preserve"> REF _Ref111115691 \h </w:instrText>
      </w:r>
      <w:r w:rsidR="00D726F8">
        <w:fldChar w:fldCharType="separate"/>
      </w:r>
      <w:r w:rsidR="00BE0EE6">
        <w:t xml:space="preserve">Figure </w:t>
      </w:r>
      <w:r w:rsidR="00BE0EE6">
        <w:rPr>
          <w:noProof/>
        </w:rPr>
        <w:t>10</w:t>
      </w:r>
      <w:r w:rsidR="00D726F8">
        <w:fldChar w:fldCharType="end"/>
      </w:r>
      <w:r w:rsidR="00D726F8">
        <w:t>.</w:t>
      </w:r>
    </w:p>
    <w:p w14:paraId="2146D282" w14:textId="03DC9AB4" w:rsidR="00D726F8" w:rsidRDefault="00D726F8" w:rsidP="00D726F8">
      <w:pPr>
        <w:pStyle w:val="Caption"/>
      </w:pPr>
      <w:bookmarkStart w:id="44" w:name="_Ref111115691"/>
      <w:r>
        <w:lastRenderedPageBreak/>
        <w:t xml:space="preserve">Figure </w:t>
      </w:r>
      <w:fldSimple w:instr=" SEQ Figure \* ARABIC ">
        <w:r w:rsidR="00BE0EE6">
          <w:rPr>
            <w:noProof/>
          </w:rPr>
          <w:t>10</w:t>
        </w:r>
      </w:fldSimple>
      <w:bookmarkEnd w:id="44"/>
      <w:r>
        <w:t>. PFS</w:t>
      </w:r>
      <w:r w:rsidRPr="009711DC">
        <w:t xml:space="preserve"> in </w:t>
      </w:r>
      <w:r w:rsidR="009E025A">
        <w:t>the 01-C-0222 trial</w:t>
      </w:r>
    </w:p>
    <w:p w14:paraId="350698D0" w14:textId="77777777" w:rsidR="00D726F8" w:rsidRPr="006E2F86" w:rsidRDefault="00D726F8" w:rsidP="00D726F8">
      <w:pPr>
        <w:pStyle w:val="TableFigureHeading"/>
      </w:pPr>
      <w:r w:rsidRPr="00C06804">
        <w:rPr>
          <w:noProof/>
        </w:rPr>
        <w:drawing>
          <wp:inline distT="0" distB="0" distL="0" distR="0" wp14:anchorId="3E6AF438" wp14:editId="1A422A92">
            <wp:extent cx="4287328" cy="2562743"/>
            <wp:effectExtent l="0" t="0" r="0" b="9525"/>
            <wp:docPr id="20" name="Picture 20" descr="Figure 10. PFS in the 01-C-0222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Figure 10. PFS in the 01-C-0222 trial"/>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4298385" cy="2569352"/>
                    </a:xfrm>
                    <a:prstGeom prst="rect">
                      <a:avLst/>
                    </a:prstGeom>
                    <a:noFill/>
                    <a:ln>
                      <a:noFill/>
                    </a:ln>
                  </pic:spPr>
                </pic:pic>
              </a:graphicData>
            </a:graphic>
          </wp:inline>
        </w:drawing>
      </w:r>
    </w:p>
    <w:p w14:paraId="59212726" w14:textId="77777777" w:rsidR="00D726F8" w:rsidRDefault="00D726F8" w:rsidP="00D726F8">
      <w:pPr>
        <w:pStyle w:val="TableFigureFooter"/>
      </w:pPr>
      <w:r>
        <w:t>Source: Figure 2.27, p143 of the submission.</w:t>
      </w:r>
    </w:p>
    <w:p w14:paraId="0FA4128D" w14:textId="65D25E22" w:rsidR="00560256" w:rsidRDefault="00D726F8" w:rsidP="00D726F8">
      <w:pPr>
        <w:pStyle w:val="TableFigureFooter"/>
      </w:pPr>
      <w:r>
        <w:t>PFS = progression-free survival</w:t>
      </w:r>
    </w:p>
    <w:p w14:paraId="7733AE47" w14:textId="7A46FF4F" w:rsidR="00AD2960" w:rsidRDefault="001664FE" w:rsidP="00761BC4">
      <w:pPr>
        <w:pStyle w:val="3-BodyText"/>
      </w:pPr>
      <w:r w:rsidRPr="001664FE">
        <w:t xml:space="preserve">The median time-to-progression </w:t>
      </w:r>
      <w:r w:rsidR="00BF5944">
        <w:t>i</w:t>
      </w:r>
      <w:r w:rsidRPr="001664FE">
        <w:t>n Phase A was 19.2 month for tipifarnib (n=31) and 10.6 months for placebo (n=29).</w:t>
      </w:r>
      <w:r w:rsidR="00684B75">
        <w:t xml:space="preserve"> </w:t>
      </w:r>
      <w:r w:rsidR="00AD2960" w:rsidRPr="00AD2960">
        <w:t xml:space="preserve">No meaningful decrease in PN volumes was observed in </w:t>
      </w:r>
      <w:r w:rsidR="0091638F">
        <w:t xml:space="preserve">either arm of </w:t>
      </w:r>
      <w:r w:rsidR="00AD2960" w:rsidRPr="00AD2960">
        <w:t xml:space="preserve">the </w:t>
      </w:r>
      <w:r w:rsidR="009E025A">
        <w:t>01-C-0222 trial</w:t>
      </w:r>
      <w:r w:rsidR="00AD2960" w:rsidRPr="00AD2960">
        <w:t>.</w:t>
      </w:r>
    </w:p>
    <w:p w14:paraId="74F29EE0" w14:textId="05B1E8C6" w:rsidR="004966FA" w:rsidRPr="004966FA" w:rsidRDefault="004966FA" w:rsidP="004966FA">
      <w:pPr>
        <w:pStyle w:val="3-BodyText"/>
        <w:numPr>
          <w:ilvl w:val="0"/>
          <w:numId w:val="0"/>
        </w:numPr>
        <w:rPr>
          <w:b/>
          <w:bCs/>
          <w:u w:val="single"/>
        </w:rPr>
      </w:pPr>
      <w:r w:rsidRPr="004966FA">
        <w:rPr>
          <w:b/>
          <w:bCs/>
          <w:u w:val="single"/>
        </w:rPr>
        <w:t>Indirect treatment comparisons</w:t>
      </w:r>
    </w:p>
    <w:p w14:paraId="39B66C59" w14:textId="43F3EAAB" w:rsidR="00131E78" w:rsidRDefault="004966FA" w:rsidP="00DF3143">
      <w:pPr>
        <w:pStyle w:val="3-BodyText"/>
        <w:spacing w:after="0"/>
      </w:pPr>
      <w:r>
        <w:t>T</w:t>
      </w:r>
      <w:r w:rsidR="00131E78">
        <w:t xml:space="preserve">he submission presented the following </w:t>
      </w:r>
      <w:r>
        <w:t xml:space="preserve">unanchored indirect treatment </w:t>
      </w:r>
      <w:r w:rsidR="00131E78">
        <w:t>comparisons to inform the efficacy of selumetinib compared to supportive care:</w:t>
      </w:r>
    </w:p>
    <w:p w14:paraId="26676F65" w14:textId="512FD30C" w:rsidR="00131E78" w:rsidRDefault="00131E78" w:rsidP="00F70F2C">
      <w:pPr>
        <w:pStyle w:val="ListParagraph"/>
        <w:spacing w:after="0"/>
        <w:ind w:left="1134"/>
      </w:pPr>
      <w:r>
        <w:t xml:space="preserve">A comparison </w:t>
      </w:r>
      <w:r w:rsidR="001E0038">
        <w:t xml:space="preserve">of PFS </w:t>
      </w:r>
      <w:r>
        <w:t xml:space="preserve">between SPRINT and the age-matched cohort of children with symptomatic, inoperable NF1 PN from the NH study. </w:t>
      </w:r>
    </w:p>
    <w:p w14:paraId="69294018" w14:textId="2F867F26" w:rsidR="00131E78" w:rsidRDefault="00131E78" w:rsidP="00F70F2C">
      <w:pPr>
        <w:pStyle w:val="ListParagraph"/>
        <w:ind w:left="1134"/>
      </w:pPr>
      <w:r>
        <w:t xml:space="preserve">A comparison of PFS between SPRINT and patients with NF1 and unresectable, progressive PN from the placebo arm of </w:t>
      </w:r>
      <w:r w:rsidR="009E025A">
        <w:t>the 01-C-0222 trial</w:t>
      </w:r>
      <w:r>
        <w:t xml:space="preserve">. </w:t>
      </w:r>
    </w:p>
    <w:p w14:paraId="14B5646A" w14:textId="77777777" w:rsidR="00DF3143" w:rsidRDefault="00DF3143" w:rsidP="00DF3143">
      <w:pPr>
        <w:pStyle w:val="3-BodyText"/>
        <w:spacing w:after="0"/>
      </w:pPr>
      <w:r>
        <w:t>The submission also presented propensity score analyses between SPRINT and the age-matched cohort of NH study for PFS. Four different methods were performed to investigate the risk of bias for the comparison of the SPRINT and NH study populations:</w:t>
      </w:r>
    </w:p>
    <w:p w14:paraId="0DD9FF1E" w14:textId="723E60D5" w:rsidR="00DF3143" w:rsidRDefault="00DF3143" w:rsidP="00F70F2C">
      <w:pPr>
        <w:pStyle w:val="ListParagraph"/>
        <w:spacing w:after="0"/>
        <w:ind w:left="1134"/>
      </w:pPr>
      <w:r>
        <w:t>Matched 1:1 (without replacement) with a robust variance</w:t>
      </w:r>
      <w:r w:rsidR="00EC46F8">
        <w:t>.</w:t>
      </w:r>
    </w:p>
    <w:p w14:paraId="7F1CD5BF" w14:textId="697EBE7D" w:rsidR="00DF3143" w:rsidRDefault="00DF3143" w:rsidP="00F70F2C">
      <w:pPr>
        <w:pStyle w:val="ListParagraph"/>
        <w:spacing w:after="0"/>
        <w:ind w:left="1134"/>
      </w:pPr>
      <w:r>
        <w:t>Weighted using stabilised Inverse Probability of Treatment Weighting (IPTW)</w:t>
      </w:r>
      <w:r w:rsidR="00EC46F8">
        <w:t>.</w:t>
      </w:r>
    </w:p>
    <w:p w14:paraId="1040F4E7" w14:textId="0D121F0B" w:rsidR="00DF3143" w:rsidRDefault="00DF3143" w:rsidP="00F70F2C">
      <w:pPr>
        <w:pStyle w:val="ListParagraph"/>
        <w:spacing w:after="0"/>
        <w:ind w:left="1134"/>
      </w:pPr>
      <w:r>
        <w:t>Weighted using IPTW, with a robust variance</w:t>
      </w:r>
      <w:r w:rsidR="00EC46F8">
        <w:t>.</w:t>
      </w:r>
    </w:p>
    <w:p w14:paraId="270006C7" w14:textId="6B3FA21B" w:rsidR="00DF3143" w:rsidRDefault="00DF3143" w:rsidP="00F70F2C">
      <w:pPr>
        <w:pStyle w:val="ListParagraph"/>
        <w:ind w:left="1134"/>
      </w:pPr>
      <w:r>
        <w:t>Matched 1:2 (with replacement) with a robust variance</w:t>
      </w:r>
      <w:r w:rsidR="00EC46F8">
        <w:t>.</w:t>
      </w:r>
    </w:p>
    <w:p w14:paraId="550A074A" w14:textId="77777777" w:rsidR="00832EA7" w:rsidRDefault="00DF3143" w:rsidP="00C82C64">
      <w:pPr>
        <w:pStyle w:val="3-BodyText"/>
      </w:pPr>
      <w:r w:rsidRPr="000E5F8A">
        <w:t xml:space="preserve">The </w:t>
      </w:r>
      <w:r w:rsidR="004966FA">
        <w:t xml:space="preserve">evaluation considered that the </w:t>
      </w:r>
      <w:r w:rsidRPr="000E5F8A">
        <w:t>methods used for propensity score analysis were appropriate.</w:t>
      </w:r>
      <w:r w:rsidR="007C3260" w:rsidRPr="00E331B7">
        <w:t xml:space="preserve"> </w:t>
      </w:r>
    </w:p>
    <w:p w14:paraId="3F1CED5B" w14:textId="1E94FF12" w:rsidR="007C3260" w:rsidRPr="00E331B7" w:rsidRDefault="00C82C64" w:rsidP="00C82C64">
      <w:pPr>
        <w:pStyle w:val="3-BodyText"/>
      </w:pPr>
      <w:r>
        <w:t xml:space="preserve">The submission </w:t>
      </w:r>
      <w:r w:rsidR="00F222B7" w:rsidRPr="00E331B7">
        <w:t xml:space="preserve">identified one systematic review and meta-analysis of the efficacy and safety of selumetinib treatment of symptomatic, inoperable PN in patients with NF1 (Sharawat et al., 2022) during the literature search. </w:t>
      </w:r>
      <w:r w:rsidR="00C92792" w:rsidRPr="00E331B7">
        <w:t xml:space="preserve">A total of </w:t>
      </w:r>
      <w:r w:rsidR="000505A9" w:rsidRPr="00E331B7">
        <w:t>six</w:t>
      </w:r>
      <w:r w:rsidR="00C92792" w:rsidRPr="00E331B7">
        <w:t xml:space="preserve"> </w:t>
      </w:r>
      <w:r w:rsidR="000505A9" w:rsidRPr="00E331B7">
        <w:t>uncontrolled trials</w:t>
      </w:r>
      <w:r w:rsidR="00C92792" w:rsidRPr="00E331B7">
        <w:t xml:space="preserve"> with 13</w:t>
      </w:r>
      <w:r w:rsidR="000505A9" w:rsidRPr="00E331B7">
        <w:t>4</w:t>
      </w:r>
      <w:r w:rsidR="00C92792" w:rsidRPr="00E331B7">
        <w:t xml:space="preserve"> patients </w:t>
      </w:r>
      <w:r w:rsidR="00D430EA" w:rsidRPr="00E331B7">
        <w:t xml:space="preserve">(including 26 adults) </w:t>
      </w:r>
      <w:r w:rsidR="00C92792" w:rsidRPr="00E331B7">
        <w:t xml:space="preserve">were included in </w:t>
      </w:r>
      <w:r w:rsidR="008E1FF5" w:rsidRPr="00E331B7">
        <w:t xml:space="preserve">the analysis </w:t>
      </w:r>
      <w:r w:rsidR="00315636" w:rsidRPr="00E331B7">
        <w:t>with 77.</w:t>
      </w:r>
      <w:r w:rsidR="00AC697B" w:rsidRPr="00E331B7">
        <w:t>9</w:t>
      </w:r>
      <w:r w:rsidR="00533F1C" w:rsidRPr="00E331B7">
        <w:t xml:space="preserve">% </w:t>
      </w:r>
      <w:r w:rsidR="00315636" w:rsidRPr="00E331B7">
        <w:t xml:space="preserve">of </w:t>
      </w:r>
      <w:r w:rsidR="00533F1C" w:rsidRPr="00E331B7">
        <w:t xml:space="preserve">patients had a partial response, 71.2% had a confirmed partial response, and PFS was </w:t>
      </w:r>
      <w:r w:rsidR="00533F1C" w:rsidRPr="00E331B7">
        <w:lastRenderedPageBreak/>
        <w:t xml:space="preserve">observed in 93.1% of patients at the time of data cut-off. </w:t>
      </w:r>
      <w:r w:rsidR="00F222B7" w:rsidRPr="00E331B7">
        <w:t xml:space="preserve">An independent search found one other systematic review and meta-analysis for selumetinib in paediatric patients with </w:t>
      </w:r>
      <w:r w:rsidR="008E1FF5" w:rsidRPr="00E331B7">
        <w:t>NF</w:t>
      </w:r>
      <w:r w:rsidR="00F222B7" w:rsidRPr="00E331B7">
        <w:t xml:space="preserve"> 1 (Hwang J et al., 2022). </w:t>
      </w:r>
      <w:r w:rsidR="007C3260" w:rsidRPr="00E331B7">
        <w:t>The f</w:t>
      </w:r>
      <w:r w:rsidR="00F222B7" w:rsidRPr="00E331B7">
        <w:t>indings of the meta-</w:t>
      </w:r>
      <w:r w:rsidR="00FC15BF" w:rsidRPr="00E331B7">
        <w:t xml:space="preserve">analysis </w:t>
      </w:r>
      <w:r w:rsidR="00F222B7" w:rsidRPr="00E331B7">
        <w:t xml:space="preserve">were largely consistent with that of the SPRINT trial. </w:t>
      </w:r>
    </w:p>
    <w:p w14:paraId="2C838FAD" w14:textId="5BD81E4D" w:rsidR="00FE75BB" w:rsidRDefault="001D20D1" w:rsidP="002C6116">
      <w:pPr>
        <w:pStyle w:val="3-BodyText"/>
      </w:pPr>
      <w:r w:rsidRPr="001D20D1">
        <w:t xml:space="preserve">Target PN growth rate in SPRINT and NH study are summarised in </w:t>
      </w:r>
      <w:r w:rsidR="002C6116">
        <w:fldChar w:fldCharType="begin"/>
      </w:r>
      <w:r w:rsidR="002C6116">
        <w:instrText xml:space="preserve"> REF _Ref111116331 \h </w:instrText>
      </w:r>
      <w:r w:rsidR="002C6116">
        <w:fldChar w:fldCharType="separate"/>
      </w:r>
      <w:r w:rsidR="00BE0EE6">
        <w:t xml:space="preserve">Table </w:t>
      </w:r>
      <w:r w:rsidR="00BE0EE6">
        <w:rPr>
          <w:noProof/>
        </w:rPr>
        <w:t>5</w:t>
      </w:r>
      <w:r w:rsidR="002C6116">
        <w:fldChar w:fldCharType="end"/>
      </w:r>
      <w:r w:rsidR="002C6116">
        <w:t xml:space="preserve"> </w:t>
      </w:r>
      <w:r w:rsidRPr="001D20D1">
        <w:t>and</w:t>
      </w:r>
      <w:r w:rsidR="004A5A7E">
        <w:t xml:space="preserve"> </w:t>
      </w:r>
      <w:r w:rsidR="00F222B7">
        <w:fldChar w:fldCharType="begin"/>
      </w:r>
      <w:r w:rsidR="00F222B7">
        <w:instrText xml:space="preserve"> REF _Ref111116420 \h </w:instrText>
      </w:r>
      <w:r w:rsidR="00F222B7">
        <w:fldChar w:fldCharType="separate"/>
      </w:r>
      <w:r w:rsidR="00BE0EE6">
        <w:t xml:space="preserve">Figure </w:t>
      </w:r>
      <w:r w:rsidR="00BE0EE6">
        <w:rPr>
          <w:noProof/>
        </w:rPr>
        <w:t>11</w:t>
      </w:r>
      <w:r w:rsidR="00F222B7">
        <w:fldChar w:fldCharType="end"/>
      </w:r>
      <w:r w:rsidR="00436B7F">
        <w:t>.</w:t>
      </w:r>
    </w:p>
    <w:p w14:paraId="43B71ABB" w14:textId="0F086681" w:rsidR="002C6116" w:rsidRPr="003348D1" w:rsidRDefault="002C6116" w:rsidP="002C6116">
      <w:pPr>
        <w:pStyle w:val="Caption"/>
        <w:rPr>
          <w:bCs w:val="0"/>
          <w:szCs w:val="16"/>
        </w:rPr>
      </w:pPr>
      <w:bookmarkStart w:id="45" w:name="_Ref111116331"/>
      <w:bookmarkStart w:id="46" w:name="_Ref111116326"/>
      <w:r>
        <w:t xml:space="preserve">Table </w:t>
      </w:r>
      <w:fldSimple w:instr=" SEQ Table \* ARABIC ">
        <w:r w:rsidR="00BE0EE6">
          <w:rPr>
            <w:noProof/>
          </w:rPr>
          <w:t>5</w:t>
        </w:r>
      </w:fldSimple>
      <w:bookmarkEnd w:id="45"/>
      <w:r>
        <w:rPr>
          <w:rStyle w:val="CommentReference"/>
          <w:b/>
          <w:bCs w:val="0"/>
        </w:rPr>
        <w:t xml:space="preserve">. </w:t>
      </w:r>
      <w:r w:rsidRPr="00E609F1">
        <w:rPr>
          <w:rStyle w:val="CommentReference"/>
          <w:b/>
          <w:bCs w:val="0"/>
        </w:rPr>
        <w:t>Target PN Growth Rate, SPRINT and NH study</w:t>
      </w:r>
      <w:bookmarkEnd w:id="46"/>
    </w:p>
    <w:tbl>
      <w:tblPr>
        <w:tblStyle w:val="TableGrid"/>
        <w:tblW w:w="0" w:type="auto"/>
        <w:tblLook w:val="04A0" w:firstRow="1" w:lastRow="0" w:firstColumn="1" w:lastColumn="0" w:noHBand="0" w:noVBand="1"/>
      </w:tblPr>
      <w:tblGrid>
        <w:gridCol w:w="3681"/>
        <w:gridCol w:w="2330"/>
        <w:gridCol w:w="3006"/>
      </w:tblGrid>
      <w:tr w:rsidR="002C6116" w14:paraId="071EDCC8" w14:textId="77777777" w:rsidTr="001C30D8">
        <w:tc>
          <w:tcPr>
            <w:tcW w:w="3681" w:type="dxa"/>
          </w:tcPr>
          <w:p w14:paraId="628952E5" w14:textId="77777777" w:rsidR="002C6116" w:rsidRPr="000E31C1" w:rsidRDefault="002C6116" w:rsidP="001C30D8">
            <w:pPr>
              <w:pStyle w:val="TableText0"/>
              <w:jc w:val="center"/>
              <w:rPr>
                <w:rFonts w:asciiTheme="minorHAnsi" w:hAnsiTheme="minorHAnsi" w:cstheme="minorHAnsi"/>
                <w:b/>
                <w:bCs w:val="0"/>
                <w:sz w:val="18"/>
              </w:rPr>
            </w:pPr>
            <w:r>
              <w:rPr>
                <w:b/>
                <w:bCs w:val="0"/>
              </w:rPr>
              <w:t>Trial</w:t>
            </w:r>
          </w:p>
        </w:tc>
        <w:tc>
          <w:tcPr>
            <w:tcW w:w="2330" w:type="dxa"/>
          </w:tcPr>
          <w:p w14:paraId="493E08A9" w14:textId="77777777" w:rsidR="002C6116" w:rsidRPr="008C65B3" w:rsidRDefault="002C6116" w:rsidP="001C30D8">
            <w:pPr>
              <w:pStyle w:val="TableText0"/>
              <w:jc w:val="center"/>
              <w:rPr>
                <w:b/>
                <w:bCs w:val="0"/>
              </w:rPr>
            </w:pPr>
            <w:r w:rsidRPr="008C65B3">
              <w:rPr>
                <w:b/>
                <w:bCs w:val="0"/>
              </w:rPr>
              <w:t>Time period, years</w:t>
            </w:r>
          </w:p>
          <w:p w14:paraId="6BDF23B1" w14:textId="77777777" w:rsidR="002C6116" w:rsidRPr="000E31C1" w:rsidRDefault="002C6116" w:rsidP="001C30D8">
            <w:pPr>
              <w:pStyle w:val="TableText0"/>
              <w:jc w:val="center"/>
              <w:rPr>
                <w:rFonts w:asciiTheme="minorHAnsi" w:hAnsiTheme="minorHAnsi" w:cstheme="minorHAnsi"/>
                <w:b/>
                <w:bCs w:val="0"/>
                <w:sz w:val="18"/>
              </w:rPr>
            </w:pPr>
            <w:r w:rsidRPr="008C65B3">
              <w:rPr>
                <w:b/>
                <w:bCs w:val="0"/>
              </w:rPr>
              <w:t>Median (min, max)</w:t>
            </w:r>
          </w:p>
        </w:tc>
        <w:tc>
          <w:tcPr>
            <w:tcW w:w="3006" w:type="dxa"/>
          </w:tcPr>
          <w:p w14:paraId="6A693782" w14:textId="77777777" w:rsidR="002C6116" w:rsidRPr="00E7407D" w:rsidRDefault="002C6116" w:rsidP="001C30D8">
            <w:pPr>
              <w:pStyle w:val="TableText0"/>
              <w:jc w:val="center"/>
              <w:rPr>
                <w:b/>
                <w:bCs w:val="0"/>
              </w:rPr>
            </w:pPr>
            <w:r w:rsidRPr="00E7407D">
              <w:rPr>
                <w:b/>
                <w:bCs w:val="0"/>
              </w:rPr>
              <w:t>PN volume % change/year</w:t>
            </w:r>
          </w:p>
          <w:p w14:paraId="618359F4" w14:textId="77777777" w:rsidR="002C6116" w:rsidRPr="000E31C1" w:rsidRDefault="002C6116" w:rsidP="001C30D8">
            <w:pPr>
              <w:pStyle w:val="TableText0"/>
              <w:jc w:val="center"/>
              <w:rPr>
                <w:rFonts w:asciiTheme="minorHAnsi" w:hAnsiTheme="minorHAnsi" w:cstheme="minorHAnsi"/>
                <w:b/>
                <w:bCs w:val="0"/>
                <w:sz w:val="18"/>
              </w:rPr>
            </w:pPr>
            <w:r w:rsidRPr="00E7407D">
              <w:rPr>
                <w:b/>
                <w:bCs w:val="0"/>
              </w:rPr>
              <w:t>Median (min, max)</w:t>
            </w:r>
          </w:p>
        </w:tc>
      </w:tr>
      <w:tr w:rsidR="002C6116" w14:paraId="24021065" w14:textId="77777777" w:rsidTr="001C30D8">
        <w:tc>
          <w:tcPr>
            <w:tcW w:w="3681" w:type="dxa"/>
          </w:tcPr>
          <w:p w14:paraId="460890CA" w14:textId="77777777" w:rsidR="002C6116" w:rsidRDefault="002C6116" w:rsidP="001C30D8">
            <w:pPr>
              <w:pStyle w:val="TableText0"/>
              <w:rPr>
                <w:rFonts w:asciiTheme="minorHAnsi" w:hAnsiTheme="minorHAnsi" w:cstheme="minorHAnsi"/>
                <w:b/>
                <w:sz w:val="18"/>
              </w:rPr>
            </w:pPr>
            <w:r w:rsidRPr="00C82644">
              <w:t>SPRINT</w:t>
            </w:r>
          </w:p>
        </w:tc>
        <w:tc>
          <w:tcPr>
            <w:tcW w:w="2330" w:type="dxa"/>
          </w:tcPr>
          <w:p w14:paraId="51A76EB2" w14:textId="77777777" w:rsidR="002C6116" w:rsidRPr="000E31C1" w:rsidRDefault="002C6116" w:rsidP="001C30D8">
            <w:pPr>
              <w:pStyle w:val="TableText0"/>
              <w:jc w:val="center"/>
            </w:pPr>
            <w:r w:rsidRPr="00A808FA">
              <w:t>4.0 (0.3, 5.6)</w:t>
            </w:r>
          </w:p>
        </w:tc>
        <w:tc>
          <w:tcPr>
            <w:tcW w:w="3006" w:type="dxa"/>
          </w:tcPr>
          <w:p w14:paraId="1F4E9049" w14:textId="77777777" w:rsidR="002C6116" w:rsidRPr="000E31C1" w:rsidRDefault="002C6116" w:rsidP="001C30D8">
            <w:pPr>
              <w:pStyle w:val="TableText0"/>
              <w:jc w:val="center"/>
            </w:pPr>
            <w:r w:rsidRPr="00A808FA">
              <w:t>-5.1 (-27.3, 19.0)</w:t>
            </w:r>
          </w:p>
        </w:tc>
      </w:tr>
      <w:tr w:rsidR="002C6116" w14:paraId="0696F3BC" w14:textId="77777777" w:rsidTr="001C30D8">
        <w:tc>
          <w:tcPr>
            <w:tcW w:w="3681" w:type="dxa"/>
          </w:tcPr>
          <w:p w14:paraId="7E3BBE4A" w14:textId="77777777" w:rsidR="002C6116" w:rsidRDefault="002C6116" w:rsidP="001C30D8">
            <w:pPr>
              <w:pStyle w:val="TableText0"/>
              <w:rPr>
                <w:rFonts w:asciiTheme="minorHAnsi" w:hAnsiTheme="minorHAnsi" w:cstheme="minorHAnsi"/>
                <w:b/>
                <w:sz w:val="18"/>
              </w:rPr>
            </w:pPr>
            <w:r w:rsidRPr="00C82644">
              <w:t>NH study</w:t>
            </w:r>
            <w:r>
              <w:t xml:space="preserve"> </w:t>
            </w:r>
            <w:r w:rsidRPr="00C82644">
              <w:t>(age-matched)</w:t>
            </w:r>
          </w:p>
        </w:tc>
        <w:tc>
          <w:tcPr>
            <w:tcW w:w="2330" w:type="dxa"/>
          </w:tcPr>
          <w:p w14:paraId="550027A6" w14:textId="77777777" w:rsidR="002C6116" w:rsidRPr="000E31C1" w:rsidRDefault="002C6116" w:rsidP="001C30D8">
            <w:pPr>
              <w:pStyle w:val="TableText0"/>
              <w:jc w:val="center"/>
            </w:pPr>
            <w:r w:rsidRPr="00A808FA">
              <w:t>6.8 (1.0, 17.7)</w:t>
            </w:r>
          </w:p>
        </w:tc>
        <w:tc>
          <w:tcPr>
            <w:tcW w:w="3006" w:type="dxa"/>
          </w:tcPr>
          <w:p w14:paraId="01FDF46F" w14:textId="77777777" w:rsidR="002C6116" w:rsidRPr="000E31C1" w:rsidRDefault="002C6116" w:rsidP="001C30D8">
            <w:pPr>
              <w:pStyle w:val="TableText0"/>
              <w:jc w:val="center"/>
            </w:pPr>
            <w:r w:rsidRPr="00A808FA">
              <w:t>15.1 (-3.7, 126.2)</w:t>
            </w:r>
          </w:p>
        </w:tc>
      </w:tr>
      <w:tr w:rsidR="002C6116" w14:paraId="2FFAB092" w14:textId="77777777" w:rsidTr="001C30D8">
        <w:tc>
          <w:tcPr>
            <w:tcW w:w="3681" w:type="dxa"/>
          </w:tcPr>
          <w:p w14:paraId="6811299F" w14:textId="77777777" w:rsidR="002C6116" w:rsidRDefault="002C6116" w:rsidP="001C30D8">
            <w:pPr>
              <w:pStyle w:val="TableText0"/>
              <w:rPr>
                <w:rFonts w:asciiTheme="minorHAnsi" w:hAnsiTheme="minorHAnsi" w:cstheme="minorHAnsi"/>
                <w:b/>
                <w:sz w:val="18"/>
              </w:rPr>
            </w:pPr>
            <w:r w:rsidRPr="00C82644">
              <w:t>NH study</w:t>
            </w:r>
            <w:r>
              <w:t xml:space="preserve"> </w:t>
            </w:r>
            <w:r w:rsidRPr="00C82644">
              <w:t>(age-matched</w:t>
            </w:r>
            <w:r>
              <w:t xml:space="preserve"> and aligned to maximum follow-up duration of SPRINT trial</w:t>
            </w:r>
            <w:r w:rsidRPr="00C82644">
              <w:t>)</w:t>
            </w:r>
          </w:p>
        </w:tc>
        <w:tc>
          <w:tcPr>
            <w:tcW w:w="2330" w:type="dxa"/>
          </w:tcPr>
          <w:p w14:paraId="75769DAE" w14:textId="77777777" w:rsidR="002C6116" w:rsidRPr="000E31C1" w:rsidRDefault="002C6116" w:rsidP="001C30D8">
            <w:pPr>
              <w:pStyle w:val="TableText0"/>
              <w:jc w:val="center"/>
            </w:pPr>
            <w:r w:rsidRPr="00A808FA">
              <w:t>4.8 (1.0, 5.6)</w:t>
            </w:r>
          </w:p>
        </w:tc>
        <w:tc>
          <w:tcPr>
            <w:tcW w:w="3006" w:type="dxa"/>
          </w:tcPr>
          <w:p w14:paraId="628C0077" w14:textId="77777777" w:rsidR="002C6116" w:rsidRPr="000E31C1" w:rsidRDefault="002C6116" w:rsidP="001C30D8">
            <w:pPr>
              <w:pStyle w:val="TableText0"/>
              <w:jc w:val="center"/>
            </w:pPr>
            <w:r w:rsidRPr="00A808FA">
              <w:t>16.0 (-3.2, 136.2)</w:t>
            </w:r>
          </w:p>
        </w:tc>
      </w:tr>
    </w:tbl>
    <w:p w14:paraId="3F5494A0" w14:textId="77777777" w:rsidR="002C6116" w:rsidRDefault="002C6116" w:rsidP="002C6116">
      <w:pPr>
        <w:pStyle w:val="TableFigureFooter"/>
      </w:pPr>
      <w:r>
        <w:t>Source: Table 2.48, p152 of the submission.</w:t>
      </w:r>
    </w:p>
    <w:p w14:paraId="6B290F77" w14:textId="2ABE21DD" w:rsidR="004A5A7E" w:rsidRDefault="002C6116" w:rsidP="00177150">
      <w:pPr>
        <w:pStyle w:val="TableFigureFooter"/>
        <w:contextualSpacing w:val="0"/>
      </w:pPr>
      <w:r>
        <w:t>NH = Natural History, PN = plexiform neurofibroma(s), min = minimum, max = maximum.</w:t>
      </w:r>
      <w:r w:rsidR="004A5A7E">
        <w:t xml:space="preserve"> </w:t>
      </w:r>
    </w:p>
    <w:p w14:paraId="2FF5C54F" w14:textId="17A39DDC" w:rsidR="004A5A7E" w:rsidRPr="004A5A7E" w:rsidRDefault="004A5A7E" w:rsidP="00436B7F">
      <w:pPr>
        <w:pStyle w:val="Caption"/>
        <w:jc w:val="left"/>
        <w:rPr>
          <w:rFonts w:eastAsiaTheme="majorEastAsia" w:cstheme="majorBidi"/>
          <w:b w:val="0"/>
          <w:bCs w:val="0"/>
          <w:szCs w:val="16"/>
        </w:rPr>
      </w:pPr>
      <w:bookmarkStart w:id="47" w:name="_Ref111116420"/>
      <w:bookmarkStart w:id="48" w:name="_Ref111116413"/>
      <w:r>
        <w:t xml:space="preserve">Figure </w:t>
      </w:r>
      <w:fldSimple w:instr=" SEQ Figure \* ARABIC ">
        <w:r w:rsidR="00BE0EE6">
          <w:rPr>
            <w:noProof/>
          </w:rPr>
          <w:t>11</w:t>
        </w:r>
      </w:fldSimple>
      <w:bookmarkEnd w:id="47"/>
      <w:r>
        <w:t xml:space="preserve">. </w:t>
      </w:r>
      <w:r w:rsidRPr="004A5A7E">
        <w:rPr>
          <w:rFonts w:eastAsiaTheme="majorEastAsia" w:cstheme="majorBidi"/>
          <w:szCs w:val="16"/>
        </w:rPr>
        <w:t>Percentage Change in Target PN Volume, NH Study (Age-matched) and SPRINT, Individual Patient Data Aligned to the Maximum Follow-up Duration of SPRINT</w:t>
      </w:r>
      <w:bookmarkEnd w:id="48"/>
    </w:p>
    <w:p w14:paraId="029F436A" w14:textId="77777777" w:rsidR="004A5A7E" w:rsidRPr="004A5A7E" w:rsidRDefault="004A5A7E" w:rsidP="004A5A7E">
      <w:pPr>
        <w:keepNext/>
        <w:jc w:val="left"/>
        <w:rPr>
          <w:rFonts w:ascii="Arial Narrow" w:eastAsiaTheme="majorEastAsia" w:hAnsi="Arial Narrow" w:cs="Times New Roman"/>
          <w:b/>
          <w:sz w:val="20"/>
        </w:rPr>
      </w:pPr>
      <w:r w:rsidRPr="004A5A7E">
        <w:rPr>
          <w:rFonts w:asciiTheme="minorHAnsi" w:eastAsiaTheme="majorEastAsia" w:hAnsiTheme="minorHAnsi" w:cstheme="minorHAnsi"/>
          <w:b/>
          <w:noProof/>
          <w:sz w:val="20"/>
          <w:lang w:val="en-US"/>
        </w:rPr>
        <w:drawing>
          <wp:inline distT="0" distB="0" distL="0" distR="0" wp14:anchorId="671ED6E2" wp14:editId="7767D3F7">
            <wp:extent cx="5620863" cy="2700669"/>
            <wp:effectExtent l="0" t="0" r="0" b="4445"/>
            <wp:docPr id="21" name="Picture 21" descr="Figure 11. Percentage Change in Target PN Volume, NH Study (Age-matched) and SPRINT, Individual Patient Data Aligned to the Maximum Follow-up Duration of SPR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Figure 11. Percentage Change in Target PN Volume, NH Study (Age-matched) and SPRINT, Individual Patient Data Aligned to the Maximum Follow-up Duration of SPRINT"/>
                    <pic:cNvPicPr/>
                  </pic:nvPicPr>
                  <pic:blipFill>
                    <a:blip r:embed="rId18" cstate="screen">
                      <a:extLst>
                        <a:ext uri="{28A0092B-C50C-407E-A947-70E740481C1C}">
                          <a14:useLocalDpi xmlns:a14="http://schemas.microsoft.com/office/drawing/2010/main"/>
                        </a:ext>
                      </a:extLst>
                    </a:blip>
                    <a:stretch>
                      <a:fillRect/>
                    </a:stretch>
                  </pic:blipFill>
                  <pic:spPr>
                    <a:xfrm>
                      <a:off x="0" y="0"/>
                      <a:ext cx="5647700" cy="2713564"/>
                    </a:xfrm>
                    <a:prstGeom prst="rect">
                      <a:avLst/>
                    </a:prstGeom>
                  </pic:spPr>
                </pic:pic>
              </a:graphicData>
            </a:graphic>
          </wp:inline>
        </w:drawing>
      </w:r>
    </w:p>
    <w:p w14:paraId="32E9F993" w14:textId="77777777" w:rsidR="004A5A7E" w:rsidRPr="004A5A7E" w:rsidRDefault="004A5A7E" w:rsidP="004A5A7E">
      <w:pPr>
        <w:snapToGrid w:val="0"/>
        <w:spacing w:after="120"/>
        <w:contextualSpacing/>
        <w:rPr>
          <w:rFonts w:ascii="Arial Narrow" w:hAnsi="Arial Narrow"/>
          <w:sz w:val="18"/>
          <w:szCs w:val="20"/>
        </w:rPr>
      </w:pPr>
      <w:r w:rsidRPr="004A5A7E">
        <w:rPr>
          <w:rFonts w:ascii="Arial Narrow" w:hAnsi="Arial Narrow"/>
          <w:sz w:val="18"/>
          <w:szCs w:val="20"/>
        </w:rPr>
        <w:t>Source: Table 2.28, p152 of the submission.</w:t>
      </w:r>
    </w:p>
    <w:p w14:paraId="55183B7E" w14:textId="77777777" w:rsidR="004A5A7E" w:rsidRPr="004A5A7E" w:rsidRDefault="004A5A7E" w:rsidP="004A5A7E">
      <w:pPr>
        <w:snapToGrid w:val="0"/>
        <w:spacing w:after="120"/>
        <w:contextualSpacing/>
        <w:rPr>
          <w:rFonts w:ascii="Arial Narrow" w:hAnsi="Arial Narrow"/>
          <w:sz w:val="18"/>
          <w:szCs w:val="20"/>
        </w:rPr>
      </w:pPr>
      <w:r w:rsidRPr="004A5A7E">
        <w:rPr>
          <w:rFonts w:ascii="Arial Narrow" w:hAnsi="Arial Narrow"/>
          <w:sz w:val="18"/>
          <w:szCs w:val="20"/>
        </w:rPr>
        <w:t>NH = Natural History, PN = plexiform neurofibroma(s), min = minimum, max = maximum.</w:t>
      </w:r>
    </w:p>
    <w:p w14:paraId="46FD5899" w14:textId="7069CB6B" w:rsidR="004A5A7E" w:rsidRPr="004A5A7E" w:rsidRDefault="004A5A7E" w:rsidP="00466367">
      <w:pPr>
        <w:snapToGrid w:val="0"/>
        <w:spacing w:after="120"/>
        <w:contextualSpacing/>
        <w:rPr>
          <w:rFonts w:ascii="Arial Narrow" w:hAnsi="Arial Narrow"/>
          <w:sz w:val="18"/>
          <w:szCs w:val="20"/>
        </w:rPr>
      </w:pPr>
      <w:r w:rsidRPr="004A5A7E">
        <w:rPr>
          <w:rFonts w:ascii="Arial Narrow" w:hAnsi="Arial Narrow"/>
          <w:sz w:val="18"/>
          <w:szCs w:val="20"/>
        </w:rPr>
        <w:t>Red indicates SPRINT trial and Blue indicates NH study (age-matched)</w:t>
      </w:r>
    </w:p>
    <w:p w14:paraId="47B162CD" w14:textId="5EA0996E" w:rsidR="002C6116" w:rsidRDefault="00450241" w:rsidP="002C6116">
      <w:pPr>
        <w:pStyle w:val="3-BodyText"/>
      </w:pPr>
      <w:r w:rsidRPr="00450241">
        <w:t xml:space="preserve">Median percentage change in PN volume per year with selumetinib </w:t>
      </w:r>
      <w:r w:rsidRPr="00D726FA">
        <w:t xml:space="preserve">was -5% compared to 15.1% in the age-matched cohort and 16.0% in age-matched and aligned to maximum follow-up duration of </w:t>
      </w:r>
      <w:r w:rsidR="000418F2" w:rsidRPr="00D726FA">
        <w:t xml:space="preserve">the </w:t>
      </w:r>
      <w:r w:rsidRPr="00D726FA">
        <w:t>SPRINT trial. Selumetinib demonstrated</w:t>
      </w:r>
      <w:r w:rsidRPr="00450241">
        <w:t xml:space="preserve"> efficacy in reversing or stabilising PN volume growth when compared with the NH study age-matched cohort.</w:t>
      </w:r>
    </w:p>
    <w:p w14:paraId="38B7A56A" w14:textId="7D2C2347" w:rsidR="00F22B6C" w:rsidRDefault="007D6D50" w:rsidP="002C6116">
      <w:pPr>
        <w:pStyle w:val="3-BodyText"/>
      </w:pPr>
      <w:r w:rsidRPr="007D6D50">
        <w:t xml:space="preserve">Kaplan-Meier curves for PFS in SPRINT and </w:t>
      </w:r>
      <w:r w:rsidR="000418F2">
        <w:t xml:space="preserve">the </w:t>
      </w:r>
      <w:r w:rsidRPr="007D6D50">
        <w:t>NH study are presented in</w:t>
      </w:r>
      <w:r>
        <w:t xml:space="preserve"> </w:t>
      </w:r>
      <w:r>
        <w:fldChar w:fldCharType="begin"/>
      </w:r>
      <w:r>
        <w:instrText xml:space="preserve"> REF _Ref111116559 \h </w:instrText>
      </w:r>
      <w:r>
        <w:fldChar w:fldCharType="separate"/>
      </w:r>
      <w:r w:rsidR="00BE0EE6">
        <w:t xml:space="preserve">Figure </w:t>
      </w:r>
      <w:r w:rsidR="00BE0EE6">
        <w:rPr>
          <w:noProof/>
        </w:rPr>
        <w:t>12</w:t>
      </w:r>
      <w:r>
        <w:fldChar w:fldCharType="end"/>
      </w:r>
      <w:r>
        <w:t>.</w:t>
      </w:r>
    </w:p>
    <w:p w14:paraId="04886D0B" w14:textId="57B8740D" w:rsidR="00F22B6C" w:rsidRDefault="00F22B6C" w:rsidP="00F22B6C">
      <w:pPr>
        <w:pStyle w:val="Caption"/>
        <w:rPr>
          <w:rStyle w:val="CommentReference"/>
          <w:b/>
          <w:bCs w:val="0"/>
        </w:rPr>
      </w:pPr>
      <w:bookmarkStart w:id="49" w:name="_Ref111116559"/>
      <w:r>
        <w:lastRenderedPageBreak/>
        <w:t xml:space="preserve">Figure </w:t>
      </w:r>
      <w:fldSimple w:instr=" SEQ Figure \* ARABIC ">
        <w:r w:rsidR="00BE0EE6">
          <w:rPr>
            <w:noProof/>
          </w:rPr>
          <w:t>12</w:t>
        </w:r>
      </w:fldSimple>
      <w:bookmarkEnd w:id="49"/>
      <w:r>
        <w:rPr>
          <w:rStyle w:val="CommentReference"/>
          <w:b/>
          <w:bCs w:val="0"/>
        </w:rPr>
        <w:t xml:space="preserve">. </w:t>
      </w:r>
      <w:r w:rsidRPr="007051A6">
        <w:rPr>
          <w:rStyle w:val="CommentReference"/>
          <w:b/>
          <w:bCs w:val="0"/>
        </w:rPr>
        <w:t>Kaplan Meier analysis of PFS, NH age-matched cohort and SPRINT, aligned to maximum follow-up duration of SPRINT</w:t>
      </w:r>
    </w:p>
    <w:p w14:paraId="00CBE2F7" w14:textId="77777777" w:rsidR="00F22B6C" w:rsidRPr="00AD68DA" w:rsidRDefault="00F22B6C" w:rsidP="00F22B6C">
      <w:pPr>
        <w:pStyle w:val="In-tableHeading"/>
        <w:rPr>
          <w:lang w:val="en-AU"/>
        </w:rPr>
      </w:pPr>
      <w:r w:rsidRPr="007660BE">
        <w:rPr>
          <w:rFonts w:ascii="Calibri" w:eastAsia="Calibri" w:hAnsi="Calibri" w:cs="Calibri"/>
          <w:b w:val="0"/>
          <w:noProof/>
          <w:sz w:val="22"/>
          <w:szCs w:val="22"/>
          <w:lang w:val="en-AU" w:eastAsia="en-US"/>
        </w:rPr>
        <w:drawing>
          <wp:inline distT="0" distB="0" distL="0" distR="0" wp14:anchorId="2250A384" wp14:editId="40426B39">
            <wp:extent cx="5330869" cy="2724150"/>
            <wp:effectExtent l="0" t="0" r="3175" b="0"/>
            <wp:docPr id="17" name="Picture 17" descr="Figure 12. Kaplan Meier analysis of PFS, NH age-matched cohort and SPRINT, aligned to maximum follow-up duration of SPR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Figure 12. Kaplan Meier analysis of PFS, NH age-matched cohort and SPRINT, aligned to maximum follow-up duration of SPRINT"/>
                    <pic:cNvPicPr/>
                  </pic:nvPicPr>
                  <pic:blipFill>
                    <a:blip r:embed="rId19" cstate="screen">
                      <a:extLst>
                        <a:ext uri="{28A0092B-C50C-407E-A947-70E740481C1C}">
                          <a14:useLocalDpi xmlns:a14="http://schemas.microsoft.com/office/drawing/2010/main"/>
                        </a:ext>
                      </a:extLst>
                    </a:blip>
                    <a:stretch>
                      <a:fillRect/>
                    </a:stretch>
                  </pic:blipFill>
                  <pic:spPr>
                    <a:xfrm>
                      <a:off x="0" y="0"/>
                      <a:ext cx="5359138" cy="2738596"/>
                    </a:xfrm>
                    <a:prstGeom prst="rect">
                      <a:avLst/>
                    </a:prstGeom>
                  </pic:spPr>
                </pic:pic>
              </a:graphicData>
            </a:graphic>
          </wp:inline>
        </w:drawing>
      </w:r>
    </w:p>
    <w:p w14:paraId="4A954737" w14:textId="108F846F" w:rsidR="002C6116" w:rsidRDefault="00F22B6C" w:rsidP="007D6D50">
      <w:pPr>
        <w:pStyle w:val="TableFigureFooter"/>
      </w:pPr>
      <w:r>
        <w:t>Source: Table 2.29, p153 of the submission.</w:t>
      </w:r>
    </w:p>
    <w:p w14:paraId="0E7FF96C" w14:textId="04C4ADDA" w:rsidR="00D107D8" w:rsidRDefault="00D31B53" w:rsidP="007D6D50">
      <w:pPr>
        <w:pStyle w:val="3-BodyText"/>
      </w:pPr>
      <w:r w:rsidRPr="00D31B53">
        <w:t xml:space="preserve">Median PFS was not reached in </w:t>
      </w:r>
      <w:r w:rsidR="000418F2">
        <w:t xml:space="preserve">the </w:t>
      </w:r>
      <w:r w:rsidRPr="00D31B53">
        <w:t xml:space="preserve">SPRINT trial, compared to 1.3 years (95% CI: 1.1, 1.6) in the NH age matched cohort. The </w:t>
      </w:r>
      <w:r w:rsidR="00200FC4">
        <w:t xml:space="preserve"> proportion of patients</w:t>
      </w:r>
      <w:r w:rsidRPr="00D31B53">
        <w:t xml:space="preserve"> without progression after 5 years was 69.7% (95% CI: 50.8, 82.5) in the SPRINT trial compared with 18.2% (95% CI: 10.8, 27.1) in the NH study.</w:t>
      </w:r>
    </w:p>
    <w:p w14:paraId="003AA531" w14:textId="77777777" w:rsidR="00BE0EE6" w:rsidRPr="00177150" w:rsidRDefault="00BD274C" w:rsidP="00177150">
      <w:pPr>
        <w:pStyle w:val="3-BodyText"/>
        <w:jc w:val="left"/>
        <w:rPr>
          <w:rFonts w:ascii="Arial Narrow" w:hAnsi="Arial Narrow"/>
          <w:b/>
          <w:bCs/>
          <w:sz w:val="20"/>
          <w:szCs w:val="18"/>
        </w:rPr>
      </w:pPr>
      <w:r w:rsidRPr="00C9340F">
        <w:t>The results of the propensity score matching analyses for PFS is summarised in</w:t>
      </w:r>
      <w:r>
        <w:t xml:space="preserve"> </w:t>
      </w:r>
      <w:r w:rsidR="006F297B">
        <w:fldChar w:fldCharType="begin"/>
      </w:r>
      <w:r w:rsidR="006F297B">
        <w:instrText xml:space="preserve"> REF _Ref111116658 \h </w:instrText>
      </w:r>
      <w:r w:rsidR="006F297B">
        <w:fldChar w:fldCharType="separate"/>
      </w:r>
    </w:p>
    <w:p w14:paraId="6B675A2C" w14:textId="7EEF6C32" w:rsidR="003077B0" w:rsidRPr="00177150" w:rsidRDefault="00BE0EE6" w:rsidP="00177150">
      <w:pPr>
        <w:pStyle w:val="3-BodyText"/>
        <w:jc w:val="left"/>
        <w:rPr>
          <w:rFonts w:ascii="Arial Narrow" w:hAnsi="Arial Narrow"/>
          <w:b/>
          <w:bCs/>
          <w:sz w:val="20"/>
          <w:szCs w:val="18"/>
        </w:rPr>
      </w:pPr>
      <w:r>
        <w:t xml:space="preserve">Table </w:t>
      </w:r>
      <w:r>
        <w:rPr>
          <w:noProof/>
        </w:rPr>
        <w:t>6</w:t>
      </w:r>
      <w:r w:rsidR="006F297B">
        <w:fldChar w:fldCharType="end"/>
      </w:r>
      <w:r w:rsidR="006F297B">
        <w:t>.</w:t>
      </w:r>
      <w:bookmarkStart w:id="50" w:name="_Ref111116658"/>
      <w:bookmarkStart w:id="51" w:name="_Toc105069202"/>
      <w:bookmarkStart w:id="52" w:name="_Toc107921617"/>
      <w:bookmarkStart w:id="53" w:name="_Ref111116634"/>
    </w:p>
    <w:p w14:paraId="5C208334" w14:textId="6547373B" w:rsidR="00BD274C" w:rsidRPr="00B76D84" w:rsidRDefault="00BD274C" w:rsidP="00BD274C">
      <w:pPr>
        <w:pStyle w:val="Caption"/>
      </w:pPr>
      <w:r>
        <w:t xml:space="preserve">Table </w:t>
      </w:r>
      <w:fldSimple w:instr=" SEQ Table \* ARABIC ">
        <w:r w:rsidR="00BE0EE6">
          <w:rPr>
            <w:noProof/>
          </w:rPr>
          <w:t>6</w:t>
        </w:r>
      </w:fldSimple>
      <w:bookmarkEnd w:id="50"/>
      <w:r>
        <w:t xml:space="preserve">. </w:t>
      </w:r>
      <w:r w:rsidRPr="00B76D84">
        <w:t xml:space="preserve">HR for PFS </w:t>
      </w:r>
      <w:r w:rsidR="007566CB">
        <w:t xml:space="preserve">from </w:t>
      </w:r>
      <w:r w:rsidRPr="00B76D84">
        <w:t>the</w:t>
      </w:r>
      <w:r w:rsidR="00A1137E">
        <w:t xml:space="preserve"> unanchored</w:t>
      </w:r>
      <w:r w:rsidRPr="00B76D84">
        <w:t xml:space="preserve"> </w:t>
      </w:r>
      <w:r w:rsidR="007566CB">
        <w:t xml:space="preserve">indirect treatment </w:t>
      </w:r>
      <w:r w:rsidRPr="00B76D84">
        <w:t>comparison and f</w:t>
      </w:r>
      <w:r w:rsidR="007566CB">
        <w:t>rom</w:t>
      </w:r>
      <w:r w:rsidRPr="00B76D84">
        <w:t xml:space="preserve"> the propensity score analyses</w:t>
      </w:r>
      <w:bookmarkEnd w:id="51"/>
      <w:bookmarkEnd w:id="52"/>
      <w:bookmarkEnd w:id="53"/>
    </w:p>
    <w:tbl>
      <w:tblPr>
        <w:tblStyle w:val="TableGrid"/>
        <w:tblW w:w="5000" w:type="pct"/>
        <w:tblLook w:val="04A0" w:firstRow="1" w:lastRow="0" w:firstColumn="1" w:lastColumn="0" w:noHBand="0" w:noVBand="1"/>
      </w:tblPr>
      <w:tblGrid>
        <w:gridCol w:w="5949"/>
        <w:gridCol w:w="3068"/>
      </w:tblGrid>
      <w:tr w:rsidR="00BD274C" w:rsidRPr="00B76D84" w14:paraId="599766E1" w14:textId="77777777" w:rsidTr="001C30D8">
        <w:tc>
          <w:tcPr>
            <w:tcW w:w="3299" w:type="pct"/>
          </w:tcPr>
          <w:p w14:paraId="66564CBD" w14:textId="77777777" w:rsidR="00BD274C" w:rsidRPr="00C01043" w:rsidRDefault="00BD274C" w:rsidP="001C30D8">
            <w:pPr>
              <w:pStyle w:val="TableText0"/>
              <w:rPr>
                <w:b/>
                <w:bCs w:val="0"/>
                <w:lang w:val="en-GB"/>
              </w:rPr>
            </w:pPr>
            <w:r w:rsidRPr="00C01043">
              <w:rPr>
                <w:b/>
                <w:bCs w:val="0"/>
                <w:lang w:val="en-GB"/>
              </w:rPr>
              <w:t>Analysis</w:t>
            </w:r>
          </w:p>
        </w:tc>
        <w:tc>
          <w:tcPr>
            <w:tcW w:w="1701" w:type="pct"/>
          </w:tcPr>
          <w:p w14:paraId="17CAC940" w14:textId="48EA0BAD" w:rsidR="00BD274C" w:rsidRPr="00C01043" w:rsidRDefault="00BD274C" w:rsidP="001C30D8">
            <w:pPr>
              <w:pStyle w:val="TableText0"/>
              <w:jc w:val="center"/>
              <w:rPr>
                <w:b/>
                <w:bCs w:val="0"/>
                <w:lang w:val="en-GB"/>
              </w:rPr>
            </w:pPr>
            <w:r w:rsidRPr="00C01043">
              <w:rPr>
                <w:b/>
                <w:bCs w:val="0"/>
                <w:lang w:val="en-GB"/>
              </w:rPr>
              <w:t xml:space="preserve">Hazard Ratio </w:t>
            </w:r>
            <w:r w:rsidRPr="00C01043">
              <w:rPr>
                <w:b/>
                <w:bCs w:val="0"/>
                <w:vertAlign w:val="superscript"/>
                <w:lang w:val="en-GB"/>
              </w:rPr>
              <w:t>d</w:t>
            </w:r>
            <w:r w:rsidRPr="00C01043">
              <w:rPr>
                <w:b/>
                <w:bCs w:val="0"/>
                <w:lang w:val="en-GB"/>
              </w:rPr>
              <w:t xml:space="preserve"> (95% CI)</w:t>
            </w:r>
          </w:p>
        </w:tc>
      </w:tr>
      <w:tr w:rsidR="00BD274C" w:rsidRPr="00B76D84" w14:paraId="6A543091" w14:textId="77777777" w:rsidTr="001C30D8">
        <w:tc>
          <w:tcPr>
            <w:tcW w:w="3299" w:type="pct"/>
            <w:vAlign w:val="center"/>
          </w:tcPr>
          <w:p w14:paraId="20529C48" w14:textId="753C6595" w:rsidR="00BD274C" w:rsidRPr="00B76D84" w:rsidRDefault="00BD274C" w:rsidP="001C30D8">
            <w:pPr>
              <w:pStyle w:val="TableText0"/>
              <w:rPr>
                <w:lang w:val="en-GB"/>
              </w:rPr>
            </w:pPr>
            <w:r w:rsidRPr="00B76D84">
              <w:rPr>
                <w:lang w:val="en-GB"/>
              </w:rPr>
              <w:t xml:space="preserve">Cox model: </w:t>
            </w:r>
            <w:r w:rsidR="00A1137E">
              <w:rPr>
                <w:lang w:val="en-GB"/>
              </w:rPr>
              <w:t>Unadjusted</w:t>
            </w:r>
            <w:r w:rsidR="00A1137E" w:rsidRPr="00B76D84">
              <w:rPr>
                <w:lang w:val="en-GB"/>
              </w:rPr>
              <w:t xml:space="preserve"> </w:t>
            </w:r>
            <w:r w:rsidRPr="00B76D84">
              <w:rPr>
                <w:lang w:val="en-GB"/>
              </w:rPr>
              <w:t>comparison</w:t>
            </w:r>
          </w:p>
        </w:tc>
        <w:tc>
          <w:tcPr>
            <w:tcW w:w="1701" w:type="pct"/>
          </w:tcPr>
          <w:p w14:paraId="35D5E8E4" w14:textId="1681F4B0" w:rsidR="00BD274C" w:rsidRPr="00D726FA" w:rsidRDefault="00BD274C" w:rsidP="00AD7D05">
            <w:pPr>
              <w:pStyle w:val="TableText0"/>
              <w:jc w:val="center"/>
              <w:rPr>
                <w:lang w:val="en-GB"/>
              </w:rPr>
            </w:pPr>
            <w:r w:rsidRPr="00D726FA">
              <w:rPr>
                <w:lang w:val="en-GB"/>
              </w:rPr>
              <w:t>0.07</w:t>
            </w:r>
            <w:r w:rsidR="00AD7D05" w:rsidRPr="00D726FA">
              <w:rPr>
                <w:lang w:val="en-GB"/>
              </w:rPr>
              <w:t xml:space="preserve"> </w:t>
            </w:r>
            <w:r w:rsidRPr="00D726FA">
              <w:rPr>
                <w:lang w:val="en-GB"/>
              </w:rPr>
              <w:t>(0.02, 0.24)</w:t>
            </w:r>
          </w:p>
        </w:tc>
      </w:tr>
      <w:tr w:rsidR="00BD274C" w:rsidRPr="00B76D84" w14:paraId="174437EF" w14:textId="77777777" w:rsidTr="001C30D8">
        <w:tc>
          <w:tcPr>
            <w:tcW w:w="3299" w:type="pct"/>
            <w:vAlign w:val="center"/>
          </w:tcPr>
          <w:p w14:paraId="3AD81E4A" w14:textId="469B1EF4" w:rsidR="00BD274C" w:rsidRPr="00B76D84" w:rsidRDefault="00BD274C" w:rsidP="001C30D8">
            <w:pPr>
              <w:pStyle w:val="TableText0"/>
              <w:rPr>
                <w:lang w:val="en-GB"/>
              </w:rPr>
            </w:pPr>
            <w:r w:rsidRPr="00B76D84">
              <w:rPr>
                <w:lang w:val="en-GB"/>
              </w:rPr>
              <w:t>Cox model: Matched patients 1:1 (robust variance estimator)</w:t>
            </w:r>
            <w:r w:rsidR="00FC15BF">
              <w:rPr>
                <w:lang w:val="en-GB"/>
              </w:rPr>
              <w:t xml:space="preserve"> </w:t>
            </w:r>
            <w:r w:rsidRPr="00B76D84">
              <w:rPr>
                <w:vertAlign w:val="superscript"/>
                <w:lang w:val="en-GB"/>
              </w:rPr>
              <w:t>a,b</w:t>
            </w:r>
          </w:p>
        </w:tc>
        <w:tc>
          <w:tcPr>
            <w:tcW w:w="1701" w:type="pct"/>
          </w:tcPr>
          <w:p w14:paraId="25DFD6E8" w14:textId="38923219" w:rsidR="00BD274C" w:rsidRPr="00D726FA" w:rsidRDefault="00BD274C" w:rsidP="00AD7D05">
            <w:pPr>
              <w:pStyle w:val="TableText0"/>
              <w:jc w:val="center"/>
              <w:rPr>
                <w:lang w:val="en-GB"/>
              </w:rPr>
            </w:pPr>
            <w:r w:rsidRPr="00D726FA">
              <w:rPr>
                <w:lang w:val="en-GB"/>
              </w:rPr>
              <w:t>0.08</w:t>
            </w:r>
            <w:r w:rsidR="00AD7D05" w:rsidRPr="00D726FA">
              <w:rPr>
                <w:lang w:val="en-GB"/>
              </w:rPr>
              <w:t xml:space="preserve"> </w:t>
            </w:r>
            <w:r w:rsidRPr="00D726FA">
              <w:rPr>
                <w:lang w:val="en-GB"/>
              </w:rPr>
              <w:t>(0.02, 0.29)</w:t>
            </w:r>
          </w:p>
        </w:tc>
      </w:tr>
      <w:tr w:rsidR="00BD274C" w:rsidRPr="00B76D84" w14:paraId="1A1DA5C9" w14:textId="77777777" w:rsidTr="001C30D8">
        <w:tc>
          <w:tcPr>
            <w:tcW w:w="3299" w:type="pct"/>
            <w:vAlign w:val="center"/>
          </w:tcPr>
          <w:p w14:paraId="2F228166" w14:textId="77777777" w:rsidR="00BD274C" w:rsidRPr="00B76D84" w:rsidRDefault="00BD274C" w:rsidP="001C30D8">
            <w:pPr>
              <w:pStyle w:val="TableText0"/>
              <w:rPr>
                <w:lang w:val="en-GB"/>
              </w:rPr>
            </w:pPr>
            <w:r w:rsidRPr="00B76D84">
              <w:rPr>
                <w:lang w:val="en-GB"/>
              </w:rPr>
              <w:t>Cox model: Weighted by stabilised IPTW</w:t>
            </w:r>
          </w:p>
        </w:tc>
        <w:tc>
          <w:tcPr>
            <w:tcW w:w="1701" w:type="pct"/>
          </w:tcPr>
          <w:p w14:paraId="5B0CEE45" w14:textId="6F5BD4E2" w:rsidR="00BD274C" w:rsidRPr="00D726FA" w:rsidRDefault="00BD274C" w:rsidP="00AD7D05">
            <w:pPr>
              <w:pStyle w:val="TableText0"/>
              <w:jc w:val="center"/>
              <w:rPr>
                <w:lang w:val="en-GB"/>
              </w:rPr>
            </w:pPr>
            <w:r w:rsidRPr="00D726FA">
              <w:rPr>
                <w:lang w:val="en-GB"/>
              </w:rPr>
              <w:t>0.09</w:t>
            </w:r>
            <w:r w:rsidR="00AD7D05" w:rsidRPr="00D726FA">
              <w:rPr>
                <w:lang w:val="en-GB"/>
              </w:rPr>
              <w:t xml:space="preserve"> </w:t>
            </w:r>
            <w:r w:rsidRPr="00D726FA">
              <w:rPr>
                <w:lang w:val="en-GB"/>
              </w:rPr>
              <w:t>(0.03, 0.27)</w:t>
            </w:r>
          </w:p>
        </w:tc>
      </w:tr>
      <w:tr w:rsidR="00BD274C" w:rsidRPr="00B76D84" w14:paraId="0E4A0B50" w14:textId="77777777" w:rsidTr="001C30D8">
        <w:tc>
          <w:tcPr>
            <w:tcW w:w="3299" w:type="pct"/>
            <w:vAlign w:val="center"/>
          </w:tcPr>
          <w:p w14:paraId="7E6DC5E4" w14:textId="77777777" w:rsidR="00BD274C" w:rsidRPr="00B76D84" w:rsidRDefault="00BD274C" w:rsidP="001C30D8">
            <w:pPr>
              <w:pStyle w:val="TableText0"/>
              <w:rPr>
                <w:lang w:val="en-GB"/>
              </w:rPr>
            </w:pPr>
            <w:r w:rsidRPr="00B76D84">
              <w:rPr>
                <w:lang w:val="en-GB"/>
              </w:rPr>
              <w:t>Cox model: Weighted by IPTW (robust variance estimator)</w:t>
            </w:r>
          </w:p>
        </w:tc>
        <w:tc>
          <w:tcPr>
            <w:tcW w:w="1701" w:type="pct"/>
          </w:tcPr>
          <w:p w14:paraId="42E60B3D" w14:textId="327522D5" w:rsidR="00BD274C" w:rsidRPr="00D726FA" w:rsidRDefault="00BD274C" w:rsidP="00AD7D05">
            <w:pPr>
              <w:pStyle w:val="TableText0"/>
              <w:jc w:val="center"/>
              <w:rPr>
                <w:lang w:val="en-GB"/>
              </w:rPr>
            </w:pPr>
            <w:r w:rsidRPr="00D726FA">
              <w:rPr>
                <w:lang w:val="en-GB"/>
              </w:rPr>
              <w:t>0.09</w:t>
            </w:r>
            <w:r w:rsidR="00AD7D05" w:rsidRPr="00D726FA">
              <w:rPr>
                <w:lang w:val="en-GB"/>
              </w:rPr>
              <w:t xml:space="preserve"> </w:t>
            </w:r>
            <w:r w:rsidRPr="00D726FA">
              <w:rPr>
                <w:lang w:val="en-GB"/>
              </w:rPr>
              <w:t>(0.03, 0.29)</w:t>
            </w:r>
          </w:p>
        </w:tc>
      </w:tr>
      <w:tr w:rsidR="00BD274C" w:rsidRPr="00B76D84" w14:paraId="21878B2E" w14:textId="77777777" w:rsidTr="001C30D8">
        <w:tc>
          <w:tcPr>
            <w:tcW w:w="3299" w:type="pct"/>
            <w:vAlign w:val="center"/>
          </w:tcPr>
          <w:p w14:paraId="49A0C1F8" w14:textId="4865E9E2" w:rsidR="00BD274C" w:rsidRPr="00B76D84" w:rsidRDefault="00BD274C" w:rsidP="001C30D8">
            <w:pPr>
              <w:pStyle w:val="TableText0"/>
              <w:rPr>
                <w:lang w:val="en-GB"/>
              </w:rPr>
            </w:pPr>
            <w:r w:rsidRPr="00B76D84">
              <w:rPr>
                <w:lang w:val="en-GB"/>
              </w:rPr>
              <w:t>Cox model: Matched patients 1:2 (robust variance estimator)</w:t>
            </w:r>
            <w:r w:rsidR="00FC15BF">
              <w:rPr>
                <w:lang w:val="en-GB"/>
              </w:rPr>
              <w:t xml:space="preserve"> </w:t>
            </w:r>
            <w:r w:rsidRPr="00B76D84">
              <w:rPr>
                <w:vertAlign w:val="superscript"/>
                <w:lang w:val="en-GB"/>
              </w:rPr>
              <w:t>b,c</w:t>
            </w:r>
          </w:p>
        </w:tc>
        <w:tc>
          <w:tcPr>
            <w:tcW w:w="1701" w:type="pct"/>
          </w:tcPr>
          <w:p w14:paraId="68370354" w14:textId="2B73B6A3" w:rsidR="00BD274C" w:rsidRPr="00D726FA" w:rsidRDefault="00BD274C" w:rsidP="00AD7D05">
            <w:pPr>
              <w:pStyle w:val="TableText0"/>
              <w:jc w:val="center"/>
              <w:rPr>
                <w:lang w:val="en-GB"/>
              </w:rPr>
            </w:pPr>
            <w:r w:rsidRPr="00D726FA">
              <w:rPr>
                <w:lang w:val="en-GB"/>
              </w:rPr>
              <w:t>0.09</w:t>
            </w:r>
            <w:r w:rsidR="00AD7D05" w:rsidRPr="00D726FA">
              <w:rPr>
                <w:lang w:val="en-GB"/>
              </w:rPr>
              <w:t xml:space="preserve"> </w:t>
            </w:r>
            <w:r w:rsidRPr="00D726FA">
              <w:rPr>
                <w:lang w:val="en-GB"/>
              </w:rPr>
              <w:t>(0.03, 0.24)</w:t>
            </w:r>
          </w:p>
        </w:tc>
      </w:tr>
    </w:tbl>
    <w:p w14:paraId="67F31922" w14:textId="77777777" w:rsidR="00BD274C" w:rsidRPr="00B76D84" w:rsidRDefault="00BD274C" w:rsidP="00BD274C">
      <w:pPr>
        <w:pStyle w:val="TableFigureFooter"/>
        <w:rPr>
          <w:b/>
          <w:bCs/>
        </w:rPr>
      </w:pPr>
      <w:r w:rsidRPr="00D33DFE">
        <w:t>Source:</w:t>
      </w:r>
      <w:r w:rsidRPr="00B76D84">
        <w:t xml:space="preserve"> </w:t>
      </w:r>
      <w:r>
        <w:t>Table 2.50, p155 of the submission.</w:t>
      </w:r>
    </w:p>
    <w:p w14:paraId="74181ABE" w14:textId="77777777" w:rsidR="00BD274C" w:rsidRPr="00B76D84" w:rsidRDefault="00BD274C" w:rsidP="00BD274C">
      <w:pPr>
        <w:pStyle w:val="TableFigureFooter"/>
      </w:pPr>
      <w:r w:rsidRPr="00B76D84">
        <w:t>CI</w:t>
      </w:r>
      <w:r>
        <w:t xml:space="preserve"> =</w:t>
      </w:r>
      <w:r w:rsidRPr="00B76D84">
        <w:t xml:space="preserve"> Confidence interval</w:t>
      </w:r>
      <w:r>
        <w:t xml:space="preserve">, </w:t>
      </w:r>
      <w:r w:rsidRPr="00B76D84">
        <w:t>IPTW</w:t>
      </w:r>
      <w:r>
        <w:t xml:space="preserve"> =</w:t>
      </w:r>
      <w:r w:rsidRPr="00B76D84">
        <w:t xml:space="preserve"> inverse probability of treatment weighting</w:t>
      </w:r>
      <w:r>
        <w:t xml:space="preserve">, </w:t>
      </w:r>
      <w:r w:rsidRPr="00B76D84">
        <w:t>H</w:t>
      </w:r>
      <w:r>
        <w:t>R =</w:t>
      </w:r>
      <w:r w:rsidRPr="00B76D84">
        <w:t xml:space="preserve"> hazard ratio</w:t>
      </w:r>
      <w:r>
        <w:t xml:space="preserve">, </w:t>
      </w:r>
      <w:r w:rsidRPr="00B76D84">
        <w:t>NH</w:t>
      </w:r>
      <w:r>
        <w:t xml:space="preserve"> =</w:t>
      </w:r>
      <w:r w:rsidRPr="00B76D84">
        <w:t xml:space="preserve"> Natural History</w:t>
      </w:r>
      <w:r>
        <w:t>,</w:t>
      </w:r>
      <w:r w:rsidRPr="00B76D84">
        <w:t xml:space="preserve"> PFS</w:t>
      </w:r>
      <w:r>
        <w:t xml:space="preserve"> =</w:t>
      </w:r>
      <w:r w:rsidRPr="00B76D84">
        <w:t xml:space="preserve"> Progression-free survival.</w:t>
      </w:r>
    </w:p>
    <w:p w14:paraId="5BC6F2B8" w14:textId="77777777" w:rsidR="00BD274C" w:rsidRPr="00B76D84" w:rsidRDefault="00BD274C" w:rsidP="00BD274C">
      <w:pPr>
        <w:pStyle w:val="TableFigureFooter"/>
      </w:pPr>
      <w:r w:rsidRPr="00B76D84">
        <w:rPr>
          <w:vertAlign w:val="superscript"/>
        </w:rPr>
        <w:t>a</w:t>
      </w:r>
      <w:r w:rsidRPr="00B76D84">
        <w:t xml:space="preserve"> Greedy Matching algorithm is used without replacement. </w:t>
      </w:r>
    </w:p>
    <w:p w14:paraId="7A5A54E2" w14:textId="77777777" w:rsidR="00BD274C" w:rsidRPr="00B76D84" w:rsidRDefault="00BD274C" w:rsidP="00BD274C">
      <w:pPr>
        <w:pStyle w:val="TableFigureFooter"/>
      </w:pPr>
      <w:r w:rsidRPr="00B76D84">
        <w:rPr>
          <w:vertAlign w:val="superscript"/>
        </w:rPr>
        <w:t>b</w:t>
      </w:r>
      <w:r w:rsidRPr="00B76D84">
        <w:t xml:space="preserve"> The difference in the logit of the propensity score for a match must be ≤0.2 times the pooled estimate of the common standard deviation of the logits of the propensity scores.</w:t>
      </w:r>
    </w:p>
    <w:p w14:paraId="76774C59" w14:textId="77777777" w:rsidR="00BD274C" w:rsidRPr="00B76D84" w:rsidRDefault="00BD274C" w:rsidP="00BD274C">
      <w:pPr>
        <w:pStyle w:val="TableFigureFooter"/>
      </w:pPr>
      <w:r w:rsidRPr="00B76D84">
        <w:rPr>
          <w:vertAlign w:val="superscript"/>
        </w:rPr>
        <w:t>c</w:t>
      </w:r>
      <w:r w:rsidRPr="00B76D84">
        <w:t xml:space="preserve"> Each treated patient is matched up to 2 controls. Matching is performed with replacement.  </w:t>
      </w:r>
    </w:p>
    <w:p w14:paraId="59B8E20D" w14:textId="77777777" w:rsidR="00BD274C" w:rsidRDefault="00BD274C" w:rsidP="00BD274C">
      <w:pPr>
        <w:pStyle w:val="TableFigureFooter"/>
      </w:pPr>
      <w:r w:rsidRPr="00B76D84">
        <w:rPr>
          <w:vertAlign w:val="superscript"/>
        </w:rPr>
        <w:t>d</w:t>
      </w:r>
      <w:r w:rsidRPr="00B76D84">
        <w:t xml:space="preserve"> HRs were obtained using Cox regression with study as the only covariate.</w:t>
      </w:r>
    </w:p>
    <w:p w14:paraId="153E410F" w14:textId="47E6B417" w:rsidR="00D107D8" w:rsidRPr="00D107D8" w:rsidRDefault="00D107D8" w:rsidP="007D6D50">
      <w:pPr>
        <w:pStyle w:val="3-BodyText"/>
        <w:rPr>
          <w:i/>
          <w:iCs/>
        </w:rPr>
      </w:pPr>
      <w:r>
        <w:t xml:space="preserve">The additional propensity score analyses for PFS between SPRINT and the age-matched cohort of </w:t>
      </w:r>
      <w:r w:rsidR="000418F2">
        <w:t xml:space="preserve">the </w:t>
      </w:r>
      <w:r>
        <w:t xml:space="preserve">NH study showed that selumetinib is effective in reducing the risk of progression, when compared to supportive care. </w:t>
      </w:r>
    </w:p>
    <w:p w14:paraId="14CF7830" w14:textId="6E25FBF4" w:rsidR="009B29DC" w:rsidRDefault="00492821" w:rsidP="009B29DC">
      <w:pPr>
        <w:pStyle w:val="3-BodyText"/>
      </w:pPr>
      <w:r>
        <w:t>A</w:t>
      </w:r>
      <w:r w:rsidR="003C2580">
        <w:t xml:space="preserve">n unanchored </w:t>
      </w:r>
      <w:r>
        <w:t xml:space="preserve">indirect comparison was conducted against 01-C-0222 trial using the SPRINT data </w:t>
      </w:r>
      <w:r w:rsidR="002864A1">
        <w:t xml:space="preserve">(n=21 patients with progressive PN at enrolment) </w:t>
      </w:r>
      <w:r>
        <w:t xml:space="preserve">from first data cut-off </w:t>
      </w:r>
      <w:r>
        <w:lastRenderedPageBreak/>
        <w:t xml:space="preserve">(June 2018). </w:t>
      </w:r>
      <w:r w:rsidR="009B29DC" w:rsidRPr="007D6D50">
        <w:t xml:space="preserve">Kaplan-Meier curves for PFS in SPRINT and </w:t>
      </w:r>
      <w:r w:rsidR="009E025A">
        <w:t>the 01-C-0222 trial</w:t>
      </w:r>
      <w:r w:rsidR="009B29DC" w:rsidRPr="007D6D50">
        <w:t xml:space="preserve"> are presented in</w:t>
      </w:r>
      <w:r w:rsidR="00827E03">
        <w:t xml:space="preserve"> </w:t>
      </w:r>
      <w:r w:rsidR="00827E03">
        <w:fldChar w:fldCharType="begin"/>
      </w:r>
      <w:r w:rsidR="00827E03">
        <w:instrText xml:space="preserve"> REF _Ref111116781 \h </w:instrText>
      </w:r>
      <w:r w:rsidR="00827E03">
        <w:fldChar w:fldCharType="separate"/>
      </w:r>
      <w:r w:rsidR="00BE0EE6">
        <w:t xml:space="preserve">Figure </w:t>
      </w:r>
      <w:r w:rsidR="00BE0EE6">
        <w:rPr>
          <w:noProof/>
        </w:rPr>
        <w:t>13</w:t>
      </w:r>
      <w:r w:rsidR="00827E03">
        <w:fldChar w:fldCharType="end"/>
      </w:r>
      <w:r w:rsidR="00827E03">
        <w:t>.</w:t>
      </w:r>
    </w:p>
    <w:p w14:paraId="538E1C0B" w14:textId="34758761" w:rsidR="00492821" w:rsidRDefault="00827E03" w:rsidP="00492821">
      <w:pPr>
        <w:pStyle w:val="Caption"/>
        <w:rPr>
          <w:rStyle w:val="CommentReference"/>
          <w:b/>
          <w:bCs w:val="0"/>
        </w:rPr>
      </w:pPr>
      <w:bookmarkStart w:id="54" w:name="_Ref111116781"/>
      <w:bookmarkStart w:id="55" w:name="_Ref111116767"/>
      <w:r>
        <w:t xml:space="preserve">Figure </w:t>
      </w:r>
      <w:fldSimple w:instr=" SEQ Figure \* ARABIC ">
        <w:r w:rsidR="00BE0EE6">
          <w:rPr>
            <w:noProof/>
          </w:rPr>
          <w:t>13</w:t>
        </w:r>
      </w:fldSimple>
      <w:bookmarkEnd w:id="54"/>
      <w:r>
        <w:rPr>
          <w:rStyle w:val="CommentReference"/>
          <w:b/>
          <w:bCs w:val="0"/>
        </w:rPr>
        <w:t xml:space="preserve">. </w:t>
      </w:r>
      <w:r w:rsidRPr="00143A48">
        <w:rPr>
          <w:rStyle w:val="CommentReference"/>
          <w:b/>
          <w:bCs w:val="0"/>
        </w:rPr>
        <w:t xml:space="preserve">Kaplan Meier analysis of PFS, </w:t>
      </w:r>
      <w:r w:rsidR="009E025A">
        <w:rPr>
          <w:rStyle w:val="CommentReference"/>
          <w:b/>
          <w:bCs w:val="0"/>
        </w:rPr>
        <w:t>01-C-0222 trial</w:t>
      </w:r>
      <w:r w:rsidRPr="00143A48">
        <w:rPr>
          <w:rStyle w:val="CommentReference"/>
          <w:b/>
          <w:bCs w:val="0"/>
        </w:rPr>
        <w:t xml:space="preserve"> placebo arm and SPRINT (Progressive PN)</w:t>
      </w:r>
      <w:bookmarkEnd w:id="55"/>
      <w:r w:rsidR="00492821" w:rsidDel="00492821">
        <w:rPr>
          <w:rStyle w:val="CommentReference"/>
          <w:b/>
          <w:bCs w:val="0"/>
        </w:rPr>
        <w:t xml:space="preserve"> </w:t>
      </w:r>
    </w:p>
    <w:p w14:paraId="572B5547" w14:textId="37261768" w:rsidR="00827E03" w:rsidRPr="00AD68DA" w:rsidRDefault="00492821" w:rsidP="00492821">
      <w:pPr>
        <w:pStyle w:val="Caption"/>
      </w:pPr>
      <w:r w:rsidRPr="00492821">
        <w:rPr>
          <w:noProof/>
        </w:rPr>
        <w:drawing>
          <wp:inline distT="0" distB="0" distL="0" distR="0" wp14:anchorId="6A34D69B" wp14:editId="59A7A9A4">
            <wp:extent cx="5732145" cy="3011170"/>
            <wp:effectExtent l="0" t="0" r="1905" b="0"/>
            <wp:docPr id="10" name="Picture 10" descr="Figure 13. Kaplan Meier analysis of PFS, 01-C-0222 trial placebo arm and SPRINT (Progressive P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Figure 13. Kaplan Meier analysis of PFS, 01-C-0222 trial placebo arm and SPRINT (Progressive PN) "/>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5732145" cy="3011170"/>
                    </a:xfrm>
                    <a:prstGeom prst="rect">
                      <a:avLst/>
                    </a:prstGeom>
                    <a:noFill/>
                    <a:ln>
                      <a:noFill/>
                    </a:ln>
                  </pic:spPr>
                </pic:pic>
              </a:graphicData>
            </a:graphic>
          </wp:inline>
        </w:drawing>
      </w:r>
    </w:p>
    <w:p w14:paraId="34736035" w14:textId="5095E243" w:rsidR="00827E03" w:rsidRDefault="00827E03" w:rsidP="00827E03">
      <w:pPr>
        <w:pStyle w:val="TableFigureFooter"/>
      </w:pPr>
      <w:r>
        <w:t>Source: Table 2.31, p1</w:t>
      </w:r>
      <w:r w:rsidR="00492821">
        <w:t>60</w:t>
      </w:r>
      <w:r>
        <w:t xml:space="preserve"> of the submission.</w:t>
      </w:r>
    </w:p>
    <w:p w14:paraId="1D9C4F45" w14:textId="19CFC8B2" w:rsidR="009B29DC" w:rsidRPr="00AE6B1F" w:rsidRDefault="00AE6B1F" w:rsidP="00AE6B1F">
      <w:pPr>
        <w:pStyle w:val="3-BodyText"/>
      </w:pPr>
      <w:r w:rsidRPr="00AE6B1F">
        <w:t xml:space="preserve">The </w:t>
      </w:r>
      <w:r w:rsidR="005A5856">
        <w:t xml:space="preserve">proportion of patients </w:t>
      </w:r>
      <w:r w:rsidRPr="00AE6B1F">
        <w:t>without progression at 2 years for patients with progressive PN was 94.7% (95% CI</w:t>
      </w:r>
      <w:r w:rsidR="008B2DAB">
        <w:t>:</w:t>
      </w:r>
      <w:r w:rsidRPr="00AE6B1F">
        <w:t xml:space="preserve"> 80.6, 98.7) in the SPRINT trial compared to 20.6% (95% CI: 7.7, 37.8) in the placebo arm of </w:t>
      </w:r>
      <w:r w:rsidR="009E025A">
        <w:t>the 01-C-0222 trial</w:t>
      </w:r>
      <w:r w:rsidRPr="00AE6B1F">
        <w:t>.</w:t>
      </w:r>
      <w:r w:rsidR="002832F9">
        <w:t xml:space="preserve"> </w:t>
      </w:r>
    </w:p>
    <w:p w14:paraId="1452C351" w14:textId="0D19F1B0" w:rsidR="00B60939" w:rsidRPr="00C9624D" w:rsidRDefault="00B60939" w:rsidP="00D86231">
      <w:pPr>
        <w:pStyle w:val="4-SubsectionHeading"/>
      </w:pPr>
      <w:bookmarkStart w:id="56" w:name="_Toc22897642"/>
      <w:bookmarkStart w:id="57" w:name="_Toc114041590"/>
      <w:r w:rsidRPr="00C9624D">
        <w:t>Comparative harms</w:t>
      </w:r>
      <w:bookmarkEnd w:id="56"/>
      <w:bookmarkEnd w:id="57"/>
    </w:p>
    <w:p w14:paraId="2DAF16D1" w14:textId="6BEFD4A5" w:rsidR="00B60939" w:rsidRDefault="00EA1462" w:rsidP="00D86231">
      <w:pPr>
        <w:pStyle w:val="3-BodyText"/>
        <w:rPr>
          <w:color w:val="0066FF"/>
        </w:rPr>
      </w:pPr>
      <w:r w:rsidRPr="003632A2">
        <w:t xml:space="preserve">A summary of key adverse events (AEs) in </w:t>
      </w:r>
      <w:r w:rsidR="000418F2">
        <w:t xml:space="preserve">the </w:t>
      </w:r>
      <w:r w:rsidRPr="003632A2">
        <w:t xml:space="preserve">SPRINT trial is presented in </w:t>
      </w:r>
      <w:r w:rsidR="003404F1">
        <w:rPr>
          <w:color w:val="0066FF"/>
        </w:rPr>
        <w:fldChar w:fldCharType="begin"/>
      </w:r>
      <w:r w:rsidR="003404F1">
        <w:rPr>
          <w:color w:val="0066FF"/>
        </w:rPr>
        <w:instrText xml:space="preserve"> REF _Ref111074754 \h </w:instrText>
      </w:r>
      <w:r w:rsidR="003404F1">
        <w:rPr>
          <w:color w:val="0066FF"/>
        </w:rPr>
      </w:r>
      <w:r w:rsidR="003404F1">
        <w:rPr>
          <w:color w:val="0066FF"/>
        </w:rPr>
        <w:fldChar w:fldCharType="separate"/>
      </w:r>
      <w:r w:rsidR="00BE0EE6">
        <w:t xml:space="preserve">Table </w:t>
      </w:r>
      <w:r w:rsidR="00BE0EE6">
        <w:rPr>
          <w:noProof/>
        </w:rPr>
        <w:t>7</w:t>
      </w:r>
      <w:r w:rsidR="003404F1">
        <w:rPr>
          <w:color w:val="0066FF"/>
        </w:rPr>
        <w:fldChar w:fldCharType="end"/>
      </w:r>
      <w:r w:rsidR="003404F1">
        <w:rPr>
          <w:color w:val="0066FF"/>
        </w:rPr>
        <w:t>.</w:t>
      </w:r>
      <w:r w:rsidRPr="00EA1462">
        <w:rPr>
          <w:color w:val="0066FF"/>
        </w:rPr>
        <w:t xml:space="preserve"> </w:t>
      </w:r>
    </w:p>
    <w:p w14:paraId="4D9310C2" w14:textId="4F1B2756" w:rsidR="00616F99" w:rsidRDefault="00D6076E" w:rsidP="00616F99">
      <w:pPr>
        <w:pStyle w:val="TableFigureHeading"/>
      </w:pPr>
      <w:bookmarkStart w:id="58" w:name="_Ref111074754"/>
      <w:bookmarkStart w:id="59" w:name="_Ref111074745"/>
      <w:r>
        <w:t xml:space="preserve">Table </w:t>
      </w:r>
      <w:fldSimple w:instr=" SEQ Table \* ARABIC ">
        <w:r w:rsidR="00BE0EE6">
          <w:rPr>
            <w:noProof/>
          </w:rPr>
          <w:t>7</w:t>
        </w:r>
      </w:fldSimple>
      <w:bookmarkEnd w:id="58"/>
      <w:r>
        <w:t xml:space="preserve">: </w:t>
      </w:r>
      <w:r w:rsidR="005D26B4" w:rsidRPr="00D86231">
        <w:rPr>
          <w:rStyle w:val="CommentReference"/>
          <w:b/>
          <w:szCs w:val="24"/>
        </w:rPr>
        <w:t xml:space="preserve">Summary of key adverse events in </w:t>
      </w:r>
      <w:bookmarkEnd w:id="59"/>
      <w:r w:rsidR="003404F1">
        <w:rPr>
          <w:rStyle w:val="CommentReference"/>
          <w:b/>
          <w:szCs w:val="24"/>
        </w:rPr>
        <w:t>SPRINT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9"/>
      </w:tblGrid>
      <w:tr w:rsidR="00616F99" w:rsidRPr="00080909" w14:paraId="4BB1F726" w14:textId="77777777" w:rsidTr="00857968">
        <w:trPr>
          <w:tblHeader/>
        </w:trPr>
        <w:tc>
          <w:tcPr>
            <w:tcW w:w="2500" w:type="pct"/>
            <w:vAlign w:val="center"/>
          </w:tcPr>
          <w:p w14:paraId="06032D15" w14:textId="7821C215" w:rsidR="00616F99" w:rsidRPr="00080909" w:rsidRDefault="00857968" w:rsidP="00616F99">
            <w:pPr>
              <w:pStyle w:val="In-tableHeading"/>
            </w:pPr>
            <w:r>
              <w:t>SPRINT trial</w:t>
            </w:r>
          </w:p>
        </w:tc>
        <w:tc>
          <w:tcPr>
            <w:tcW w:w="2500" w:type="pct"/>
            <w:vAlign w:val="center"/>
          </w:tcPr>
          <w:p w14:paraId="42E530AE" w14:textId="77777777" w:rsidR="00616F99" w:rsidRDefault="00616F99" w:rsidP="00616F99">
            <w:pPr>
              <w:pStyle w:val="In-tableHeading"/>
              <w:jc w:val="center"/>
            </w:pPr>
            <w:r>
              <w:t>Selumetinib</w:t>
            </w:r>
          </w:p>
          <w:p w14:paraId="6D8969EF" w14:textId="77777777" w:rsidR="00616F99" w:rsidRDefault="00616F99" w:rsidP="00616F99">
            <w:pPr>
              <w:pStyle w:val="In-tableHeading"/>
              <w:jc w:val="center"/>
            </w:pPr>
            <w:r>
              <w:t>n with event/N (%)</w:t>
            </w:r>
          </w:p>
        </w:tc>
      </w:tr>
      <w:tr w:rsidR="00616F99" w14:paraId="02A70890" w14:textId="77777777" w:rsidTr="00857968">
        <w:tc>
          <w:tcPr>
            <w:tcW w:w="2500" w:type="pct"/>
            <w:vAlign w:val="center"/>
          </w:tcPr>
          <w:p w14:paraId="05635A6E" w14:textId="77777777" w:rsidR="00616F99" w:rsidRDefault="00616F99" w:rsidP="00616F99">
            <w:pPr>
              <w:pStyle w:val="TableText0"/>
            </w:pPr>
            <w:r>
              <w:t>Any AE</w:t>
            </w:r>
          </w:p>
        </w:tc>
        <w:tc>
          <w:tcPr>
            <w:tcW w:w="2500" w:type="pct"/>
            <w:vAlign w:val="center"/>
          </w:tcPr>
          <w:p w14:paraId="4F90D778" w14:textId="6B806A07" w:rsidR="00616F99" w:rsidRPr="00D726FA" w:rsidRDefault="00616F99" w:rsidP="00616F99">
            <w:pPr>
              <w:pStyle w:val="TableText0"/>
              <w:jc w:val="center"/>
            </w:pPr>
            <w:r w:rsidRPr="00D726FA">
              <w:t>49/50 (98%)</w:t>
            </w:r>
          </w:p>
        </w:tc>
      </w:tr>
      <w:tr w:rsidR="00616F99" w14:paraId="4F3E2C9B" w14:textId="77777777" w:rsidTr="00857968">
        <w:tc>
          <w:tcPr>
            <w:tcW w:w="2500" w:type="pct"/>
            <w:vAlign w:val="center"/>
          </w:tcPr>
          <w:p w14:paraId="5D003A5A" w14:textId="77777777" w:rsidR="00616F99" w:rsidRDefault="00616F99" w:rsidP="00616F99">
            <w:pPr>
              <w:pStyle w:val="TableText0"/>
              <w:rPr>
                <w:color w:val="000000"/>
                <w:lang w:val="en-US"/>
              </w:rPr>
            </w:pPr>
            <w:r>
              <w:rPr>
                <w:color w:val="000000"/>
                <w:lang w:val="en-US"/>
              </w:rPr>
              <w:t>Any severe AE (Grade ≥3)</w:t>
            </w:r>
          </w:p>
          <w:p w14:paraId="6CCB77D2" w14:textId="77777777" w:rsidR="00616F99" w:rsidRDefault="00616F99" w:rsidP="003F5A2D">
            <w:pPr>
              <w:pStyle w:val="TableText0"/>
              <w:numPr>
                <w:ilvl w:val="0"/>
                <w:numId w:val="7"/>
              </w:numPr>
            </w:pPr>
            <w:r>
              <w:t>Diarrhoea</w:t>
            </w:r>
          </w:p>
          <w:p w14:paraId="54C09E10" w14:textId="77777777" w:rsidR="00616F99" w:rsidRPr="005B65A5" w:rsidRDefault="00616F99" w:rsidP="003F5A2D">
            <w:pPr>
              <w:pStyle w:val="TableText0"/>
              <w:numPr>
                <w:ilvl w:val="0"/>
                <w:numId w:val="7"/>
              </w:numPr>
              <w:rPr>
                <w:color w:val="000000"/>
                <w:lang w:val="en-US"/>
              </w:rPr>
            </w:pPr>
            <w:r>
              <w:t>Vomiting</w:t>
            </w:r>
          </w:p>
          <w:p w14:paraId="7C7C9F81" w14:textId="77777777" w:rsidR="00616F99" w:rsidRDefault="00616F99" w:rsidP="003F5A2D">
            <w:pPr>
              <w:pStyle w:val="TableText0"/>
              <w:numPr>
                <w:ilvl w:val="0"/>
                <w:numId w:val="7"/>
              </w:numPr>
            </w:pPr>
            <w:r>
              <w:t>Blood CPK increased</w:t>
            </w:r>
          </w:p>
          <w:p w14:paraId="540013F2" w14:textId="77777777" w:rsidR="00616F99" w:rsidRPr="005B65A5" w:rsidRDefault="00616F99" w:rsidP="003F5A2D">
            <w:pPr>
              <w:pStyle w:val="TableText0"/>
              <w:numPr>
                <w:ilvl w:val="0"/>
                <w:numId w:val="7"/>
              </w:numPr>
              <w:rPr>
                <w:color w:val="000000"/>
                <w:lang w:val="en-US"/>
              </w:rPr>
            </w:pPr>
            <w:r>
              <w:t>Weight increased</w:t>
            </w:r>
          </w:p>
          <w:p w14:paraId="2209FCF6" w14:textId="77777777" w:rsidR="00616F99" w:rsidRPr="000E49D8" w:rsidRDefault="00616F99" w:rsidP="003F5A2D">
            <w:pPr>
              <w:pStyle w:val="Default"/>
              <w:numPr>
                <w:ilvl w:val="0"/>
                <w:numId w:val="7"/>
              </w:numPr>
              <w:rPr>
                <w:rFonts w:ascii="Arial Narrow" w:eastAsiaTheme="majorEastAsia" w:hAnsi="Arial Narrow" w:cstheme="majorBidi"/>
                <w:bCs/>
                <w:color w:val="auto"/>
                <w:sz w:val="20"/>
              </w:rPr>
            </w:pPr>
            <w:r w:rsidRPr="000E49D8">
              <w:rPr>
                <w:rFonts w:ascii="Arial Narrow" w:eastAsiaTheme="majorEastAsia" w:hAnsi="Arial Narrow" w:cstheme="majorBidi"/>
                <w:bCs/>
                <w:color w:val="auto"/>
                <w:sz w:val="20"/>
              </w:rPr>
              <w:t xml:space="preserve">Paronychia </w:t>
            </w:r>
          </w:p>
          <w:p w14:paraId="743A3F3B" w14:textId="77777777" w:rsidR="00616F99" w:rsidRPr="000E49D8" w:rsidRDefault="00616F99" w:rsidP="003F5A2D">
            <w:pPr>
              <w:pStyle w:val="TableText0"/>
              <w:numPr>
                <w:ilvl w:val="0"/>
                <w:numId w:val="7"/>
              </w:numPr>
              <w:rPr>
                <w:color w:val="000000"/>
                <w:lang w:val="en-US"/>
              </w:rPr>
            </w:pPr>
            <w:r>
              <w:t>Dermatitis acneiform</w:t>
            </w:r>
          </w:p>
          <w:p w14:paraId="7998C0C7" w14:textId="77777777" w:rsidR="00616F99" w:rsidRPr="000E49D8" w:rsidRDefault="00616F99" w:rsidP="003F5A2D">
            <w:pPr>
              <w:pStyle w:val="TableText0"/>
              <w:numPr>
                <w:ilvl w:val="0"/>
                <w:numId w:val="7"/>
              </w:numPr>
              <w:rPr>
                <w:color w:val="000000"/>
                <w:lang w:val="en-US"/>
              </w:rPr>
            </w:pPr>
            <w:r>
              <w:t>Pyrexia</w:t>
            </w:r>
          </w:p>
          <w:p w14:paraId="7428865B" w14:textId="77777777" w:rsidR="00616F99" w:rsidRPr="000E49D8" w:rsidRDefault="00616F99" w:rsidP="003F5A2D">
            <w:pPr>
              <w:pStyle w:val="TableText0"/>
              <w:numPr>
                <w:ilvl w:val="0"/>
                <w:numId w:val="7"/>
              </w:numPr>
              <w:rPr>
                <w:color w:val="000000"/>
                <w:lang w:val="en-US"/>
              </w:rPr>
            </w:pPr>
            <w:r>
              <w:t>Fracture</w:t>
            </w:r>
          </w:p>
          <w:p w14:paraId="51B738D5" w14:textId="77777777" w:rsidR="00616F99" w:rsidRDefault="00616F99" w:rsidP="003F5A2D">
            <w:pPr>
              <w:pStyle w:val="TableText0"/>
              <w:numPr>
                <w:ilvl w:val="0"/>
                <w:numId w:val="7"/>
              </w:numPr>
              <w:rPr>
                <w:color w:val="000000"/>
                <w:lang w:val="en-US"/>
              </w:rPr>
            </w:pPr>
            <w:r>
              <w:rPr>
                <w:color w:val="000000"/>
                <w:lang w:val="en-US"/>
              </w:rPr>
              <w:t>Syncope</w:t>
            </w:r>
          </w:p>
          <w:p w14:paraId="7D0C333E" w14:textId="77777777" w:rsidR="00616F99" w:rsidRPr="00A87457" w:rsidRDefault="00616F99" w:rsidP="003F5A2D">
            <w:pPr>
              <w:pStyle w:val="TableText0"/>
              <w:numPr>
                <w:ilvl w:val="0"/>
                <w:numId w:val="7"/>
              </w:numPr>
              <w:rPr>
                <w:color w:val="000000"/>
                <w:lang w:val="en-US"/>
              </w:rPr>
            </w:pPr>
            <w:r>
              <w:rPr>
                <w:color w:val="000000"/>
                <w:lang w:val="en-US"/>
              </w:rPr>
              <w:t>Hypoxia</w:t>
            </w:r>
          </w:p>
        </w:tc>
        <w:tc>
          <w:tcPr>
            <w:tcW w:w="2500" w:type="pct"/>
          </w:tcPr>
          <w:p w14:paraId="5816D8FE" w14:textId="387079C4" w:rsidR="00616F99" w:rsidRPr="00D726FA" w:rsidRDefault="00616F99" w:rsidP="00616F99">
            <w:pPr>
              <w:pStyle w:val="TableText0"/>
              <w:jc w:val="center"/>
            </w:pPr>
            <w:r w:rsidRPr="00D726FA">
              <w:t>34/50 (68%)</w:t>
            </w:r>
          </w:p>
          <w:p w14:paraId="7F8F71B2" w14:textId="4DFC2B58" w:rsidR="00616F99" w:rsidRPr="00D726FA" w:rsidRDefault="00616F99" w:rsidP="00616F99">
            <w:pPr>
              <w:pStyle w:val="TableText0"/>
              <w:jc w:val="center"/>
            </w:pPr>
            <w:r w:rsidRPr="00D726FA">
              <w:t>8/50 (16%)</w:t>
            </w:r>
          </w:p>
          <w:p w14:paraId="3D09A94F" w14:textId="5E17B252" w:rsidR="00616F99" w:rsidRPr="00D726FA" w:rsidRDefault="00616F99" w:rsidP="00616F99">
            <w:pPr>
              <w:pStyle w:val="TableText0"/>
              <w:jc w:val="center"/>
            </w:pPr>
            <w:r w:rsidRPr="00D726FA">
              <w:t>4/50 (8%)</w:t>
            </w:r>
          </w:p>
          <w:p w14:paraId="36B1080D" w14:textId="4E20EE72" w:rsidR="00616F99" w:rsidRPr="00D726FA" w:rsidRDefault="00616F99" w:rsidP="00616F99">
            <w:pPr>
              <w:pStyle w:val="TableText0"/>
              <w:jc w:val="center"/>
            </w:pPr>
            <w:r w:rsidRPr="00D726FA">
              <w:t>3/50 (6%)</w:t>
            </w:r>
          </w:p>
          <w:p w14:paraId="408EB815" w14:textId="60687284" w:rsidR="00616F99" w:rsidRPr="00D726FA" w:rsidRDefault="00616F99" w:rsidP="00616F99">
            <w:pPr>
              <w:pStyle w:val="TableText0"/>
              <w:jc w:val="center"/>
            </w:pPr>
            <w:r w:rsidRPr="00D726FA">
              <w:t>4/50 (8%)</w:t>
            </w:r>
          </w:p>
          <w:p w14:paraId="3E38E3E8" w14:textId="21FE0966" w:rsidR="00616F99" w:rsidRPr="00D726FA" w:rsidRDefault="00616F99" w:rsidP="00616F99">
            <w:pPr>
              <w:pStyle w:val="TableText0"/>
              <w:jc w:val="center"/>
            </w:pPr>
            <w:r w:rsidRPr="00D726FA">
              <w:t>4/50 (8%)</w:t>
            </w:r>
          </w:p>
          <w:p w14:paraId="278C12CD" w14:textId="29BB408F" w:rsidR="00616F99" w:rsidRPr="00D726FA" w:rsidRDefault="00616F99" w:rsidP="00616F99">
            <w:pPr>
              <w:pStyle w:val="TableText0"/>
              <w:jc w:val="center"/>
            </w:pPr>
            <w:r w:rsidRPr="00D726FA">
              <w:t>3/50 (6%)</w:t>
            </w:r>
          </w:p>
          <w:p w14:paraId="43B9FBF1" w14:textId="0FA871C3" w:rsidR="00616F99" w:rsidRPr="00D726FA" w:rsidRDefault="00616F99" w:rsidP="00616F99">
            <w:pPr>
              <w:pStyle w:val="TableText0"/>
              <w:jc w:val="center"/>
            </w:pPr>
            <w:r w:rsidRPr="00D726FA">
              <w:t>4/50 (8%)</w:t>
            </w:r>
          </w:p>
          <w:p w14:paraId="5103329A" w14:textId="4C210813" w:rsidR="00616F99" w:rsidRPr="00D726FA" w:rsidRDefault="00616F99" w:rsidP="00616F99">
            <w:pPr>
              <w:pStyle w:val="TableText0"/>
              <w:jc w:val="center"/>
            </w:pPr>
            <w:r w:rsidRPr="00D726FA">
              <w:t>3/50 (6%)</w:t>
            </w:r>
          </w:p>
          <w:p w14:paraId="02B926ED" w14:textId="2A3FB09F" w:rsidR="00616F99" w:rsidRPr="00D726FA" w:rsidRDefault="00616F99" w:rsidP="00616F99">
            <w:pPr>
              <w:pStyle w:val="TableText0"/>
              <w:jc w:val="center"/>
            </w:pPr>
            <w:r w:rsidRPr="00D726FA">
              <w:t>3/50 (6%)</w:t>
            </w:r>
          </w:p>
          <w:p w14:paraId="1416F192" w14:textId="686796EE" w:rsidR="00616F99" w:rsidRPr="00D726FA" w:rsidRDefault="00616F99" w:rsidP="00616F99">
            <w:pPr>
              <w:pStyle w:val="TableText0"/>
              <w:jc w:val="center"/>
            </w:pPr>
            <w:r w:rsidRPr="00D726FA">
              <w:t>4/50 (8%)</w:t>
            </w:r>
          </w:p>
        </w:tc>
      </w:tr>
      <w:tr w:rsidR="00616F99" w14:paraId="62EE5D9F" w14:textId="77777777" w:rsidTr="00857968">
        <w:tc>
          <w:tcPr>
            <w:tcW w:w="2500" w:type="pct"/>
            <w:vAlign w:val="center"/>
          </w:tcPr>
          <w:p w14:paraId="1F421A7D" w14:textId="77777777" w:rsidR="00616F99" w:rsidRDefault="00616F99" w:rsidP="00616F99">
            <w:pPr>
              <w:pStyle w:val="TableText0"/>
            </w:pPr>
            <w:r>
              <w:t>Any serious AE</w:t>
            </w:r>
          </w:p>
        </w:tc>
        <w:tc>
          <w:tcPr>
            <w:tcW w:w="2500" w:type="pct"/>
          </w:tcPr>
          <w:p w14:paraId="45FF01A1" w14:textId="69161A20" w:rsidR="00616F99" w:rsidRPr="00D726FA" w:rsidRDefault="00616F99" w:rsidP="00616F99">
            <w:pPr>
              <w:pStyle w:val="TableText0"/>
              <w:jc w:val="center"/>
            </w:pPr>
            <w:r w:rsidRPr="00D726FA">
              <w:t>15/50 (30%)</w:t>
            </w:r>
          </w:p>
        </w:tc>
      </w:tr>
      <w:tr w:rsidR="00616F99" w14:paraId="7854E158" w14:textId="77777777" w:rsidTr="00857968">
        <w:tc>
          <w:tcPr>
            <w:tcW w:w="2500" w:type="pct"/>
            <w:vAlign w:val="center"/>
          </w:tcPr>
          <w:p w14:paraId="6D8A7852" w14:textId="77777777" w:rsidR="00616F99" w:rsidRDefault="00616F99" w:rsidP="00616F99">
            <w:pPr>
              <w:pStyle w:val="TableText0"/>
            </w:pPr>
            <w:r>
              <w:t>Death</w:t>
            </w:r>
          </w:p>
        </w:tc>
        <w:tc>
          <w:tcPr>
            <w:tcW w:w="2500" w:type="pct"/>
          </w:tcPr>
          <w:p w14:paraId="7436E0A4" w14:textId="77777777" w:rsidR="00616F99" w:rsidRPr="00D726FA" w:rsidRDefault="00616F99" w:rsidP="00616F99">
            <w:pPr>
              <w:pStyle w:val="TableText0"/>
              <w:jc w:val="center"/>
            </w:pPr>
            <w:r w:rsidRPr="00D726FA">
              <w:t>0</w:t>
            </w:r>
          </w:p>
        </w:tc>
      </w:tr>
      <w:tr w:rsidR="00616F99" w14:paraId="1F167677" w14:textId="77777777" w:rsidTr="00857968">
        <w:tc>
          <w:tcPr>
            <w:tcW w:w="2500" w:type="pct"/>
            <w:vAlign w:val="center"/>
          </w:tcPr>
          <w:p w14:paraId="6B55F137" w14:textId="77777777" w:rsidR="00616F99" w:rsidRDefault="00616F99" w:rsidP="00616F99">
            <w:pPr>
              <w:pStyle w:val="TableText0"/>
            </w:pPr>
            <w:r w:rsidRPr="00E42640">
              <w:t>Any AE leading to discontinuation</w:t>
            </w:r>
          </w:p>
        </w:tc>
        <w:tc>
          <w:tcPr>
            <w:tcW w:w="2500" w:type="pct"/>
          </w:tcPr>
          <w:p w14:paraId="5B13BBBF" w14:textId="0FF52C86" w:rsidR="00616F99" w:rsidRPr="00D726FA" w:rsidRDefault="00616F99" w:rsidP="00616F99">
            <w:pPr>
              <w:pStyle w:val="TableText0"/>
              <w:jc w:val="center"/>
            </w:pPr>
            <w:r w:rsidRPr="00D726FA">
              <w:t>6/50 (12%)</w:t>
            </w:r>
          </w:p>
        </w:tc>
      </w:tr>
      <w:tr w:rsidR="00616F99" w14:paraId="057C1B43" w14:textId="77777777" w:rsidTr="00857968">
        <w:tc>
          <w:tcPr>
            <w:tcW w:w="2500" w:type="pct"/>
            <w:vAlign w:val="center"/>
          </w:tcPr>
          <w:p w14:paraId="3BCB722C" w14:textId="77777777" w:rsidR="00616F99" w:rsidRDefault="00616F99" w:rsidP="00616F99">
            <w:pPr>
              <w:pStyle w:val="TableText0"/>
            </w:pPr>
            <w:r w:rsidRPr="0018612F">
              <w:t xml:space="preserve">Any AE leading to dose reduction </w:t>
            </w:r>
          </w:p>
        </w:tc>
        <w:tc>
          <w:tcPr>
            <w:tcW w:w="2500" w:type="pct"/>
          </w:tcPr>
          <w:p w14:paraId="06E7CBA5" w14:textId="4BB9BD90" w:rsidR="00616F99" w:rsidRPr="00D726FA" w:rsidRDefault="00616F99" w:rsidP="00616F99">
            <w:pPr>
              <w:pStyle w:val="TableText0"/>
              <w:jc w:val="center"/>
            </w:pPr>
            <w:r w:rsidRPr="00D726FA">
              <w:t>16/50 (32%)</w:t>
            </w:r>
          </w:p>
        </w:tc>
      </w:tr>
      <w:tr w:rsidR="00616F99" w14:paraId="213AF342" w14:textId="77777777" w:rsidTr="00857968">
        <w:tc>
          <w:tcPr>
            <w:tcW w:w="2500" w:type="pct"/>
            <w:vAlign w:val="center"/>
          </w:tcPr>
          <w:p w14:paraId="052E942A" w14:textId="77777777" w:rsidR="00616F99" w:rsidRDefault="00616F99" w:rsidP="001C30D8">
            <w:pPr>
              <w:pStyle w:val="TableText0"/>
            </w:pPr>
            <w:r w:rsidRPr="0018612F">
              <w:t>Any AE leading to dose interruption</w:t>
            </w:r>
          </w:p>
        </w:tc>
        <w:tc>
          <w:tcPr>
            <w:tcW w:w="2500" w:type="pct"/>
          </w:tcPr>
          <w:p w14:paraId="66F6B2EC" w14:textId="2FAA0F96" w:rsidR="00616F99" w:rsidRPr="00D726FA" w:rsidRDefault="00616F99" w:rsidP="001C30D8">
            <w:pPr>
              <w:pStyle w:val="TableText0"/>
              <w:jc w:val="center"/>
            </w:pPr>
            <w:r w:rsidRPr="00D726FA">
              <w:t>43/50 (86%)</w:t>
            </w:r>
          </w:p>
        </w:tc>
      </w:tr>
    </w:tbl>
    <w:p w14:paraId="091B58D4" w14:textId="77777777" w:rsidR="00EC4A96" w:rsidRPr="00B1011F" w:rsidRDefault="00EC4A96" w:rsidP="00EC4A96">
      <w:pPr>
        <w:pStyle w:val="FooterTableFigure"/>
        <w:rPr>
          <w:sz w:val="20"/>
        </w:rPr>
      </w:pPr>
      <w:bookmarkStart w:id="60" w:name="_Toc22897643"/>
      <w:r>
        <w:t xml:space="preserve">Source: Table 2.38, p133 and Table 2.40, p136 of the submission. </w:t>
      </w:r>
    </w:p>
    <w:p w14:paraId="2E965939" w14:textId="5DCE51FD" w:rsidR="00F17153" w:rsidRDefault="00EC4A96" w:rsidP="00EC4A96">
      <w:pPr>
        <w:pStyle w:val="FooterTableFigure"/>
        <w:rPr>
          <w:rFonts w:eastAsia="Calibri"/>
        </w:rPr>
      </w:pPr>
      <w:r>
        <w:rPr>
          <w:rFonts w:eastAsia="Calibri"/>
        </w:rPr>
        <w:lastRenderedPageBreak/>
        <w:t xml:space="preserve">AE = adverse event, </w:t>
      </w:r>
      <w:r w:rsidRPr="00B40358">
        <w:rPr>
          <w:rFonts w:eastAsia="Calibri"/>
        </w:rPr>
        <w:t>n = number of participants reporting data</w:t>
      </w:r>
      <w:r>
        <w:rPr>
          <w:rFonts w:eastAsia="Calibri"/>
        </w:rPr>
        <w:t>,</w:t>
      </w:r>
      <w:r w:rsidRPr="00B40358">
        <w:rPr>
          <w:rFonts w:eastAsia="Calibri"/>
        </w:rPr>
        <w:t xml:space="preserve"> N = total participants in group</w:t>
      </w:r>
      <w:r>
        <w:rPr>
          <w:rFonts w:eastAsia="Calibri"/>
        </w:rPr>
        <w:t>.</w:t>
      </w:r>
    </w:p>
    <w:p w14:paraId="30294D69" w14:textId="563F07BD" w:rsidR="00F17153" w:rsidRDefault="00F17153" w:rsidP="00F17153">
      <w:pPr>
        <w:pStyle w:val="3-BodyText"/>
      </w:pPr>
      <w:r w:rsidRPr="00E01FB4">
        <w:t xml:space="preserve">In </w:t>
      </w:r>
      <w:r w:rsidR="000418F2">
        <w:t xml:space="preserve">the </w:t>
      </w:r>
      <w:r w:rsidRPr="00E01FB4">
        <w:t xml:space="preserve">SPRINT trial, 34 (68%) patients </w:t>
      </w:r>
      <w:r w:rsidR="00DF2A1B">
        <w:t>experienced any severe adverse events</w:t>
      </w:r>
      <w:r w:rsidRPr="00E01FB4">
        <w:t xml:space="preserve"> (AE</w:t>
      </w:r>
      <w:r w:rsidR="00DF2A1B">
        <w:t>s</w:t>
      </w:r>
      <w:r w:rsidRPr="00E01FB4">
        <w:t>) (</w:t>
      </w:r>
      <w:r w:rsidR="00DF2A1B">
        <w:t>G</w:t>
      </w:r>
      <w:r w:rsidRPr="00E01FB4">
        <w:t>rade ≥</w:t>
      </w:r>
      <w:r w:rsidR="002D1858">
        <w:t xml:space="preserve"> </w:t>
      </w:r>
      <w:r w:rsidRPr="00E01FB4">
        <w:t xml:space="preserve">3), 15 (30%) patients had serious AEs and </w:t>
      </w:r>
      <w:r w:rsidR="00DF2A1B">
        <w:t>6</w:t>
      </w:r>
      <w:r w:rsidR="00DF2A1B" w:rsidRPr="00E01FB4">
        <w:t xml:space="preserve"> </w:t>
      </w:r>
      <w:r w:rsidRPr="00E01FB4">
        <w:t>(1</w:t>
      </w:r>
      <w:r w:rsidR="00DF2A1B">
        <w:t>2</w:t>
      </w:r>
      <w:r w:rsidRPr="00E01FB4">
        <w:t>%) patients had a</w:t>
      </w:r>
      <w:r w:rsidR="00DF2A1B">
        <w:t xml:space="preserve">n </w:t>
      </w:r>
      <w:r w:rsidRPr="00E01FB4">
        <w:t xml:space="preserve">AE leading to discontinuation. </w:t>
      </w:r>
      <w:r w:rsidR="00030FCA">
        <w:t>T</w:t>
      </w:r>
      <w:r w:rsidRPr="00E01FB4">
        <w:t xml:space="preserve">he most frequently reported </w:t>
      </w:r>
      <w:r w:rsidR="00DF2A1B">
        <w:t xml:space="preserve">severe </w:t>
      </w:r>
      <w:r w:rsidRPr="00E01FB4">
        <w:t>AEs (grade ≥</w:t>
      </w:r>
      <w:r w:rsidR="002D1858">
        <w:t xml:space="preserve"> </w:t>
      </w:r>
      <w:r w:rsidRPr="00E01FB4">
        <w:t>3) were diarrhoea (16%), hypoxia (8%), paronychia (8%), pyrexia (8%), vomiting (8%), and increased weight (8%).</w:t>
      </w:r>
    </w:p>
    <w:p w14:paraId="03A0C442" w14:textId="67B164B6" w:rsidR="001F4831" w:rsidRPr="00E331B7" w:rsidRDefault="001F4831" w:rsidP="00F17153">
      <w:pPr>
        <w:pStyle w:val="3-BodyText"/>
      </w:pPr>
      <w:bookmarkStart w:id="61" w:name="_Ref116373586"/>
      <w:r w:rsidRPr="00E331B7">
        <w:t xml:space="preserve">The ESC noted </w:t>
      </w:r>
      <w:r w:rsidR="00F907A4" w:rsidRPr="00E331B7">
        <w:t>26/50 (52%) of patients discontinued treatment, with reasons for discontinuation including adverse event (6 patients), disease progression (6 patients), investigator discretion (6 patients), patient not willing to continue (3 patients), complicating illness (2 patients), treatment period completed (1 patient), non-compliance with protocol (1 patient) and other (1 patient)</w:t>
      </w:r>
      <w:r w:rsidR="00F907A4" w:rsidRPr="00E331B7">
        <w:rPr>
          <w:rStyle w:val="FootnoteReference"/>
        </w:rPr>
        <w:footnoteReference w:id="4"/>
      </w:r>
      <w:r w:rsidR="00F907A4" w:rsidRPr="00E331B7">
        <w:t>.</w:t>
      </w:r>
      <w:bookmarkEnd w:id="61"/>
      <w:r w:rsidR="00F907A4" w:rsidRPr="00E331B7">
        <w:t xml:space="preserve">  </w:t>
      </w:r>
    </w:p>
    <w:p w14:paraId="04908C7F" w14:textId="415B9B7D" w:rsidR="007F1017" w:rsidRPr="00C9624D" w:rsidRDefault="007F1017" w:rsidP="00D86231">
      <w:pPr>
        <w:pStyle w:val="4-SubsectionHeading"/>
      </w:pPr>
      <w:bookmarkStart w:id="62" w:name="_Toc114041591"/>
      <w:r w:rsidRPr="00C9624D">
        <w:t>Benefits/harms</w:t>
      </w:r>
      <w:bookmarkEnd w:id="60"/>
      <w:bookmarkEnd w:id="62"/>
    </w:p>
    <w:p w14:paraId="7398D11E" w14:textId="1033D8CA" w:rsidR="007F1017" w:rsidRPr="00D2155B" w:rsidRDefault="00E926A5" w:rsidP="00D2155B">
      <w:pPr>
        <w:pStyle w:val="3-BodyText"/>
      </w:pPr>
      <w:r w:rsidRPr="00D2155B">
        <w:rPr>
          <w:snapToGrid/>
          <w:lang w:val="en-US"/>
        </w:rPr>
        <w:t xml:space="preserve">The indirect comparison presented in the submission did not allow for a </w:t>
      </w:r>
      <w:r w:rsidR="0085309D" w:rsidRPr="00D2155B">
        <w:rPr>
          <w:snapToGrid/>
          <w:lang w:val="en-US"/>
        </w:rPr>
        <w:t xml:space="preserve">quantitative </w:t>
      </w:r>
      <w:r w:rsidRPr="00D2155B">
        <w:rPr>
          <w:snapToGrid/>
          <w:lang w:val="en-US"/>
        </w:rPr>
        <w:t xml:space="preserve">comparison of the benefits and harms of </w:t>
      </w:r>
      <w:r w:rsidR="0092119E">
        <w:rPr>
          <w:snapToGrid/>
          <w:lang w:val="en-US"/>
        </w:rPr>
        <w:t>selumetinib</w:t>
      </w:r>
      <w:r w:rsidRPr="00D2155B">
        <w:rPr>
          <w:snapToGrid/>
          <w:lang w:val="en-US"/>
        </w:rPr>
        <w:t xml:space="preserve"> and </w:t>
      </w:r>
      <w:r w:rsidR="0092119E">
        <w:rPr>
          <w:snapToGrid/>
          <w:lang w:val="en-US"/>
        </w:rPr>
        <w:t>supportive care</w:t>
      </w:r>
      <w:r w:rsidRPr="00D2155B">
        <w:rPr>
          <w:snapToGrid/>
          <w:lang w:val="en-US"/>
        </w:rPr>
        <w:t>. Accordingly, a benefits/harms table has not been presented.</w:t>
      </w:r>
    </w:p>
    <w:p w14:paraId="7A1772B6" w14:textId="23BB3145" w:rsidR="00B60939" w:rsidRPr="00C9624D" w:rsidRDefault="00B60939" w:rsidP="00E9094A">
      <w:pPr>
        <w:pStyle w:val="4-SubsectionHeading"/>
      </w:pPr>
      <w:bookmarkStart w:id="63" w:name="_Toc22897644"/>
      <w:bookmarkStart w:id="64" w:name="_Toc114041592"/>
      <w:r w:rsidRPr="00C9624D">
        <w:t>Clinical claim</w:t>
      </w:r>
      <w:bookmarkEnd w:id="63"/>
      <w:bookmarkEnd w:id="64"/>
    </w:p>
    <w:p w14:paraId="50057EA4" w14:textId="1DB5BB80" w:rsidR="00AE2765" w:rsidRPr="00E331B7" w:rsidRDefault="005F7588" w:rsidP="00AE2765">
      <w:pPr>
        <w:pStyle w:val="3-BodyText"/>
        <w:spacing w:after="0"/>
        <w:rPr>
          <w:rFonts w:eastAsia="Calibri"/>
        </w:rPr>
      </w:pPr>
      <w:bookmarkStart w:id="65" w:name="_Ref120871280"/>
      <w:r w:rsidRPr="00E331B7">
        <w:rPr>
          <w:rFonts w:eastAsia="Calibri"/>
        </w:rPr>
        <w:t xml:space="preserve">The submission described </w:t>
      </w:r>
      <w:r w:rsidR="00E11BAB" w:rsidRPr="00E331B7">
        <w:rPr>
          <w:rFonts w:eastAsia="Calibri"/>
        </w:rPr>
        <w:t>selumetinib</w:t>
      </w:r>
      <w:r w:rsidRPr="00E331B7">
        <w:rPr>
          <w:rFonts w:eastAsia="Calibri"/>
        </w:rPr>
        <w:t xml:space="preserve"> as superior</w:t>
      </w:r>
      <w:r w:rsidR="00E11BAB" w:rsidRPr="00E331B7">
        <w:rPr>
          <w:rFonts w:eastAsia="Calibri"/>
        </w:rPr>
        <w:t xml:space="preserve"> </w:t>
      </w:r>
      <w:r w:rsidRPr="00E331B7">
        <w:rPr>
          <w:rFonts w:eastAsia="Calibri"/>
        </w:rPr>
        <w:t xml:space="preserve">in terms of effectiveness compared to </w:t>
      </w:r>
      <w:r w:rsidR="00E11BAB" w:rsidRPr="00E331B7">
        <w:rPr>
          <w:rFonts w:eastAsia="Calibri"/>
        </w:rPr>
        <w:t xml:space="preserve">supportive care. </w:t>
      </w:r>
      <w:r w:rsidRPr="00E331B7">
        <w:rPr>
          <w:rFonts w:eastAsia="Calibri"/>
        </w:rPr>
        <w:t>Th</w:t>
      </w:r>
      <w:r w:rsidR="002E3BB0" w:rsidRPr="00E331B7">
        <w:rPr>
          <w:rFonts w:eastAsia="Calibri"/>
        </w:rPr>
        <w:t xml:space="preserve">e ESC </w:t>
      </w:r>
      <w:r w:rsidR="00DF2A1B">
        <w:rPr>
          <w:rFonts w:eastAsia="Calibri"/>
        </w:rPr>
        <w:t xml:space="preserve">and PBAC </w:t>
      </w:r>
      <w:r w:rsidR="002E3BB0" w:rsidRPr="00E331B7">
        <w:rPr>
          <w:rFonts w:eastAsia="Calibri"/>
        </w:rPr>
        <w:t>considered that th</w:t>
      </w:r>
      <w:r w:rsidRPr="00E331B7">
        <w:rPr>
          <w:rFonts w:eastAsia="Calibri"/>
        </w:rPr>
        <w:t xml:space="preserve">is claim was </w:t>
      </w:r>
      <w:r w:rsidR="007C70FF" w:rsidRPr="00E331B7">
        <w:rPr>
          <w:rFonts w:eastAsia="Calibri"/>
        </w:rPr>
        <w:t>adequately supported</w:t>
      </w:r>
      <w:r w:rsidR="00AE2765" w:rsidRPr="00E331B7">
        <w:rPr>
          <w:rFonts w:eastAsia="Calibri"/>
        </w:rPr>
        <w:t xml:space="preserve">; </w:t>
      </w:r>
      <w:r w:rsidR="00B237F9" w:rsidRPr="00E331B7">
        <w:rPr>
          <w:rFonts w:eastAsia="Calibri"/>
        </w:rPr>
        <w:t xml:space="preserve">however, </w:t>
      </w:r>
      <w:r w:rsidR="00B237F9">
        <w:rPr>
          <w:rFonts w:eastAsia="Calibri"/>
        </w:rPr>
        <w:t>noted</w:t>
      </w:r>
      <w:r w:rsidR="00C47D48">
        <w:rPr>
          <w:rFonts w:eastAsia="Calibri"/>
        </w:rPr>
        <w:t xml:space="preserve"> the following</w:t>
      </w:r>
      <w:r w:rsidR="004D0AC9" w:rsidRPr="00E331B7">
        <w:rPr>
          <w:rFonts w:eastAsia="Calibri"/>
        </w:rPr>
        <w:t xml:space="preserve"> uncertain</w:t>
      </w:r>
      <w:r w:rsidR="00C47D48">
        <w:rPr>
          <w:rFonts w:eastAsia="Calibri"/>
        </w:rPr>
        <w:t>ties remained</w:t>
      </w:r>
      <w:r w:rsidR="00AE2765" w:rsidRPr="00E331B7">
        <w:rPr>
          <w:rFonts w:eastAsia="Calibri"/>
        </w:rPr>
        <w:t>:</w:t>
      </w:r>
      <w:bookmarkEnd w:id="65"/>
      <w:r w:rsidR="00AE2765" w:rsidRPr="00E331B7">
        <w:rPr>
          <w:rFonts w:eastAsia="Calibri"/>
        </w:rPr>
        <w:t xml:space="preserve"> </w:t>
      </w:r>
    </w:p>
    <w:p w14:paraId="4588A58E" w14:textId="11D9060A" w:rsidR="001301F4" w:rsidRPr="00E331B7" w:rsidRDefault="001301F4" w:rsidP="00F70F2C">
      <w:pPr>
        <w:pStyle w:val="ListParagraph"/>
        <w:spacing w:after="0"/>
        <w:ind w:left="1134"/>
      </w:pPr>
      <w:r w:rsidRPr="00E331B7">
        <w:t xml:space="preserve">The clinical evidence </w:t>
      </w:r>
      <w:r w:rsidR="002E3BB0" w:rsidRPr="00E331B7">
        <w:t xml:space="preserve">for selumetinib </w:t>
      </w:r>
      <w:r w:rsidRPr="00E331B7">
        <w:t xml:space="preserve">was based on the SPRINT trial, a single-arm, open-label study with a small sample size (N=50). </w:t>
      </w:r>
      <w:r w:rsidR="004D0AC9" w:rsidRPr="00E331B7">
        <w:t>The PSCR stated that clinical trials in paediatric patients were limited by the rare nature and high heterogeneity of NF1 PN.</w:t>
      </w:r>
    </w:p>
    <w:p w14:paraId="23DC6523" w14:textId="422DD840" w:rsidR="00F55AF9" w:rsidRPr="00E331B7" w:rsidRDefault="001301F4" w:rsidP="00F55AF9">
      <w:pPr>
        <w:pStyle w:val="ListParagraph"/>
        <w:spacing w:after="0"/>
        <w:ind w:left="1134"/>
      </w:pPr>
      <w:r w:rsidRPr="00E331B7">
        <w:t xml:space="preserve">The </w:t>
      </w:r>
      <w:r w:rsidR="002E3BB0" w:rsidRPr="00E331B7">
        <w:t xml:space="preserve">comparison with supportive care </w:t>
      </w:r>
      <w:r w:rsidRPr="00E331B7">
        <w:t xml:space="preserve">was based on two </w:t>
      </w:r>
      <w:r w:rsidR="002E3BB0" w:rsidRPr="00E331B7">
        <w:t xml:space="preserve">unanchored indirect </w:t>
      </w:r>
      <w:r w:rsidRPr="00E331B7">
        <w:t>comparisons: the SPRINT trial versus the NH study and the SPRINT trial versus the placebo arm of the 01-C-0222 trial</w:t>
      </w:r>
      <w:r w:rsidR="00F55AF9">
        <w:t xml:space="preserve"> and t</w:t>
      </w:r>
      <w:r w:rsidR="00F55AF9" w:rsidRPr="00E331B7">
        <w:t>here were transitivity issues between the studies relating to age, PN location, proportion of patients with progressive PN and PN volume.</w:t>
      </w:r>
    </w:p>
    <w:p w14:paraId="325ABBA6" w14:textId="4A90F835" w:rsidR="00360CA9" w:rsidRPr="00E331B7" w:rsidRDefault="001301F4" w:rsidP="00F70F2C">
      <w:pPr>
        <w:pStyle w:val="ListParagraph"/>
        <w:spacing w:after="0"/>
        <w:ind w:left="1134"/>
      </w:pPr>
      <w:r w:rsidRPr="00E331B7">
        <w:t>Progression</w:t>
      </w:r>
      <w:r w:rsidR="006912E6" w:rsidRPr="00E331B7">
        <w:t xml:space="preserve"> </w:t>
      </w:r>
      <w:r w:rsidRPr="00E331B7">
        <w:t>was defined as ≥</w:t>
      </w:r>
      <w:r w:rsidR="002E3BB0" w:rsidRPr="00E331B7">
        <w:t xml:space="preserve"> </w:t>
      </w:r>
      <w:r w:rsidRPr="00E331B7">
        <w:t xml:space="preserve">20% increase in PN volume; however, </w:t>
      </w:r>
      <w:r w:rsidR="00684B75">
        <w:t xml:space="preserve">the </w:t>
      </w:r>
      <w:r w:rsidRPr="00E331B7">
        <w:t>SPRINT trial did not find direct correlation between change in neurofibroma size and PROs or functional responses.</w:t>
      </w:r>
    </w:p>
    <w:p w14:paraId="3F48D2FA" w14:textId="6C4EFCC3" w:rsidR="001301F4" w:rsidRPr="00E331B7" w:rsidRDefault="001301F4" w:rsidP="00F70F2C">
      <w:pPr>
        <w:pStyle w:val="ListParagraph"/>
        <w:spacing w:after="0"/>
        <w:ind w:left="1134"/>
      </w:pPr>
      <w:r w:rsidRPr="00E331B7">
        <w:t xml:space="preserve">Most of the PROs </w:t>
      </w:r>
      <w:r w:rsidR="002E3BB0" w:rsidRPr="00E331B7">
        <w:t xml:space="preserve">presented </w:t>
      </w:r>
      <w:r w:rsidRPr="00E331B7">
        <w:t>in the submission (except for Pain Interference Index and visual acuity), have not been validated in patients with PN and no validated clinically meaningful thresholds exist for this population.</w:t>
      </w:r>
    </w:p>
    <w:p w14:paraId="060B50EF" w14:textId="6AA5D998" w:rsidR="001301F4" w:rsidRPr="00E331B7" w:rsidRDefault="001301F4" w:rsidP="00094100">
      <w:pPr>
        <w:pStyle w:val="ListParagraph"/>
        <w:ind w:left="1134" w:hanging="357"/>
      </w:pPr>
      <w:r w:rsidRPr="00E331B7">
        <w:t xml:space="preserve">There </w:t>
      </w:r>
      <w:r w:rsidR="00DF2A1B">
        <w:t>wa</w:t>
      </w:r>
      <w:r w:rsidRPr="00E331B7">
        <w:t>s a lack of clinical evidence assessing the effectiveness of selumetinib in patients &gt;</w:t>
      </w:r>
      <w:r w:rsidR="002E3BB0" w:rsidRPr="00E331B7">
        <w:t xml:space="preserve"> </w:t>
      </w:r>
      <w:r w:rsidRPr="00E331B7">
        <w:t>18 years old.</w:t>
      </w:r>
    </w:p>
    <w:p w14:paraId="05D4B8FD" w14:textId="33EBBF19" w:rsidR="009006B9" w:rsidRPr="00E331B7" w:rsidRDefault="005F7588" w:rsidP="00746F7C">
      <w:pPr>
        <w:pStyle w:val="3-BodyText"/>
        <w:spacing w:after="0"/>
        <w:rPr>
          <w:rFonts w:eastAsia="Calibri"/>
        </w:rPr>
      </w:pPr>
      <w:r w:rsidRPr="00E331B7">
        <w:rPr>
          <w:rFonts w:eastAsia="Calibri"/>
        </w:rPr>
        <w:lastRenderedPageBreak/>
        <w:t xml:space="preserve">The submission described </w:t>
      </w:r>
      <w:r w:rsidR="00AE2765" w:rsidRPr="00E331B7">
        <w:rPr>
          <w:rFonts w:eastAsia="Calibri"/>
        </w:rPr>
        <w:t>selumetinib</w:t>
      </w:r>
      <w:r w:rsidRPr="00E331B7">
        <w:rPr>
          <w:rFonts w:eastAsia="Calibri"/>
        </w:rPr>
        <w:t xml:space="preserve"> as non-inferior</w:t>
      </w:r>
      <w:r w:rsidR="00AE2765" w:rsidRPr="00E331B7">
        <w:rPr>
          <w:rFonts w:eastAsia="Calibri"/>
        </w:rPr>
        <w:t xml:space="preserve"> </w:t>
      </w:r>
      <w:r w:rsidRPr="00E331B7">
        <w:rPr>
          <w:rFonts w:eastAsia="Calibri"/>
        </w:rPr>
        <w:t>in term</w:t>
      </w:r>
      <w:r w:rsidR="00156F8F" w:rsidRPr="00E331B7">
        <w:rPr>
          <w:rFonts w:eastAsia="Calibri"/>
        </w:rPr>
        <w:t>s</w:t>
      </w:r>
      <w:r w:rsidRPr="00E331B7">
        <w:rPr>
          <w:rFonts w:eastAsia="Calibri"/>
        </w:rPr>
        <w:t xml:space="preserve"> of safety compared to </w:t>
      </w:r>
      <w:r w:rsidR="00AE2765" w:rsidRPr="00E331B7">
        <w:rPr>
          <w:rFonts w:eastAsia="Calibri"/>
        </w:rPr>
        <w:t>supportive care</w:t>
      </w:r>
      <w:r w:rsidRPr="00E331B7">
        <w:rPr>
          <w:rFonts w:eastAsia="Calibri"/>
        </w:rPr>
        <w:t>. Th</w:t>
      </w:r>
      <w:r w:rsidR="002E3BB0" w:rsidRPr="00E331B7">
        <w:rPr>
          <w:rFonts w:eastAsia="Calibri"/>
        </w:rPr>
        <w:t>e ESC considered that th</w:t>
      </w:r>
      <w:r w:rsidRPr="00E331B7">
        <w:rPr>
          <w:rFonts w:eastAsia="Calibri"/>
        </w:rPr>
        <w:t xml:space="preserve">is claim was </w:t>
      </w:r>
      <w:r w:rsidR="007C70FF" w:rsidRPr="00E331B7">
        <w:rPr>
          <w:rFonts w:eastAsia="Calibri"/>
        </w:rPr>
        <w:t xml:space="preserve">not </w:t>
      </w:r>
      <w:r w:rsidRPr="00E331B7">
        <w:rPr>
          <w:rFonts w:eastAsia="Calibri"/>
        </w:rPr>
        <w:t>adequately supported</w:t>
      </w:r>
      <w:r w:rsidR="009006B9" w:rsidRPr="00E331B7">
        <w:rPr>
          <w:rFonts w:eastAsia="Calibri"/>
        </w:rPr>
        <w:t xml:space="preserve"> </w:t>
      </w:r>
      <w:r w:rsidR="002E3BB0" w:rsidRPr="00E331B7">
        <w:rPr>
          <w:rFonts w:eastAsia="Calibri"/>
        </w:rPr>
        <w:t>as</w:t>
      </w:r>
      <w:r w:rsidR="009006B9" w:rsidRPr="00E331B7">
        <w:rPr>
          <w:rFonts w:eastAsia="Calibri"/>
        </w:rPr>
        <w:t>:</w:t>
      </w:r>
    </w:p>
    <w:p w14:paraId="51976E2D" w14:textId="5B06194F" w:rsidR="002E3BB0" w:rsidRPr="00E331B7" w:rsidRDefault="002E3BB0" w:rsidP="00F70F2C">
      <w:pPr>
        <w:pStyle w:val="ListParagraph"/>
        <w:spacing w:after="0"/>
        <w:ind w:left="1134"/>
      </w:pPr>
      <w:r w:rsidRPr="00E331B7">
        <w:t>No evidence was presented comparing safety between selumetinib and supportive care.</w:t>
      </w:r>
      <w:r w:rsidR="00094100">
        <w:t xml:space="preserve"> The pre-PBAC response stated that there were no safety outcomes available that would allow an indi</w:t>
      </w:r>
      <w:r w:rsidR="00D90CC0">
        <w:t>rect</w:t>
      </w:r>
      <w:r w:rsidR="00094100">
        <w:t xml:space="preserve"> comparison</w:t>
      </w:r>
      <w:r w:rsidR="00C47D48">
        <w:t>.</w:t>
      </w:r>
      <w:r w:rsidR="00094100">
        <w:t xml:space="preserve"> </w:t>
      </w:r>
    </w:p>
    <w:p w14:paraId="7ED4B3A0" w14:textId="0AE7CBE3" w:rsidR="001301F4" w:rsidRDefault="001301F4" w:rsidP="00094100">
      <w:pPr>
        <w:pStyle w:val="ListParagraph"/>
        <w:ind w:left="1134" w:hanging="357"/>
      </w:pPr>
      <w:r w:rsidRPr="00E331B7">
        <w:t xml:space="preserve">In the SPRINT trial, a total of 34 (68%) patients had </w:t>
      </w:r>
      <w:r w:rsidR="00B463FB">
        <w:t xml:space="preserve">any severe </w:t>
      </w:r>
      <w:r w:rsidRPr="00E331B7">
        <w:t>Grade ≥3 AEs and 15 (30%) patients had serious AEs.</w:t>
      </w:r>
    </w:p>
    <w:p w14:paraId="59368706" w14:textId="63FA1C55" w:rsidR="00094100" w:rsidRPr="00DF2A1B" w:rsidRDefault="00094100" w:rsidP="00E331B7">
      <w:pPr>
        <w:widowControl w:val="0"/>
        <w:numPr>
          <w:ilvl w:val="1"/>
          <w:numId w:val="1"/>
        </w:numPr>
        <w:spacing w:after="120"/>
        <w:rPr>
          <w:rFonts w:asciiTheme="minorHAnsi" w:hAnsiTheme="minorHAnsi"/>
          <w:snapToGrid w:val="0"/>
          <w:szCs w:val="20"/>
        </w:rPr>
      </w:pPr>
      <w:bookmarkStart w:id="66" w:name="_Hlk76376200"/>
      <w:r w:rsidRPr="00DF2A1B">
        <w:rPr>
          <w:rFonts w:asciiTheme="minorHAnsi" w:hAnsiTheme="minorHAnsi"/>
          <w:snapToGrid w:val="0"/>
          <w:szCs w:val="20"/>
        </w:rPr>
        <w:t xml:space="preserve">The pre-PBAC response reiterated that the safety profile of selumetinib was predictable and that overall, selumetinib is well tolerated. The pre-PBAC response stated that debulking surgery is often associated with the risk of complications, including delayed wound healing, pain, permanent neurological deficits, </w:t>
      </w:r>
      <w:r w:rsidR="005B3B5E" w:rsidRPr="00DF2A1B">
        <w:rPr>
          <w:rFonts w:asciiTheme="minorHAnsi" w:hAnsiTheme="minorHAnsi"/>
          <w:snapToGrid w:val="0"/>
          <w:szCs w:val="20"/>
        </w:rPr>
        <w:t>disfigurement,</w:t>
      </w:r>
      <w:r w:rsidRPr="00DF2A1B">
        <w:rPr>
          <w:rFonts w:asciiTheme="minorHAnsi" w:hAnsiTheme="minorHAnsi"/>
          <w:snapToGrid w:val="0"/>
          <w:szCs w:val="20"/>
        </w:rPr>
        <w:t xml:space="preserve"> and functional deficits. In addition, the pre-PBAC response stated that many patients require long-term, complex pain management regimens with are associated with significant risk of side effects.</w:t>
      </w:r>
    </w:p>
    <w:p w14:paraId="0F5490B3" w14:textId="41D2AC66" w:rsidR="00AA551E" w:rsidRDefault="00E331B7" w:rsidP="00E331B7">
      <w:pPr>
        <w:widowControl w:val="0"/>
        <w:numPr>
          <w:ilvl w:val="1"/>
          <w:numId w:val="1"/>
        </w:numPr>
        <w:spacing w:after="120"/>
        <w:rPr>
          <w:rFonts w:asciiTheme="minorHAnsi" w:hAnsiTheme="minorHAnsi"/>
          <w:snapToGrid w:val="0"/>
          <w:szCs w:val="20"/>
        </w:rPr>
      </w:pPr>
      <w:r w:rsidRPr="000E3B6C">
        <w:rPr>
          <w:rFonts w:asciiTheme="minorHAnsi" w:hAnsiTheme="minorHAnsi"/>
          <w:snapToGrid w:val="0"/>
          <w:szCs w:val="20"/>
        </w:rPr>
        <w:t>The PBAC considered that the claim of non-inferior comparative safety was not adequately supported by the data.</w:t>
      </w:r>
    </w:p>
    <w:p w14:paraId="3422FEFB" w14:textId="77777777" w:rsidR="00E331B7" w:rsidRPr="00C9624D" w:rsidRDefault="00E331B7" w:rsidP="00E331B7">
      <w:pPr>
        <w:pStyle w:val="4-SubsectionHeading"/>
      </w:pPr>
      <w:bookmarkStart w:id="67" w:name="_Toc22897645"/>
      <w:bookmarkStart w:id="68" w:name="_Toc114041593"/>
      <w:r w:rsidRPr="00C9624D">
        <w:t>Economic analysis</w:t>
      </w:r>
      <w:bookmarkEnd w:id="67"/>
      <w:bookmarkEnd w:id="68"/>
      <w:r w:rsidRPr="00C9624D">
        <w:t xml:space="preserve"> </w:t>
      </w:r>
    </w:p>
    <w:bookmarkEnd w:id="66"/>
    <w:p w14:paraId="1A694439" w14:textId="1E45C640" w:rsidR="00A02552" w:rsidRPr="0022276F" w:rsidRDefault="00A145BE" w:rsidP="00A02552">
      <w:pPr>
        <w:pStyle w:val="3-BodyText"/>
      </w:pPr>
      <w:r w:rsidRPr="0022276F">
        <w:t xml:space="preserve">The submission presented a cost-utility analysis </w:t>
      </w:r>
      <w:r w:rsidR="00FE68AA" w:rsidRPr="0022276F">
        <w:t xml:space="preserve">(CUA) of selumetinib compared to supportive care </w:t>
      </w:r>
      <w:r w:rsidR="00EB13CD" w:rsidRPr="0022276F">
        <w:t xml:space="preserve">based on </w:t>
      </w:r>
      <w:r w:rsidR="00334D98">
        <w:t>the claim of superior efficacy</w:t>
      </w:r>
      <w:r w:rsidR="00EB13CD" w:rsidRPr="0022276F">
        <w:t xml:space="preserve">. </w:t>
      </w:r>
      <w:r w:rsidR="00A02552" w:rsidRPr="0022276F">
        <w:t xml:space="preserve">Key components of the economic evaluation are presented in </w:t>
      </w:r>
      <w:r w:rsidR="00A02552" w:rsidRPr="0022276F">
        <w:fldChar w:fldCharType="begin"/>
      </w:r>
      <w:r w:rsidR="00A02552" w:rsidRPr="0022276F">
        <w:instrText xml:space="preserve"> REF _Ref111091178 \h </w:instrText>
      </w:r>
      <w:r w:rsidR="00A02552" w:rsidRPr="0022276F">
        <w:fldChar w:fldCharType="separate"/>
      </w:r>
      <w:r w:rsidR="00BE0EE6">
        <w:t xml:space="preserve">Table </w:t>
      </w:r>
      <w:r w:rsidR="00BE0EE6">
        <w:rPr>
          <w:noProof/>
        </w:rPr>
        <w:t>8</w:t>
      </w:r>
      <w:r w:rsidR="00A02552" w:rsidRPr="0022276F">
        <w:fldChar w:fldCharType="end"/>
      </w:r>
      <w:r w:rsidR="00A02552" w:rsidRPr="0022276F">
        <w:t>.</w:t>
      </w:r>
    </w:p>
    <w:p w14:paraId="15A9AFA4" w14:textId="702FDCBF" w:rsidR="00275C5A" w:rsidRPr="00641FB3" w:rsidRDefault="00E16AD8" w:rsidP="00E16AD8">
      <w:pPr>
        <w:pStyle w:val="Caption"/>
        <w:jc w:val="left"/>
        <w:rPr>
          <w:rStyle w:val="CommentReference"/>
          <w:b/>
          <w:szCs w:val="24"/>
        </w:rPr>
      </w:pPr>
      <w:bookmarkStart w:id="69" w:name="_Ref111091178"/>
      <w:r>
        <w:lastRenderedPageBreak/>
        <w:t xml:space="preserve">Table </w:t>
      </w:r>
      <w:fldSimple w:instr=" SEQ Table \* ARABIC ">
        <w:r w:rsidR="00BE0EE6">
          <w:rPr>
            <w:noProof/>
          </w:rPr>
          <w:t>8</w:t>
        </w:r>
      </w:fldSimple>
      <w:bookmarkEnd w:id="69"/>
      <w:r>
        <w:t>:</w:t>
      </w:r>
      <w:r w:rsidR="00275C5A" w:rsidRPr="00641FB3">
        <w:rPr>
          <w:rStyle w:val="CommentReference"/>
          <w:b/>
          <w:szCs w:val="24"/>
        </w:rPr>
        <w:t xml:space="preserve"> Summary of model structure</w:t>
      </w:r>
      <w:r w:rsidR="00184B0E" w:rsidRPr="00641FB3">
        <w:rPr>
          <w:rStyle w:val="CommentReference"/>
          <w:b/>
          <w:szCs w:val="24"/>
        </w:rPr>
        <w:t>, key inputs</w:t>
      </w:r>
      <w:r w:rsidR="00275C5A" w:rsidRPr="00641FB3">
        <w:rPr>
          <w:rStyle w:val="CommentReference"/>
          <w:b/>
          <w:szCs w:val="24"/>
        </w:rPr>
        <w:t xml:space="preserv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63"/>
        <w:gridCol w:w="6754"/>
      </w:tblGrid>
      <w:tr w:rsidR="00275C5A" w:rsidRPr="003D1DE4" w14:paraId="48BB958D" w14:textId="77777777" w:rsidTr="00BE3F85">
        <w:trPr>
          <w:tblHeader/>
        </w:trPr>
        <w:tc>
          <w:tcPr>
            <w:tcW w:w="1255" w:type="pct"/>
            <w:shd w:val="clear" w:color="auto" w:fill="auto"/>
            <w:vAlign w:val="center"/>
          </w:tcPr>
          <w:p w14:paraId="29C3D629" w14:textId="77777777" w:rsidR="00275C5A" w:rsidRPr="00641FB3" w:rsidRDefault="00275C5A" w:rsidP="00641FB3">
            <w:pPr>
              <w:pStyle w:val="In-tableHeading"/>
            </w:pPr>
            <w:r w:rsidRPr="00641FB3">
              <w:t>Component</w:t>
            </w:r>
          </w:p>
        </w:tc>
        <w:tc>
          <w:tcPr>
            <w:tcW w:w="3745" w:type="pct"/>
            <w:shd w:val="clear" w:color="auto" w:fill="auto"/>
            <w:vAlign w:val="center"/>
          </w:tcPr>
          <w:p w14:paraId="58FBA37B" w14:textId="77777777" w:rsidR="00275C5A" w:rsidRPr="00641FB3" w:rsidRDefault="00275C5A" w:rsidP="00641FB3">
            <w:pPr>
              <w:pStyle w:val="In-tableHeading"/>
            </w:pPr>
            <w:r w:rsidRPr="00641FB3">
              <w:t>Summary</w:t>
            </w:r>
          </w:p>
        </w:tc>
      </w:tr>
      <w:tr w:rsidR="000A6039" w:rsidRPr="00E2771E" w14:paraId="7476B2FD" w14:textId="77777777" w:rsidTr="00BE3F85">
        <w:tc>
          <w:tcPr>
            <w:tcW w:w="1255" w:type="pct"/>
            <w:shd w:val="clear" w:color="auto" w:fill="auto"/>
            <w:vAlign w:val="center"/>
          </w:tcPr>
          <w:p w14:paraId="5FA8442E" w14:textId="27CD0EEA" w:rsidR="000A6039" w:rsidRPr="00E2771E" w:rsidRDefault="000A6039" w:rsidP="00BB00B3">
            <w:pPr>
              <w:pStyle w:val="TableText0"/>
            </w:pPr>
            <w:r>
              <w:t>Treatments</w:t>
            </w:r>
          </w:p>
        </w:tc>
        <w:tc>
          <w:tcPr>
            <w:tcW w:w="3745" w:type="pct"/>
            <w:shd w:val="clear" w:color="auto" w:fill="auto"/>
            <w:vAlign w:val="center"/>
          </w:tcPr>
          <w:p w14:paraId="554C8AD3" w14:textId="674F70A1" w:rsidR="000A6039" w:rsidRPr="00E2771E" w:rsidRDefault="0022276F" w:rsidP="00BB00B3">
            <w:pPr>
              <w:pStyle w:val="TableText0"/>
            </w:pPr>
            <w:r>
              <w:t>Selumetinib vs Supportive Care</w:t>
            </w:r>
          </w:p>
        </w:tc>
      </w:tr>
      <w:tr w:rsidR="00275C5A" w:rsidRPr="00E2771E" w14:paraId="6A8D84D4" w14:textId="77777777" w:rsidTr="00BE3F85">
        <w:tc>
          <w:tcPr>
            <w:tcW w:w="1255" w:type="pct"/>
            <w:shd w:val="clear" w:color="auto" w:fill="auto"/>
            <w:vAlign w:val="center"/>
          </w:tcPr>
          <w:p w14:paraId="5F652354" w14:textId="77777777" w:rsidR="00275C5A" w:rsidRPr="00E2771E" w:rsidRDefault="00275C5A" w:rsidP="00BB00B3">
            <w:pPr>
              <w:pStyle w:val="TableText0"/>
            </w:pPr>
            <w:r w:rsidRPr="00E2771E">
              <w:t>Time horizon</w:t>
            </w:r>
          </w:p>
        </w:tc>
        <w:tc>
          <w:tcPr>
            <w:tcW w:w="3745" w:type="pct"/>
            <w:shd w:val="clear" w:color="auto" w:fill="auto"/>
            <w:vAlign w:val="center"/>
          </w:tcPr>
          <w:p w14:paraId="460936F1" w14:textId="7C0AD02B" w:rsidR="00275C5A" w:rsidRPr="00E2771E" w:rsidRDefault="0022276F" w:rsidP="00BB00B3">
            <w:pPr>
              <w:pStyle w:val="TableText0"/>
            </w:pPr>
            <w:r>
              <w:t>100</w:t>
            </w:r>
            <w:r w:rsidR="00275C5A" w:rsidRPr="00E2771E">
              <w:t xml:space="preserve"> years in the model base case versus </w:t>
            </w:r>
            <w:r w:rsidR="005D486E">
              <w:t xml:space="preserve">maximum follow up of </w:t>
            </w:r>
            <w:r>
              <w:t>6</w:t>
            </w:r>
            <w:r w:rsidR="00275C5A" w:rsidRPr="00E2771E">
              <w:t xml:space="preserve"> years in trial</w:t>
            </w:r>
            <w:r w:rsidR="00094100">
              <w:t xml:space="preserve">. The </w:t>
            </w:r>
            <w:r w:rsidR="0057031F">
              <w:t xml:space="preserve">PSCR and </w:t>
            </w:r>
            <w:r w:rsidR="00094100">
              <w:t xml:space="preserve">pre-PBAC response </w:t>
            </w:r>
            <w:r w:rsidR="0057031F">
              <w:t xml:space="preserve">presented </w:t>
            </w:r>
            <w:r w:rsidR="00094100">
              <w:t>revised base case</w:t>
            </w:r>
            <w:r w:rsidR="0057031F">
              <w:t xml:space="preserve">s </w:t>
            </w:r>
            <w:r w:rsidR="00094100">
              <w:t>in which the time horizon was reduced to 75 years.</w:t>
            </w:r>
          </w:p>
        </w:tc>
      </w:tr>
      <w:tr w:rsidR="00275C5A" w:rsidRPr="00E2771E" w14:paraId="003209BF" w14:textId="77777777" w:rsidTr="00BE3F85">
        <w:tc>
          <w:tcPr>
            <w:tcW w:w="1255" w:type="pct"/>
            <w:shd w:val="clear" w:color="auto" w:fill="auto"/>
            <w:vAlign w:val="center"/>
          </w:tcPr>
          <w:p w14:paraId="522DAB95" w14:textId="77777777" w:rsidR="00275C5A" w:rsidRPr="00E2771E" w:rsidRDefault="00275C5A" w:rsidP="00BB00B3">
            <w:pPr>
              <w:pStyle w:val="TableText0"/>
            </w:pPr>
            <w:r w:rsidRPr="00E2771E">
              <w:t>Outcomes</w:t>
            </w:r>
          </w:p>
        </w:tc>
        <w:tc>
          <w:tcPr>
            <w:tcW w:w="3745" w:type="pct"/>
            <w:shd w:val="clear" w:color="auto" w:fill="auto"/>
            <w:vAlign w:val="center"/>
          </w:tcPr>
          <w:p w14:paraId="3D1C428E" w14:textId="2C5B7E6E" w:rsidR="00275C5A" w:rsidRPr="00E2771E" w:rsidRDefault="002D1DC3" w:rsidP="00BB00B3">
            <w:pPr>
              <w:pStyle w:val="TableText0"/>
            </w:pPr>
            <w:r>
              <w:t>QALYs</w:t>
            </w:r>
          </w:p>
        </w:tc>
      </w:tr>
      <w:tr w:rsidR="00275C5A" w:rsidRPr="00E2771E" w14:paraId="29120B3F" w14:textId="77777777" w:rsidTr="00BE3F85">
        <w:tc>
          <w:tcPr>
            <w:tcW w:w="1255" w:type="pct"/>
            <w:shd w:val="clear" w:color="auto" w:fill="auto"/>
            <w:vAlign w:val="center"/>
          </w:tcPr>
          <w:p w14:paraId="1AAC94CB" w14:textId="77777777" w:rsidR="00275C5A" w:rsidRPr="00E2771E" w:rsidRDefault="00275C5A" w:rsidP="00BB00B3">
            <w:pPr>
              <w:pStyle w:val="TableText0"/>
            </w:pPr>
            <w:r w:rsidRPr="00E2771E">
              <w:t>Methods used to generate results</w:t>
            </w:r>
          </w:p>
        </w:tc>
        <w:tc>
          <w:tcPr>
            <w:tcW w:w="3745" w:type="pct"/>
            <w:shd w:val="clear" w:color="auto" w:fill="auto"/>
            <w:vAlign w:val="center"/>
          </w:tcPr>
          <w:p w14:paraId="69D4F042" w14:textId="313AB0CE" w:rsidR="00275C5A" w:rsidRPr="00E2771E" w:rsidRDefault="00081E63" w:rsidP="00BB00B3">
            <w:pPr>
              <w:pStyle w:val="TableText0"/>
            </w:pPr>
            <w:r w:rsidRPr="00081E63">
              <w:t>Partitioned survival model (</w:t>
            </w:r>
            <w:r w:rsidR="00CD1816" w:rsidRPr="00081E63">
              <w:t>i.e.,</w:t>
            </w:r>
            <w:r w:rsidRPr="00081E63">
              <w:t xml:space="preserve"> area under the curve)</w:t>
            </w:r>
          </w:p>
        </w:tc>
      </w:tr>
      <w:tr w:rsidR="00275C5A" w:rsidRPr="00E2771E" w14:paraId="7F7ACECA" w14:textId="77777777" w:rsidTr="00BE3F85">
        <w:tc>
          <w:tcPr>
            <w:tcW w:w="1255" w:type="pct"/>
            <w:shd w:val="clear" w:color="auto" w:fill="auto"/>
            <w:vAlign w:val="center"/>
          </w:tcPr>
          <w:p w14:paraId="344631D3" w14:textId="77777777" w:rsidR="00275C5A" w:rsidRPr="00E2771E" w:rsidRDefault="00275C5A" w:rsidP="00BB00B3">
            <w:pPr>
              <w:pStyle w:val="TableText0"/>
            </w:pPr>
            <w:r w:rsidRPr="00E2771E">
              <w:t>Health states</w:t>
            </w:r>
          </w:p>
        </w:tc>
        <w:tc>
          <w:tcPr>
            <w:tcW w:w="3745" w:type="pct"/>
            <w:shd w:val="clear" w:color="auto" w:fill="auto"/>
            <w:vAlign w:val="center"/>
          </w:tcPr>
          <w:p w14:paraId="03F23F80" w14:textId="75CFB916" w:rsidR="00275C5A" w:rsidRPr="00E2771E" w:rsidRDefault="004B4A1E" w:rsidP="00BB00B3">
            <w:pPr>
              <w:pStyle w:val="TableText0"/>
            </w:pPr>
            <w:r>
              <w:t>Non-progressive, p</w:t>
            </w:r>
            <w:r w:rsidRPr="006A4921">
              <w:t>rogressive disease</w:t>
            </w:r>
            <w:r>
              <w:t>, or d</w:t>
            </w:r>
            <w:r w:rsidRPr="006A4921">
              <w:t>eath</w:t>
            </w:r>
          </w:p>
        </w:tc>
      </w:tr>
      <w:tr w:rsidR="00275C5A" w:rsidRPr="00E2771E" w14:paraId="7F944EEA" w14:textId="77777777" w:rsidTr="00BE3F85">
        <w:tc>
          <w:tcPr>
            <w:tcW w:w="1255" w:type="pct"/>
            <w:shd w:val="clear" w:color="auto" w:fill="auto"/>
            <w:vAlign w:val="center"/>
          </w:tcPr>
          <w:p w14:paraId="255C0B8D" w14:textId="77777777" w:rsidR="00275C5A" w:rsidRPr="00E2771E" w:rsidRDefault="00275C5A" w:rsidP="00BB00B3">
            <w:pPr>
              <w:pStyle w:val="TableText0"/>
            </w:pPr>
            <w:r w:rsidRPr="00E2771E">
              <w:t>Cycle length</w:t>
            </w:r>
          </w:p>
        </w:tc>
        <w:tc>
          <w:tcPr>
            <w:tcW w:w="3745" w:type="pct"/>
            <w:shd w:val="clear" w:color="auto" w:fill="auto"/>
            <w:vAlign w:val="center"/>
          </w:tcPr>
          <w:p w14:paraId="5733F6EA" w14:textId="0A838FCD" w:rsidR="00275C5A" w:rsidRPr="00E2771E" w:rsidRDefault="00AB3258" w:rsidP="00BB00B3">
            <w:pPr>
              <w:pStyle w:val="TableText0"/>
            </w:pPr>
            <w:r>
              <w:t>12 months</w:t>
            </w:r>
          </w:p>
        </w:tc>
      </w:tr>
      <w:tr w:rsidR="0053141A" w:rsidRPr="00E2771E" w14:paraId="6EFF7035" w14:textId="77777777" w:rsidTr="00BE3F85">
        <w:tc>
          <w:tcPr>
            <w:tcW w:w="1255" w:type="pct"/>
            <w:shd w:val="clear" w:color="auto" w:fill="auto"/>
            <w:vAlign w:val="center"/>
          </w:tcPr>
          <w:p w14:paraId="77A45407" w14:textId="1405D1AE" w:rsidR="0053141A" w:rsidRPr="00E2771E" w:rsidRDefault="0053141A" w:rsidP="0053141A">
            <w:pPr>
              <w:pStyle w:val="TableText0"/>
            </w:pPr>
            <w:r>
              <w:t xml:space="preserve">Allocation to health states </w:t>
            </w:r>
          </w:p>
        </w:tc>
        <w:tc>
          <w:tcPr>
            <w:tcW w:w="3745" w:type="pct"/>
            <w:shd w:val="clear" w:color="auto" w:fill="auto"/>
            <w:vAlign w:val="bottom"/>
          </w:tcPr>
          <w:p w14:paraId="78E9B4D3" w14:textId="4121E64A" w:rsidR="0053141A" w:rsidRPr="006A4921" w:rsidRDefault="0053141A" w:rsidP="0053141A">
            <w:pPr>
              <w:keepNext/>
              <w:jc w:val="left"/>
              <w:rPr>
                <w:rFonts w:ascii="Arial Narrow" w:eastAsiaTheme="majorEastAsia" w:hAnsi="Arial Narrow" w:cstheme="majorBidi"/>
                <w:bCs/>
                <w:sz w:val="20"/>
              </w:rPr>
            </w:pPr>
            <w:r w:rsidRPr="006A4921">
              <w:rPr>
                <w:rFonts w:ascii="Arial Narrow" w:eastAsiaTheme="majorEastAsia" w:hAnsi="Arial Narrow" w:cstheme="majorBidi"/>
                <w:bCs/>
                <w:sz w:val="20"/>
              </w:rPr>
              <w:t xml:space="preserve">PFS KM were derived from </w:t>
            </w:r>
            <w:r w:rsidR="00611FB1">
              <w:rPr>
                <w:rFonts w:ascii="Arial Narrow" w:eastAsiaTheme="majorEastAsia" w:hAnsi="Arial Narrow" w:cstheme="majorBidi"/>
                <w:bCs/>
                <w:sz w:val="20"/>
              </w:rPr>
              <w:t xml:space="preserve">the </w:t>
            </w:r>
            <w:r w:rsidRPr="006A4921">
              <w:rPr>
                <w:rFonts w:ascii="Arial Narrow" w:eastAsiaTheme="majorEastAsia" w:hAnsi="Arial Narrow" w:cstheme="majorBidi"/>
                <w:bCs/>
                <w:sz w:val="20"/>
              </w:rPr>
              <w:t xml:space="preserve">SPRINT trial for selumetinib and </w:t>
            </w:r>
            <w:r w:rsidR="00611FB1">
              <w:rPr>
                <w:rFonts w:ascii="Arial Narrow" w:eastAsiaTheme="majorEastAsia" w:hAnsi="Arial Narrow" w:cstheme="majorBidi"/>
                <w:bCs/>
                <w:sz w:val="20"/>
              </w:rPr>
              <w:t xml:space="preserve">the </w:t>
            </w:r>
            <w:r w:rsidRPr="006A4921">
              <w:rPr>
                <w:rFonts w:ascii="Arial Narrow" w:eastAsiaTheme="majorEastAsia" w:hAnsi="Arial Narrow" w:cstheme="majorBidi"/>
                <w:bCs/>
                <w:sz w:val="20"/>
              </w:rPr>
              <w:t>NH study for supportive care and were extrapolated using parametric survival models.</w:t>
            </w:r>
          </w:p>
          <w:p w14:paraId="38CB0DDF" w14:textId="77777777" w:rsidR="0053141A" w:rsidRPr="006A4921" w:rsidRDefault="0053141A" w:rsidP="0053141A">
            <w:pPr>
              <w:keepNext/>
              <w:jc w:val="left"/>
              <w:rPr>
                <w:rFonts w:ascii="Arial Narrow" w:eastAsiaTheme="majorEastAsia" w:hAnsi="Arial Narrow" w:cstheme="majorBidi"/>
                <w:bCs/>
                <w:sz w:val="20"/>
              </w:rPr>
            </w:pPr>
            <w:r w:rsidRPr="006A4921">
              <w:rPr>
                <w:rFonts w:ascii="Arial Narrow" w:eastAsiaTheme="majorEastAsia" w:hAnsi="Arial Narrow" w:cstheme="majorBidi"/>
                <w:bCs/>
                <w:sz w:val="20"/>
              </w:rPr>
              <w:t>Treatment discontinuation was implemented via parametric extrapolation of patient-level TTD from the SPRINT trial.</w:t>
            </w:r>
          </w:p>
          <w:p w14:paraId="76387578" w14:textId="5735FA84" w:rsidR="0053141A" w:rsidRPr="00E2771E" w:rsidRDefault="0053141A" w:rsidP="0053141A">
            <w:pPr>
              <w:pStyle w:val="TableText0"/>
            </w:pPr>
            <w:r w:rsidRPr="006A4921">
              <w:t>OS for both selumetinib and supportive care was estimated using general population mortality from the ABS adjusted based on the SMR for patients with NF1 reported in Duong et al. 2011.</w:t>
            </w:r>
          </w:p>
        </w:tc>
      </w:tr>
      <w:tr w:rsidR="00501854" w:rsidRPr="00E2771E" w14:paraId="0BC5FD61" w14:textId="77777777" w:rsidTr="00BE3F85">
        <w:tc>
          <w:tcPr>
            <w:tcW w:w="1255" w:type="pct"/>
            <w:shd w:val="clear" w:color="auto" w:fill="auto"/>
            <w:vAlign w:val="center"/>
          </w:tcPr>
          <w:p w14:paraId="3EE19BE5" w14:textId="7EE5FF57" w:rsidR="00501854" w:rsidRPr="00E2771E" w:rsidRDefault="00501854" w:rsidP="00BB00B3">
            <w:pPr>
              <w:pStyle w:val="TableText0"/>
            </w:pPr>
            <w:r>
              <w:t>Extrapolation method</w:t>
            </w:r>
          </w:p>
        </w:tc>
        <w:tc>
          <w:tcPr>
            <w:tcW w:w="3745" w:type="pct"/>
            <w:shd w:val="clear" w:color="auto" w:fill="auto"/>
            <w:vAlign w:val="center"/>
          </w:tcPr>
          <w:p w14:paraId="1E195C53" w14:textId="3AC1A9B0" w:rsidR="00481D7D" w:rsidRDefault="00481D7D" w:rsidP="00481D7D">
            <w:pPr>
              <w:pStyle w:val="TableText0"/>
              <w:keepNext w:val="0"/>
            </w:pPr>
            <w:r>
              <w:t xml:space="preserve">Parametric model fitted to treatment arm with </w:t>
            </w:r>
            <w:r w:rsidR="00127691">
              <w:t>exponential</w:t>
            </w:r>
            <w:r>
              <w:t xml:space="preserve"> distribution selected in base case for </w:t>
            </w:r>
            <w:r w:rsidR="00127691">
              <w:t>PFS</w:t>
            </w:r>
            <w:r w:rsidR="00E76AB0">
              <w:t xml:space="preserve"> (selumetinib)</w:t>
            </w:r>
            <w:r>
              <w:t xml:space="preserve">, </w:t>
            </w:r>
            <w:r w:rsidR="009F7987">
              <w:t>lognormal</w:t>
            </w:r>
            <w:r>
              <w:t xml:space="preserve"> distribution selected in base case for PFS</w:t>
            </w:r>
            <w:r w:rsidR="009F7987">
              <w:t xml:space="preserve"> (supportive care)</w:t>
            </w:r>
            <w:r>
              <w:t xml:space="preserve">, and Weibull distribution selected in base case for TTD based on goodness of fit and visual inspection. </w:t>
            </w:r>
            <w:r w:rsidR="0057031F">
              <w:t>The pre-PBAC response presented revised base cases in which the lognormal distribution was applied to the selumetinib PFS arm.</w:t>
            </w:r>
          </w:p>
          <w:p w14:paraId="38386D46" w14:textId="77777777" w:rsidR="00B65F10" w:rsidRDefault="00B65F10" w:rsidP="00481D7D">
            <w:pPr>
              <w:pStyle w:val="TableText0"/>
              <w:keepNext w:val="0"/>
            </w:pPr>
          </w:p>
          <w:p w14:paraId="7026638D" w14:textId="4E9C4FE0" w:rsidR="00D533EC" w:rsidRPr="00E2771E" w:rsidRDefault="002E5095" w:rsidP="00481D7D">
            <w:pPr>
              <w:pStyle w:val="TableText0"/>
            </w:pPr>
            <w:r>
              <w:t>85</w:t>
            </w:r>
            <w:r w:rsidR="00481D7D">
              <w:t xml:space="preserve">% of the incremental QALYs (discounted) and </w:t>
            </w:r>
            <w:r>
              <w:t>5</w:t>
            </w:r>
            <w:r w:rsidR="00481D7D">
              <w:t>% of incremental costs (discounted) occurred in the extrapolated period.</w:t>
            </w:r>
          </w:p>
        </w:tc>
      </w:tr>
      <w:tr w:rsidR="00501854" w:rsidRPr="00E2771E" w14:paraId="07C0A709" w14:textId="77777777" w:rsidTr="00BE3F85">
        <w:tc>
          <w:tcPr>
            <w:tcW w:w="1255" w:type="pct"/>
            <w:shd w:val="clear" w:color="auto" w:fill="auto"/>
            <w:vAlign w:val="center"/>
          </w:tcPr>
          <w:p w14:paraId="33B632EB" w14:textId="4B6D1EE3" w:rsidR="00501854" w:rsidRPr="001F4081" w:rsidRDefault="00DD0F78" w:rsidP="00BB00B3">
            <w:pPr>
              <w:pStyle w:val="TableText0"/>
            </w:pPr>
            <w:r>
              <w:t>Health related quality of life</w:t>
            </w:r>
          </w:p>
        </w:tc>
        <w:tc>
          <w:tcPr>
            <w:tcW w:w="3745" w:type="pct"/>
            <w:shd w:val="clear" w:color="auto" w:fill="auto"/>
            <w:vAlign w:val="center"/>
          </w:tcPr>
          <w:p w14:paraId="11112605" w14:textId="44065DD1" w:rsidR="00501854" w:rsidRDefault="002E5095" w:rsidP="00BB00B3">
            <w:pPr>
              <w:pStyle w:val="TableText0"/>
            </w:pPr>
            <w:r>
              <w:t xml:space="preserve">TTO study conducted by the </w:t>
            </w:r>
            <w:r w:rsidR="008518E8">
              <w:t>submission.</w:t>
            </w:r>
          </w:p>
          <w:p w14:paraId="6E96BC82" w14:textId="77777777" w:rsidR="00F92731" w:rsidRDefault="008518E8" w:rsidP="00BB00B3">
            <w:pPr>
              <w:pStyle w:val="TableText0"/>
            </w:pPr>
            <w:r>
              <w:t>Selumetinib</w:t>
            </w:r>
            <w:r w:rsidR="008F0206">
              <w:t xml:space="preserve"> arm: </w:t>
            </w:r>
          </w:p>
          <w:p w14:paraId="62CC9EC7" w14:textId="76D28EC0" w:rsidR="008F0206" w:rsidRDefault="008F0206" w:rsidP="00BB00B3">
            <w:pPr>
              <w:pStyle w:val="TableText0"/>
            </w:pPr>
            <w:r>
              <w:t>Patients off-treatment with selumetinib = 0.51</w:t>
            </w:r>
            <w:r w:rsidR="00A87FE4">
              <w:t xml:space="preserve"> (</w:t>
            </w:r>
            <w:r w:rsidR="00182751">
              <w:t xml:space="preserve">progressed </w:t>
            </w:r>
            <w:r w:rsidR="00A87FE4">
              <w:t>health state)</w:t>
            </w:r>
            <w:r w:rsidR="00F92731">
              <w:t xml:space="preserve">; </w:t>
            </w:r>
            <w:r>
              <w:t>Patients on-treatment with selumetinib =0.74</w:t>
            </w:r>
            <w:r w:rsidR="00A87FE4">
              <w:t xml:space="preserve"> (progression-free health state)  </w:t>
            </w:r>
          </w:p>
          <w:p w14:paraId="7299AB6B" w14:textId="6D507BCB" w:rsidR="00F92731" w:rsidRDefault="00F92731" w:rsidP="00BB00B3">
            <w:pPr>
              <w:pStyle w:val="TableText0"/>
            </w:pPr>
            <w:r>
              <w:t>Supportive care arm:</w:t>
            </w:r>
          </w:p>
          <w:p w14:paraId="6FCC32AA" w14:textId="3643B37B" w:rsidR="001F4081" w:rsidRPr="00E2771E" w:rsidRDefault="001F4081" w:rsidP="00BE3F85">
            <w:pPr>
              <w:pStyle w:val="TableText0"/>
            </w:pPr>
            <w:r>
              <w:t>Progression-free = 0.</w:t>
            </w:r>
            <w:r w:rsidR="00DC2E08">
              <w:t>625</w:t>
            </w:r>
            <w:r>
              <w:t>;</w:t>
            </w:r>
            <w:r w:rsidR="00BE3F85">
              <w:t xml:space="preserve"> </w:t>
            </w:r>
            <w:r>
              <w:t>Progressed = 0.</w:t>
            </w:r>
            <w:r w:rsidR="00BE3F85">
              <w:t>51</w:t>
            </w:r>
          </w:p>
        </w:tc>
      </w:tr>
      <w:tr w:rsidR="00836B02" w:rsidRPr="00E2771E" w14:paraId="4E94A900" w14:textId="77777777" w:rsidTr="00BE3F85">
        <w:tc>
          <w:tcPr>
            <w:tcW w:w="1255" w:type="pct"/>
            <w:shd w:val="clear" w:color="auto" w:fill="auto"/>
            <w:vAlign w:val="center"/>
          </w:tcPr>
          <w:p w14:paraId="5D9FB72D" w14:textId="32E50B5B" w:rsidR="00836B02" w:rsidRDefault="00836B02" w:rsidP="00BB00B3">
            <w:pPr>
              <w:pStyle w:val="TableText0"/>
            </w:pPr>
            <w:r>
              <w:t>Discount rate</w:t>
            </w:r>
          </w:p>
        </w:tc>
        <w:tc>
          <w:tcPr>
            <w:tcW w:w="3745" w:type="pct"/>
            <w:shd w:val="clear" w:color="auto" w:fill="auto"/>
            <w:vAlign w:val="center"/>
          </w:tcPr>
          <w:p w14:paraId="53430E9E" w14:textId="78D802EF" w:rsidR="00836B02" w:rsidRDefault="00836B02" w:rsidP="00BB00B3">
            <w:pPr>
              <w:pStyle w:val="TableText0"/>
            </w:pPr>
            <w:r>
              <w:t>5% applied to all costs; 5% applied to benefits until a patient turns 18, 3% applied between the ages of 18 and 24, and 1.5% applied for patients over the age of 24.</w:t>
            </w:r>
            <w:r w:rsidR="0057031F">
              <w:t xml:space="preserve"> The pre-PBAC response presented a revised base case in which a 5% discount rate was applied to benefits up until the age of 24 and a 3.5% rate was applied thereafter.</w:t>
            </w:r>
          </w:p>
        </w:tc>
      </w:tr>
    </w:tbl>
    <w:p w14:paraId="3C9A7B9E" w14:textId="77777777" w:rsidR="00BE35FF" w:rsidRDefault="00A67C77" w:rsidP="00BE35FF">
      <w:pPr>
        <w:pStyle w:val="TableFigureFooter"/>
      </w:pPr>
      <w:r w:rsidRPr="006A4921">
        <w:rPr>
          <w:snapToGrid w:val="0"/>
        </w:rPr>
        <w:t>Source: Table 3.2, p176 of the submission</w:t>
      </w:r>
      <w:r>
        <w:rPr>
          <w:snapToGrid w:val="0"/>
        </w:rPr>
        <w:t xml:space="preserve"> and </w:t>
      </w:r>
      <w:r w:rsidR="00BE35FF" w:rsidRPr="00474F42">
        <w:t>‘</w:t>
      </w:r>
      <w:r w:rsidR="00BE35FF" w:rsidRPr="00BE0ED0">
        <w:t>Selumetinib</w:t>
      </w:r>
      <w:r w:rsidR="00BE35FF">
        <w:t xml:space="preserve"> Section 3 workbook’ </w:t>
      </w:r>
      <w:r w:rsidR="00BE35FF" w:rsidRPr="00474F42">
        <w:t>Excel workbook.</w:t>
      </w:r>
    </w:p>
    <w:p w14:paraId="30282656" w14:textId="021A8DC9" w:rsidR="002D1DC3" w:rsidRPr="0072416F" w:rsidRDefault="00414E90" w:rsidP="00BE35FF">
      <w:pPr>
        <w:pStyle w:val="TableFigureFooter"/>
      </w:pPr>
      <w:r>
        <w:t xml:space="preserve">ABS = Australian Bureau of Statistics, </w:t>
      </w:r>
      <w:r w:rsidR="003830E6" w:rsidRPr="003830E6">
        <w:t>KM = Kaplan-Meier, NF1 = neurofibromatosis type 1, NH = Natural History study, OS = overall survival, PFS = progression-free survival, PN = plexiform neurofibroma(s),</w:t>
      </w:r>
      <w:r w:rsidR="00D56F65">
        <w:t xml:space="preserve"> QALY = Quality-adjusted life-years, </w:t>
      </w:r>
      <w:r w:rsidR="003830E6" w:rsidRPr="003830E6">
        <w:t>SMR = standardised mortality rat</w:t>
      </w:r>
      <w:r w:rsidR="00EA2045">
        <w:t>io</w:t>
      </w:r>
      <w:r w:rsidR="003830E6" w:rsidRPr="003830E6">
        <w:t>, TTD = treatment-to-discontinuation</w:t>
      </w:r>
      <w:r w:rsidR="00D56F65">
        <w:t>, TTO = time trade off.</w:t>
      </w:r>
    </w:p>
    <w:p w14:paraId="5A0F4DCB" w14:textId="4187DC3E" w:rsidR="00C81455" w:rsidRPr="00C81455" w:rsidRDefault="00C81455" w:rsidP="00C81455">
      <w:pPr>
        <w:pStyle w:val="3-BodyText"/>
        <w:spacing w:after="0"/>
      </w:pPr>
      <w:r w:rsidRPr="00C81455">
        <w:t xml:space="preserve">The submission used a partitioned survival model to assess the cost effectiveness of selumetinib for the treatment of patients with NF1 PN. The model consisted of three health states: </w:t>
      </w:r>
    </w:p>
    <w:p w14:paraId="18285225" w14:textId="610CB4D1" w:rsidR="00C81455" w:rsidRPr="00C81455" w:rsidRDefault="00C81455" w:rsidP="00F70F2C">
      <w:pPr>
        <w:pStyle w:val="ListParagraph"/>
        <w:spacing w:after="0"/>
        <w:ind w:left="1134"/>
      </w:pPr>
      <w:r w:rsidRPr="00C81455">
        <w:t>Non-progressed disease (on-treatment and off-treatment);</w:t>
      </w:r>
      <w:r w:rsidR="00565EA7">
        <w:t xml:space="preserve"> </w:t>
      </w:r>
      <w:r w:rsidR="00565EA7" w:rsidRPr="000E5F8A">
        <w:t>the separation of the no</w:t>
      </w:r>
      <w:r w:rsidR="007F6285">
        <w:t>n</w:t>
      </w:r>
      <w:r w:rsidR="00565EA7" w:rsidRPr="000E5F8A">
        <w:t xml:space="preserve">-progressed state into on-treatment and off-treatment </w:t>
      </w:r>
      <w:r w:rsidR="00E03750" w:rsidRPr="000E5F8A">
        <w:t>may not be appropriate especially with the assignment of different utilities to the two sub-states</w:t>
      </w:r>
      <w:r w:rsidR="00E03750" w:rsidRPr="00E03750">
        <w:rPr>
          <w:i/>
          <w:iCs/>
        </w:rPr>
        <w:t>.</w:t>
      </w:r>
    </w:p>
    <w:p w14:paraId="5DE41069" w14:textId="2F64BD99" w:rsidR="00C81455" w:rsidRPr="00C81455" w:rsidRDefault="00C81455" w:rsidP="00F70F2C">
      <w:pPr>
        <w:pStyle w:val="ListParagraph"/>
        <w:spacing w:after="0"/>
        <w:ind w:left="1134"/>
      </w:pPr>
      <w:r w:rsidRPr="00C81455">
        <w:t>Progressed disease (defined as ≥</w:t>
      </w:r>
      <w:r w:rsidR="00126B89">
        <w:t xml:space="preserve"> </w:t>
      </w:r>
      <w:r w:rsidRPr="00C81455">
        <w:t xml:space="preserve">20% increase in PN tumour size from baseline or, if a patient had a partial </w:t>
      </w:r>
      <w:r w:rsidR="001A4680" w:rsidRPr="00C81455">
        <w:t>response</w:t>
      </w:r>
      <w:r w:rsidR="001A4680">
        <w:t xml:space="preserve"> then defined as</w:t>
      </w:r>
      <w:r w:rsidRPr="00C81455">
        <w:t xml:space="preserve"> an increase of at least 20% from the best response measured by volumetric MRI analysis); and</w:t>
      </w:r>
    </w:p>
    <w:p w14:paraId="1156641D" w14:textId="77777777" w:rsidR="00C81455" w:rsidRPr="00C81455" w:rsidRDefault="00C81455" w:rsidP="00F70F2C">
      <w:pPr>
        <w:pStyle w:val="ListParagraph"/>
        <w:ind w:left="1134"/>
      </w:pPr>
      <w:r w:rsidRPr="00C81455">
        <w:t>Death.</w:t>
      </w:r>
    </w:p>
    <w:p w14:paraId="3D168674" w14:textId="52F1A218" w:rsidR="0071130B" w:rsidRPr="000E5F8A" w:rsidRDefault="0071130B" w:rsidP="00BB00B3">
      <w:pPr>
        <w:pStyle w:val="3-BodyText"/>
      </w:pPr>
      <w:r w:rsidRPr="0071130B">
        <w:lastRenderedPageBreak/>
        <w:t xml:space="preserve">The maximum duration of follow-up </w:t>
      </w:r>
      <w:r w:rsidR="00126B89">
        <w:t xml:space="preserve">for selumetinib in the SPRINT trial </w:t>
      </w:r>
      <w:r w:rsidRPr="0071130B">
        <w:t xml:space="preserve">was 72 months (6 years). Parametric distributions with best relative fit according to Akaike's Information Criteria (AIC) and Bayesian Information Criteria (BIC) and visual inspection were used to extrapolate the </w:t>
      </w:r>
      <w:r w:rsidR="003B2FF1" w:rsidRPr="003B2FF1">
        <w:t>Kaplan-Meier</w:t>
      </w:r>
      <w:r w:rsidRPr="0071130B">
        <w:t xml:space="preserve"> function c</w:t>
      </w:r>
      <w:r w:rsidRPr="00D90CC0">
        <w:t xml:space="preserve">urves (PFS and </w:t>
      </w:r>
      <w:r w:rsidR="00126B89" w:rsidRPr="00D90CC0">
        <w:t>t</w:t>
      </w:r>
      <w:r w:rsidR="00CD292B" w:rsidRPr="00D90CC0">
        <w:t>ime to treatment discontinuation (T</w:t>
      </w:r>
      <w:r w:rsidRPr="00D90CC0">
        <w:t>TD</w:t>
      </w:r>
      <w:r w:rsidR="00CD292B" w:rsidRPr="00D90CC0">
        <w:t>)</w:t>
      </w:r>
      <w:r w:rsidRPr="00D90CC0">
        <w:t>) from the maximum follow-up time</w:t>
      </w:r>
      <w:r w:rsidRPr="0071130B">
        <w:t xml:space="preserve"> over a time </w:t>
      </w:r>
      <w:r w:rsidRPr="000E5F8A">
        <w:t xml:space="preserve">horizon of 100 years. </w:t>
      </w:r>
    </w:p>
    <w:p w14:paraId="355F9567" w14:textId="6495B553" w:rsidR="0071130B" w:rsidRPr="000E5F8A" w:rsidRDefault="00126B89" w:rsidP="00D06853">
      <w:pPr>
        <w:pStyle w:val="3-BodyText"/>
        <w:rPr>
          <w:color w:val="0066FF"/>
        </w:rPr>
      </w:pPr>
      <w:bookmarkStart w:id="70" w:name="_Ref120872994"/>
      <w:r w:rsidRPr="00E331B7">
        <w:t>The ESC considered that the application of</w:t>
      </w:r>
      <w:r w:rsidR="00DE020C" w:rsidRPr="00E331B7">
        <w:t xml:space="preserve"> a </w:t>
      </w:r>
      <w:r w:rsidR="00BC6897" w:rsidRPr="00E331B7">
        <w:t xml:space="preserve">100-year </w:t>
      </w:r>
      <w:r w:rsidRPr="00E331B7">
        <w:t xml:space="preserve">time </w:t>
      </w:r>
      <w:r w:rsidR="0071130B" w:rsidRPr="00E331B7">
        <w:t xml:space="preserve">horizon </w:t>
      </w:r>
      <w:r w:rsidRPr="00E331B7">
        <w:t>was</w:t>
      </w:r>
      <w:r w:rsidR="0071130B" w:rsidRPr="00E331B7">
        <w:t xml:space="preserve"> too long </w:t>
      </w:r>
      <w:r w:rsidRPr="00E331B7">
        <w:t xml:space="preserve">for </w:t>
      </w:r>
      <w:r w:rsidR="0071130B" w:rsidRPr="00E331B7">
        <w:t>the population with NF1 PN</w:t>
      </w:r>
      <w:r w:rsidRPr="00E331B7">
        <w:t xml:space="preserve"> and introduced considerable uncertainty to the model</w:t>
      </w:r>
      <w:r w:rsidR="0071130B" w:rsidRPr="00E331B7">
        <w:t xml:space="preserve">. </w:t>
      </w:r>
      <w:r w:rsidRPr="00E331B7">
        <w:t>The ESC noted that p</w:t>
      </w:r>
      <w:r w:rsidR="0071130B" w:rsidRPr="00E331B7">
        <w:t>aediatric patients with NF1 and symptomatic PN, have a higher mortality rate compared to NF1 patients with no PN or asymptomatic PN (3.2% vs 0.5%)</w:t>
      </w:r>
      <w:r w:rsidR="0071130B" w:rsidRPr="00E331B7">
        <w:rPr>
          <w:rStyle w:val="FootnoteReference"/>
          <w:rFonts w:eastAsia="Verdana"/>
        </w:rPr>
        <w:footnoteReference w:id="5"/>
      </w:r>
      <w:r w:rsidR="0071130B" w:rsidRPr="00E331B7">
        <w:t xml:space="preserve">. </w:t>
      </w:r>
      <w:r w:rsidRPr="00E331B7">
        <w:t>T</w:t>
      </w:r>
      <w:r w:rsidR="0071130B" w:rsidRPr="00E331B7">
        <w:t>he results</w:t>
      </w:r>
      <w:r w:rsidR="0071130B" w:rsidRPr="000E5F8A">
        <w:t xml:space="preserve"> of sensitivity analyses indicated that the model was sensitive to a reduction in the time horizon</w:t>
      </w:r>
      <w:r w:rsidR="00DE020C" w:rsidRPr="000E5F8A">
        <w:t>,</w:t>
      </w:r>
      <w:r w:rsidR="0071130B" w:rsidRPr="000E5F8A">
        <w:t xml:space="preserve"> with </w:t>
      </w:r>
      <w:r w:rsidR="00DE020C" w:rsidRPr="000E5F8A">
        <w:t>incremental cost</w:t>
      </w:r>
      <w:r w:rsidR="0071130B" w:rsidRPr="000E5F8A">
        <w:t xml:space="preserve"> per QALY gained plateau</w:t>
      </w:r>
      <w:r w:rsidR="00DE020C" w:rsidRPr="000E5F8A">
        <w:t xml:space="preserve">ing </w:t>
      </w:r>
      <w:r w:rsidR="0071130B" w:rsidRPr="000E5F8A">
        <w:t>a</w:t>
      </w:r>
      <w:r w:rsidR="00994A88">
        <w:t>round</w:t>
      </w:r>
      <w:r w:rsidR="0071130B" w:rsidRPr="000E5F8A">
        <w:t xml:space="preserve"> 70 years.</w:t>
      </w:r>
      <w:r w:rsidR="00D06853" w:rsidRPr="000E5F8A">
        <w:t xml:space="preserve"> </w:t>
      </w:r>
      <w:r w:rsidR="0057031F">
        <w:t>The PSCR and pre-PBAC response presented revised base cases in which the time horizon was reduced to 75 years.</w:t>
      </w:r>
      <w:bookmarkEnd w:id="70"/>
    </w:p>
    <w:p w14:paraId="2D8C3DBD" w14:textId="0672299A" w:rsidR="00306849" w:rsidRPr="00E331B7" w:rsidRDefault="0018320C" w:rsidP="00A12E08">
      <w:pPr>
        <w:pStyle w:val="3-BodyText"/>
      </w:pPr>
      <w:bookmarkStart w:id="71" w:name="_Ref120873144"/>
      <w:r w:rsidRPr="00E331B7">
        <w:t>A</w:t>
      </w:r>
      <w:r w:rsidR="00306849" w:rsidRPr="00E331B7">
        <w:t xml:space="preserve"> uniform discount rate</w:t>
      </w:r>
      <w:r w:rsidRPr="00E331B7">
        <w:t xml:space="preserve"> of 5%</w:t>
      </w:r>
      <w:r w:rsidR="00306849" w:rsidRPr="00E331B7">
        <w:t xml:space="preserve"> was applied to the cost</w:t>
      </w:r>
      <w:r w:rsidR="00596721" w:rsidRPr="00E331B7">
        <w:t>s</w:t>
      </w:r>
      <w:r w:rsidR="00306849" w:rsidRPr="00E331B7">
        <w:t>, whereas a differential discount rate was applied to benefits. The submission stated that the requested listing is for a paediatric population</w:t>
      </w:r>
      <w:r w:rsidR="00BC6897" w:rsidRPr="00E331B7">
        <w:t xml:space="preserve"> with the</w:t>
      </w:r>
      <w:r w:rsidR="00306849" w:rsidRPr="00E331B7">
        <w:t xml:space="preserve"> majority of patients </w:t>
      </w:r>
      <w:r w:rsidR="00BC6897" w:rsidRPr="00E331B7">
        <w:t>stopping</w:t>
      </w:r>
      <w:r w:rsidR="00306849" w:rsidRPr="00E331B7">
        <w:t xml:space="preserve"> treatment by the age of 18. </w:t>
      </w:r>
      <w:r w:rsidR="00BC6897" w:rsidRPr="00E331B7">
        <w:t>Thus, t</w:t>
      </w:r>
      <w:r w:rsidR="003A108F" w:rsidRPr="00E331B7">
        <w:t xml:space="preserve">he submission applied a 5% discount on benefits until a patient turns </w:t>
      </w:r>
      <w:r w:rsidR="00BC6897" w:rsidRPr="00E331B7">
        <w:t>18 based</w:t>
      </w:r>
      <w:r w:rsidR="003A108F" w:rsidRPr="00E331B7">
        <w:t xml:space="preserve"> on the assumption that the benefits are accrued at the same time as costs. For patients between the ages of 18 to 24, the submission applied a discount rate of 3% based on the assumption that the majority of patients are </w:t>
      </w:r>
      <w:r w:rsidR="00DE020C" w:rsidRPr="00E331B7">
        <w:t>off-treatment,</w:t>
      </w:r>
      <w:r w:rsidR="003A108F" w:rsidRPr="00E331B7">
        <w:t xml:space="preserve"> but a minority of patients may continue to experience progressive disease. A 1.5% benefit discount rate was applied up until the specified lifetime horizon based on the assumption that no patients progress or accrue costs of treatment. </w:t>
      </w:r>
      <w:r w:rsidR="00593962" w:rsidRPr="00E331B7">
        <w:t>This approach would maximise the estimated benefits from selumetinib by applying a reduced discount rate for the extrapolated period until the end of the specified time horizon.</w:t>
      </w:r>
      <w:r w:rsidR="0070244E" w:rsidRPr="00E331B7">
        <w:t xml:space="preserve"> </w:t>
      </w:r>
      <w:r w:rsidR="00593962" w:rsidRPr="00E331B7">
        <w:t>The PSCR stated that the tiered differential discount rate applied to the health benefits was appropriate as treatment with selumetinib demonstrated a clinically meaningful improvement in QoL, due to a reduction in tumour size, which was expected to persist and result in future benefits</w:t>
      </w:r>
      <w:r w:rsidR="00330246" w:rsidRPr="00E331B7">
        <w:t>, allowing</w:t>
      </w:r>
      <w:r w:rsidR="0070244E" w:rsidRPr="00E331B7">
        <w:t xml:space="preserve"> patient</w:t>
      </w:r>
      <w:r w:rsidR="00330246" w:rsidRPr="00E331B7">
        <w:t>s</w:t>
      </w:r>
      <w:r w:rsidR="0070244E" w:rsidRPr="00E331B7">
        <w:t xml:space="preserve"> to be more productive and </w:t>
      </w:r>
      <w:r w:rsidR="00330246" w:rsidRPr="00E331B7">
        <w:t xml:space="preserve">reducing the cost of </w:t>
      </w:r>
      <w:r w:rsidR="0070244E" w:rsidRPr="00E331B7">
        <w:t>managing morbidities in adulthood</w:t>
      </w:r>
      <w:r w:rsidR="00593962" w:rsidRPr="00E331B7">
        <w:t xml:space="preserve">. </w:t>
      </w:r>
      <w:r w:rsidR="00151A17" w:rsidRPr="00E331B7">
        <w:t>In addition, the clinical benefits observed at the age of 18 were assumed to continue until the end of the time horizon. The ESC noted that as tumour growth rates are expected to slow over time, the comparative effectiveness claimed while on treatment may not continue for the duration of the time horizon.</w:t>
      </w:r>
      <w:bookmarkEnd w:id="71"/>
    </w:p>
    <w:p w14:paraId="65FCD3D9" w14:textId="5352F1A8" w:rsidR="0070244E" w:rsidRPr="00E331B7" w:rsidRDefault="00306849" w:rsidP="005F6EF0">
      <w:pPr>
        <w:pStyle w:val="3-BodyText"/>
      </w:pPr>
      <w:bookmarkStart w:id="72" w:name="_Ref120873042"/>
      <w:r w:rsidRPr="00E331B7">
        <w:t xml:space="preserve">According to the PBAC guidelines (Version 5.0), both costs and health outcomes should be discounted at a rate of 5% per year for all costs and health outcomes that occur or extend beyond one year in the base case. </w:t>
      </w:r>
      <w:r w:rsidR="00593962" w:rsidRPr="00E331B7">
        <w:t xml:space="preserve">Although the PSCR noted that the </w:t>
      </w:r>
      <w:r w:rsidR="00593962" w:rsidRPr="00E331B7">
        <w:lastRenderedPageBreak/>
        <w:t>PBAC guidelines allow submission</w:t>
      </w:r>
      <w:r w:rsidR="00B279CC" w:rsidRPr="00E331B7">
        <w:t>s</w:t>
      </w:r>
      <w:r w:rsidR="00593962" w:rsidRPr="00E331B7">
        <w:t xml:space="preserve"> to use other discounting methodologies such as a different uniform rate, differential rates and time-varying rates, the ESC noted that the guidelines state that these </w:t>
      </w:r>
      <w:r w:rsidR="00F55AF9">
        <w:t xml:space="preserve">should </w:t>
      </w:r>
      <w:r w:rsidR="00593962" w:rsidRPr="00E331B7">
        <w:t>be presented as supplementary analyses</w:t>
      </w:r>
      <w:r w:rsidR="00F55AF9">
        <w:t>.</w:t>
      </w:r>
      <w:bookmarkEnd w:id="72"/>
      <w:r w:rsidR="00F55AF9">
        <w:t xml:space="preserve"> </w:t>
      </w:r>
      <w:r w:rsidR="00593962" w:rsidRPr="00E331B7">
        <w:t xml:space="preserve"> </w:t>
      </w:r>
    </w:p>
    <w:p w14:paraId="6045B8FD" w14:textId="17E5E5C4" w:rsidR="0070244E" w:rsidRDefault="0070244E" w:rsidP="005F6EF0">
      <w:pPr>
        <w:pStyle w:val="3-BodyText"/>
      </w:pPr>
      <w:r w:rsidRPr="00E331B7">
        <w:t xml:space="preserve">The PSCR further noted that the PBAC had previously accepted a reduced 3.5% discount on costs and outcomes for a meningococcal B vaccine. Whilst acknowledging that the indication and utilisation of selumetinib </w:t>
      </w:r>
      <w:r w:rsidR="00330246" w:rsidRPr="00E331B7">
        <w:t>wa</w:t>
      </w:r>
      <w:r w:rsidRPr="00E331B7">
        <w:t xml:space="preserve">s different to a vaccine, the PSCR stated that there </w:t>
      </w:r>
      <w:r w:rsidR="00330246" w:rsidRPr="00E331B7">
        <w:t>we</w:t>
      </w:r>
      <w:r w:rsidRPr="00E331B7">
        <w:t>re similarities that should be factored into the economic evaluation – like a vaccine, the cost of treatment with selumetinib is upfront in the earlier years of life, with benefits expected to continue into later years of life. The ESC</w:t>
      </w:r>
      <w:r w:rsidR="00AB6327" w:rsidRPr="00E331B7">
        <w:t>, whilst acknowledging the use of a 3.5% discount rate in the meningococcal B vaccine submission,</w:t>
      </w:r>
      <w:r w:rsidRPr="00E331B7">
        <w:t xml:space="preserve"> considered that a 5% discount rate, applied to costs and outcomes</w:t>
      </w:r>
      <w:r w:rsidR="0035283C" w:rsidRPr="00E331B7">
        <w:t xml:space="preserve"> in the base case analysis</w:t>
      </w:r>
      <w:r w:rsidRPr="00E331B7">
        <w:t xml:space="preserve">, more appropriately captured the time preference of </w:t>
      </w:r>
      <w:r w:rsidR="00330246" w:rsidRPr="00E331B7">
        <w:t xml:space="preserve">the </w:t>
      </w:r>
      <w:r w:rsidRPr="00E331B7">
        <w:t xml:space="preserve">more immediate (certain) health gains against future (much less certain) health gains of selumetinib, as there was a </w:t>
      </w:r>
      <w:r w:rsidR="0035283C" w:rsidRPr="00E331B7">
        <w:t xml:space="preserve">very </w:t>
      </w:r>
      <w:r w:rsidRPr="00E331B7">
        <w:t xml:space="preserve">high degree of uncertainty associated with the future consequences of </w:t>
      </w:r>
      <w:r w:rsidR="00330246" w:rsidRPr="00E331B7">
        <w:t xml:space="preserve">selumetinib use, particularly given the increased mortality associated with NF1 PN. </w:t>
      </w:r>
    </w:p>
    <w:p w14:paraId="69AC5775" w14:textId="586296A0" w:rsidR="0057031F" w:rsidRDefault="0057031F" w:rsidP="005F6EF0">
      <w:pPr>
        <w:pStyle w:val="3-BodyText"/>
      </w:pPr>
      <w:bookmarkStart w:id="73" w:name="_Ref120873187"/>
      <w:r>
        <w:t>The pre-PBAC response presented a revised base case in which a 5% discount rate was applied to benefits up to the age of 24, beyond which a 3.5% rate was applied.</w:t>
      </w:r>
      <w:r w:rsidR="001B23C1">
        <w:t xml:space="preserve"> The pre-PBAC response stated that the application of a 5% rate on immediate health benefits whilst the patient was on treatment was appropriate. The pre-PBAC response stated that as </w:t>
      </w:r>
      <w:r w:rsidR="005B3B5E">
        <w:t xml:space="preserve">(i) </w:t>
      </w:r>
      <w:r w:rsidR="001B23C1">
        <w:t>tumour growth rates slow</w:t>
      </w:r>
      <w:r w:rsidR="005B3B5E">
        <w:t>,</w:t>
      </w:r>
      <w:r w:rsidR="001B23C1">
        <w:t xml:space="preserve"> and </w:t>
      </w:r>
      <w:r w:rsidR="005B3B5E">
        <w:t xml:space="preserve">(ii) </w:t>
      </w:r>
      <w:r w:rsidR="001B23C1">
        <w:t>there is an overall improvement in the management of existing morbidities as patients age, the application of a 3.5% rate to benefits for patients off treatment was appropriate.</w:t>
      </w:r>
      <w:bookmarkEnd w:id="73"/>
      <w:r w:rsidR="001B23C1">
        <w:t xml:space="preserve"> </w:t>
      </w:r>
    </w:p>
    <w:p w14:paraId="5939567F" w14:textId="5732DCDC" w:rsidR="000E3B6C" w:rsidRPr="00E331B7" w:rsidRDefault="000E3B6C" w:rsidP="005F6EF0">
      <w:pPr>
        <w:pStyle w:val="3-BodyText"/>
      </w:pPr>
      <w:bookmarkStart w:id="74" w:name="_Ref120873273"/>
      <w:r>
        <w:t>The submission did not use the PedsQL data from the SPRINT trial to estimate utilities in the economic model. The submission stated that PedsQL data mapped to EQ-5D-Y using an algorithm developed by Khan et al. (2014) did not adequately reflect the targeted patient population as a different population was used to develop the mapping algorithm.</w:t>
      </w:r>
      <w:bookmarkEnd w:id="74"/>
    </w:p>
    <w:p w14:paraId="3FD4652A" w14:textId="37203F61" w:rsidR="00117F01" w:rsidRPr="00E331B7" w:rsidRDefault="00E45126" w:rsidP="00117F01">
      <w:pPr>
        <w:pStyle w:val="3-BodyText"/>
      </w:pPr>
      <w:r w:rsidRPr="00E331B7">
        <w:t xml:space="preserve">The </w:t>
      </w:r>
      <w:r w:rsidR="00126B89" w:rsidRPr="00E331B7">
        <w:t xml:space="preserve">ESC noted that the </w:t>
      </w:r>
      <w:r w:rsidRPr="00E331B7">
        <w:t>submission conducted a</w:t>
      </w:r>
      <w:r w:rsidR="00C350ED" w:rsidRPr="00E331B7">
        <w:t xml:space="preserve"> time trade off (TTO) study </w:t>
      </w:r>
      <w:r w:rsidRPr="00E331B7">
        <w:t>amongst general public in the United Kingdom (UK)</w:t>
      </w:r>
      <w:r w:rsidR="00EA7B3E" w:rsidRPr="00E331B7">
        <w:t xml:space="preserve"> </w:t>
      </w:r>
      <w:r w:rsidR="00C350ED" w:rsidRPr="00E331B7">
        <w:t xml:space="preserve">to estimate utilities for patients with NF1 and symptomatic, inoperable PN for use in the economic model. </w:t>
      </w:r>
      <w:r w:rsidR="00126B89" w:rsidRPr="00E331B7">
        <w:t>As the u</w:t>
      </w:r>
      <w:r w:rsidR="009E7A9F" w:rsidRPr="00E331B7">
        <w:t xml:space="preserve">tility values were not based on the experience of </w:t>
      </w:r>
      <w:r w:rsidR="00126B89" w:rsidRPr="00E331B7">
        <w:t>patients or</w:t>
      </w:r>
      <w:r w:rsidR="009E7A9F" w:rsidRPr="00E331B7">
        <w:t xml:space="preserve"> their carers</w:t>
      </w:r>
      <w:r w:rsidR="00126B89" w:rsidRPr="00E331B7">
        <w:t xml:space="preserve">, they </w:t>
      </w:r>
      <w:r w:rsidR="009E7A9F" w:rsidRPr="00E331B7">
        <w:t>may not reflect accurate utility values</w:t>
      </w:r>
      <w:r w:rsidR="00126B89" w:rsidRPr="00E331B7">
        <w:t xml:space="preserve"> for patients with NF1 PN</w:t>
      </w:r>
      <w:r w:rsidR="009E7A9F" w:rsidRPr="00E331B7">
        <w:t xml:space="preserve">. </w:t>
      </w:r>
    </w:p>
    <w:p w14:paraId="3AC7632D" w14:textId="10BFB852" w:rsidR="00B539D7" w:rsidRPr="00E331B7" w:rsidRDefault="0001274D" w:rsidP="00117F01">
      <w:pPr>
        <w:pStyle w:val="3-BodyText"/>
      </w:pPr>
      <w:bookmarkStart w:id="75" w:name="_Ref120873316"/>
      <w:r w:rsidRPr="00E331B7">
        <w:t>Based on the TTO, the submission</w:t>
      </w:r>
      <w:r w:rsidR="000C0868" w:rsidRPr="00E331B7">
        <w:t xml:space="preserve"> applied an </w:t>
      </w:r>
      <w:r w:rsidRPr="00E331B7">
        <w:t>estimated</w:t>
      </w:r>
      <w:r w:rsidR="00182751" w:rsidRPr="00E331B7">
        <w:t xml:space="preserve"> </w:t>
      </w:r>
      <w:r w:rsidRPr="00E331B7">
        <w:t>utility of</w:t>
      </w:r>
      <w:r w:rsidR="000C0868" w:rsidRPr="00E331B7">
        <w:t xml:space="preserve"> 0.74 for patients in the progression-free health state and of</w:t>
      </w:r>
      <w:r w:rsidRPr="00E331B7">
        <w:t xml:space="preserve"> 0.51 for patients</w:t>
      </w:r>
      <w:r w:rsidR="000C0868" w:rsidRPr="00E331B7">
        <w:t xml:space="preserve"> in the progressed state to the selumetinib arm</w:t>
      </w:r>
      <w:r w:rsidRPr="00E331B7">
        <w:t xml:space="preserve">. For the supportive care arm, the submission assumed a utility of 0.625 in the progression-free state and 0.51 in the progressive disease state. </w:t>
      </w:r>
      <w:r w:rsidR="00CF3962" w:rsidRPr="00E331B7">
        <w:t>Assigning progression-free patients in the selumetinib arm higher utility scores favour</w:t>
      </w:r>
      <w:r w:rsidR="000C0868" w:rsidRPr="00E331B7">
        <w:t>ed</w:t>
      </w:r>
      <w:r w:rsidR="00CF3962" w:rsidRPr="00E331B7">
        <w:t xml:space="preserve"> </w:t>
      </w:r>
      <w:r w:rsidR="003B0297" w:rsidRPr="00E331B7">
        <w:t>selumetinib</w:t>
      </w:r>
      <w:r w:rsidR="00CF3962" w:rsidRPr="00E331B7">
        <w:t xml:space="preserve">. </w:t>
      </w:r>
      <w:r w:rsidR="00B539D7" w:rsidRPr="00E331B7">
        <w:t xml:space="preserve">The submission did not provide any justification or source for the utilities used for </w:t>
      </w:r>
      <w:r w:rsidR="00117F01" w:rsidRPr="00E331B7">
        <w:t>progression-free health state in the</w:t>
      </w:r>
      <w:r w:rsidR="00B539D7" w:rsidRPr="00E331B7">
        <w:t xml:space="preserve"> supportive care arm.</w:t>
      </w:r>
      <w:r w:rsidR="000C0868" w:rsidRPr="00E331B7">
        <w:t xml:space="preserve"> The ESC considered that the utility values in the progression-free health state should be consistent </w:t>
      </w:r>
      <w:r w:rsidR="000C0868" w:rsidRPr="00E331B7">
        <w:lastRenderedPageBreak/>
        <w:t>between the selumetinib and best supportive care arms.</w:t>
      </w:r>
      <w:r w:rsidR="001B23C1">
        <w:t xml:space="preserve"> The pre-PBAC response stated that the application of a uniform progression free utility value was not appropriate as it implied that patients on standard care experience the same rate of PN growth (or reduction) and quality of life as selumetinib patients.</w:t>
      </w:r>
      <w:bookmarkEnd w:id="75"/>
    </w:p>
    <w:p w14:paraId="14B7297C" w14:textId="74CE5256" w:rsidR="00117F01" w:rsidRPr="00E331B7" w:rsidRDefault="00AE4FC3" w:rsidP="00117F01">
      <w:pPr>
        <w:pStyle w:val="3-BodyText"/>
      </w:pPr>
      <w:r w:rsidRPr="00E331B7">
        <w:t xml:space="preserve">The total accrued utility over the first 30 years of the model is presented in </w:t>
      </w:r>
      <w:r w:rsidRPr="00E331B7">
        <w:fldChar w:fldCharType="begin"/>
      </w:r>
      <w:r w:rsidRPr="00E331B7">
        <w:instrText xml:space="preserve"> REF _Ref111457150 \h  \* MERGEFORMAT </w:instrText>
      </w:r>
      <w:r w:rsidRPr="00E331B7">
        <w:fldChar w:fldCharType="separate"/>
      </w:r>
      <w:r w:rsidR="00BE0EE6">
        <w:t xml:space="preserve">Figure </w:t>
      </w:r>
      <w:r w:rsidR="00BE0EE6">
        <w:rPr>
          <w:noProof/>
        </w:rPr>
        <w:t>14</w:t>
      </w:r>
      <w:r w:rsidRPr="00E331B7">
        <w:fldChar w:fldCharType="end"/>
      </w:r>
      <w:r w:rsidRPr="00E331B7">
        <w:t>.</w:t>
      </w:r>
    </w:p>
    <w:p w14:paraId="48920870" w14:textId="49334C8C" w:rsidR="00C350ED" w:rsidRDefault="00AE4FC3" w:rsidP="004B5BA3">
      <w:pPr>
        <w:pStyle w:val="Caption"/>
        <w:jc w:val="left"/>
      </w:pPr>
      <w:bookmarkStart w:id="76" w:name="_Ref111457150"/>
      <w:r>
        <w:t xml:space="preserve">Figure </w:t>
      </w:r>
      <w:fldSimple w:instr=" SEQ Figure \* ARABIC ">
        <w:r w:rsidR="00BE0EE6">
          <w:rPr>
            <w:noProof/>
          </w:rPr>
          <w:t>14</w:t>
        </w:r>
      </w:fldSimple>
      <w:bookmarkEnd w:id="76"/>
      <w:r w:rsidRPr="00651C8C">
        <w:t>.</w:t>
      </w:r>
      <w:r>
        <w:t xml:space="preserve"> </w:t>
      </w:r>
      <w:r w:rsidRPr="00AE4FC3">
        <w:t>Age-adjusted utility values for the first 30 years of the model</w:t>
      </w:r>
      <w:r w:rsidR="004B5BA3">
        <w:rPr>
          <w:noProof/>
        </w:rPr>
        <w:drawing>
          <wp:inline distT="0" distB="0" distL="0" distR="0" wp14:anchorId="5262CC79" wp14:editId="1023D51E">
            <wp:extent cx="5438140" cy="2859405"/>
            <wp:effectExtent l="0" t="0" r="0" b="0"/>
            <wp:docPr id="42" name="Picture 42" descr="Figure 14. Age-adjusted utility values for the first 30 years of the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Figure 14. Age-adjusted utility values for the first 30 years of the model"/>
                    <pic:cNvPicPr>
                      <a:picLocks noChangeAspect="1" noChangeArrowheads="1"/>
                    </pic:cNvPicPr>
                  </pic:nvPicPr>
                  <pic:blipFill>
                    <a:blip r:embed="rId21">
                      <a:extLst>
                        <a:ext uri="{28A0092B-C50C-407E-A947-70E740481C1C}">
                          <a14:useLocalDpi xmlns:a14="http://schemas.microsoft.com/office/drawing/2010/main"/>
                        </a:ext>
                      </a:extLst>
                    </a:blip>
                    <a:srcRect/>
                    <a:stretch>
                      <a:fillRect/>
                    </a:stretch>
                  </pic:blipFill>
                  <pic:spPr bwMode="auto">
                    <a:xfrm>
                      <a:off x="0" y="0"/>
                      <a:ext cx="5438140" cy="2859405"/>
                    </a:xfrm>
                    <a:prstGeom prst="rect">
                      <a:avLst/>
                    </a:prstGeom>
                    <a:noFill/>
                  </pic:spPr>
                </pic:pic>
              </a:graphicData>
            </a:graphic>
          </wp:inline>
        </w:drawing>
      </w:r>
    </w:p>
    <w:p w14:paraId="49254493" w14:textId="3B4DB565" w:rsidR="00AE4FC3" w:rsidRPr="00CF3962" w:rsidRDefault="00AE4FC3" w:rsidP="00466367">
      <w:pPr>
        <w:pStyle w:val="TableFooter"/>
        <w:spacing w:after="120"/>
      </w:pPr>
      <w:r>
        <w:t xml:space="preserve">Source: Figure 3.13, p203 of the submission. </w:t>
      </w:r>
    </w:p>
    <w:p w14:paraId="61DECEAD" w14:textId="2A1AB50F" w:rsidR="00C91D51" w:rsidRPr="00E331B7" w:rsidRDefault="007566CB" w:rsidP="00C91D51">
      <w:pPr>
        <w:pStyle w:val="3-BodyText"/>
      </w:pPr>
      <w:r w:rsidRPr="00E331B7">
        <w:t>As the submission assumed that the effect of selumetinib on HRQoL would continue for life, the u</w:t>
      </w:r>
      <w:r w:rsidR="00C91D51" w:rsidRPr="00E331B7">
        <w:t xml:space="preserve">tility for all surviving patients was adjusted </w:t>
      </w:r>
      <w:r w:rsidRPr="00E331B7">
        <w:t xml:space="preserve">to include </w:t>
      </w:r>
      <w:r w:rsidR="00C91D51" w:rsidRPr="00E331B7">
        <w:t xml:space="preserve">age-related disutility using a regression equation developed by Ara and Brazier (2010). </w:t>
      </w:r>
    </w:p>
    <w:p w14:paraId="5A30665F" w14:textId="2E2EF47B" w:rsidR="00E545C5" w:rsidRPr="00E331B7" w:rsidRDefault="00E545C5" w:rsidP="001C30D8">
      <w:pPr>
        <w:pStyle w:val="3-BodyText"/>
      </w:pPr>
      <w:r w:rsidRPr="00E331B7">
        <w:t>The economic model include</w:t>
      </w:r>
      <w:r w:rsidR="00B42B0C" w:rsidRPr="00E331B7">
        <w:t>d</w:t>
      </w:r>
      <w:r w:rsidRPr="00E331B7">
        <w:t xml:space="preserve"> costs associated with drug acquisition (selumetinib), concomitant pain medication, disease monitoring, and management of adverse events</w:t>
      </w:r>
      <w:r w:rsidR="000F7E58" w:rsidRPr="00E331B7">
        <w:t>.</w:t>
      </w:r>
    </w:p>
    <w:p w14:paraId="084F57E0" w14:textId="6BCEB93D" w:rsidR="00C91D51" w:rsidRPr="00E331B7" w:rsidRDefault="000E3B6C" w:rsidP="00C91D51">
      <w:pPr>
        <w:pStyle w:val="3-BodyText"/>
      </w:pPr>
      <w:r>
        <w:t xml:space="preserve">The model applied an average MRI cost (weighted across a number of MBS codes) and assumed </w:t>
      </w:r>
      <w:r w:rsidR="00751B47">
        <w:t>two</w:t>
      </w:r>
      <w:r>
        <w:t xml:space="preserve"> MRIs would be used for routine disease monitoring in the selumetinib arm. </w:t>
      </w:r>
      <w:r w:rsidR="00751B47">
        <w:t xml:space="preserve">The evaluation of target PN was conducted using volumetric MRI in the SPRINT trial. It is uncertain if MRI would be used routinely in clinical practice outside of a clinical trial and if the MBS codes used </w:t>
      </w:r>
      <w:r w:rsidR="00407F66">
        <w:t xml:space="preserve">appropriately </w:t>
      </w:r>
      <w:r w:rsidR="00751B47">
        <w:t xml:space="preserve">represent volumetric MRI. </w:t>
      </w:r>
    </w:p>
    <w:p w14:paraId="3028B170" w14:textId="1E5907E6" w:rsidR="000F0382" w:rsidRPr="00E331B7" w:rsidRDefault="006B316E" w:rsidP="00C91D51">
      <w:pPr>
        <w:pStyle w:val="3-BodyText"/>
      </w:pPr>
      <w:bookmarkStart w:id="77" w:name="_Ref120873213"/>
      <w:r w:rsidRPr="00E331B7">
        <w:t xml:space="preserve">The submission </w:t>
      </w:r>
      <w:r w:rsidR="00661558" w:rsidRPr="00E331B7">
        <w:t xml:space="preserve">might </w:t>
      </w:r>
      <w:r w:rsidRPr="00E331B7">
        <w:t xml:space="preserve">have underestimated the </w:t>
      </w:r>
      <w:r w:rsidR="00D9271B" w:rsidRPr="00E331B7">
        <w:t xml:space="preserve">costs associated with the </w:t>
      </w:r>
      <w:r w:rsidRPr="00E331B7">
        <w:t>additional test</w:t>
      </w:r>
      <w:r w:rsidR="00D9271B" w:rsidRPr="00E331B7">
        <w:t>s</w:t>
      </w:r>
      <w:r w:rsidRPr="00E331B7">
        <w:t xml:space="preserve"> required </w:t>
      </w:r>
      <w:r w:rsidR="00D9271B" w:rsidRPr="00E331B7">
        <w:t xml:space="preserve">to </w:t>
      </w:r>
      <w:r w:rsidRPr="00E331B7">
        <w:t xml:space="preserve">monitor toxicity with the use of selumetinib. </w:t>
      </w:r>
      <w:r w:rsidR="00D9271B" w:rsidRPr="00E331B7">
        <w:t xml:space="preserve">The </w:t>
      </w:r>
      <w:r w:rsidRPr="00E331B7">
        <w:t>TGA P</w:t>
      </w:r>
      <w:r w:rsidR="00C60E7A" w:rsidRPr="00E331B7">
        <w:t>roduct Information (PI)</w:t>
      </w:r>
      <w:r w:rsidRPr="00E331B7">
        <w:t xml:space="preserve"> for selumetinib recommends </w:t>
      </w:r>
      <w:r w:rsidR="00D9271B" w:rsidRPr="00E331B7">
        <w:t>testing of</w:t>
      </w:r>
      <w:r w:rsidRPr="00E331B7">
        <w:t xml:space="preserve"> serum creatine phosphokinase (CPK) prior to obtaining selumetinib, periodically during treatment, and as clinically indicated. The TGA PI further recommends an ophthalmological evaluation prior to treatment and at any time a patient reports new visual disturbances.</w:t>
      </w:r>
      <w:bookmarkEnd w:id="77"/>
    </w:p>
    <w:p w14:paraId="3A4FE865" w14:textId="5B40013C" w:rsidR="002455DF" w:rsidRPr="00E331B7" w:rsidRDefault="00C465D7" w:rsidP="002455DF">
      <w:pPr>
        <w:pStyle w:val="3-BodyText"/>
      </w:pPr>
      <w:r w:rsidRPr="00E331B7">
        <w:lastRenderedPageBreak/>
        <w:t>T</w:t>
      </w:r>
      <w:r w:rsidR="00AB19EF" w:rsidRPr="00E331B7">
        <w:t xml:space="preserve">races of trial </w:t>
      </w:r>
      <w:r w:rsidRPr="00E331B7">
        <w:t>versus the</w:t>
      </w:r>
      <w:r w:rsidR="00AB19EF" w:rsidRPr="00E331B7">
        <w:t xml:space="preserve"> model results</w:t>
      </w:r>
      <w:r w:rsidRPr="00E331B7">
        <w:t xml:space="preserve"> (PFS and TTD)</w:t>
      </w:r>
      <w:r w:rsidR="00AB19EF" w:rsidRPr="00E331B7">
        <w:t xml:space="preserve"> </w:t>
      </w:r>
      <w:r w:rsidR="00A06402" w:rsidRPr="00E331B7">
        <w:t>are presented in</w:t>
      </w:r>
      <w:r w:rsidR="00AB19EF" w:rsidRPr="00E331B7">
        <w:t xml:space="preserve"> </w:t>
      </w:r>
      <w:r w:rsidR="00F10821" w:rsidRPr="00E331B7">
        <w:fldChar w:fldCharType="begin"/>
      </w:r>
      <w:r w:rsidR="00F10821" w:rsidRPr="00E331B7">
        <w:instrText xml:space="preserve"> REF _Ref111199428 \h </w:instrText>
      </w:r>
      <w:r w:rsidR="00E331B7" w:rsidRPr="00E331B7">
        <w:instrText xml:space="preserve"> \* MERGEFORMAT </w:instrText>
      </w:r>
      <w:r w:rsidR="00F10821" w:rsidRPr="00E331B7">
        <w:fldChar w:fldCharType="separate"/>
      </w:r>
      <w:r w:rsidR="00BE0EE6">
        <w:t xml:space="preserve">Figure </w:t>
      </w:r>
      <w:r w:rsidR="00BE0EE6">
        <w:rPr>
          <w:noProof/>
        </w:rPr>
        <w:t>15</w:t>
      </w:r>
      <w:r w:rsidR="00F10821" w:rsidRPr="00E331B7">
        <w:fldChar w:fldCharType="end"/>
      </w:r>
      <w:r w:rsidR="00436B7F" w:rsidRPr="00E331B7">
        <w:t>.</w:t>
      </w:r>
      <w:r w:rsidR="00FB6C61" w:rsidRPr="00E331B7">
        <w:t xml:space="preserve"> The ESC noted </w:t>
      </w:r>
      <w:r w:rsidR="0067621F" w:rsidRPr="00E331B7">
        <w:t xml:space="preserve">52% of patients </w:t>
      </w:r>
      <w:r w:rsidR="00FB6C61" w:rsidRPr="00E331B7">
        <w:t xml:space="preserve">discontinued treatment (see paragraph </w:t>
      </w:r>
      <w:r w:rsidR="00FB6C61" w:rsidRPr="00E331B7">
        <w:fldChar w:fldCharType="begin"/>
      </w:r>
      <w:r w:rsidR="00FB6C61" w:rsidRPr="00E331B7">
        <w:instrText xml:space="preserve"> REF _Ref116373586 \r \h  \* MERGEFORMAT </w:instrText>
      </w:r>
      <w:r w:rsidR="00FB6C61" w:rsidRPr="00E331B7">
        <w:fldChar w:fldCharType="separate"/>
      </w:r>
      <w:r w:rsidR="00BE0EE6">
        <w:t>6.46</w:t>
      </w:r>
      <w:r w:rsidR="00FB6C61" w:rsidRPr="00E331B7">
        <w:fldChar w:fldCharType="end"/>
      </w:r>
      <w:r w:rsidR="00920C25" w:rsidRPr="00E331B7">
        <w:t xml:space="preserve">). </w:t>
      </w:r>
      <w:r w:rsidR="00686399" w:rsidRPr="00E331B7">
        <w:t xml:space="preserve">The ESC considered there was a high degree of uncertainty around the long-term use of selumetinib as reflected in the clinical trial data and the modelling.  </w:t>
      </w:r>
    </w:p>
    <w:p w14:paraId="56ECF86F" w14:textId="29132044" w:rsidR="00A06402" w:rsidRDefault="00A06402" w:rsidP="00A06402">
      <w:pPr>
        <w:pStyle w:val="Caption"/>
        <w:jc w:val="left"/>
      </w:pPr>
      <w:bookmarkStart w:id="78" w:name="_Ref111199428"/>
      <w:r>
        <w:t xml:space="preserve">Figure </w:t>
      </w:r>
      <w:fldSimple w:instr=" SEQ Figure \* ARABIC ">
        <w:r w:rsidR="00BE0EE6">
          <w:rPr>
            <w:noProof/>
          </w:rPr>
          <w:t>15</w:t>
        </w:r>
      </w:fldSimple>
      <w:bookmarkEnd w:id="78"/>
      <w:r w:rsidR="003725F4">
        <w:rPr>
          <w:noProof/>
        </w:rPr>
        <w:t>:</w:t>
      </w:r>
      <w:r>
        <w:t xml:space="preserve"> </w:t>
      </w:r>
      <w:r w:rsidR="00ED08EB">
        <w:t>Kaplan Meier</w:t>
      </w:r>
      <w:r w:rsidR="00F10821">
        <w:t xml:space="preserve"> curves from the SPRINT trial</w:t>
      </w:r>
      <w:r w:rsidR="003725F4">
        <w:t xml:space="preserve"> with extrapolations</w:t>
      </w:r>
    </w:p>
    <w:p w14:paraId="2FC9D1D8" w14:textId="01CE193D" w:rsidR="00C465D7" w:rsidRDefault="00177150" w:rsidP="00F032E3">
      <w:pPr>
        <w:pStyle w:val="3-BodyText"/>
        <w:numPr>
          <w:ilvl w:val="0"/>
          <w:numId w:val="0"/>
        </w:numPr>
        <w:spacing w:after="0"/>
        <w:jc w:val="center"/>
        <w:rPr>
          <w:color w:val="0066FF"/>
        </w:rPr>
      </w:pPr>
      <w:r>
        <w:rPr>
          <w:noProof/>
        </w:rPr>
        <w:drawing>
          <wp:inline distT="0" distB="0" distL="0" distR="0" wp14:anchorId="5AAAE105" wp14:editId="18452FE8">
            <wp:extent cx="5732145" cy="2727498"/>
            <wp:effectExtent l="0" t="0" r="1905" b="0"/>
            <wp:docPr id="3" name="Picture 3" descr="Figure 15: Kaplan Meier curves from the SPRINT trial with extrapo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15: Kaplan Meier curves from the SPRINT trial with extrapolations"/>
                    <pic:cNvPicPr>
                      <a:picLocks noChangeAspect="1" noChangeArrowheads="1"/>
                    </pic:cNvPicPr>
                  </pic:nvPicPr>
                  <pic:blipFill>
                    <a:blip r:embed="rId22" cstate="screen">
                      <a:extLst>
                        <a:ext uri="{28A0092B-C50C-407E-A947-70E740481C1C}">
                          <a14:useLocalDpi xmlns:a14="http://schemas.microsoft.com/office/drawing/2010/main"/>
                        </a:ext>
                      </a:extLst>
                    </a:blip>
                    <a:srcRect/>
                    <a:stretch>
                      <a:fillRect/>
                    </a:stretch>
                  </pic:blipFill>
                  <pic:spPr bwMode="auto">
                    <a:xfrm>
                      <a:off x="0" y="0"/>
                      <a:ext cx="5732145" cy="2727498"/>
                    </a:xfrm>
                    <a:prstGeom prst="rect">
                      <a:avLst/>
                    </a:prstGeom>
                    <a:noFill/>
                  </pic:spPr>
                </pic:pic>
              </a:graphicData>
            </a:graphic>
          </wp:inline>
        </w:drawing>
      </w:r>
    </w:p>
    <w:p w14:paraId="049D5A1E" w14:textId="69EB93A5" w:rsidR="00F032E3" w:rsidRDefault="00F032E3" w:rsidP="00F032E3">
      <w:pPr>
        <w:pStyle w:val="TableFigureFooter"/>
      </w:pPr>
      <w:r w:rsidRPr="00474F42">
        <w:t>Source: ‘</w:t>
      </w:r>
      <w:r w:rsidRPr="00BE0ED0">
        <w:t>Selumetinib</w:t>
      </w:r>
      <w:r>
        <w:t xml:space="preserve"> Section 3 workbook’ </w:t>
      </w:r>
      <w:r w:rsidRPr="00474F42">
        <w:t>Excel workbook.</w:t>
      </w:r>
    </w:p>
    <w:p w14:paraId="7991B671" w14:textId="77837A0E" w:rsidR="00177150" w:rsidRPr="00F032E3" w:rsidRDefault="008B01AB" w:rsidP="00F032E3">
      <w:pPr>
        <w:pStyle w:val="TableFigureFooter"/>
      </w:pPr>
      <w:r>
        <w:t xml:space="preserve">KM = </w:t>
      </w:r>
      <w:r w:rsidRPr="008B01AB">
        <w:t>Kaplan-Meier</w:t>
      </w:r>
    </w:p>
    <w:p w14:paraId="2C201F0D" w14:textId="6790F415" w:rsidR="00C91D51" w:rsidRPr="00C91D51" w:rsidRDefault="008B0149" w:rsidP="002455DF">
      <w:pPr>
        <w:pStyle w:val="3-BodyText"/>
        <w:rPr>
          <w:color w:val="0066FF"/>
        </w:rPr>
      </w:pPr>
      <w:r w:rsidRPr="00436B7F">
        <w:t xml:space="preserve">The submission used exponential parametric distribution to extrapolate </w:t>
      </w:r>
      <w:r w:rsidR="0001596F">
        <w:t xml:space="preserve">the </w:t>
      </w:r>
      <w:r w:rsidR="008B3B5A" w:rsidRPr="00436B7F">
        <w:t xml:space="preserve">KM </w:t>
      </w:r>
      <w:r w:rsidRPr="00436B7F">
        <w:t>PFS</w:t>
      </w:r>
      <w:r w:rsidR="008B3B5A" w:rsidRPr="00436B7F">
        <w:t xml:space="preserve"> curve</w:t>
      </w:r>
      <w:r w:rsidRPr="00436B7F">
        <w:t xml:space="preserve"> for </w:t>
      </w:r>
      <w:r w:rsidR="0001596F">
        <w:t xml:space="preserve">the </w:t>
      </w:r>
      <w:r w:rsidRPr="00436B7F">
        <w:t xml:space="preserve">selumetinib arm, lognormal </w:t>
      </w:r>
      <w:r w:rsidR="00C81BDF" w:rsidRPr="00436B7F">
        <w:t xml:space="preserve">parametric </w:t>
      </w:r>
      <w:r w:rsidRPr="00436B7F">
        <w:t xml:space="preserve">distribution to extrapolate </w:t>
      </w:r>
      <w:r w:rsidR="0001596F">
        <w:t xml:space="preserve">the </w:t>
      </w:r>
      <w:r w:rsidR="008B3B5A" w:rsidRPr="00436B7F">
        <w:t xml:space="preserve">KM </w:t>
      </w:r>
      <w:r w:rsidRPr="00436B7F">
        <w:t>PFS</w:t>
      </w:r>
      <w:r w:rsidR="00DC467E" w:rsidRPr="00436B7F">
        <w:t xml:space="preserve"> curve</w:t>
      </w:r>
      <w:r w:rsidRPr="00436B7F">
        <w:t xml:space="preserve"> for </w:t>
      </w:r>
      <w:r w:rsidR="0001596F">
        <w:t xml:space="preserve">the </w:t>
      </w:r>
      <w:r w:rsidRPr="00436B7F">
        <w:t xml:space="preserve">supportive care arm, and Weibull </w:t>
      </w:r>
      <w:r w:rsidR="00C81BDF" w:rsidRPr="00436B7F">
        <w:t xml:space="preserve">parametric </w:t>
      </w:r>
      <w:r w:rsidRPr="00436B7F">
        <w:t xml:space="preserve">distribution to extrapolate </w:t>
      </w:r>
      <w:r w:rsidR="0001596F">
        <w:t xml:space="preserve">the </w:t>
      </w:r>
      <w:r w:rsidR="00DC467E" w:rsidRPr="00436B7F">
        <w:t xml:space="preserve">KM </w:t>
      </w:r>
      <w:r w:rsidRPr="00436B7F">
        <w:t>TTD</w:t>
      </w:r>
      <w:r w:rsidR="00DC467E" w:rsidRPr="00436B7F">
        <w:t xml:space="preserve"> curve</w:t>
      </w:r>
      <w:r w:rsidRPr="00436B7F">
        <w:t xml:space="preserve"> beyond the </w:t>
      </w:r>
      <w:r w:rsidR="00C24932" w:rsidRPr="00436B7F">
        <w:t>duration</w:t>
      </w:r>
      <w:r w:rsidR="00C81BDF" w:rsidRPr="00436B7F">
        <w:t xml:space="preserve"> of the trial.</w:t>
      </w:r>
      <w:r w:rsidR="009B2A6C" w:rsidRPr="00436B7F">
        <w:t xml:space="preserve"> </w:t>
      </w:r>
      <w:r w:rsidR="00D9271B">
        <w:t>The use of</w:t>
      </w:r>
      <w:r w:rsidR="00D9271B" w:rsidRPr="000E5F8A">
        <w:t xml:space="preserve"> different parametric distributions to extrapolate KM PFS curves for the selumetinib (exponential) and supportive care (lognormal) arms may </w:t>
      </w:r>
      <w:r w:rsidR="00920C25">
        <w:t xml:space="preserve">not be </w:t>
      </w:r>
      <w:r w:rsidR="00D9271B" w:rsidRPr="000E5F8A">
        <w:t>appropriate.</w:t>
      </w:r>
    </w:p>
    <w:p w14:paraId="2CEF75AE" w14:textId="40C83659" w:rsidR="00920C25" w:rsidRPr="00E331B7" w:rsidRDefault="00C91D51" w:rsidP="001A4D21">
      <w:pPr>
        <w:pStyle w:val="3-BodyText"/>
      </w:pPr>
      <w:bookmarkStart w:id="79" w:name="_Ref120873374"/>
      <w:r w:rsidRPr="00E331B7">
        <w:t xml:space="preserve">The parametric </w:t>
      </w:r>
      <w:r w:rsidR="00014370" w:rsidRPr="00E331B7">
        <w:t>models</w:t>
      </w:r>
      <w:r w:rsidRPr="00E331B7">
        <w:t xml:space="preserve"> used in the model </w:t>
      </w:r>
      <w:r w:rsidR="00920C25" w:rsidRPr="00E331B7">
        <w:t xml:space="preserve">for PFS </w:t>
      </w:r>
      <w:r w:rsidRPr="00E331B7">
        <w:t>may not be appropriate and favour</w:t>
      </w:r>
      <w:r w:rsidR="00D9271B" w:rsidRPr="00E331B7">
        <w:t>ed</w:t>
      </w:r>
      <w:r w:rsidRPr="00E331B7">
        <w:t xml:space="preserve"> selumetinib. </w:t>
      </w:r>
      <w:r w:rsidR="00014370" w:rsidRPr="00E331B7">
        <w:t>The</w:t>
      </w:r>
      <w:r w:rsidRPr="00E331B7">
        <w:t xml:space="preserve"> </w:t>
      </w:r>
      <w:r w:rsidR="00014370" w:rsidRPr="00E331B7">
        <w:t>models</w:t>
      </w:r>
      <w:r w:rsidRPr="00E331B7">
        <w:t xml:space="preserve"> were chosen based on visual inspection </w:t>
      </w:r>
      <w:r w:rsidR="003725F4" w:rsidRPr="00E331B7">
        <w:t xml:space="preserve">only, with no consideration of </w:t>
      </w:r>
      <w:r w:rsidRPr="00E331B7">
        <w:t xml:space="preserve">AIC and BIC </w:t>
      </w:r>
      <w:r w:rsidR="003725F4" w:rsidRPr="00E331B7">
        <w:t>scores</w:t>
      </w:r>
      <w:r w:rsidRPr="00E331B7">
        <w:t xml:space="preserve">. </w:t>
      </w:r>
      <w:r w:rsidR="003725F4" w:rsidRPr="00E331B7">
        <w:t xml:space="preserve">The application of the exponential distribution to the PFS Kaplan Meier curve from the SPRINT trial </w:t>
      </w:r>
      <w:r w:rsidR="005D486E" w:rsidRPr="00E331B7">
        <w:t xml:space="preserve">favoured selumetinib compared to if the lognormal curve, which had the lowest AIC and BIC scores, was applied (see </w:t>
      </w:r>
      <w:r w:rsidR="00920C25" w:rsidRPr="00E331B7">
        <w:fldChar w:fldCharType="begin"/>
      </w:r>
      <w:r w:rsidR="00920C25" w:rsidRPr="00E331B7">
        <w:instrText xml:space="preserve"> REF _Ref116459969 \h </w:instrText>
      </w:r>
      <w:r w:rsidR="00E331B7" w:rsidRPr="00E331B7">
        <w:instrText xml:space="preserve"> \* MERGEFORMAT </w:instrText>
      </w:r>
      <w:r w:rsidR="00920C25" w:rsidRPr="00E331B7">
        <w:fldChar w:fldCharType="separate"/>
      </w:r>
      <w:r w:rsidR="00BE0EE6" w:rsidRPr="00920C25">
        <w:t xml:space="preserve">Figure </w:t>
      </w:r>
      <w:r w:rsidR="00BE0EE6">
        <w:rPr>
          <w:noProof/>
        </w:rPr>
        <w:t>16</w:t>
      </w:r>
      <w:r w:rsidR="00920C25" w:rsidRPr="00E331B7">
        <w:fldChar w:fldCharType="end"/>
      </w:r>
      <w:r w:rsidR="005D486E" w:rsidRPr="00E331B7">
        <w:t xml:space="preserve">). </w:t>
      </w:r>
      <w:r w:rsidR="001206BD">
        <w:t xml:space="preserve">Additionally, the time point at which extrapolation occurs (i.e., maximum follow up) may not be appropriate. </w:t>
      </w:r>
      <w:r w:rsidR="0057031F">
        <w:t>The PSCR and pre-PBAC response presented revised base cases in which the lognormal distribution was applied to the selumetinib PFS arm.</w:t>
      </w:r>
      <w:bookmarkEnd w:id="79"/>
    </w:p>
    <w:p w14:paraId="562A655C" w14:textId="6D6E37AC" w:rsidR="005D486E" w:rsidRDefault="00920C25" w:rsidP="00920C25">
      <w:pPr>
        <w:pStyle w:val="Caption"/>
        <w:rPr>
          <w:snapToGrid w:val="0"/>
        </w:rPr>
      </w:pPr>
      <w:bookmarkStart w:id="80" w:name="_Ref116459969"/>
      <w:bookmarkStart w:id="81" w:name="_Hlk116629165"/>
      <w:r w:rsidRPr="00920C25">
        <w:rPr>
          <w:snapToGrid w:val="0"/>
        </w:rPr>
        <w:lastRenderedPageBreak/>
        <w:t xml:space="preserve">Figure </w:t>
      </w:r>
      <w:r w:rsidRPr="00920C25">
        <w:rPr>
          <w:snapToGrid w:val="0"/>
        </w:rPr>
        <w:fldChar w:fldCharType="begin"/>
      </w:r>
      <w:r w:rsidRPr="00920C25">
        <w:rPr>
          <w:snapToGrid w:val="0"/>
        </w:rPr>
        <w:instrText xml:space="preserve"> SEQ Figure \* ARABIC </w:instrText>
      </w:r>
      <w:r w:rsidRPr="00920C25">
        <w:rPr>
          <w:snapToGrid w:val="0"/>
        </w:rPr>
        <w:fldChar w:fldCharType="separate"/>
      </w:r>
      <w:r w:rsidR="00BE0EE6">
        <w:rPr>
          <w:noProof/>
          <w:snapToGrid w:val="0"/>
        </w:rPr>
        <w:t>16</w:t>
      </w:r>
      <w:r w:rsidRPr="00920C25">
        <w:rPr>
          <w:snapToGrid w:val="0"/>
        </w:rPr>
        <w:fldChar w:fldCharType="end"/>
      </w:r>
      <w:bookmarkEnd w:id="80"/>
      <w:r w:rsidR="005D486E" w:rsidRPr="00920C25">
        <w:rPr>
          <w:snapToGrid w:val="0"/>
        </w:rPr>
        <w:t>: Parametric survival models for PFS in the selumetinib arm</w:t>
      </w:r>
    </w:p>
    <w:p w14:paraId="39EB8FE0" w14:textId="477C2E01" w:rsidR="003725F4" w:rsidRPr="000E5F8A" w:rsidRDefault="00177150" w:rsidP="00177150">
      <w:r>
        <w:rPr>
          <w:noProof/>
        </w:rPr>
        <w:drawing>
          <wp:inline distT="0" distB="0" distL="0" distR="0" wp14:anchorId="3D44F347" wp14:editId="23968216">
            <wp:extent cx="5688330" cy="3602990"/>
            <wp:effectExtent l="0" t="0" r="7620" b="0"/>
            <wp:docPr id="5" name="Picture 5" descr="Figure 16: Parametric survival models for PFS in the selumetinib 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ure 16: Parametric survival models for PFS in the selumetinib arm"/>
                    <pic:cNvPicPr>
                      <a:picLocks noChangeAspect="1" noChangeArrowheads="1"/>
                    </pic:cNvPicPr>
                  </pic:nvPicPr>
                  <pic:blipFill>
                    <a:blip r:embed="rId23">
                      <a:extLst>
                        <a:ext uri="{28A0092B-C50C-407E-A947-70E740481C1C}">
                          <a14:useLocalDpi xmlns:a14="http://schemas.microsoft.com/office/drawing/2010/main"/>
                        </a:ext>
                      </a:extLst>
                    </a:blip>
                    <a:srcRect/>
                    <a:stretch>
                      <a:fillRect/>
                    </a:stretch>
                  </pic:blipFill>
                  <pic:spPr bwMode="auto">
                    <a:xfrm>
                      <a:off x="0" y="0"/>
                      <a:ext cx="5688330" cy="3602990"/>
                    </a:xfrm>
                    <a:prstGeom prst="rect">
                      <a:avLst/>
                    </a:prstGeom>
                    <a:noFill/>
                  </pic:spPr>
                </pic:pic>
              </a:graphicData>
            </a:graphic>
          </wp:inline>
        </w:drawing>
      </w:r>
      <w:bookmarkEnd w:id="81"/>
    </w:p>
    <w:p w14:paraId="1729F661" w14:textId="77777777" w:rsidR="005D486E" w:rsidRDefault="005D486E" w:rsidP="005D486E">
      <w:pPr>
        <w:pStyle w:val="TableFooter"/>
        <w:rPr>
          <w:lang w:val="en-US"/>
        </w:rPr>
      </w:pPr>
      <w:r>
        <w:rPr>
          <w:lang w:val="en-US"/>
        </w:rPr>
        <w:t>Source: Figure 3.8, p191 of the submission.</w:t>
      </w:r>
    </w:p>
    <w:p w14:paraId="2AB5AFE7" w14:textId="7E5D4D35" w:rsidR="005D486E" w:rsidRPr="00466367" w:rsidRDefault="005D486E" w:rsidP="00466367">
      <w:pPr>
        <w:pStyle w:val="TableFooter"/>
        <w:spacing w:after="120"/>
        <w:rPr>
          <w:lang w:val="en-US"/>
        </w:rPr>
      </w:pPr>
      <w:r>
        <w:rPr>
          <w:lang w:val="en-US"/>
        </w:rPr>
        <w:t>KM = Kaplan-Meier, PFS = progression-free survival.</w:t>
      </w:r>
    </w:p>
    <w:p w14:paraId="16D95685" w14:textId="7DF5DB2D" w:rsidR="002923D5" w:rsidRPr="00E331B7" w:rsidRDefault="00E56AB7" w:rsidP="00705C97">
      <w:pPr>
        <w:pStyle w:val="3-BodyText"/>
      </w:pPr>
      <w:bookmarkStart w:id="82" w:name="_Ref120873406"/>
      <w:r w:rsidRPr="00E331B7">
        <w:t xml:space="preserve">The submission stated the selection of the most appropriate distribution for the TTD curve was informed by goodness-of-fit statistics, visual inspection of the extrapolated curves against SPRINT trial data and expected clinical outcome. The submission stated the AIC and BIC statistics were similar across the six distributions explored indicating similar statistical fit. The base case model implemented a Weibull distribution as it </w:t>
      </w:r>
      <w:r w:rsidR="00920C25" w:rsidRPr="00E331B7">
        <w:t>had the lowest AIC</w:t>
      </w:r>
      <w:r w:rsidR="0033001C" w:rsidRPr="00E331B7">
        <w:t xml:space="preserve"> and </w:t>
      </w:r>
      <w:r w:rsidR="00920C25" w:rsidRPr="00E331B7">
        <w:t xml:space="preserve">BIC </w:t>
      </w:r>
      <w:r w:rsidR="0033001C" w:rsidRPr="00E331B7">
        <w:t xml:space="preserve">statistics </w:t>
      </w:r>
      <w:r w:rsidR="00920C25" w:rsidRPr="00E331B7">
        <w:t xml:space="preserve">and </w:t>
      </w:r>
      <w:r w:rsidRPr="00E331B7">
        <w:t xml:space="preserve">resulted in the most plausible predictions of treatment duration given the assumption that the rate of treatment continuation into adulthood would be low.  </w:t>
      </w:r>
      <w:r w:rsidR="002923D5" w:rsidRPr="00E331B7">
        <w:t xml:space="preserve">The evaluation considered the use of a Weibull distribution to model TTD might have underestimated the use of selumetinib as well as the costs of managing adverse events. </w:t>
      </w:r>
      <w:r w:rsidRPr="00E331B7">
        <w:t xml:space="preserve"> The ESC considered that while the Weibull distribution </w:t>
      </w:r>
      <w:r w:rsidR="001D7A3B" w:rsidRPr="00E331B7">
        <w:t xml:space="preserve">may be </w:t>
      </w:r>
      <w:r w:rsidRPr="00E331B7">
        <w:t xml:space="preserve">reasonable, the model is very sensitive to the extrapolation assumptions with </w:t>
      </w:r>
      <w:r w:rsidR="001D7A3B" w:rsidRPr="00E331B7">
        <w:t xml:space="preserve">the </w:t>
      </w:r>
      <w:r w:rsidRPr="00E331B7">
        <w:t>use of a log</w:t>
      </w:r>
      <w:r w:rsidR="00250C0F" w:rsidRPr="00E331B7">
        <w:t xml:space="preserve">logistic </w:t>
      </w:r>
      <w:r w:rsidRPr="00E331B7">
        <w:t xml:space="preserve">function </w:t>
      </w:r>
      <w:r w:rsidR="00455AB6" w:rsidRPr="00E331B7">
        <w:t xml:space="preserve">(the next best fit according to AIC and BIC statistics) </w:t>
      </w:r>
      <w:r w:rsidRPr="00E331B7">
        <w:t xml:space="preserve">increasing the ICER to </w:t>
      </w:r>
      <w:r w:rsidR="00705C97" w:rsidRPr="00705C97">
        <w:t>$135,000 to &lt; $155,000</w:t>
      </w:r>
      <w:r w:rsidR="00705C97">
        <w:t xml:space="preserve"> </w:t>
      </w:r>
      <w:r w:rsidR="0057031F">
        <w:t>per</w:t>
      </w:r>
      <w:r w:rsidR="00751B47">
        <w:t xml:space="preserve"> </w:t>
      </w:r>
      <w:r w:rsidRPr="00E331B7">
        <w:t xml:space="preserve">QALY. </w:t>
      </w:r>
      <w:r w:rsidR="00455AB6" w:rsidRPr="00E331B7">
        <w:t xml:space="preserve"> The ESC noted the Weibull and loglogistic function both visually fit the earlier data reasonably well (</w:t>
      </w:r>
      <w:r w:rsidR="00455AB6" w:rsidRPr="00E331B7">
        <w:fldChar w:fldCharType="begin"/>
      </w:r>
      <w:r w:rsidR="00455AB6" w:rsidRPr="00E331B7">
        <w:instrText xml:space="preserve"> REF _Ref116629459 \h </w:instrText>
      </w:r>
      <w:r w:rsidR="00E331B7" w:rsidRPr="00E331B7">
        <w:instrText xml:space="preserve"> \* MERGEFORMAT </w:instrText>
      </w:r>
      <w:r w:rsidR="00455AB6" w:rsidRPr="00E331B7">
        <w:fldChar w:fldCharType="separate"/>
      </w:r>
      <w:r w:rsidR="00BE0EE6" w:rsidRPr="00751B47">
        <w:t xml:space="preserve">Figure </w:t>
      </w:r>
      <w:r w:rsidR="00BE0EE6">
        <w:rPr>
          <w:noProof/>
        </w:rPr>
        <w:t>17</w:t>
      </w:r>
      <w:r w:rsidR="00455AB6" w:rsidRPr="00E331B7">
        <w:fldChar w:fldCharType="end"/>
      </w:r>
      <w:r w:rsidR="00455AB6" w:rsidRPr="00E331B7">
        <w:t>).</w:t>
      </w:r>
      <w:bookmarkEnd w:id="82"/>
      <w:r w:rsidR="00455AB6" w:rsidRPr="00E331B7">
        <w:t xml:space="preserve"> </w:t>
      </w:r>
    </w:p>
    <w:p w14:paraId="0937DB65" w14:textId="3752CE12" w:rsidR="001F67A4" w:rsidRDefault="001F67A4" w:rsidP="001F67A4">
      <w:pPr>
        <w:pStyle w:val="Caption"/>
        <w:rPr>
          <w:snapToGrid w:val="0"/>
        </w:rPr>
      </w:pPr>
      <w:bookmarkStart w:id="83" w:name="_Ref116629459"/>
      <w:r w:rsidRPr="00751B47">
        <w:rPr>
          <w:snapToGrid w:val="0"/>
        </w:rPr>
        <w:lastRenderedPageBreak/>
        <w:t xml:space="preserve">Figure </w:t>
      </w:r>
      <w:r w:rsidRPr="00751B47">
        <w:rPr>
          <w:snapToGrid w:val="0"/>
        </w:rPr>
        <w:fldChar w:fldCharType="begin"/>
      </w:r>
      <w:r w:rsidRPr="00751B47">
        <w:rPr>
          <w:snapToGrid w:val="0"/>
        </w:rPr>
        <w:instrText xml:space="preserve"> SEQ Figure \* ARABIC </w:instrText>
      </w:r>
      <w:r w:rsidRPr="00751B47">
        <w:rPr>
          <w:snapToGrid w:val="0"/>
        </w:rPr>
        <w:fldChar w:fldCharType="separate"/>
      </w:r>
      <w:r w:rsidR="00BE0EE6">
        <w:rPr>
          <w:noProof/>
          <w:snapToGrid w:val="0"/>
        </w:rPr>
        <w:t>17</w:t>
      </w:r>
      <w:r w:rsidRPr="00751B47">
        <w:rPr>
          <w:snapToGrid w:val="0"/>
        </w:rPr>
        <w:fldChar w:fldCharType="end"/>
      </w:r>
      <w:bookmarkEnd w:id="83"/>
      <w:r w:rsidRPr="00751B47">
        <w:rPr>
          <w:snapToGrid w:val="0"/>
        </w:rPr>
        <w:t xml:space="preserve">: Parametric survival models for </w:t>
      </w:r>
      <w:r w:rsidR="00455AB6" w:rsidRPr="00751B47">
        <w:rPr>
          <w:snapToGrid w:val="0"/>
        </w:rPr>
        <w:t xml:space="preserve">TTD </w:t>
      </w:r>
      <w:r w:rsidRPr="00751B47">
        <w:rPr>
          <w:snapToGrid w:val="0"/>
        </w:rPr>
        <w:t>in the selumetinib arm</w:t>
      </w:r>
      <w:r w:rsidR="00455AB6" w:rsidRPr="00751B47">
        <w:rPr>
          <w:snapToGrid w:val="0"/>
        </w:rPr>
        <w:t xml:space="preserve"> </w:t>
      </w:r>
    </w:p>
    <w:p w14:paraId="1A9F7CFD" w14:textId="76B1E69F" w:rsidR="00177150" w:rsidRPr="00177150" w:rsidRDefault="00177150" w:rsidP="00177150">
      <w:r>
        <w:rPr>
          <w:noProof/>
        </w:rPr>
        <w:drawing>
          <wp:inline distT="0" distB="0" distL="0" distR="0" wp14:anchorId="6B38F9B1" wp14:editId="22A23031">
            <wp:extent cx="5742940" cy="3639820"/>
            <wp:effectExtent l="0" t="0" r="0" b="0"/>
            <wp:docPr id="9" name="Picture 9" descr="Figure 17: Parametric survival models for TTD in the selumetinib ar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igure 17: Parametric survival models for TTD in the selumetinib arm "/>
                    <pic:cNvPicPr>
                      <a:picLocks noChangeAspect="1" noChangeArrowheads="1"/>
                    </pic:cNvPicPr>
                  </pic:nvPicPr>
                  <pic:blipFill>
                    <a:blip r:embed="rId24">
                      <a:extLst>
                        <a:ext uri="{28A0092B-C50C-407E-A947-70E740481C1C}">
                          <a14:useLocalDpi xmlns:a14="http://schemas.microsoft.com/office/drawing/2010/main"/>
                        </a:ext>
                      </a:extLst>
                    </a:blip>
                    <a:srcRect/>
                    <a:stretch>
                      <a:fillRect/>
                    </a:stretch>
                  </pic:blipFill>
                  <pic:spPr bwMode="auto">
                    <a:xfrm>
                      <a:off x="0" y="0"/>
                      <a:ext cx="5742940" cy="3639820"/>
                    </a:xfrm>
                    <a:prstGeom prst="rect">
                      <a:avLst/>
                    </a:prstGeom>
                    <a:noFill/>
                  </pic:spPr>
                </pic:pic>
              </a:graphicData>
            </a:graphic>
          </wp:inline>
        </w:drawing>
      </w:r>
    </w:p>
    <w:p w14:paraId="65C8B6E9" w14:textId="141D12BF" w:rsidR="00250C0F" w:rsidRPr="00466367" w:rsidRDefault="00455AB6" w:rsidP="00466367">
      <w:pPr>
        <w:pStyle w:val="TableFooter"/>
        <w:spacing w:after="120"/>
        <w:rPr>
          <w:i/>
          <w:iCs/>
          <w:lang w:val="en-US"/>
        </w:rPr>
      </w:pPr>
      <w:r w:rsidRPr="00C436C7">
        <w:rPr>
          <w:lang w:val="en-US"/>
        </w:rPr>
        <w:t>Source: Selumetinib Section 3 workbook.xls provided with the submission</w:t>
      </w:r>
      <w:r w:rsidRPr="00455AB6">
        <w:rPr>
          <w:i/>
          <w:iCs/>
          <w:lang w:val="en-US"/>
        </w:rPr>
        <w:t xml:space="preserve"> </w:t>
      </w:r>
    </w:p>
    <w:p w14:paraId="1C3277EB" w14:textId="3B848400" w:rsidR="009C7D2F" w:rsidRPr="00E56AB7" w:rsidRDefault="009C7D2F" w:rsidP="00250C0F">
      <w:pPr>
        <w:pStyle w:val="3-BodyText"/>
      </w:pPr>
      <w:r w:rsidRPr="00E56AB7">
        <w:t xml:space="preserve">There was </w:t>
      </w:r>
      <w:r w:rsidR="005D486E" w:rsidRPr="00E56AB7">
        <w:t xml:space="preserve">also </w:t>
      </w:r>
      <w:r w:rsidRPr="00E56AB7">
        <w:t xml:space="preserve">substantial uncertainty in PFS over the long-term due to the immaturity of PFS data in the SPRINT trial. </w:t>
      </w:r>
    </w:p>
    <w:p w14:paraId="62B21DFF" w14:textId="17121BA8" w:rsidR="000C37C6" w:rsidRPr="00466367" w:rsidRDefault="000C37C6" w:rsidP="000C37C6">
      <w:pPr>
        <w:pStyle w:val="3-BodyText"/>
        <w:rPr>
          <w:color w:val="0066FF"/>
        </w:rPr>
      </w:pPr>
      <w:r w:rsidRPr="007912DD">
        <w:rPr>
          <w:color w:val="000000" w:themeColor="text1"/>
        </w:rPr>
        <w:t xml:space="preserve">A summary of the key </w:t>
      </w:r>
      <w:r w:rsidRPr="007912DD">
        <w:t>drivers of the model is presented in</w:t>
      </w:r>
      <w:r w:rsidR="00436B7F">
        <w:t xml:space="preserve"> </w:t>
      </w:r>
      <w:r w:rsidR="00436B7F">
        <w:fldChar w:fldCharType="begin"/>
      </w:r>
      <w:r w:rsidR="00436B7F">
        <w:instrText xml:space="preserve"> REF _Ref104805122 \h </w:instrText>
      </w:r>
      <w:r w:rsidR="00436B7F">
        <w:fldChar w:fldCharType="separate"/>
      </w:r>
      <w:r w:rsidR="00BE0EE6">
        <w:t xml:space="preserve">Table </w:t>
      </w:r>
      <w:r w:rsidR="00BE0EE6">
        <w:rPr>
          <w:noProof/>
        </w:rPr>
        <w:t>9</w:t>
      </w:r>
      <w:r w:rsidR="00436B7F">
        <w:fldChar w:fldCharType="end"/>
      </w:r>
      <w:r w:rsidR="00436B7F">
        <w:t>.</w:t>
      </w:r>
    </w:p>
    <w:p w14:paraId="631D9A51" w14:textId="77777777" w:rsidR="00466367" w:rsidRPr="00D86415" w:rsidRDefault="00466367" w:rsidP="00466367">
      <w:pPr>
        <w:pStyle w:val="3-BodyText"/>
        <w:numPr>
          <w:ilvl w:val="0"/>
          <w:numId w:val="0"/>
        </w:numPr>
        <w:rPr>
          <w:color w:val="0066FF"/>
        </w:rPr>
      </w:pPr>
    </w:p>
    <w:p w14:paraId="774D46B7" w14:textId="61DA5A22" w:rsidR="00D110BD" w:rsidRPr="00BB00B3" w:rsidRDefault="00E16AD8" w:rsidP="00E16AD8">
      <w:pPr>
        <w:pStyle w:val="Caption"/>
        <w:jc w:val="left"/>
        <w:rPr>
          <w:rStyle w:val="CommentReference"/>
          <w:b/>
          <w:szCs w:val="24"/>
        </w:rPr>
      </w:pPr>
      <w:bookmarkStart w:id="84" w:name="_Ref104805122"/>
      <w:bookmarkStart w:id="85" w:name="_Ref111093224"/>
      <w:bookmarkStart w:id="86" w:name="_Ref111201519"/>
      <w:r>
        <w:lastRenderedPageBreak/>
        <w:t xml:space="preserve">Table </w:t>
      </w:r>
      <w:fldSimple w:instr=" SEQ Table \* ARABIC ">
        <w:r w:rsidR="00BE0EE6">
          <w:rPr>
            <w:noProof/>
          </w:rPr>
          <w:t>9</w:t>
        </w:r>
      </w:fldSimple>
      <w:bookmarkEnd w:id="84"/>
      <w:r>
        <w:t>:</w:t>
      </w:r>
      <w:r w:rsidR="00D110BD" w:rsidRPr="00BB00B3">
        <w:rPr>
          <w:rStyle w:val="CommentReference"/>
          <w:b/>
          <w:szCs w:val="24"/>
        </w:rPr>
        <w:t xml:space="preserve"> Key drivers of the model</w:t>
      </w:r>
      <w:bookmarkEnd w:id="85"/>
      <w:bookmarkEnd w:id="8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8"/>
        <w:gridCol w:w="3830"/>
        <w:gridCol w:w="4059"/>
      </w:tblGrid>
      <w:tr w:rsidR="00537182" w:rsidRPr="003D1DE4" w14:paraId="4DD8026E" w14:textId="77777777" w:rsidTr="00B017A2">
        <w:trPr>
          <w:tblHeader/>
        </w:trPr>
        <w:tc>
          <w:tcPr>
            <w:tcW w:w="625" w:type="pct"/>
            <w:shd w:val="clear" w:color="auto" w:fill="auto"/>
            <w:vAlign w:val="center"/>
          </w:tcPr>
          <w:p w14:paraId="6A9EC2DA" w14:textId="77777777" w:rsidR="00D110BD" w:rsidRPr="003D1DE4" w:rsidRDefault="00D110BD" w:rsidP="00BB00B3">
            <w:pPr>
              <w:pStyle w:val="In-tableHeading"/>
              <w:jc w:val="center"/>
            </w:pPr>
            <w:r w:rsidRPr="003D1DE4">
              <w:t>Description</w:t>
            </w:r>
          </w:p>
        </w:tc>
        <w:tc>
          <w:tcPr>
            <w:tcW w:w="2124" w:type="pct"/>
            <w:shd w:val="clear" w:color="auto" w:fill="auto"/>
            <w:vAlign w:val="center"/>
          </w:tcPr>
          <w:p w14:paraId="67A62672" w14:textId="77777777" w:rsidR="00D110BD" w:rsidRPr="003D1DE4" w:rsidRDefault="00D110BD" w:rsidP="000A7453">
            <w:pPr>
              <w:pStyle w:val="In-tableHeading"/>
              <w:jc w:val="center"/>
            </w:pPr>
            <w:r w:rsidRPr="003D1DE4">
              <w:t>Method/Value</w:t>
            </w:r>
          </w:p>
        </w:tc>
        <w:tc>
          <w:tcPr>
            <w:tcW w:w="2251" w:type="pct"/>
            <w:shd w:val="clear" w:color="auto" w:fill="auto"/>
            <w:vAlign w:val="center"/>
          </w:tcPr>
          <w:p w14:paraId="6B352E41" w14:textId="77777777" w:rsidR="00D110BD" w:rsidRDefault="00D110BD" w:rsidP="000A7453">
            <w:pPr>
              <w:pStyle w:val="In-tableHeading"/>
              <w:jc w:val="center"/>
            </w:pPr>
            <w:r w:rsidRPr="003D1DE4">
              <w:t>Impact</w:t>
            </w:r>
          </w:p>
          <w:p w14:paraId="6C1DC9EA" w14:textId="466F3483" w:rsidR="00490B17" w:rsidRPr="003D1DE4" w:rsidRDefault="00490B17" w:rsidP="000A7453">
            <w:pPr>
              <w:pStyle w:val="In-tableHeading"/>
              <w:jc w:val="center"/>
            </w:pPr>
            <w:r w:rsidRPr="00354F64">
              <w:rPr>
                <w:rFonts w:cs="Arial"/>
                <w:szCs w:val="20"/>
              </w:rPr>
              <w:t xml:space="preserve">Base case: </w:t>
            </w:r>
            <w:r w:rsidR="00DD3D6F" w:rsidRPr="00272D55">
              <w:t>$</w:t>
            </w:r>
            <w:r w:rsidR="00F66E51" w:rsidRPr="00F66E51">
              <w:rPr>
                <w:color w:val="000000"/>
                <w:shd w:val="solid" w:color="000000" w:fill="000000"/>
                <w14:textFill>
                  <w14:solidFill>
                    <w14:srgbClr w14:val="000000">
                      <w14:alpha w14:val="100000"/>
                    </w14:srgbClr>
                  </w14:solidFill>
                </w14:textFill>
              </w:rPr>
              <w:t>|</w:t>
            </w:r>
            <w:r w:rsidR="00705C97" w:rsidRPr="00705C97">
              <w:rPr>
                <w:vertAlign w:val="superscript"/>
              </w:rPr>
              <w:t>1</w:t>
            </w:r>
            <w:r w:rsidRPr="00354F64">
              <w:rPr>
                <w:rFonts w:cs="Arial"/>
                <w:szCs w:val="20"/>
              </w:rPr>
              <w:t>/QALY gained</w:t>
            </w:r>
            <w:r w:rsidR="00354F64" w:rsidRPr="00490B17">
              <w:rPr>
                <w:rFonts w:cs="Arial"/>
                <w:color w:val="3366FF"/>
                <w:szCs w:val="20"/>
              </w:rPr>
              <w:t>.</w:t>
            </w:r>
          </w:p>
        </w:tc>
      </w:tr>
      <w:tr w:rsidR="00A03C11" w:rsidRPr="00E2771E" w14:paraId="63B3352A" w14:textId="77777777" w:rsidTr="00B017A2">
        <w:tc>
          <w:tcPr>
            <w:tcW w:w="625" w:type="pct"/>
            <w:shd w:val="clear" w:color="auto" w:fill="auto"/>
            <w:vAlign w:val="center"/>
          </w:tcPr>
          <w:p w14:paraId="21FEF409" w14:textId="07D6D5E8" w:rsidR="00A03C11" w:rsidRDefault="00A03C11" w:rsidP="004768A7">
            <w:pPr>
              <w:pStyle w:val="TableText0"/>
              <w:rPr>
                <w:lang w:val="en-US"/>
              </w:rPr>
            </w:pPr>
            <w:r>
              <w:rPr>
                <w:lang w:val="en-US"/>
              </w:rPr>
              <w:t>Discount rate</w:t>
            </w:r>
          </w:p>
        </w:tc>
        <w:tc>
          <w:tcPr>
            <w:tcW w:w="2124" w:type="pct"/>
            <w:shd w:val="clear" w:color="auto" w:fill="auto"/>
            <w:vAlign w:val="center"/>
          </w:tcPr>
          <w:p w14:paraId="019F0B16" w14:textId="29FCD27D" w:rsidR="00A03C11" w:rsidRDefault="00822804" w:rsidP="004768A7">
            <w:pPr>
              <w:pStyle w:val="TableText0"/>
              <w:rPr>
                <w:lang w:val="en-US"/>
              </w:rPr>
            </w:pPr>
            <w:r w:rsidRPr="00822804">
              <w:rPr>
                <w:lang w:val="en-US"/>
              </w:rPr>
              <w:t>5% for costs</w:t>
            </w:r>
            <w:r w:rsidR="005D486E">
              <w:rPr>
                <w:lang w:val="en-US"/>
              </w:rPr>
              <w:t xml:space="preserve">, with a </w:t>
            </w:r>
            <w:r w:rsidRPr="00822804">
              <w:rPr>
                <w:lang w:val="en-US"/>
              </w:rPr>
              <w:t>differential rate for outcomes</w:t>
            </w:r>
            <w:r w:rsidR="005D486E">
              <w:rPr>
                <w:lang w:val="en-US"/>
              </w:rPr>
              <w:t xml:space="preserve">: </w:t>
            </w:r>
          </w:p>
          <w:p w14:paraId="303E13DB" w14:textId="6323D67B" w:rsidR="00C82DF8" w:rsidRPr="00C82DF8" w:rsidRDefault="00C82DF8" w:rsidP="00C82DF8">
            <w:pPr>
              <w:pStyle w:val="TableText0"/>
              <w:rPr>
                <w:lang w:val="en-US"/>
              </w:rPr>
            </w:pPr>
            <w:r w:rsidRPr="00C82DF8">
              <w:rPr>
                <w:lang w:val="en-US"/>
              </w:rPr>
              <w:t xml:space="preserve">5% applied </w:t>
            </w:r>
            <w:r w:rsidR="005D486E">
              <w:rPr>
                <w:lang w:val="en-US"/>
              </w:rPr>
              <w:t>until</w:t>
            </w:r>
            <w:r w:rsidR="005D486E" w:rsidRPr="00C82DF8">
              <w:rPr>
                <w:lang w:val="en-US"/>
              </w:rPr>
              <w:t xml:space="preserve"> </w:t>
            </w:r>
            <w:r w:rsidRPr="00C82DF8">
              <w:rPr>
                <w:lang w:val="en-US"/>
              </w:rPr>
              <w:t>18 years</w:t>
            </w:r>
          </w:p>
          <w:p w14:paraId="588C7C11" w14:textId="70E81B0D" w:rsidR="00C82DF8" w:rsidRPr="00C82DF8" w:rsidRDefault="00C82DF8" w:rsidP="00C82DF8">
            <w:pPr>
              <w:pStyle w:val="TableText0"/>
              <w:rPr>
                <w:lang w:val="en-US"/>
              </w:rPr>
            </w:pPr>
            <w:r w:rsidRPr="00C82DF8">
              <w:rPr>
                <w:lang w:val="en-US"/>
              </w:rPr>
              <w:t xml:space="preserve">3% applied </w:t>
            </w:r>
            <w:r w:rsidR="005D486E">
              <w:rPr>
                <w:lang w:val="en-US"/>
              </w:rPr>
              <w:t xml:space="preserve">from 18 to </w:t>
            </w:r>
            <w:r w:rsidRPr="00C82DF8">
              <w:rPr>
                <w:lang w:val="en-US"/>
              </w:rPr>
              <w:t>24 years</w:t>
            </w:r>
          </w:p>
          <w:p w14:paraId="4CE4CC9E" w14:textId="1362B0EB" w:rsidR="00822804" w:rsidRDefault="00C82DF8" w:rsidP="00C82DF8">
            <w:pPr>
              <w:pStyle w:val="TableText0"/>
              <w:rPr>
                <w:lang w:val="en-US"/>
              </w:rPr>
            </w:pPr>
            <w:r w:rsidRPr="00C82DF8">
              <w:rPr>
                <w:lang w:val="en-US"/>
              </w:rPr>
              <w:t xml:space="preserve">1.5% </w:t>
            </w:r>
            <w:r w:rsidR="005D486E">
              <w:rPr>
                <w:lang w:val="en-US"/>
              </w:rPr>
              <w:t>from age 24 years</w:t>
            </w:r>
          </w:p>
        </w:tc>
        <w:tc>
          <w:tcPr>
            <w:tcW w:w="2251" w:type="pct"/>
            <w:shd w:val="clear" w:color="auto" w:fill="auto"/>
            <w:vAlign w:val="center"/>
          </w:tcPr>
          <w:p w14:paraId="008AB0F4" w14:textId="6BAE5176" w:rsidR="00A03C11" w:rsidRPr="000E5F8A" w:rsidRDefault="004A27F8" w:rsidP="004768A7">
            <w:pPr>
              <w:pStyle w:val="TableText0"/>
              <w:rPr>
                <w:iCs/>
                <w:lang w:val="en-US"/>
              </w:rPr>
            </w:pPr>
            <w:r w:rsidRPr="000E5F8A">
              <w:rPr>
                <w:iCs/>
                <w:lang w:val="en-US"/>
              </w:rPr>
              <w:t>High</w:t>
            </w:r>
            <w:r w:rsidR="003D45EE" w:rsidRPr="000E5F8A">
              <w:rPr>
                <w:iCs/>
                <w:lang w:val="en-US"/>
              </w:rPr>
              <w:t xml:space="preserve">, favours selumetinib. </w:t>
            </w:r>
            <w:r w:rsidR="005D486E">
              <w:rPr>
                <w:iCs/>
                <w:lang w:val="en-US"/>
              </w:rPr>
              <w:br/>
            </w:r>
            <w:r w:rsidR="003D45EE" w:rsidRPr="000E5F8A">
              <w:rPr>
                <w:iCs/>
                <w:lang w:val="en-US"/>
              </w:rPr>
              <w:t xml:space="preserve">Applying a uniform discount rate of 5% (as per PBAC guidelines) to </w:t>
            </w:r>
            <w:r w:rsidR="005D486E">
              <w:rPr>
                <w:iCs/>
                <w:lang w:val="en-US"/>
              </w:rPr>
              <w:t xml:space="preserve">costs and </w:t>
            </w:r>
            <w:r w:rsidR="003D45EE" w:rsidRPr="000E5F8A">
              <w:rPr>
                <w:iCs/>
                <w:lang w:val="en-US"/>
              </w:rPr>
              <w:t>outcomes increased the ICER by 9</w:t>
            </w:r>
            <w:r w:rsidR="00315A6D">
              <w:rPr>
                <w:iCs/>
                <w:lang w:val="en-US"/>
              </w:rPr>
              <w:t>5</w:t>
            </w:r>
            <w:r w:rsidR="003D45EE" w:rsidRPr="000E5F8A">
              <w:rPr>
                <w:iCs/>
                <w:lang w:val="en-US"/>
              </w:rPr>
              <w:t>% to $</w:t>
            </w:r>
            <w:r w:rsidR="00F66E51" w:rsidRPr="00775A5E">
              <w:rPr>
                <w:iCs/>
                <w:color w:val="000000"/>
                <w:spacing w:val="41"/>
                <w:shd w:val="solid" w:color="000000" w:fill="000000"/>
                <w:fitText w:val="462" w:id="-1301006330"/>
                <w:lang w:val="en-US"/>
                <w14:textFill>
                  <w14:solidFill>
                    <w14:srgbClr w14:val="000000">
                      <w14:alpha w14:val="100000"/>
                    </w14:srgbClr>
                  </w14:solidFill>
                </w14:textFill>
              </w:rPr>
              <w:t>|||||</w:t>
            </w:r>
            <w:r w:rsidR="00F66E51" w:rsidRPr="00775A5E">
              <w:rPr>
                <w:iCs/>
                <w:color w:val="000000"/>
                <w:spacing w:val="2"/>
                <w:shd w:val="solid" w:color="000000" w:fill="000000"/>
                <w:fitText w:val="462" w:id="-1301006330"/>
                <w:lang w:val="en-US"/>
                <w14:textFill>
                  <w14:solidFill>
                    <w14:srgbClr w14:val="000000">
                      <w14:alpha w14:val="100000"/>
                    </w14:srgbClr>
                  </w14:solidFill>
                </w14:textFill>
              </w:rPr>
              <w:t>|</w:t>
            </w:r>
            <w:r w:rsidR="00705C97">
              <w:rPr>
                <w:vertAlign w:val="superscript"/>
              </w:rPr>
              <w:t>2</w:t>
            </w:r>
            <w:r w:rsidR="003D45EE" w:rsidRPr="000E5F8A">
              <w:rPr>
                <w:iCs/>
                <w:lang w:val="en-US"/>
              </w:rPr>
              <w:t xml:space="preserve">/QALY.  </w:t>
            </w:r>
          </w:p>
        </w:tc>
      </w:tr>
      <w:tr w:rsidR="004768A7" w:rsidRPr="00E2771E" w14:paraId="3DE22150" w14:textId="77777777" w:rsidTr="00B017A2">
        <w:tc>
          <w:tcPr>
            <w:tcW w:w="625" w:type="pct"/>
            <w:shd w:val="clear" w:color="auto" w:fill="auto"/>
            <w:vAlign w:val="center"/>
          </w:tcPr>
          <w:p w14:paraId="72E20981" w14:textId="31B43AB0" w:rsidR="004768A7" w:rsidRPr="00E2771E" w:rsidRDefault="004768A7" w:rsidP="004768A7">
            <w:pPr>
              <w:pStyle w:val="TableText0"/>
              <w:rPr>
                <w:lang w:val="en-US"/>
              </w:rPr>
            </w:pPr>
            <w:r>
              <w:rPr>
                <w:lang w:val="en-US"/>
              </w:rPr>
              <w:t>Time horizon</w:t>
            </w:r>
          </w:p>
        </w:tc>
        <w:tc>
          <w:tcPr>
            <w:tcW w:w="2124" w:type="pct"/>
            <w:shd w:val="clear" w:color="auto" w:fill="auto"/>
            <w:vAlign w:val="center"/>
          </w:tcPr>
          <w:p w14:paraId="64938802" w14:textId="22E3FFBD" w:rsidR="004768A7" w:rsidRPr="00E2771E" w:rsidRDefault="00920454" w:rsidP="004768A7">
            <w:pPr>
              <w:pStyle w:val="TableText0"/>
              <w:rPr>
                <w:lang w:val="en-US"/>
              </w:rPr>
            </w:pPr>
            <w:r>
              <w:t>10</w:t>
            </w:r>
            <w:r w:rsidRPr="00EA1EA3">
              <w:t xml:space="preserve">0 years in the model base case versus </w:t>
            </w:r>
            <w:r w:rsidR="00D23330">
              <w:t xml:space="preserve">maximum follow up of </w:t>
            </w:r>
            <w:r w:rsidR="005D486E">
              <w:t>6 years</w:t>
            </w:r>
            <w:r w:rsidRPr="00EA1EA3">
              <w:t xml:space="preserve"> in trial</w:t>
            </w:r>
            <w:r>
              <w:t>.</w:t>
            </w:r>
          </w:p>
        </w:tc>
        <w:tc>
          <w:tcPr>
            <w:tcW w:w="2251" w:type="pct"/>
            <w:shd w:val="clear" w:color="auto" w:fill="auto"/>
            <w:vAlign w:val="center"/>
          </w:tcPr>
          <w:p w14:paraId="25527556" w14:textId="77777777" w:rsidR="005D486E" w:rsidRDefault="00FF0C9D" w:rsidP="004768A7">
            <w:pPr>
              <w:pStyle w:val="TableText0"/>
              <w:rPr>
                <w:iCs/>
                <w:lang w:val="en-US"/>
              </w:rPr>
            </w:pPr>
            <w:r w:rsidRPr="000E5F8A">
              <w:rPr>
                <w:iCs/>
                <w:lang w:val="en-US"/>
              </w:rPr>
              <w:t>Moderate</w:t>
            </w:r>
            <w:r w:rsidR="00346D0B" w:rsidRPr="000E5F8A">
              <w:rPr>
                <w:iCs/>
                <w:lang w:val="en-US"/>
              </w:rPr>
              <w:t xml:space="preserve">, favours selumetinib. </w:t>
            </w:r>
          </w:p>
          <w:p w14:paraId="0AD58F2B" w14:textId="3CB473CA" w:rsidR="004768A7" w:rsidRPr="000E5F8A" w:rsidRDefault="005D486E" w:rsidP="004768A7">
            <w:pPr>
              <w:pStyle w:val="TableText0"/>
              <w:rPr>
                <w:iCs/>
                <w:lang w:val="en-US"/>
              </w:rPr>
            </w:pPr>
            <w:r>
              <w:rPr>
                <w:iCs/>
                <w:lang w:val="en-US"/>
              </w:rPr>
              <w:t>R</w:t>
            </w:r>
            <w:r w:rsidR="00CA382A" w:rsidRPr="000E5F8A">
              <w:rPr>
                <w:iCs/>
                <w:lang w:val="en-US"/>
              </w:rPr>
              <w:t>educ</w:t>
            </w:r>
            <w:r>
              <w:rPr>
                <w:iCs/>
                <w:lang w:val="en-US"/>
              </w:rPr>
              <w:t>ing</w:t>
            </w:r>
            <w:r w:rsidR="00CA382A" w:rsidRPr="000E5F8A">
              <w:rPr>
                <w:iCs/>
                <w:lang w:val="en-US"/>
              </w:rPr>
              <w:t xml:space="preserve"> the time horizon to 50 years increased the ICER by 1</w:t>
            </w:r>
            <w:r w:rsidR="00315A6D">
              <w:rPr>
                <w:iCs/>
                <w:lang w:val="en-US"/>
              </w:rPr>
              <w:t>8</w:t>
            </w:r>
            <w:r w:rsidR="00CA382A" w:rsidRPr="000E5F8A">
              <w:rPr>
                <w:iCs/>
                <w:lang w:val="en-US"/>
              </w:rPr>
              <w:t>% to $</w:t>
            </w:r>
            <w:r w:rsidR="00F66E51" w:rsidRPr="00F66E51">
              <w:rPr>
                <w:iCs/>
                <w:color w:val="000000"/>
                <w:spacing w:val="39"/>
                <w:shd w:val="solid" w:color="000000" w:fill="000000"/>
                <w:fitText w:val="454" w:id="-1301006329"/>
                <w:lang w:val="en-US"/>
                <w14:textFill>
                  <w14:solidFill>
                    <w14:srgbClr w14:val="000000">
                      <w14:alpha w14:val="100000"/>
                    </w14:srgbClr>
                  </w14:solidFill>
                </w14:textFill>
              </w:rPr>
              <w:t>|||||</w:t>
            </w:r>
            <w:r w:rsidR="00F66E51" w:rsidRPr="00F66E51">
              <w:rPr>
                <w:iCs/>
                <w:color w:val="000000"/>
                <w:spacing w:val="4"/>
                <w:shd w:val="solid" w:color="000000" w:fill="000000"/>
                <w:fitText w:val="454" w:id="-1301006329"/>
                <w:lang w:val="en-US"/>
                <w14:textFill>
                  <w14:solidFill>
                    <w14:srgbClr w14:val="000000">
                      <w14:alpha w14:val="100000"/>
                    </w14:srgbClr>
                  </w14:solidFill>
                </w14:textFill>
              </w:rPr>
              <w:t>|</w:t>
            </w:r>
            <w:r w:rsidR="00705C97">
              <w:rPr>
                <w:vertAlign w:val="superscript"/>
              </w:rPr>
              <w:t>3</w:t>
            </w:r>
            <w:r w:rsidR="00CA382A" w:rsidRPr="000E5F8A">
              <w:rPr>
                <w:iCs/>
                <w:lang w:val="en-US"/>
              </w:rPr>
              <w:t>/QALY.</w:t>
            </w:r>
          </w:p>
        </w:tc>
      </w:tr>
      <w:tr w:rsidR="004768A7" w:rsidRPr="00E2771E" w14:paraId="3483847F" w14:textId="77777777" w:rsidTr="00B017A2">
        <w:tc>
          <w:tcPr>
            <w:tcW w:w="625" w:type="pct"/>
            <w:shd w:val="clear" w:color="auto" w:fill="auto"/>
            <w:vAlign w:val="center"/>
          </w:tcPr>
          <w:p w14:paraId="2724D8D9" w14:textId="24C113A6" w:rsidR="004768A7" w:rsidRPr="00E2771E" w:rsidRDefault="004768A7" w:rsidP="004768A7">
            <w:pPr>
              <w:pStyle w:val="TableText0"/>
              <w:rPr>
                <w:lang w:val="en-US"/>
              </w:rPr>
            </w:pPr>
            <w:r>
              <w:rPr>
                <w:lang w:val="en-US"/>
              </w:rPr>
              <w:t>Extrapolation</w:t>
            </w:r>
          </w:p>
        </w:tc>
        <w:tc>
          <w:tcPr>
            <w:tcW w:w="2124" w:type="pct"/>
            <w:shd w:val="clear" w:color="auto" w:fill="auto"/>
            <w:vAlign w:val="center"/>
          </w:tcPr>
          <w:p w14:paraId="4B9FCE0E" w14:textId="1D0BF1F8" w:rsidR="004768A7" w:rsidRPr="00F2344A" w:rsidRDefault="005D486E" w:rsidP="00F2344A">
            <w:pPr>
              <w:pStyle w:val="TableText0"/>
              <w:keepNext w:val="0"/>
            </w:pPr>
            <w:r>
              <w:t>E</w:t>
            </w:r>
            <w:r w:rsidR="00F2344A">
              <w:t xml:space="preserve">xponential distribution </w:t>
            </w:r>
            <w:r w:rsidR="00B95B87">
              <w:t>applied to</w:t>
            </w:r>
            <w:r w:rsidR="00F2344A">
              <w:t xml:space="preserve"> PFS</w:t>
            </w:r>
            <w:r w:rsidR="00B95B87">
              <w:t xml:space="preserve"> in the </w:t>
            </w:r>
            <w:r w:rsidR="00F2344A">
              <w:t>selumetinib</w:t>
            </w:r>
            <w:r w:rsidR="00B95B87">
              <w:t xml:space="preserve"> arm; </w:t>
            </w:r>
            <w:r w:rsidR="00B95B87">
              <w:br/>
              <w:t>L</w:t>
            </w:r>
            <w:r w:rsidR="00F2344A">
              <w:t xml:space="preserve">ognormal distribution </w:t>
            </w:r>
            <w:r w:rsidR="00B95B87">
              <w:t>applied to</w:t>
            </w:r>
            <w:r w:rsidR="00F2344A">
              <w:t xml:space="preserve"> PFS</w:t>
            </w:r>
            <w:r w:rsidR="00B95B87">
              <w:t xml:space="preserve"> in the </w:t>
            </w:r>
            <w:r w:rsidR="00F2344A">
              <w:t>supportive care</w:t>
            </w:r>
            <w:r w:rsidR="00B95B87">
              <w:t xml:space="preserve"> arm; </w:t>
            </w:r>
            <w:r w:rsidR="00B95B87">
              <w:br/>
            </w:r>
            <w:r w:rsidR="00F2344A">
              <w:t xml:space="preserve">Weibull distribution </w:t>
            </w:r>
            <w:r w:rsidR="00B95B87">
              <w:t>applied to</w:t>
            </w:r>
            <w:r w:rsidR="00F2344A">
              <w:t xml:space="preserve"> TTD. </w:t>
            </w:r>
          </w:p>
        </w:tc>
        <w:tc>
          <w:tcPr>
            <w:tcW w:w="2251" w:type="pct"/>
            <w:shd w:val="clear" w:color="auto" w:fill="auto"/>
            <w:vAlign w:val="center"/>
          </w:tcPr>
          <w:p w14:paraId="0CDFFE77" w14:textId="77777777" w:rsidR="00D23330" w:rsidRDefault="004D48C5" w:rsidP="004768A7">
            <w:pPr>
              <w:pStyle w:val="TableText0"/>
              <w:rPr>
                <w:iCs/>
              </w:rPr>
            </w:pPr>
            <w:r w:rsidRPr="000E5F8A">
              <w:rPr>
                <w:iCs/>
                <w:lang w:val="en-US"/>
              </w:rPr>
              <w:t>High, favours selumetinib.</w:t>
            </w:r>
            <w:r w:rsidR="003B2F7A" w:rsidRPr="000E5F8A">
              <w:rPr>
                <w:iCs/>
                <w:lang w:val="en-US"/>
              </w:rPr>
              <w:t xml:space="preserve"> </w:t>
            </w:r>
            <w:r w:rsidR="00B95B87">
              <w:rPr>
                <w:iCs/>
                <w:lang w:val="en-US"/>
              </w:rPr>
              <w:br/>
            </w:r>
            <w:r w:rsidR="00D23330">
              <w:rPr>
                <w:iCs/>
              </w:rPr>
              <w:t>Application of the</w:t>
            </w:r>
            <w:r w:rsidR="00D23330" w:rsidRPr="000E5F8A">
              <w:rPr>
                <w:iCs/>
              </w:rPr>
              <w:t xml:space="preserve"> lognormal parametric distribution </w:t>
            </w:r>
            <w:r w:rsidR="00D23330">
              <w:rPr>
                <w:iCs/>
              </w:rPr>
              <w:t>(</w:t>
            </w:r>
            <w:r w:rsidR="00D23330" w:rsidRPr="000E5F8A">
              <w:rPr>
                <w:iCs/>
              </w:rPr>
              <w:t xml:space="preserve">best relative fit according to AIC and BIC </w:t>
            </w:r>
            <w:r w:rsidR="00D23330">
              <w:rPr>
                <w:iCs/>
              </w:rPr>
              <w:t>scores) to</w:t>
            </w:r>
            <w:r w:rsidR="00D23330" w:rsidRPr="000E5F8A">
              <w:rPr>
                <w:iCs/>
              </w:rPr>
              <w:t xml:space="preserve"> PFS </w:t>
            </w:r>
            <w:r w:rsidR="00D23330">
              <w:rPr>
                <w:iCs/>
              </w:rPr>
              <w:t xml:space="preserve">in the </w:t>
            </w:r>
            <w:r w:rsidR="00D23330" w:rsidRPr="000E5F8A">
              <w:rPr>
                <w:iCs/>
              </w:rPr>
              <w:t xml:space="preserve">selumetinib arm, instead of exponential distribution, </w:t>
            </w:r>
            <w:r w:rsidR="00D23330">
              <w:rPr>
                <w:iCs/>
              </w:rPr>
              <w:t xml:space="preserve">increased the ICER by </w:t>
            </w:r>
            <w:r w:rsidR="00D23330" w:rsidRPr="000E5F8A">
              <w:rPr>
                <w:iCs/>
              </w:rPr>
              <w:t>9%.</w:t>
            </w:r>
          </w:p>
          <w:p w14:paraId="4CB0C507" w14:textId="072FD56C" w:rsidR="004768A7" w:rsidRPr="00775A5E" w:rsidRDefault="00B95B87" w:rsidP="004768A7">
            <w:pPr>
              <w:pStyle w:val="TableText0"/>
              <w:rPr>
                <w:iCs/>
              </w:rPr>
            </w:pPr>
            <w:r>
              <w:rPr>
                <w:iCs/>
              </w:rPr>
              <w:t xml:space="preserve">Application of </w:t>
            </w:r>
            <w:r w:rsidRPr="00E331B7">
              <w:rPr>
                <w:iCs/>
              </w:rPr>
              <w:t xml:space="preserve">the </w:t>
            </w:r>
            <w:r w:rsidR="00250C0F" w:rsidRPr="00E331B7">
              <w:rPr>
                <w:iCs/>
              </w:rPr>
              <w:t xml:space="preserve">loglogistic </w:t>
            </w:r>
            <w:r w:rsidR="001451B8" w:rsidRPr="00E331B7">
              <w:rPr>
                <w:iCs/>
              </w:rPr>
              <w:t>par</w:t>
            </w:r>
            <w:r w:rsidR="001451B8" w:rsidRPr="000E5F8A">
              <w:rPr>
                <w:iCs/>
              </w:rPr>
              <w:t xml:space="preserve">ametric distribution </w:t>
            </w:r>
            <w:r>
              <w:rPr>
                <w:iCs/>
              </w:rPr>
              <w:t>to</w:t>
            </w:r>
            <w:r w:rsidR="001451B8" w:rsidRPr="000E5F8A">
              <w:rPr>
                <w:iCs/>
              </w:rPr>
              <w:t xml:space="preserve"> TTD, instead of Weibull distribution, </w:t>
            </w:r>
            <w:r>
              <w:rPr>
                <w:iCs/>
              </w:rPr>
              <w:t xml:space="preserve">increased the </w:t>
            </w:r>
            <w:r w:rsidRPr="0057031F">
              <w:rPr>
                <w:iCs/>
              </w:rPr>
              <w:t>ICER by</w:t>
            </w:r>
            <w:r w:rsidR="001451B8" w:rsidRPr="0057031F">
              <w:rPr>
                <w:iCs/>
              </w:rPr>
              <w:t xml:space="preserve"> </w:t>
            </w:r>
            <w:r w:rsidR="00250C0F" w:rsidRPr="0057031F">
              <w:rPr>
                <w:iCs/>
              </w:rPr>
              <w:t>51</w:t>
            </w:r>
            <w:r w:rsidR="001451B8" w:rsidRPr="0057031F">
              <w:rPr>
                <w:iCs/>
              </w:rPr>
              <w:t>%.</w:t>
            </w:r>
            <w:r w:rsidR="006A3173" w:rsidRPr="000E5F8A">
              <w:rPr>
                <w:iCs/>
              </w:rPr>
              <w:t xml:space="preserve"> </w:t>
            </w:r>
          </w:p>
        </w:tc>
      </w:tr>
      <w:tr w:rsidR="004D48C5" w:rsidRPr="00E2771E" w14:paraId="407660F8" w14:textId="77777777" w:rsidTr="00B017A2">
        <w:tc>
          <w:tcPr>
            <w:tcW w:w="625" w:type="pct"/>
            <w:shd w:val="clear" w:color="auto" w:fill="auto"/>
            <w:vAlign w:val="center"/>
          </w:tcPr>
          <w:p w14:paraId="4DAE3649" w14:textId="4741E4A1" w:rsidR="004D48C5" w:rsidRDefault="004D48C5" w:rsidP="004768A7">
            <w:pPr>
              <w:pStyle w:val="TableText0"/>
              <w:rPr>
                <w:lang w:val="en-US"/>
              </w:rPr>
            </w:pPr>
            <w:r>
              <w:rPr>
                <w:lang w:val="en-US"/>
              </w:rPr>
              <w:t>SMR</w:t>
            </w:r>
          </w:p>
        </w:tc>
        <w:tc>
          <w:tcPr>
            <w:tcW w:w="2124" w:type="pct"/>
            <w:shd w:val="clear" w:color="auto" w:fill="auto"/>
            <w:vAlign w:val="center"/>
          </w:tcPr>
          <w:p w14:paraId="2F656716" w14:textId="5531F0C3" w:rsidR="004D48C5" w:rsidRPr="002A7832" w:rsidRDefault="004D48C5" w:rsidP="00F2344A">
            <w:pPr>
              <w:pStyle w:val="TableText0"/>
              <w:keepNext w:val="0"/>
            </w:pPr>
            <w:r>
              <w:t>Assumed to be 2.02 based on Duong et al., 2011.</w:t>
            </w:r>
          </w:p>
        </w:tc>
        <w:tc>
          <w:tcPr>
            <w:tcW w:w="2251" w:type="pct"/>
            <w:shd w:val="clear" w:color="auto" w:fill="auto"/>
            <w:vAlign w:val="center"/>
          </w:tcPr>
          <w:p w14:paraId="291FBBB8" w14:textId="6C32797E" w:rsidR="00B95B87" w:rsidRDefault="004D48C5" w:rsidP="004768A7">
            <w:pPr>
              <w:pStyle w:val="TableText0"/>
              <w:rPr>
                <w:iCs/>
                <w:lang w:val="en-US"/>
              </w:rPr>
            </w:pPr>
            <w:r w:rsidRPr="000E5F8A">
              <w:rPr>
                <w:iCs/>
                <w:lang w:val="en-US"/>
              </w:rPr>
              <w:t>Moderate</w:t>
            </w:r>
            <w:r w:rsidR="00B95B87">
              <w:rPr>
                <w:iCs/>
                <w:lang w:val="en-US"/>
              </w:rPr>
              <w:t>, favours selumetinib</w:t>
            </w:r>
            <w:r w:rsidRPr="000E5F8A">
              <w:rPr>
                <w:iCs/>
                <w:lang w:val="en-US"/>
              </w:rPr>
              <w:t xml:space="preserve">. </w:t>
            </w:r>
          </w:p>
          <w:p w14:paraId="6030854A" w14:textId="444FF585" w:rsidR="004D48C5" w:rsidRPr="000E5F8A" w:rsidRDefault="004D48C5" w:rsidP="004768A7">
            <w:pPr>
              <w:pStyle w:val="TableText0"/>
              <w:rPr>
                <w:iCs/>
                <w:lang w:val="en-US"/>
              </w:rPr>
            </w:pPr>
            <w:r w:rsidRPr="000E5F8A">
              <w:rPr>
                <w:iCs/>
                <w:lang w:val="en-US"/>
              </w:rPr>
              <w:t xml:space="preserve">Assuming </w:t>
            </w:r>
            <w:r w:rsidR="00B95B87">
              <w:rPr>
                <w:iCs/>
                <w:lang w:val="en-US"/>
              </w:rPr>
              <w:t>a</w:t>
            </w:r>
            <w:r w:rsidR="00E42D36">
              <w:rPr>
                <w:iCs/>
                <w:lang w:val="en-US"/>
              </w:rPr>
              <w:t xml:space="preserve">n </w:t>
            </w:r>
            <w:r w:rsidRPr="000E5F8A">
              <w:rPr>
                <w:iCs/>
                <w:lang w:val="en-US"/>
              </w:rPr>
              <w:t>SMR of 3.22 based on Uusitalo et al., 2015, increased the ICER by 2</w:t>
            </w:r>
            <w:r w:rsidR="00315A6D">
              <w:rPr>
                <w:iCs/>
                <w:lang w:val="en-US"/>
              </w:rPr>
              <w:t>2</w:t>
            </w:r>
            <w:r w:rsidRPr="000E5F8A">
              <w:rPr>
                <w:iCs/>
                <w:lang w:val="en-US"/>
              </w:rPr>
              <w:t>%</w:t>
            </w:r>
            <w:r w:rsidR="00ED08EB" w:rsidRPr="000E5F8A">
              <w:rPr>
                <w:iCs/>
                <w:lang w:val="en-US"/>
              </w:rPr>
              <w:t xml:space="preserve"> to $</w:t>
            </w:r>
            <w:r w:rsidR="00F66E51" w:rsidRPr="00F66E51">
              <w:rPr>
                <w:iCs/>
                <w:color w:val="000000"/>
                <w:spacing w:val="39"/>
                <w:shd w:val="solid" w:color="000000" w:fill="000000"/>
                <w:fitText w:val="454" w:id="-1301006328"/>
                <w:lang w:val="en-US"/>
                <w14:textFill>
                  <w14:solidFill>
                    <w14:srgbClr w14:val="000000">
                      <w14:alpha w14:val="100000"/>
                    </w14:srgbClr>
                  </w14:solidFill>
                </w14:textFill>
              </w:rPr>
              <w:t>|||||</w:t>
            </w:r>
            <w:r w:rsidR="00F66E51" w:rsidRPr="00F66E51">
              <w:rPr>
                <w:iCs/>
                <w:color w:val="000000"/>
                <w:spacing w:val="4"/>
                <w:shd w:val="solid" w:color="000000" w:fill="000000"/>
                <w:fitText w:val="454" w:id="-1301006328"/>
                <w:lang w:val="en-US"/>
                <w14:textFill>
                  <w14:solidFill>
                    <w14:srgbClr w14:val="000000">
                      <w14:alpha w14:val="100000"/>
                    </w14:srgbClr>
                  </w14:solidFill>
                </w14:textFill>
              </w:rPr>
              <w:t>|</w:t>
            </w:r>
            <w:r w:rsidR="00705C97">
              <w:rPr>
                <w:vertAlign w:val="superscript"/>
              </w:rPr>
              <w:t>3</w:t>
            </w:r>
            <w:r w:rsidR="00B3743F" w:rsidRPr="000E5F8A">
              <w:rPr>
                <w:iCs/>
                <w:lang w:val="en-US"/>
              </w:rPr>
              <w:t>/QALY</w:t>
            </w:r>
            <w:r w:rsidR="00ED08EB" w:rsidRPr="000E5F8A">
              <w:rPr>
                <w:iCs/>
                <w:lang w:val="en-US"/>
              </w:rPr>
              <w:t>.</w:t>
            </w:r>
          </w:p>
        </w:tc>
      </w:tr>
    </w:tbl>
    <w:p w14:paraId="30E97087" w14:textId="7380373D" w:rsidR="00D110BD" w:rsidRDefault="009D792E" w:rsidP="00BB00B3">
      <w:pPr>
        <w:pStyle w:val="FooterTableFigure"/>
      </w:pPr>
      <w:r>
        <w:t>Source:</w:t>
      </w:r>
      <w:r w:rsidR="00172F51">
        <w:t xml:space="preserve"> </w:t>
      </w:r>
      <w:r w:rsidR="00172F51" w:rsidRPr="00172F51">
        <w:t>Table 3.2, p176 of the submission</w:t>
      </w:r>
      <w:r w:rsidR="00464818">
        <w:t xml:space="preserve">, </w:t>
      </w:r>
      <w:r w:rsidR="00464818" w:rsidRPr="00464818">
        <w:t>Table 3.31, pp221-222 and Table 3.32, p222-223 of the submission.</w:t>
      </w:r>
    </w:p>
    <w:p w14:paraId="18D415C6" w14:textId="03EB62F9" w:rsidR="00F2344A" w:rsidRDefault="003D45EE" w:rsidP="00705C97">
      <w:pPr>
        <w:pStyle w:val="FooterTableFigure"/>
        <w:spacing w:after="0"/>
      </w:pPr>
      <w:r>
        <w:t xml:space="preserve">ICER = incremental cost-effectiveness ratio, </w:t>
      </w:r>
      <w:r w:rsidR="00F2344A">
        <w:t xml:space="preserve">PFS = progression-free survival, </w:t>
      </w:r>
      <w:r w:rsidR="004D48C5">
        <w:t>SMR = standardised mortality rat</w:t>
      </w:r>
      <w:r w:rsidR="00EA2045">
        <w:t>io,</w:t>
      </w:r>
      <w:r w:rsidR="004D48C5">
        <w:t xml:space="preserve"> </w:t>
      </w:r>
      <w:r w:rsidR="008E0EF8">
        <w:t>TTD = time to treatment discontinuation</w:t>
      </w:r>
      <w:r w:rsidR="002A7832">
        <w:t>, TTO = time trade off</w:t>
      </w:r>
      <w:r w:rsidR="00C81BDF">
        <w:t>.</w:t>
      </w:r>
    </w:p>
    <w:p w14:paraId="62CC61ED" w14:textId="77777777" w:rsidR="00705C97" w:rsidRPr="009A6D58" w:rsidRDefault="00705C97" w:rsidP="00705C97">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55D59C6F" w14:textId="456929E3" w:rsidR="00705C97" w:rsidRPr="009A6D58" w:rsidRDefault="00705C97" w:rsidP="00705C97">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705C97">
        <w:rPr>
          <w:rFonts w:ascii="Arial Narrow" w:hAnsi="Arial Narrow"/>
          <w:i/>
          <w:sz w:val="18"/>
          <w:szCs w:val="18"/>
        </w:rPr>
        <w:t>$95,000 to &lt; $115,000</w:t>
      </w:r>
    </w:p>
    <w:p w14:paraId="7EDF3845" w14:textId="5B5012A5" w:rsidR="00705C97" w:rsidRPr="009A6D58" w:rsidRDefault="00705C97" w:rsidP="00705C97">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705C97">
        <w:rPr>
          <w:rFonts w:ascii="Arial Narrow" w:hAnsi="Arial Narrow"/>
          <w:i/>
          <w:sz w:val="18"/>
          <w:szCs w:val="18"/>
        </w:rPr>
        <w:t>$155,000 to &lt; $255,000</w:t>
      </w:r>
    </w:p>
    <w:p w14:paraId="3F5D5D81" w14:textId="5AB6F196" w:rsidR="003C4B1E" w:rsidRPr="00705C97" w:rsidRDefault="00705C97" w:rsidP="00705C97">
      <w:pPr>
        <w:spacing w:after="120"/>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705C97">
        <w:rPr>
          <w:rFonts w:ascii="Arial Narrow" w:hAnsi="Arial Narrow"/>
          <w:i/>
          <w:sz w:val="18"/>
          <w:szCs w:val="18"/>
        </w:rPr>
        <w:t>$115,000 to &lt; $135,000</w:t>
      </w:r>
    </w:p>
    <w:p w14:paraId="49B8E8BA" w14:textId="64B76FFC" w:rsidR="00F63472" w:rsidRDefault="00D86415" w:rsidP="00F63472">
      <w:pPr>
        <w:pStyle w:val="3-BodyText"/>
      </w:pPr>
      <w:bookmarkStart w:id="87" w:name="_Ref104805160"/>
      <w:r w:rsidRPr="00E331B7">
        <w:t xml:space="preserve">The results of the modelled economic evaluation are summarised in </w:t>
      </w:r>
      <w:r w:rsidRPr="00E331B7">
        <w:fldChar w:fldCharType="begin"/>
      </w:r>
      <w:r w:rsidRPr="00E331B7">
        <w:instrText xml:space="preserve"> REF _Ref111093667 \h </w:instrText>
      </w:r>
      <w:r w:rsidR="00E331B7" w:rsidRPr="00E331B7">
        <w:instrText xml:space="preserve"> \* MERGEFORMAT </w:instrText>
      </w:r>
      <w:r w:rsidRPr="00E331B7">
        <w:fldChar w:fldCharType="separate"/>
      </w:r>
      <w:r w:rsidR="00BE0EE6">
        <w:t xml:space="preserve">Table </w:t>
      </w:r>
      <w:r w:rsidR="00BE0EE6">
        <w:rPr>
          <w:noProof/>
        </w:rPr>
        <w:t>10</w:t>
      </w:r>
      <w:r w:rsidRPr="00E331B7">
        <w:fldChar w:fldCharType="end"/>
      </w:r>
      <w:r w:rsidRPr="00E331B7">
        <w:t>.</w:t>
      </w:r>
    </w:p>
    <w:p w14:paraId="0CF12C7A" w14:textId="54A9D172" w:rsidR="00D86415" w:rsidRPr="00E331B7" w:rsidRDefault="00F63472" w:rsidP="00580209">
      <w:pPr>
        <w:pStyle w:val="3-BodyText"/>
        <w:spacing w:after="0"/>
      </w:pPr>
      <w:r>
        <w:t xml:space="preserve">The Pre-PBAC response </w:t>
      </w:r>
      <w:r w:rsidR="00C73AF3" w:rsidRPr="00E331B7">
        <w:t xml:space="preserve">presented a revised base case </w:t>
      </w:r>
      <w:r w:rsidR="0063516C" w:rsidRPr="00E331B7">
        <w:t>which</w:t>
      </w:r>
      <w:r w:rsidR="00C73AF3" w:rsidRPr="00E331B7">
        <w:t xml:space="preserve"> applied:</w:t>
      </w:r>
    </w:p>
    <w:p w14:paraId="48FBAD20" w14:textId="39789986" w:rsidR="00C73AF3" w:rsidRPr="00E331B7" w:rsidRDefault="00EA2045" w:rsidP="003F5A2D">
      <w:pPr>
        <w:pStyle w:val="3-BodyText"/>
        <w:numPr>
          <w:ilvl w:val="1"/>
          <w:numId w:val="17"/>
        </w:numPr>
        <w:spacing w:after="0"/>
        <w:ind w:left="1077" w:hanging="357"/>
      </w:pPr>
      <w:r>
        <w:t>a</w:t>
      </w:r>
      <w:r w:rsidR="00C73AF3" w:rsidRPr="00E331B7">
        <w:t xml:space="preserve"> 75 year time horizon (as compared to 100 years in the submission);</w:t>
      </w:r>
    </w:p>
    <w:p w14:paraId="1FAAA35D" w14:textId="62A681B8" w:rsidR="00C73AF3" w:rsidRPr="00E331B7" w:rsidRDefault="00EA2045" w:rsidP="003F5A2D">
      <w:pPr>
        <w:pStyle w:val="3-BodyText"/>
        <w:numPr>
          <w:ilvl w:val="1"/>
          <w:numId w:val="17"/>
        </w:numPr>
        <w:spacing w:after="0"/>
        <w:ind w:left="1077" w:hanging="357"/>
      </w:pPr>
      <w:r>
        <w:t>t</w:t>
      </w:r>
      <w:r w:rsidR="0063516C" w:rsidRPr="00E331B7">
        <w:t xml:space="preserve">he lognormal distribution to PFS in the selumetinib arm as this had the lowest AIC/BIC scores (as compared to the exponential distribution in the submission); </w:t>
      </w:r>
    </w:p>
    <w:p w14:paraId="44A91E56" w14:textId="28CB5A18" w:rsidR="00F63472" w:rsidRDefault="00EA2045" w:rsidP="00EA2045">
      <w:pPr>
        <w:pStyle w:val="3-BodyText"/>
        <w:numPr>
          <w:ilvl w:val="1"/>
          <w:numId w:val="17"/>
        </w:numPr>
        <w:spacing w:after="0"/>
        <w:ind w:left="1077" w:hanging="357"/>
      </w:pPr>
      <w:r>
        <w:t>a</w:t>
      </w:r>
      <w:r w:rsidR="0063516C" w:rsidRPr="00E331B7">
        <w:t>n updated average MBS MRI fee</w:t>
      </w:r>
      <w:r w:rsidR="00D543AF">
        <w:t xml:space="preserve"> </w:t>
      </w:r>
      <w:r>
        <w:t>to</w:t>
      </w:r>
      <w:r w:rsidR="00D543AF">
        <w:t xml:space="preserve"> reflect July 2022 costs</w:t>
      </w:r>
      <w:r>
        <w:t>; and</w:t>
      </w:r>
    </w:p>
    <w:p w14:paraId="593BFA66" w14:textId="0DDF119A" w:rsidR="00F63472" w:rsidRPr="00E331B7" w:rsidRDefault="00F63472" w:rsidP="00F63472">
      <w:pPr>
        <w:pStyle w:val="3-BodyText"/>
        <w:numPr>
          <w:ilvl w:val="1"/>
          <w:numId w:val="17"/>
        </w:numPr>
        <w:ind w:left="1077" w:hanging="357"/>
      </w:pPr>
      <w:r>
        <w:t>a 5% discount rate to benefits up to the age of 24, beyond which a 3.5% rate was applied.</w:t>
      </w:r>
    </w:p>
    <w:p w14:paraId="64FE805B" w14:textId="52CE910B" w:rsidR="0057031F" w:rsidRPr="00E331B7" w:rsidRDefault="0057031F" w:rsidP="0057031F">
      <w:pPr>
        <w:pStyle w:val="3-BodyText"/>
        <w:numPr>
          <w:ilvl w:val="0"/>
          <w:numId w:val="0"/>
        </w:numPr>
        <w:spacing w:after="0"/>
        <w:ind w:left="720" w:hanging="720"/>
      </w:pPr>
    </w:p>
    <w:p w14:paraId="3923A8D9" w14:textId="342F15FE" w:rsidR="007E1105" w:rsidRDefault="00E16AD8" w:rsidP="007E1105">
      <w:pPr>
        <w:pStyle w:val="Caption"/>
      </w:pPr>
      <w:bookmarkStart w:id="88" w:name="_Ref111093667"/>
      <w:r>
        <w:lastRenderedPageBreak/>
        <w:t xml:space="preserve">Table </w:t>
      </w:r>
      <w:fldSimple w:instr=" SEQ Table \* ARABIC ">
        <w:r w:rsidR="00BE0EE6">
          <w:rPr>
            <w:noProof/>
          </w:rPr>
          <w:t>10</w:t>
        </w:r>
      </w:fldSimple>
      <w:bookmarkEnd w:id="87"/>
      <w:bookmarkEnd w:id="88"/>
      <w:r>
        <w:t>:</w:t>
      </w:r>
      <w:r w:rsidR="005A373D" w:rsidRPr="00BB00B3">
        <w:rPr>
          <w:rStyle w:val="CommentReference"/>
          <w:b/>
          <w:szCs w:val="24"/>
        </w:rPr>
        <w:t xml:space="preserve">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7E1105" w:rsidRPr="005E6CBC" w14:paraId="7D5FEF2C" w14:textId="77777777" w:rsidTr="007E1105">
        <w:trPr>
          <w:tblHeader/>
        </w:trPr>
        <w:tc>
          <w:tcPr>
            <w:tcW w:w="1529" w:type="pct"/>
            <w:vAlign w:val="center"/>
          </w:tcPr>
          <w:p w14:paraId="0D2A731B" w14:textId="77777777" w:rsidR="007E1105" w:rsidRPr="005E6CBC" w:rsidRDefault="007E1105" w:rsidP="007E1105">
            <w:pPr>
              <w:pStyle w:val="In-tableHeading"/>
            </w:pPr>
            <w:r w:rsidRPr="005E6CBC">
              <w:t>Step and component</w:t>
            </w:r>
          </w:p>
        </w:tc>
        <w:tc>
          <w:tcPr>
            <w:tcW w:w="1359" w:type="pct"/>
            <w:vAlign w:val="center"/>
          </w:tcPr>
          <w:p w14:paraId="308E84DD" w14:textId="77777777" w:rsidR="007E1105" w:rsidRPr="005E6CBC" w:rsidRDefault="007E1105" w:rsidP="007E1105">
            <w:pPr>
              <w:pStyle w:val="In-tableHeading"/>
              <w:jc w:val="center"/>
            </w:pPr>
            <w:r>
              <w:t>Selumetinib</w:t>
            </w:r>
          </w:p>
        </w:tc>
        <w:tc>
          <w:tcPr>
            <w:tcW w:w="1274" w:type="pct"/>
            <w:vAlign w:val="center"/>
          </w:tcPr>
          <w:p w14:paraId="668BD2A6" w14:textId="77777777" w:rsidR="007E1105" w:rsidRPr="005E6CBC" w:rsidRDefault="007E1105" w:rsidP="007E1105">
            <w:pPr>
              <w:pStyle w:val="In-tableHeading"/>
              <w:jc w:val="center"/>
            </w:pPr>
            <w:r>
              <w:t>Supportive care</w:t>
            </w:r>
          </w:p>
        </w:tc>
        <w:tc>
          <w:tcPr>
            <w:tcW w:w="838" w:type="pct"/>
            <w:vAlign w:val="center"/>
          </w:tcPr>
          <w:p w14:paraId="1D1D0545" w14:textId="77777777" w:rsidR="007E1105" w:rsidRPr="005E6CBC" w:rsidRDefault="007E1105" w:rsidP="007E1105">
            <w:pPr>
              <w:pStyle w:val="In-tableHeading"/>
              <w:jc w:val="center"/>
            </w:pPr>
            <w:r w:rsidRPr="005E6CBC">
              <w:t>Increment</w:t>
            </w:r>
          </w:p>
        </w:tc>
      </w:tr>
      <w:tr w:rsidR="007E1105" w:rsidRPr="003D5C02" w14:paraId="6AF2EB5D" w14:textId="77777777" w:rsidTr="007E1105">
        <w:tc>
          <w:tcPr>
            <w:tcW w:w="5000" w:type="pct"/>
            <w:gridSpan w:val="4"/>
            <w:vAlign w:val="center"/>
          </w:tcPr>
          <w:p w14:paraId="64675348" w14:textId="77777777" w:rsidR="007E1105" w:rsidRPr="00AA0CD7" w:rsidRDefault="007E1105" w:rsidP="007E1105">
            <w:pPr>
              <w:pStyle w:val="TableText0"/>
              <w:rPr>
                <w:b/>
                <w:bCs w:val="0"/>
              </w:rPr>
            </w:pPr>
            <w:r w:rsidRPr="00AA0CD7">
              <w:rPr>
                <w:b/>
                <w:bCs w:val="0"/>
              </w:rPr>
              <w:t>Step 1: trial-based costs and outcomes</w:t>
            </w:r>
          </w:p>
        </w:tc>
      </w:tr>
      <w:tr w:rsidR="007E1105" w:rsidRPr="00E2771E" w14:paraId="18B0AF25" w14:textId="77777777" w:rsidTr="007E1105">
        <w:tc>
          <w:tcPr>
            <w:tcW w:w="1529" w:type="pct"/>
            <w:vAlign w:val="center"/>
          </w:tcPr>
          <w:p w14:paraId="043C3272" w14:textId="77777777" w:rsidR="007E1105" w:rsidRPr="00E2771E" w:rsidRDefault="007E1105" w:rsidP="007E1105">
            <w:pPr>
              <w:pStyle w:val="TableText0"/>
              <w:rPr>
                <w:rFonts w:ascii="Times" w:hAnsi="Times"/>
              </w:rPr>
            </w:pPr>
            <w:r w:rsidRPr="00E2771E">
              <w:t>Costs</w:t>
            </w:r>
          </w:p>
        </w:tc>
        <w:tc>
          <w:tcPr>
            <w:tcW w:w="1359" w:type="pct"/>
            <w:vAlign w:val="center"/>
          </w:tcPr>
          <w:p w14:paraId="1467E302" w14:textId="6ABF7AA1" w:rsidR="007E1105" w:rsidRPr="005E6CBC" w:rsidRDefault="007E1105" w:rsidP="007E1105">
            <w:pPr>
              <w:pStyle w:val="TableText0"/>
              <w:jc w:val="center"/>
              <w:rPr>
                <w:rFonts w:ascii="Times" w:hAnsi="Times"/>
              </w:rPr>
            </w:pPr>
            <w:r w:rsidRPr="005E6CBC">
              <w:t>$</w:t>
            </w:r>
            <w:r w:rsidR="00F66E51" w:rsidRPr="00F66E51">
              <w:rPr>
                <w:color w:val="000000"/>
                <w:shd w:val="solid" w:color="000000" w:fill="000000"/>
                <w14:textFill>
                  <w14:solidFill>
                    <w14:srgbClr w14:val="000000">
                      <w14:alpha w14:val="100000"/>
                    </w14:srgbClr>
                  </w14:solidFill>
                </w14:textFill>
              </w:rPr>
              <w:t>|</w:t>
            </w:r>
          </w:p>
        </w:tc>
        <w:tc>
          <w:tcPr>
            <w:tcW w:w="1274" w:type="pct"/>
            <w:vAlign w:val="center"/>
          </w:tcPr>
          <w:p w14:paraId="707C81EA" w14:textId="77777777" w:rsidR="007E1105" w:rsidRPr="005E6CBC" w:rsidRDefault="007E1105" w:rsidP="007E1105">
            <w:pPr>
              <w:pStyle w:val="TableText0"/>
              <w:jc w:val="center"/>
              <w:rPr>
                <w:rFonts w:ascii="Times" w:hAnsi="Times"/>
              </w:rPr>
            </w:pPr>
            <w:r w:rsidRPr="005E6CBC">
              <w:t>$</w:t>
            </w:r>
            <w:r>
              <w:t>0</w:t>
            </w:r>
          </w:p>
        </w:tc>
        <w:tc>
          <w:tcPr>
            <w:tcW w:w="838" w:type="pct"/>
            <w:vAlign w:val="center"/>
          </w:tcPr>
          <w:p w14:paraId="7390E511" w14:textId="3A4C379E" w:rsidR="007E1105" w:rsidRPr="005E6CBC" w:rsidRDefault="007E1105" w:rsidP="007E1105">
            <w:pPr>
              <w:pStyle w:val="TableText0"/>
              <w:jc w:val="center"/>
              <w:rPr>
                <w:rFonts w:ascii="Times" w:hAnsi="Times"/>
              </w:rPr>
            </w:pPr>
            <w:r w:rsidRPr="005E6CBC">
              <w:t>$</w:t>
            </w:r>
            <w:r w:rsidR="00F66E51" w:rsidRPr="00775A5E">
              <w:rPr>
                <w:rFonts w:hint="eastAsia"/>
                <w:color w:val="000000"/>
                <w:w w:val="15"/>
                <w:shd w:val="solid" w:color="000000" w:fill="000000"/>
                <w:fitText w:val="46" w:id="-1301006327"/>
                <w14:textFill>
                  <w14:solidFill>
                    <w14:srgbClr w14:val="000000">
                      <w14:alpha w14:val="100000"/>
                    </w14:srgbClr>
                  </w14:solidFill>
                </w14:textFill>
              </w:rPr>
              <w:t xml:space="preserve">　</w:t>
            </w:r>
            <w:r w:rsidR="00F66E51" w:rsidRPr="00775A5E">
              <w:rPr>
                <w:color w:val="000000"/>
                <w:w w:val="15"/>
                <w:shd w:val="solid" w:color="000000" w:fill="000000"/>
                <w:fitText w:val="46" w:id="-1301006327"/>
                <w14:textFill>
                  <w14:solidFill>
                    <w14:srgbClr w14:val="000000">
                      <w14:alpha w14:val="100000"/>
                    </w14:srgbClr>
                  </w14:solidFill>
                </w14:textFill>
              </w:rPr>
              <w:t>|</w:t>
            </w:r>
            <w:r w:rsidR="00F66E51" w:rsidRPr="00775A5E">
              <w:rPr>
                <w:rFonts w:hint="eastAsia"/>
                <w:color w:val="000000"/>
                <w:spacing w:val="-19"/>
                <w:w w:val="15"/>
                <w:shd w:val="solid" w:color="000000" w:fill="000000"/>
                <w:fitText w:val="46" w:id="-1301006327"/>
                <w14:textFill>
                  <w14:solidFill>
                    <w14:srgbClr w14:val="000000">
                      <w14:alpha w14:val="100000"/>
                    </w14:srgbClr>
                  </w14:solidFill>
                </w14:textFill>
              </w:rPr>
              <w:t xml:space="preserve">　</w:t>
            </w:r>
          </w:p>
        </w:tc>
      </w:tr>
      <w:tr w:rsidR="007E1105" w:rsidRPr="00E2771E" w14:paraId="27B7B2F4" w14:textId="77777777" w:rsidTr="007E1105">
        <w:tc>
          <w:tcPr>
            <w:tcW w:w="1529" w:type="pct"/>
            <w:vAlign w:val="center"/>
          </w:tcPr>
          <w:p w14:paraId="4D3BDC8E" w14:textId="77777777" w:rsidR="007E1105" w:rsidRPr="00E2771E" w:rsidRDefault="007E1105" w:rsidP="007E1105">
            <w:pPr>
              <w:pStyle w:val="TableText0"/>
              <w:rPr>
                <w:rFonts w:ascii="Times" w:hAnsi="Times"/>
              </w:rPr>
            </w:pPr>
            <w:r>
              <w:t>QALY</w:t>
            </w:r>
          </w:p>
        </w:tc>
        <w:tc>
          <w:tcPr>
            <w:tcW w:w="1359" w:type="pct"/>
            <w:vAlign w:val="center"/>
          </w:tcPr>
          <w:p w14:paraId="0C8923AF" w14:textId="77777777" w:rsidR="007E1105" w:rsidRPr="005E6CBC" w:rsidRDefault="007E1105" w:rsidP="007E1105">
            <w:pPr>
              <w:pStyle w:val="TableText0"/>
              <w:jc w:val="center"/>
              <w:rPr>
                <w:rFonts w:ascii="Times" w:hAnsi="Times"/>
              </w:rPr>
            </w:pPr>
            <w:r>
              <w:t>4.06</w:t>
            </w:r>
          </w:p>
        </w:tc>
        <w:tc>
          <w:tcPr>
            <w:tcW w:w="1274" w:type="pct"/>
            <w:vAlign w:val="center"/>
          </w:tcPr>
          <w:p w14:paraId="042A99DD" w14:textId="77777777" w:rsidR="007E1105" w:rsidRPr="005E6CBC" w:rsidRDefault="007E1105" w:rsidP="007E1105">
            <w:pPr>
              <w:pStyle w:val="TableText0"/>
              <w:jc w:val="center"/>
              <w:rPr>
                <w:rFonts w:ascii="Times" w:hAnsi="Times"/>
              </w:rPr>
            </w:pPr>
            <w:r>
              <w:t>3.07</w:t>
            </w:r>
          </w:p>
        </w:tc>
        <w:tc>
          <w:tcPr>
            <w:tcW w:w="838" w:type="pct"/>
            <w:vAlign w:val="center"/>
          </w:tcPr>
          <w:p w14:paraId="715D69FB" w14:textId="77777777" w:rsidR="007E1105" w:rsidRPr="005E6CBC" w:rsidRDefault="007E1105" w:rsidP="007E1105">
            <w:pPr>
              <w:pStyle w:val="TableText0"/>
              <w:jc w:val="center"/>
            </w:pPr>
            <w:r>
              <w:t>0.99</w:t>
            </w:r>
          </w:p>
        </w:tc>
      </w:tr>
      <w:tr w:rsidR="007E1105" w:rsidRPr="00E2771E" w14:paraId="4F183FA7" w14:textId="77777777" w:rsidTr="007E1105">
        <w:tc>
          <w:tcPr>
            <w:tcW w:w="4162" w:type="pct"/>
            <w:gridSpan w:val="3"/>
            <w:vAlign w:val="center"/>
          </w:tcPr>
          <w:p w14:paraId="4D58FC5A" w14:textId="77777777" w:rsidR="007E1105" w:rsidRPr="005E6CBC" w:rsidRDefault="007E1105" w:rsidP="007E1105">
            <w:pPr>
              <w:pStyle w:val="TableText0"/>
              <w:rPr>
                <w:rFonts w:ascii="Times" w:hAnsi="Times"/>
              </w:rPr>
            </w:pPr>
            <w:r w:rsidRPr="005E6CBC">
              <w:t>Incremental cost/extra</w:t>
            </w:r>
            <w:r>
              <w:t xml:space="preserve"> QALY</w:t>
            </w:r>
            <w:r w:rsidRPr="005E6CBC">
              <w:t xml:space="preserve"> gained</w:t>
            </w:r>
          </w:p>
        </w:tc>
        <w:tc>
          <w:tcPr>
            <w:tcW w:w="838" w:type="pct"/>
            <w:vAlign w:val="center"/>
          </w:tcPr>
          <w:p w14:paraId="69D5EDFF" w14:textId="64F7A151" w:rsidR="007E1105" w:rsidRPr="005E6CBC" w:rsidRDefault="007E1105" w:rsidP="007E1105">
            <w:pPr>
              <w:pStyle w:val="TableText0"/>
              <w:jc w:val="center"/>
              <w:rPr>
                <w:rFonts w:ascii="Times" w:hAnsi="Times"/>
              </w:rPr>
            </w:pPr>
            <w:r w:rsidRPr="005E6CBC">
              <w:t>$</w:t>
            </w:r>
            <w:r w:rsidR="00F66E51" w:rsidRPr="00F66E51">
              <w:rPr>
                <w:rFonts w:hint="eastAsia"/>
                <w:color w:val="000000"/>
                <w:w w:val="17"/>
                <w:shd w:val="solid" w:color="000000" w:fill="000000"/>
                <w:fitText w:val="77" w:id="-1301006326"/>
                <w14:textFill>
                  <w14:solidFill>
                    <w14:srgbClr w14:val="000000">
                      <w14:alpha w14:val="100000"/>
                    </w14:srgbClr>
                  </w14:solidFill>
                </w14:textFill>
              </w:rPr>
              <w:t xml:space="preserve">　</w:t>
            </w:r>
            <w:r w:rsidR="00F66E51" w:rsidRPr="00F66E51">
              <w:rPr>
                <w:color w:val="000000"/>
                <w:w w:val="17"/>
                <w:shd w:val="solid" w:color="000000" w:fill="000000"/>
                <w:fitText w:val="77" w:id="-1301006326"/>
                <w14:textFill>
                  <w14:solidFill>
                    <w14:srgbClr w14:val="000000">
                      <w14:alpha w14:val="100000"/>
                    </w14:srgbClr>
                  </w14:solidFill>
                </w14:textFill>
              </w:rPr>
              <w:t>|</w:t>
            </w:r>
            <w:r w:rsidR="00F66E51" w:rsidRPr="00F66E51">
              <w:rPr>
                <w:rFonts w:hint="eastAsia"/>
                <w:color w:val="000000"/>
                <w:spacing w:val="11"/>
                <w:w w:val="17"/>
                <w:shd w:val="solid" w:color="000000" w:fill="000000"/>
                <w:fitText w:val="77" w:id="-1301006326"/>
                <w14:textFill>
                  <w14:solidFill>
                    <w14:srgbClr w14:val="000000">
                      <w14:alpha w14:val="100000"/>
                    </w14:srgbClr>
                  </w14:solidFill>
                </w14:textFill>
              </w:rPr>
              <w:t xml:space="preserve">　</w:t>
            </w:r>
            <w:r w:rsidR="005B5339" w:rsidRPr="005B5339">
              <w:rPr>
                <w:vertAlign w:val="superscript"/>
              </w:rPr>
              <w:t>1</w:t>
            </w:r>
          </w:p>
        </w:tc>
      </w:tr>
      <w:tr w:rsidR="007E1105" w:rsidRPr="003D5C02" w14:paraId="1BDC9F4D" w14:textId="77777777" w:rsidTr="007E1105">
        <w:tc>
          <w:tcPr>
            <w:tcW w:w="5000" w:type="pct"/>
            <w:gridSpan w:val="4"/>
            <w:vAlign w:val="center"/>
          </w:tcPr>
          <w:p w14:paraId="704ED8B6" w14:textId="77777777" w:rsidR="007E1105" w:rsidRPr="005E6CBC" w:rsidRDefault="007E1105" w:rsidP="007E1105">
            <w:pPr>
              <w:pStyle w:val="In-tableHeading"/>
            </w:pPr>
            <w:r w:rsidRPr="005E6CBC">
              <w:t xml:space="preserve">Step 2: time horizon extended to </w:t>
            </w:r>
            <w:r>
              <w:t>10</w:t>
            </w:r>
            <w:r w:rsidRPr="005E6CBC">
              <w:t>0 years</w:t>
            </w:r>
          </w:p>
        </w:tc>
      </w:tr>
      <w:tr w:rsidR="007E1105" w:rsidRPr="00E2771E" w14:paraId="637BE2E4" w14:textId="77777777" w:rsidTr="007E1105">
        <w:tc>
          <w:tcPr>
            <w:tcW w:w="1529" w:type="pct"/>
            <w:vAlign w:val="center"/>
          </w:tcPr>
          <w:p w14:paraId="79D81713" w14:textId="77777777" w:rsidR="007E1105" w:rsidRPr="00E2771E" w:rsidRDefault="007E1105" w:rsidP="007E1105">
            <w:pPr>
              <w:pStyle w:val="TableText0"/>
              <w:rPr>
                <w:rFonts w:ascii="Times" w:hAnsi="Times"/>
              </w:rPr>
            </w:pPr>
            <w:r w:rsidRPr="00E2771E">
              <w:t>Costs</w:t>
            </w:r>
          </w:p>
        </w:tc>
        <w:tc>
          <w:tcPr>
            <w:tcW w:w="1359" w:type="pct"/>
            <w:vAlign w:val="center"/>
          </w:tcPr>
          <w:p w14:paraId="71FA2664" w14:textId="0EDF0A14" w:rsidR="007E1105" w:rsidRPr="005E6CBC" w:rsidRDefault="007E1105" w:rsidP="007E1105">
            <w:pPr>
              <w:pStyle w:val="TableText0"/>
              <w:jc w:val="center"/>
              <w:rPr>
                <w:rFonts w:ascii="Times" w:hAnsi="Times"/>
              </w:rPr>
            </w:pPr>
            <w:r w:rsidRPr="00FF0292">
              <w:t>$</w:t>
            </w:r>
            <w:r w:rsidR="00F66E51" w:rsidRPr="00F66E51">
              <w:rPr>
                <w:color w:val="000000"/>
                <w:shd w:val="solid" w:color="000000" w:fill="000000"/>
                <w14:textFill>
                  <w14:solidFill>
                    <w14:srgbClr w14:val="000000">
                      <w14:alpha w14:val="100000"/>
                    </w14:srgbClr>
                  </w14:solidFill>
                </w14:textFill>
              </w:rPr>
              <w:t>|</w:t>
            </w:r>
          </w:p>
        </w:tc>
        <w:tc>
          <w:tcPr>
            <w:tcW w:w="1274" w:type="pct"/>
            <w:vAlign w:val="center"/>
          </w:tcPr>
          <w:p w14:paraId="249FB926" w14:textId="77777777" w:rsidR="007E1105" w:rsidRPr="005E6CBC" w:rsidRDefault="007E1105" w:rsidP="007E1105">
            <w:pPr>
              <w:pStyle w:val="TableText0"/>
              <w:jc w:val="center"/>
              <w:rPr>
                <w:rFonts w:ascii="Times" w:hAnsi="Times"/>
              </w:rPr>
            </w:pPr>
            <w:r w:rsidRPr="005E6CBC">
              <w:t>$</w:t>
            </w:r>
            <w:r>
              <w:t>0</w:t>
            </w:r>
          </w:p>
        </w:tc>
        <w:tc>
          <w:tcPr>
            <w:tcW w:w="838" w:type="pct"/>
            <w:vAlign w:val="center"/>
          </w:tcPr>
          <w:p w14:paraId="1E8EB329" w14:textId="0D854AFE" w:rsidR="007E1105" w:rsidRPr="005E6CBC" w:rsidRDefault="007E1105" w:rsidP="007E1105">
            <w:pPr>
              <w:pStyle w:val="TableText0"/>
              <w:jc w:val="center"/>
              <w:rPr>
                <w:rFonts w:ascii="Times" w:hAnsi="Times"/>
              </w:rPr>
            </w:pPr>
            <w:r w:rsidRPr="00FF0292">
              <w:t>$</w:t>
            </w:r>
            <w:r w:rsidR="00F66E51" w:rsidRPr="00775A5E">
              <w:rPr>
                <w:rFonts w:hint="eastAsia"/>
                <w:color w:val="000000"/>
                <w:w w:val="15"/>
                <w:shd w:val="solid" w:color="000000" w:fill="000000"/>
                <w:fitText w:val="46" w:id="-1301006325"/>
                <w14:textFill>
                  <w14:solidFill>
                    <w14:srgbClr w14:val="000000">
                      <w14:alpha w14:val="100000"/>
                    </w14:srgbClr>
                  </w14:solidFill>
                </w14:textFill>
              </w:rPr>
              <w:t xml:space="preserve">　</w:t>
            </w:r>
            <w:r w:rsidR="00F66E51" w:rsidRPr="00775A5E">
              <w:rPr>
                <w:color w:val="000000"/>
                <w:w w:val="15"/>
                <w:shd w:val="solid" w:color="000000" w:fill="000000"/>
                <w:fitText w:val="46" w:id="-1301006325"/>
                <w14:textFill>
                  <w14:solidFill>
                    <w14:srgbClr w14:val="000000">
                      <w14:alpha w14:val="100000"/>
                    </w14:srgbClr>
                  </w14:solidFill>
                </w14:textFill>
              </w:rPr>
              <w:t>|</w:t>
            </w:r>
            <w:r w:rsidR="00F66E51" w:rsidRPr="00775A5E">
              <w:rPr>
                <w:rFonts w:hint="eastAsia"/>
                <w:color w:val="000000"/>
                <w:spacing w:val="-19"/>
                <w:w w:val="15"/>
                <w:shd w:val="solid" w:color="000000" w:fill="000000"/>
                <w:fitText w:val="46" w:id="-1301006325"/>
                <w14:textFill>
                  <w14:solidFill>
                    <w14:srgbClr w14:val="000000">
                      <w14:alpha w14:val="100000"/>
                    </w14:srgbClr>
                  </w14:solidFill>
                </w14:textFill>
              </w:rPr>
              <w:t xml:space="preserve">　</w:t>
            </w:r>
          </w:p>
        </w:tc>
      </w:tr>
      <w:tr w:rsidR="007E1105" w:rsidRPr="00E2771E" w14:paraId="2B6BCC8F" w14:textId="77777777" w:rsidTr="007E1105">
        <w:tc>
          <w:tcPr>
            <w:tcW w:w="1529" w:type="pct"/>
            <w:vAlign w:val="center"/>
          </w:tcPr>
          <w:p w14:paraId="22BC2B1B" w14:textId="77777777" w:rsidR="007E1105" w:rsidRPr="00E2771E" w:rsidRDefault="007E1105" w:rsidP="007E1105">
            <w:pPr>
              <w:pStyle w:val="TableText0"/>
              <w:rPr>
                <w:rFonts w:ascii="Times" w:hAnsi="Times"/>
              </w:rPr>
            </w:pPr>
            <w:r>
              <w:t>QALY</w:t>
            </w:r>
          </w:p>
        </w:tc>
        <w:tc>
          <w:tcPr>
            <w:tcW w:w="1359" w:type="pct"/>
            <w:vAlign w:val="center"/>
          </w:tcPr>
          <w:p w14:paraId="27CE8254" w14:textId="37753A70" w:rsidR="007E1105" w:rsidRPr="006C61C7" w:rsidRDefault="007E1105" w:rsidP="007E1105">
            <w:pPr>
              <w:pStyle w:val="TableText0"/>
              <w:jc w:val="center"/>
            </w:pPr>
            <w:r w:rsidRPr="006C61C7">
              <w:t>38.</w:t>
            </w:r>
            <w:r w:rsidR="009E025A">
              <w:t>42</w:t>
            </w:r>
          </w:p>
        </w:tc>
        <w:tc>
          <w:tcPr>
            <w:tcW w:w="1274" w:type="pct"/>
            <w:vAlign w:val="center"/>
          </w:tcPr>
          <w:p w14:paraId="386A89FD" w14:textId="77777777" w:rsidR="007E1105" w:rsidRPr="006C61C7" w:rsidRDefault="007E1105" w:rsidP="007E1105">
            <w:pPr>
              <w:pStyle w:val="TableText0"/>
              <w:jc w:val="center"/>
            </w:pPr>
            <w:r w:rsidRPr="006C61C7">
              <w:t>29.47</w:t>
            </w:r>
          </w:p>
        </w:tc>
        <w:tc>
          <w:tcPr>
            <w:tcW w:w="838" w:type="pct"/>
            <w:vAlign w:val="center"/>
          </w:tcPr>
          <w:p w14:paraId="6A3C6E99" w14:textId="77777777" w:rsidR="007E1105" w:rsidRPr="005E6CBC" w:rsidRDefault="007E1105" w:rsidP="007E1105">
            <w:pPr>
              <w:pStyle w:val="TableText0"/>
              <w:jc w:val="center"/>
            </w:pPr>
            <w:r>
              <w:t>8.95</w:t>
            </w:r>
          </w:p>
        </w:tc>
      </w:tr>
      <w:tr w:rsidR="007E1105" w:rsidRPr="00EE64D8" w14:paraId="257F97AC" w14:textId="77777777" w:rsidTr="007E1105">
        <w:tc>
          <w:tcPr>
            <w:tcW w:w="4162" w:type="pct"/>
            <w:gridSpan w:val="3"/>
            <w:vAlign w:val="center"/>
          </w:tcPr>
          <w:p w14:paraId="61934FC8" w14:textId="77777777" w:rsidR="007E1105" w:rsidRPr="005E6CBC" w:rsidRDefault="007E1105" w:rsidP="007E1105">
            <w:pPr>
              <w:pStyle w:val="TableText0"/>
              <w:rPr>
                <w:rFonts w:ascii="Times" w:hAnsi="Times"/>
              </w:rPr>
            </w:pPr>
            <w:r w:rsidRPr="005E6CBC">
              <w:t xml:space="preserve">Incremental cost/extra </w:t>
            </w:r>
            <w:r>
              <w:t>QALY</w:t>
            </w:r>
            <w:r w:rsidRPr="005E6CBC">
              <w:t xml:space="preserve"> gained</w:t>
            </w:r>
          </w:p>
        </w:tc>
        <w:tc>
          <w:tcPr>
            <w:tcW w:w="838" w:type="pct"/>
            <w:vAlign w:val="center"/>
          </w:tcPr>
          <w:p w14:paraId="6B689095" w14:textId="686B242F" w:rsidR="007E1105" w:rsidRPr="005E6CBC" w:rsidRDefault="007E1105" w:rsidP="007E1105">
            <w:pPr>
              <w:pStyle w:val="TableText0"/>
              <w:jc w:val="center"/>
              <w:rPr>
                <w:rFonts w:ascii="Times" w:hAnsi="Times"/>
              </w:rPr>
            </w:pPr>
            <w:r w:rsidRPr="005E6CBC">
              <w:t>$</w:t>
            </w:r>
            <w:r w:rsidR="00F66E51" w:rsidRPr="00775A5E">
              <w:rPr>
                <w:rFonts w:hint="eastAsia"/>
                <w:color w:val="000000"/>
                <w:w w:val="17"/>
                <w:shd w:val="solid" w:color="000000" w:fill="000000"/>
                <w:fitText w:val="77" w:id="-1301006324"/>
                <w14:textFill>
                  <w14:solidFill>
                    <w14:srgbClr w14:val="000000">
                      <w14:alpha w14:val="100000"/>
                    </w14:srgbClr>
                  </w14:solidFill>
                </w14:textFill>
              </w:rPr>
              <w:t xml:space="preserve">　</w:t>
            </w:r>
            <w:r w:rsidR="00F66E51" w:rsidRPr="00775A5E">
              <w:rPr>
                <w:color w:val="000000"/>
                <w:w w:val="17"/>
                <w:shd w:val="solid" w:color="000000" w:fill="000000"/>
                <w:fitText w:val="77" w:id="-1301006324"/>
                <w14:textFill>
                  <w14:solidFill>
                    <w14:srgbClr w14:val="000000">
                      <w14:alpha w14:val="100000"/>
                    </w14:srgbClr>
                  </w14:solidFill>
                </w14:textFill>
              </w:rPr>
              <w:t>|</w:t>
            </w:r>
            <w:r w:rsidR="00F66E51" w:rsidRPr="00775A5E">
              <w:rPr>
                <w:rFonts w:hint="eastAsia"/>
                <w:color w:val="000000"/>
                <w:spacing w:val="4"/>
                <w:w w:val="17"/>
                <w:shd w:val="solid" w:color="000000" w:fill="000000"/>
                <w:fitText w:val="77" w:id="-1301006324"/>
                <w14:textFill>
                  <w14:solidFill>
                    <w14:srgbClr w14:val="000000">
                      <w14:alpha w14:val="100000"/>
                    </w14:srgbClr>
                  </w14:solidFill>
                </w14:textFill>
              </w:rPr>
              <w:t xml:space="preserve">　</w:t>
            </w:r>
            <w:r w:rsidR="005B5339">
              <w:rPr>
                <w:vertAlign w:val="superscript"/>
              </w:rPr>
              <w:t>2</w:t>
            </w:r>
          </w:p>
        </w:tc>
      </w:tr>
      <w:tr w:rsidR="007E1105" w:rsidRPr="00EE64D8" w14:paraId="7B542CD4" w14:textId="77777777" w:rsidTr="007E1105">
        <w:tc>
          <w:tcPr>
            <w:tcW w:w="5000" w:type="pct"/>
            <w:gridSpan w:val="4"/>
            <w:vAlign w:val="center"/>
          </w:tcPr>
          <w:p w14:paraId="2AEA588F" w14:textId="77777777" w:rsidR="007E1105" w:rsidRPr="005E6CBC" w:rsidRDefault="007E1105" w:rsidP="007E1105">
            <w:pPr>
              <w:pStyle w:val="In-tableHeading"/>
            </w:pPr>
            <w:r w:rsidRPr="005E6CBC">
              <w:t>Step 3: discounting (5%</w:t>
            </w:r>
            <w:r>
              <w:t xml:space="preserve"> for costs and differential discounting for outcomes</w:t>
            </w:r>
            <w:r w:rsidRPr="005E6CBC">
              <w:t>) included</w:t>
            </w:r>
          </w:p>
        </w:tc>
      </w:tr>
      <w:tr w:rsidR="007E1105" w:rsidRPr="00E2771E" w14:paraId="04BB8BE4" w14:textId="77777777" w:rsidTr="007E1105">
        <w:tc>
          <w:tcPr>
            <w:tcW w:w="1529" w:type="pct"/>
            <w:vAlign w:val="center"/>
          </w:tcPr>
          <w:p w14:paraId="6748BAC6" w14:textId="77777777" w:rsidR="007E1105" w:rsidRPr="00E2771E" w:rsidRDefault="007E1105" w:rsidP="007E1105">
            <w:pPr>
              <w:pStyle w:val="TableText0"/>
              <w:rPr>
                <w:rFonts w:ascii="Times" w:hAnsi="Times"/>
              </w:rPr>
            </w:pPr>
            <w:r w:rsidRPr="00E2771E">
              <w:t>Costs</w:t>
            </w:r>
          </w:p>
        </w:tc>
        <w:tc>
          <w:tcPr>
            <w:tcW w:w="1359" w:type="pct"/>
            <w:vAlign w:val="center"/>
          </w:tcPr>
          <w:p w14:paraId="6C321E36" w14:textId="086971D7" w:rsidR="007E1105" w:rsidRPr="005E6CBC" w:rsidRDefault="007E1105" w:rsidP="007E1105">
            <w:pPr>
              <w:pStyle w:val="TableText0"/>
              <w:jc w:val="center"/>
              <w:rPr>
                <w:rFonts w:ascii="Times" w:hAnsi="Times"/>
              </w:rPr>
            </w:pPr>
            <w:r w:rsidRPr="00F05F48">
              <w:t>$</w:t>
            </w:r>
            <w:r w:rsidR="00F66E51" w:rsidRPr="00F66E51">
              <w:rPr>
                <w:color w:val="000000"/>
                <w:shd w:val="solid" w:color="000000" w:fill="000000"/>
                <w14:textFill>
                  <w14:solidFill>
                    <w14:srgbClr w14:val="000000">
                      <w14:alpha w14:val="100000"/>
                    </w14:srgbClr>
                  </w14:solidFill>
                </w14:textFill>
              </w:rPr>
              <w:t>|</w:t>
            </w:r>
          </w:p>
        </w:tc>
        <w:tc>
          <w:tcPr>
            <w:tcW w:w="1274" w:type="pct"/>
            <w:vAlign w:val="center"/>
          </w:tcPr>
          <w:p w14:paraId="59BDE71D" w14:textId="77777777" w:rsidR="007E1105" w:rsidRPr="005E6CBC" w:rsidRDefault="007E1105" w:rsidP="007E1105">
            <w:pPr>
              <w:pStyle w:val="TableText0"/>
              <w:jc w:val="center"/>
              <w:rPr>
                <w:rFonts w:ascii="Times" w:hAnsi="Times"/>
              </w:rPr>
            </w:pPr>
            <w:r w:rsidRPr="005E6CBC">
              <w:t>$</w:t>
            </w:r>
            <w:r>
              <w:t>0</w:t>
            </w:r>
          </w:p>
        </w:tc>
        <w:tc>
          <w:tcPr>
            <w:tcW w:w="838" w:type="pct"/>
            <w:vAlign w:val="center"/>
          </w:tcPr>
          <w:p w14:paraId="65583A25" w14:textId="3C5DEA37" w:rsidR="007E1105" w:rsidRPr="005E6CBC" w:rsidRDefault="007E1105" w:rsidP="007E1105">
            <w:pPr>
              <w:pStyle w:val="TableText0"/>
              <w:jc w:val="center"/>
              <w:rPr>
                <w:rFonts w:ascii="Times" w:hAnsi="Times"/>
              </w:rPr>
            </w:pPr>
            <w:r w:rsidRPr="00F05F48">
              <w:t>$</w:t>
            </w:r>
            <w:r w:rsidR="00F66E51" w:rsidRPr="00775A5E">
              <w:rPr>
                <w:rFonts w:hint="eastAsia"/>
                <w:color w:val="000000"/>
                <w:w w:val="15"/>
                <w:shd w:val="solid" w:color="000000" w:fill="000000"/>
                <w:fitText w:val="46" w:id="-1301006323"/>
                <w14:textFill>
                  <w14:solidFill>
                    <w14:srgbClr w14:val="000000">
                      <w14:alpha w14:val="100000"/>
                    </w14:srgbClr>
                  </w14:solidFill>
                </w14:textFill>
              </w:rPr>
              <w:t xml:space="preserve">　</w:t>
            </w:r>
            <w:r w:rsidR="00F66E51" w:rsidRPr="00775A5E">
              <w:rPr>
                <w:color w:val="000000"/>
                <w:w w:val="15"/>
                <w:shd w:val="solid" w:color="000000" w:fill="000000"/>
                <w:fitText w:val="46" w:id="-1301006323"/>
                <w14:textFill>
                  <w14:solidFill>
                    <w14:srgbClr w14:val="000000">
                      <w14:alpha w14:val="100000"/>
                    </w14:srgbClr>
                  </w14:solidFill>
                </w14:textFill>
              </w:rPr>
              <w:t>|</w:t>
            </w:r>
            <w:r w:rsidR="00F66E51" w:rsidRPr="00775A5E">
              <w:rPr>
                <w:rFonts w:hint="eastAsia"/>
                <w:color w:val="000000"/>
                <w:spacing w:val="-19"/>
                <w:w w:val="15"/>
                <w:shd w:val="solid" w:color="000000" w:fill="000000"/>
                <w:fitText w:val="46" w:id="-1301006323"/>
                <w14:textFill>
                  <w14:solidFill>
                    <w14:srgbClr w14:val="000000">
                      <w14:alpha w14:val="100000"/>
                    </w14:srgbClr>
                  </w14:solidFill>
                </w14:textFill>
              </w:rPr>
              <w:t xml:space="preserve">　</w:t>
            </w:r>
          </w:p>
        </w:tc>
      </w:tr>
      <w:tr w:rsidR="007E1105" w:rsidRPr="00E2771E" w14:paraId="0B4C21F0" w14:textId="77777777" w:rsidTr="007E1105">
        <w:tc>
          <w:tcPr>
            <w:tcW w:w="1529" w:type="pct"/>
            <w:vAlign w:val="center"/>
          </w:tcPr>
          <w:p w14:paraId="29F25344" w14:textId="77777777" w:rsidR="007E1105" w:rsidRPr="00E2771E" w:rsidRDefault="007E1105" w:rsidP="007E1105">
            <w:pPr>
              <w:pStyle w:val="TableText0"/>
              <w:rPr>
                <w:rFonts w:ascii="Times" w:hAnsi="Times"/>
              </w:rPr>
            </w:pPr>
            <w:r>
              <w:t>QALY</w:t>
            </w:r>
          </w:p>
        </w:tc>
        <w:tc>
          <w:tcPr>
            <w:tcW w:w="1359" w:type="pct"/>
            <w:vAlign w:val="center"/>
          </w:tcPr>
          <w:p w14:paraId="50711C56" w14:textId="77777777" w:rsidR="007E1105" w:rsidRPr="005E6CBC" w:rsidRDefault="007E1105" w:rsidP="007E1105">
            <w:pPr>
              <w:pStyle w:val="TableText0"/>
              <w:jc w:val="center"/>
              <w:rPr>
                <w:rFonts w:ascii="Times" w:hAnsi="Times"/>
              </w:rPr>
            </w:pPr>
            <w:r w:rsidRPr="00272D55">
              <w:t>23.77</w:t>
            </w:r>
          </w:p>
        </w:tc>
        <w:tc>
          <w:tcPr>
            <w:tcW w:w="1274" w:type="pct"/>
            <w:vAlign w:val="center"/>
          </w:tcPr>
          <w:p w14:paraId="1E58F7C5" w14:textId="77777777" w:rsidR="007E1105" w:rsidRPr="005E6CBC" w:rsidRDefault="007E1105" w:rsidP="007E1105">
            <w:pPr>
              <w:pStyle w:val="TableText0"/>
              <w:jc w:val="center"/>
              <w:rPr>
                <w:rFonts w:ascii="Times" w:hAnsi="Times"/>
              </w:rPr>
            </w:pPr>
            <w:r w:rsidRPr="00272D55">
              <w:t>18.23</w:t>
            </w:r>
          </w:p>
        </w:tc>
        <w:tc>
          <w:tcPr>
            <w:tcW w:w="838" w:type="pct"/>
            <w:vAlign w:val="center"/>
          </w:tcPr>
          <w:p w14:paraId="562602F4" w14:textId="77777777" w:rsidR="007E1105" w:rsidRPr="005E6CBC" w:rsidRDefault="007E1105" w:rsidP="007E1105">
            <w:pPr>
              <w:pStyle w:val="TableText0"/>
              <w:jc w:val="center"/>
            </w:pPr>
            <w:r>
              <w:t>5.54</w:t>
            </w:r>
          </w:p>
        </w:tc>
      </w:tr>
      <w:tr w:rsidR="007E1105" w:rsidRPr="00E2771E" w14:paraId="7068631C" w14:textId="77777777" w:rsidTr="007E1105">
        <w:tc>
          <w:tcPr>
            <w:tcW w:w="4162" w:type="pct"/>
            <w:gridSpan w:val="3"/>
            <w:vAlign w:val="center"/>
          </w:tcPr>
          <w:p w14:paraId="02BE98C2" w14:textId="77777777" w:rsidR="007E1105" w:rsidRPr="005E6CBC" w:rsidRDefault="007E1105" w:rsidP="007E1105">
            <w:pPr>
              <w:pStyle w:val="TableText0"/>
              <w:rPr>
                <w:rFonts w:ascii="Times" w:hAnsi="Times"/>
              </w:rPr>
            </w:pPr>
            <w:r w:rsidRPr="005E6CBC">
              <w:t>Incremental cost/extra</w:t>
            </w:r>
            <w:r>
              <w:t xml:space="preserve"> QALY</w:t>
            </w:r>
            <w:r w:rsidRPr="005E6CBC">
              <w:t xml:space="preserve"> gained</w:t>
            </w:r>
          </w:p>
        </w:tc>
        <w:tc>
          <w:tcPr>
            <w:tcW w:w="838" w:type="pct"/>
            <w:vAlign w:val="center"/>
          </w:tcPr>
          <w:p w14:paraId="64F6F02A" w14:textId="25926700" w:rsidR="007E1105" w:rsidRPr="005E6CBC" w:rsidRDefault="007E1105" w:rsidP="007E1105">
            <w:pPr>
              <w:pStyle w:val="TableText0"/>
              <w:jc w:val="center"/>
              <w:rPr>
                <w:rFonts w:ascii="Times" w:hAnsi="Times"/>
              </w:rPr>
            </w:pPr>
            <w:r w:rsidRPr="005E6CBC">
              <w:t>$</w:t>
            </w:r>
            <w:r w:rsidR="00F66E51" w:rsidRPr="00775A5E">
              <w:rPr>
                <w:rFonts w:hint="eastAsia"/>
                <w:color w:val="000000"/>
                <w:w w:val="17"/>
                <w:shd w:val="solid" w:color="000000" w:fill="000000"/>
                <w:fitText w:val="77" w:id="-1301006322"/>
                <w14:textFill>
                  <w14:solidFill>
                    <w14:srgbClr w14:val="000000">
                      <w14:alpha w14:val="100000"/>
                    </w14:srgbClr>
                  </w14:solidFill>
                </w14:textFill>
              </w:rPr>
              <w:t xml:space="preserve">　</w:t>
            </w:r>
            <w:r w:rsidR="00F66E51" w:rsidRPr="00775A5E">
              <w:rPr>
                <w:color w:val="000000"/>
                <w:w w:val="17"/>
                <w:shd w:val="solid" w:color="000000" w:fill="000000"/>
                <w:fitText w:val="77" w:id="-1301006322"/>
                <w14:textFill>
                  <w14:solidFill>
                    <w14:srgbClr w14:val="000000">
                      <w14:alpha w14:val="100000"/>
                    </w14:srgbClr>
                  </w14:solidFill>
                </w14:textFill>
              </w:rPr>
              <w:t>|</w:t>
            </w:r>
            <w:r w:rsidR="00F66E51" w:rsidRPr="00775A5E">
              <w:rPr>
                <w:rFonts w:hint="eastAsia"/>
                <w:color w:val="000000"/>
                <w:spacing w:val="4"/>
                <w:w w:val="17"/>
                <w:shd w:val="solid" w:color="000000" w:fill="000000"/>
                <w:fitText w:val="77" w:id="-1301006322"/>
                <w14:textFill>
                  <w14:solidFill>
                    <w14:srgbClr w14:val="000000">
                      <w14:alpha w14:val="100000"/>
                    </w14:srgbClr>
                  </w14:solidFill>
                </w14:textFill>
              </w:rPr>
              <w:t xml:space="preserve">　</w:t>
            </w:r>
            <w:r w:rsidR="005B5339">
              <w:rPr>
                <w:vertAlign w:val="superscript"/>
              </w:rPr>
              <w:t>3</w:t>
            </w:r>
          </w:p>
        </w:tc>
      </w:tr>
      <w:tr w:rsidR="007E1105" w:rsidRPr="00EE64D8" w14:paraId="2A1BA45B" w14:textId="77777777" w:rsidTr="007E1105">
        <w:tc>
          <w:tcPr>
            <w:tcW w:w="5000" w:type="pct"/>
            <w:gridSpan w:val="4"/>
            <w:vAlign w:val="center"/>
          </w:tcPr>
          <w:p w14:paraId="6FAF1092" w14:textId="77777777" w:rsidR="007E1105" w:rsidRPr="005E6CBC" w:rsidRDefault="007E1105" w:rsidP="007E1105">
            <w:pPr>
              <w:pStyle w:val="In-tableHeading"/>
            </w:pPr>
            <w:r w:rsidRPr="005E6CBC">
              <w:t>Step 4: incorporation of medical resource costs</w:t>
            </w:r>
          </w:p>
        </w:tc>
      </w:tr>
      <w:tr w:rsidR="007E1105" w:rsidRPr="00E2771E" w14:paraId="48F1B304" w14:textId="77777777" w:rsidTr="007E1105">
        <w:tc>
          <w:tcPr>
            <w:tcW w:w="1529" w:type="pct"/>
            <w:vAlign w:val="center"/>
          </w:tcPr>
          <w:p w14:paraId="017CFF85" w14:textId="77777777" w:rsidR="007E1105" w:rsidRPr="00E2771E" w:rsidRDefault="007E1105" w:rsidP="007E1105">
            <w:pPr>
              <w:pStyle w:val="TableText0"/>
              <w:rPr>
                <w:rFonts w:ascii="Times" w:hAnsi="Times"/>
              </w:rPr>
            </w:pPr>
            <w:r w:rsidRPr="00E2771E">
              <w:t>Costs</w:t>
            </w:r>
          </w:p>
        </w:tc>
        <w:tc>
          <w:tcPr>
            <w:tcW w:w="1359" w:type="pct"/>
            <w:vAlign w:val="center"/>
          </w:tcPr>
          <w:p w14:paraId="3363373B" w14:textId="39A6FADE" w:rsidR="007E1105" w:rsidRPr="005E6CBC" w:rsidRDefault="007E1105" w:rsidP="007E1105">
            <w:pPr>
              <w:pStyle w:val="TableText0"/>
              <w:jc w:val="center"/>
              <w:rPr>
                <w:rFonts w:ascii="Times" w:hAnsi="Times"/>
              </w:rPr>
            </w:pPr>
            <w:r w:rsidRPr="00C903EE">
              <w:t>$</w:t>
            </w:r>
            <w:r w:rsidR="00F66E51" w:rsidRPr="00F66E51">
              <w:rPr>
                <w:color w:val="000000"/>
                <w:shd w:val="solid" w:color="000000" w:fill="000000"/>
                <w14:textFill>
                  <w14:solidFill>
                    <w14:srgbClr w14:val="000000">
                      <w14:alpha w14:val="100000"/>
                    </w14:srgbClr>
                  </w14:solidFill>
                </w14:textFill>
              </w:rPr>
              <w:t>|</w:t>
            </w:r>
          </w:p>
        </w:tc>
        <w:tc>
          <w:tcPr>
            <w:tcW w:w="1274" w:type="pct"/>
            <w:vAlign w:val="center"/>
          </w:tcPr>
          <w:p w14:paraId="004AA8D5" w14:textId="66940B6D" w:rsidR="007E1105" w:rsidRPr="005E6CBC" w:rsidRDefault="007E1105" w:rsidP="007E1105">
            <w:pPr>
              <w:pStyle w:val="TableText0"/>
              <w:jc w:val="center"/>
              <w:rPr>
                <w:rFonts w:ascii="Times" w:hAnsi="Times"/>
              </w:rPr>
            </w:pPr>
            <w:r w:rsidRPr="00C903EE">
              <w:t>$10,8</w:t>
            </w:r>
            <w:r w:rsidR="00B95B87">
              <w:t>60</w:t>
            </w:r>
          </w:p>
        </w:tc>
        <w:tc>
          <w:tcPr>
            <w:tcW w:w="838" w:type="pct"/>
            <w:vAlign w:val="center"/>
          </w:tcPr>
          <w:p w14:paraId="4B3B9C8D" w14:textId="49650EF6" w:rsidR="007E1105" w:rsidRPr="005E6CBC" w:rsidRDefault="007E1105" w:rsidP="007E1105">
            <w:pPr>
              <w:pStyle w:val="TableText0"/>
              <w:jc w:val="center"/>
              <w:rPr>
                <w:rFonts w:ascii="Times" w:hAnsi="Times"/>
              </w:rPr>
            </w:pPr>
            <w:r w:rsidRPr="00C903EE">
              <w:t>$</w:t>
            </w:r>
            <w:r w:rsidR="00F66E51" w:rsidRPr="00775A5E">
              <w:rPr>
                <w:rFonts w:hint="eastAsia"/>
                <w:color w:val="000000"/>
                <w:w w:val="15"/>
                <w:shd w:val="solid" w:color="000000" w:fill="000000"/>
                <w:fitText w:val="46" w:id="-1301006321"/>
                <w14:textFill>
                  <w14:solidFill>
                    <w14:srgbClr w14:val="000000">
                      <w14:alpha w14:val="100000"/>
                    </w14:srgbClr>
                  </w14:solidFill>
                </w14:textFill>
              </w:rPr>
              <w:t xml:space="preserve">　</w:t>
            </w:r>
            <w:r w:rsidR="00F66E51" w:rsidRPr="00775A5E">
              <w:rPr>
                <w:color w:val="000000"/>
                <w:w w:val="15"/>
                <w:shd w:val="solid" w:color="000000" w:fill="000000"/>
                <w:fitText w:val="46" w:id="-1301006321"/>
                <w14:textFill>
                  <w14:solidFill>
                    <w14:srgbClr w14:val="000000">
                      <w14:alpha w14:val="100000"/>
                    </w14:srgbClr>
                  </w14:solidFill>
                </w14:textFill>
              </w:rPr>
              <w:t>|</w:t>
            </w:r>
            <w:r w:rsidR="00F66E51" w:rsidRPr="00775A5E">
              <w:rPr>
                <w:rFonts w:hint="eastAsia"/>
                <w:color w:val="000000"/>
                <w:spacing w:val="-19"/>
                <w:w w:val="15"/>
                <w:shd w:val="solid" w:color="000000" w:fill="000000"/>
                <w:fitText w:val="46" w:id="-1301006321"/>
                <w14:textFill>
                  <w14:solidFill>
                    <w14:srgbClr w14:val="000000">
                      <w14:alpha w14:val="100000"/>
                    </w14:srgbClr>
                  </w14:solidFill>
                </w14:textFill>
              </w:rPr>
              <w:t xml:space="preserve">　</w:t>
            </w:r>
          </w:p>
        </w:tc>
      </w:tr>
      <w:tr w:rsidR="007E1105" w:rsidRPr="00E2771E" w14:paraId="6637FD56" w14:textId="77777777" w:rsidTr="007E1105">
        <w:tc>
          <w:tcPr>
            <w:tcW w:w="1529" w:type="pct"/>
            <w:vAlign w:val="center"/>
          </w:tcPr>
          <w:p w14:paraId="7B6D6C34" w14:textId="77777777" w:rsidR="007E1105" w:rsidRPr="00E2771E" w:rsidRDefault="007E1105" w:rsidP="007E1105">
            <w:pPr>
              <w:pStyle w:val="TableText0"/>
              <w:rPr>
                <w:rFonts w:ascii="Times" w:hAnsi="Times"/>
              </w:rPr>
            </w:pPr>
            <w:r>
              <w:t>QALY</w:t>
            </w:r>
          </w:p>
        </w:tc>
        <w:tc>
          <w:tcPr>
            <w:tcW w:w="1359" w:type="pct"/>
            <w:vAlign w:val="center"/>
          </w:tcPr>
          <w:p w14:paraId="2FDCF93C" w14:textId="77777777" w:rsidR="007E1105" w:rsidRPr="005E6CBC" w:rsidRDefault="007E1105" w:rsidP="007E1105">
            <w:pPr>
              <w:pStyle w:val="TableText0"/>
              <w:jc w:val="center"/>
              <w:rPr>
                <w:rFonts w:ascii="Times" w:hAnsi="Times"/>
              </w:rPr>
            </w:pPr>
            <w:r w:rsidRPr="00272D55">
              <w:t>23.77</w:t>
            </w:r>
          </w:p>
        </w:tc>
        <w:tc>
          <w:tcPr>
            <w:tcW w:w="1274" w:type="pct"/>
            <w:vAlign w:val="center"/>
          </w:tcPr>
          <w:p w14:paraId="4B522D77" w14:textId="77777777" w:rsidR="007E1105" w:rsidRPr="005E6CBC" w:rsidRDefault="007E1105" w:rsidP="007E1105">
            <w:pPr>
              <w:pStyle w:val="TableText0"/>
              <w:jc w:val="center"/>
              <w:rPr>
                <w:rFonts w:ascii="Times" w:hAnsi="Times"/>
              </w:rPr>
            </w:pPr>
            <w:r w:rsidRPr="00272D55">
              <w:t>18.23</w:t>
            </w:r>
          </w:p>
        </w:tc>
        <w:tc>
          <w:tcPr>
            <w:tcW w:w="838" w:type="pct"/>
            <w:vAlign w:val="center"/>
          </w:tcPr>
          <w:p w14:paraId="2AA710B0" w14:textId="77777777" w:rsidR="007E1105" w:rsidRPr="005E6CBC" w:rsidRDefault="007E1105" w:rsidP="007E1105">
            <w:pPr>
              <w:pStyle w:val="TableText0"/>
              <w:jc w:val="center"/>
            </w:pPr>
            <w:r>
              <w:t>5.54</w:t>
            </w:r>
          </w:p>
        </w:tc>
      </w:tr>
      <w:tr w:rsidR="007E1105" w:rsidRPr="0017537B" w14:paraId="5C71E2D4" w14:textId="77777777" w:rsidTr="007E1105">
        <w:tc>
          <w:tcPr>
            <w:tcW w:w="4162" w:type="pct"/>
            <w:gridSpan w:val="3"/>
            <w:vAlign w:val="center"/>
          </w:tcPr>
          <w:p w14:paraId="0CFEBE70" w14:textId="77777777" w:rsidR="007E1105" w:rsidRPr="000653B5" w:rsidRDefault="007E1105" w:rsidP="001C30D8">
            <w:pPr>
              <w:pStyle w:val="TableText0"/>
              <w:rPr>
                <w:rFonts w:ascii="Times" w:hAnsi="Times"/>
                <w:b/>
              </w:rPr>
            </w:pPr>
            <w:r w:rsidRPr="000653B5">
              <w:rPr>
                <w:b/>
              </w:rPr>
              <w:t>Incremental cost/extra QALY gained (base case)</w:t>
            </w:r>
          </w:p>
        </w:tc>
        <w:tc>
          <w:tcPr>
            <w:tcW w:w="838" w:type="pct"/>
            <w:vAlign w:val="center"/>
          </w:tcPr>
          <w:p w14:paraId="23DC7B46" w14:textId="03471E61" w:rsidR="007E1105" w:rsidRPr="000653B5" w:rsidRDefault="007E1105" w:rsidP="001C30D8">
            <w:pPr>
              <w:pStyle w:val="TableText0"/>
              <w:jc w:val="center"/>
              <w:rPr>
                <w:rFonts w:ascii="Times" w:hAnsi="Times"/>
                <w:b/>
              </w:rPr>
            </w:pPr>
            <w:r w:rsidRPr="00272D55">
              <w:rPr>
                <w:b/>
              </w:rPr>
              <w:t>$</w:t>
            </w:r>
            <w:r w:rsidR="00F66E51" w:rsidRPr="00775A5E">
              <w:rPr>
                <w:rFonts w:hint="eastAsia"/>
                <w:b/>
                <w:color w:val="000000"/>
                <w:w w:val="17"/>
                <w:shd w:val="solid" w:color="000000" w:fill="000000"/>
                <w:fitText w:val="77" w:id="-1301006320"/>
                <w14:textFill>
                  <w14:solidFill>
                    <w14:srgbClr w14:val="000000">
                      <w14:alpha w14:val="100000"/>
                    </w14:srgbClr>
                  </w14:solidFill>
                </w14:textFill>
              </w:rPr>
              <w:t xml:space="preserve">　</w:t>
            </w:r>
            <w:r w:rsidR="00F66E51" w:rsidRPr="00775A5E">
              <w:rPr>
                <w:b/>
                <w:color w:val="000000"/>
                <w:w w:val="17"/>
                <w:shd w:val="solid" w:color="000000" w:fill="000000"/>
                <w:fitText w:val="77" w:id="-1301006320"/>
                <w14:textFill>
                  <w14:solidFill>
                    <w14:srgbClr w14:val="000000">
                      <w14:alpha w14:val="100000"/>
                    </w14:srgbClr>
                  </w14:solidFill>
                </w14:textFill>
              </w:rPr>
              <w:t>|</w:t>
            </w:r>
            <w:r w:rsidR="00F66E51" w:rsidRPr="00775A5E">
              <w:rPr>
                <w:rFonts w:hint="eastAsia"/>
                <w:b/>
                <w:color w:val="000000"/>
                <w:spacing w:val="3"/>
                <w:w w:val="17"/>
                <w:shd w:val="solid" w:color="000000" w:fill="000000"/>
                <w:fitText w:val="77" w:id="-1301006320"/>
                <w14:textFill>
                  <w14:solidFill>
                    <w14:srgbClr w14:val="000000">
                      <w14:alpha w14:val="100000"/>
                    </w14:srgbClr>
                  </w14:solidFill>
                </w14:textFill>
              </w:rPr>
              <w:t xml:space="preserve">　</w:t>
            </w:r>
            <w:r w:rsidR="005B5339">
              <w:rPr>
                <w:vertAlign w:val="superscript"/>
              </w:rPr>
              <w:t>3</w:t>
            </w:r>
          </w:p>
        </w:tc>
      </w:tr>
      <w:tr w:rsidR="004279AC" w:rsidRPr="00E331B7" w14:paraId="361726FA" w14:textId="77777777" w:rsidTr="001A4D21">
        <w:tc>
          <w:tcPr>
            <w:tcW w:w="5000" w:type="pct"/>
            <w:gridSpan w:val="4"/>
            <w:vAlign w:val="center"/>
          </w:tcPr>
          <w:p w14:paraId="1B62BDC6" w14:textId="045A1BE1" w:rsidR="004279AC" w:rsidRPr="00E331B7" w:rsidRDefault="004279AC" w:rsidP="001A4D21">
            <w:pPr>
              <w:pStyle w:val="In-tableHeading"/>
            </w:pPr>
            <w:r w:rsidRPr="00E331B7">
              <w:t>P</w:t>
            </w:r>
            <w:r w:rsidR="00D23330">
              <w:t xml:space="preserve">re-PBAC </w:t>
            </w:r>
            <w:r w:rsidRPr="00E331B7">
              <w:t>revised base case</w:t>
            </w:r>
          </w:p>
        </w:tc>
      </w:tr>
      <w:tr w:rsidR="004279AC" w:rsidRPr="00E331B7" w14:paraId="5C85BF30" w14:textId="77777777" w:rsidTr="001A4D21">
        <w:tc>
          <w:tcPr>
            <w:tcW w:w="1529" w:type="pct"/>
            <w:vAlign w:val="center"/>
          </w:tcPr>
          <w:p w14:paraId="313F1AB0" w14:textId="77777777" w:rsidR="004279AC" w:rsidRPr="00E331B7" w:rsidRDefault="004279AC" w:rsidP="001A4D21">
            <w:pPr>
              <w:pStyle w:val="TableText0"/>
              <w:rPr>
                <w:rFonts w:ascii="Times" w:hAnsi="Times"/>
              </w:rPr>
            </w:pPr>
            <w:r w:rsidRPr="00E331B7">
              <w:t>Costs</w:t>
            </w:r>
          </w:p>
        </w:tc>
        <w:tc>
          <w:tcPr>
            <w:tcW w:w="1359" w:type="pct"/>
            <w:vAlign w:val="center"/>
          </w:tcPr>
          <w:p w14:paraId="5CEFB1EB" w14:textId="69FD86AB" w:rsidR="004279AC" w:rsidRPr="00E331B7" w:rsidRDefault="004279AC" w:rsidP="001A4D21">
            <w:pPr>
              <w:pStyle w:val="TableText0"/>
              <w:jc w:val="center"/>
              <w:rPr>
                <w:rFonts w:ascii="Times" w:hAnsi="Times"/>
              </w:rPr>
            </w:pPr>
            <w:r w:rsidRPr="00E331B7">
              <w:t>$</w:t>
            </w:r>
            <w:r w:rsidR="00F66E51" w:rsidRPr="00F66E51">
              <w:rPr>
                <w:color w:val="000000"/>
                <w:shd w:val="solid" w:color="000000" w:fill="000000"/>
                <w14:textFill>
                  <w14:solidFill>
                    <w14:srgbClr w14:val="000000">
                      <w14:alpha w14:val="100000"/>
                    </w14:srgbClr>
                  </w14:solidFill>
                </w14:textFill>
              </w:rPr>
              <w:t>|</w:t>
            </w:r>
          </w:p>
        </w:tc>
        <w:tc>
          <w:tcPr>
            <w:tcW w:w="1274" w:type="pct"/>
            <w:vAlign w:val="center"/>
          </w:tcPr>
          <w:p w14:paraId="7289785B" w14:textId="77777777" w:rsidR="004279AC" w:rsidRPr="00E331B7" w:rsidRDefault="004279AC" w:rsidP="001A4D21">
            <w:pPr>
              <w:pStyle w:val="TableText0"/>
              <w:jc w:val="center"/>
              <w:rPr>
                <w:rFonts w:ascii="Times" w:hAnsi="Times"/>
              </w:rPr>
            </w:pPr>
            <w:r w:rsidRPr="00E331B7">
              <w:t>$10,845</w:t>
            </w:r>
          </w:p>
        </w:tc>
        <w:tc>
          <w:tcPr>
            <w:tcW w:w="838" w:type="pct"/>
            <w:vAlign w:val="center"/>
          </w:tcPr>
          <w:p w14:paraId="1EDB4228" w14:textId="470E5423" w:rsidR="004279AC" w:rsidRPr="00E331B7" w:rsidRDefault="004279AC" w:rsidP="001A4D21">
            <w:pPr>
              <w:pStyle w:val="TableText0"/>
              <w:jc w:val="center"/>
              <w:rPr>
                <w:rFonts w:ascii="Times" w:hAnsi="Times"/>
              </w:rPr>
            </w:pPr>
            <w:r w:rsidRPr="00E331B7">
              <w:t>$</w:t>
            </w:r>
            <w:r w:rsidR="00F66E51" w:rsidRPr="00775A5E">
              <w:rPr>
                <w:rFonts w:hint="eastAsia"/>
                <w:color w:val="000000"/>
                <w:w w:val="15"/>
                <w:shd w:val="solid" w:color="000000" w:fill="000000"/>
                <w:fitText w:val="46" w:id="-1301006336"/>
                <w14:textFill>
                  <w14:solidFill>
                    <w14:srgbClr w14:val="000000">
                      <w14:alpha w14:val="100000"/>
                    </w14:srgbClr>
                  </w14:solidFill>
                </w14:textFill>
              </w:rPr>
              <w:t xml:space="preserve">　</w:t>
            </w:r>
            <w:r w:rsidR="00F66E51" w:rsidRPr="00775A5E">
              <w:rPr>
                <w:color w:val="000000"/>
                <w:w w:val="15"/>
                <w:shd w:val="solid" w:color="000000" w:fill="000000"/>
                <w:fitText w:val="46" w:id="-1301006336"/>
                <w14:textFill>
                  <w14:solidFill>
                    <w14:srgbClr w14:val="000000">
                      <w14:alpha w14:val="100000"/>
                    </w14:srgbClr>
                  </w14:solidFill>
                </w14:textFill>
              </w:rPr>
              <w:t>|</w:t>
            </w:r>
            <w:r w:rsidR="00F66E51" w:rsidRPr="00775A5E">
              <w:rPr>
                <w:rFonts w:hint="eastAsia"/>
                <w:color w:val="000000"/>
                <w:spacing w:val="-19"/>
                <w:w w:val="15"/>
                <w:shd w:val="solid" w:color="000000" w:fill="000000"/>
                <w:fitText w:val="46" w:id="-1301006336"/>
                <w14:textFill>
                  <w14:solidFill>
                    <w14:srgbClr w14:val="000000">
                      <w14:alpha w14:val="100000"/>
                    </w14:srgbClr>
                  </w14:solidFill>
                </w14:textFill>
              </w:rPr>
              <w:t xml:space="preserve">　</w:t>
            </w:r>
          </w:p>
        </w:tc>
      </w:tr>
      <w:tr w:rsidR="004279AC" w:rsidRPr="00E331B7" w14:paraId="010C92E9" w14:textId="77777777" w:rsidTr="001A4D21">
        <w:tc>
          <w:tcPr>
            <w:tcW w:w="1529" w:type="pct"/>
            <w:vAlign w:val="center"/>
          </w:tcPr>
          <w:p w14:paraId="1204794B" w14:textId="77777777" w:rsidR="004279AC" w:rsidRPr="00E331B7" w:rsidRDefault="004279AC" w:rsidP="001A4D21">
            <w:pPr>
              <w:pStyle w:val="TableText0"/>
              <w:rPr>
                <w:rFonts w:ascii="Times" w:hAnsi="Times"/>
              </w:rPr>
            </w:pPr>
            <w:r w:rsidRPr="00E331B7">
              <w:t>QALY</w:t>
            </w:r>
          </w:p>
        </w:tc>
        <w:tc>
          <w:tcPr>
            <w:tcW w:w="1359" w:type="pct"/>
            <w:vAlign w:val="center"/>
          </w:tcPr>
          <w:p w14:paraId="50ADF874" w14:textId="12E15F8C" w:rsidR="004279AC" w:rsidRPr="00E331B7" w:rsidRDefault="004279AC" w:rsidP="001A4D21">
            <w:pPr>
              <w:pStyle w:val="TableText0"/>
              <w:jc w:val="center"/>
              <w:rPr>
                <w:rFonts w:ascii="Times" w:hAnsi="Times"/>
              </w:rPr>
            </w:pPr>
            <w:r>
              <w:t>14.87</w:t>
            </w:r>
          </w:p>
        </w:tc>
        <w:tc>
          <w:tcPr>
            <w:tcW w:w="1274" w:type="pct"/>
            <w:vAlign w:val="center"/>
          </w:tcPr>
          <w:p w14:paraId="3D215B8C" w14:textId="7B00B944" w:rsidR="004279AC" w:rsidRPr="00E331B7" w:rsidRDefault="004279AC" w:rsidP="001A4D21">
            <w:pPr>
              <w:pStyle w:val="TableText0"/>
              <w:jc w:val="center"/>
              <w:rPr>
                <w:rFonts w:ascii="Times" w:hAnsi="Times"/>
              </w:rPr>
            </w:pPr>
            <w:r>
              <w:t>11.59</w:t>
            </w:r>
          </w:p>
        </w:tc>
        <w:tc>
          <w:tcPr>
            <w:tcW w:w="838" w:type="pct"/>
            <w:vAlign w:val="center"/>
          </w:tcPr>
          <w:p w14:paraId="43C1E8CB" w14:textId="7C440964" w:rsidR="004279AC" w:rsidRPr="00E331B7" w:rsidRDefault="004279AC" w:rsidP="001A4D21">
            <w:pPr>
              <w:pStyle w:val="TableText0"/>
              <w:jc w:val="center"/>
            </w:pPr>
            <w:r>
              <w:t>3.29</w:t>
            </w:r>
          </w:p>
        </w:tc>
      </w:tr>
      <w:tr w:rsidR="004279AC" w:rsidRPr="00E331B7" w14:paraId="4ED57964" w14:textId="77777777" w:rsidTr="001A4D21">
        <w:tc>
          <w:tcPr>
            <w:tcW w:w="4162" w:type="pct"/>
            <w:gridSpan w:val="3"/>
            <w:vAlign w:val="center"/>
          </w:tcPr>
          <w:p w14:paraId="5A6C9BFB" w14:textId="77777777" w:rsidR="004279AC" w:rsidRPr="00E331B7" w:rsidRDefault="004279AC" w:rsidP="001A4D21">
            <w:pPr>
              <w:pStyle w:val="TableText0"/>
              <w:rPr>
                <w:rFonts w:ascii="Times" w:hAnsi="Times"/>
                <w:b/>
              </w:rPr>
            </w:pPr>
            <w:r w:rsidRPr="00E331B7">
              <w:rPr>
                <w:b/>
              </w:rPr>
              <w:t>Incremental cost/extra QALY gained (base case)</w:t>
            </w:r>
          </w:p>
        </w:tc>
        <w:tc>
          <w:tcPr>
            <w:tcW w:w="838" w:type="pct"/>
            <w:vAlign w:val="center"/>
          </w:tcPr>
          <w:p w14:paraId="13A8D3E3" w14:textId="0DD0D8DA" w:rsidR="004279AC" w:rsidRPr="00E331B7" w:rsidRDefault="004279AC" w:rsidP="001A4D21">
            <w:pPr>
              <w:pStyle w:val="TableText0"/>
              <w:jc w:val="center"/>
              <w:rPr>
                <w:rFonts w:ascii="Times" w:hAnsi="Times"/>
                <w:b/>
              </w:rPr>
            </w:pPr>
            <w:r w:rsidRPr="00E331B7">
              <w:rPr>
                <w:b/>
              </w:rPr>
              <w:t>$</w:t>
            </w:r>
            <w:r w:rsidR="00F66E51" w:rsidRPr="00F66E51">
              <w:rPr>
                <w:rFonts w:hint="eastAsia"/>
                <w:b/>
                <w:color w:val="000000"/>
                <w:w w:val="17"/>
                <w:shd w:val="solid" w:color="000000" w:fill="000000"/>
                <w:fitText w:val="77" w:id="-1301006335"/>
                <w14:textFill>
                  <w14:solidFill>
                    <w14:srgbClr w14:val="000000">
                      <w14:alpha w14:val="100000"/>
                    </w14:srgbClr>
                  </w14:solidFill>
                </w14:textFill>
              </w:rPr>
              <w:t xml:space="preserve">　</w:t>
            </w:r>
            <w:r w:rsidR="00F66E51" w:rsidRPr="00F66E51">
              <w:rPr>
                <w:b/>
                <w:color w:val="000000"/>
                <w:w w:val="17"/>
                <w:shd w:val="solid" w:color="000000" w:fill="000000"/>
                <w:fitText w:val="77" w:id="-1301006335"/>
                <w14:textFill>
                  <w14:solidFill>
                    <w14:srgbClr w14:val="000000">
                      <w14:alpha w14:val="100000"/>
                    </w14:srgbClr>
                  </w14:solidFill>
                </w14:textFill>
              </w:rPr>
              <w:t>|</w:t>
            </w:r>
            <w:r w:rsidR="00F66E51" w:rsidRPr="00F66E51">
              <w:rPr>
                <w:rFonts w:hint="eastAsia"/>
                <w:b/>
                <w:color w:val="000000"/>
                <w:spacing w:val="3"/>
                <w:w w:val="17"/>
                <w:shd w:val="solid" w:color="000000" w:fill="000000"/>
                <w:fitText w:val="77" w:id="-1301006335"/>
                <w14:textFill>
                  <w14:solidFill>
                    <w14:srgbClr w14:val="000000">
                      <w14:alpha w14:val="100000"/>
                    </w14:srgbClr>
                  </w14:solidFill>
                </w14:textFill>
              </w:rPr>
              <w:t xml:space="preserve">　</w:t>
            </w:r>
            <w:r w:rsidR="005B5339">
              <w:rPr>
                <w:vertAlign w:val="superscript"/>
              </w:rPr>
              <w:t>4</w:t>
            </w:r>
          </w:p>
        </w:tc>
      </w:tr>
    </w:tbl>
    <w:p w14:paraId="3D3E2A67" w14:textId="59E91D61" w:rsidR="00835B44" w:rsidRDefault="00835B44" w:rsidP="00835B44">
      <w:pPr>
        <w:pStyle w:val="FooterTableFigure"/>
      </w:pPr>
      <w:r>
        <w:t>Source: Table 3.27, p219 of the submission</w:t>
      </w:r>
      <w:r w:rsidR="004279AC">
        <w:t>, p2 of the pre-PBAC response</w:t>
      </w:r>
      <w:r>
        <w:t>.</w:t>
      </w:r>
    </w:p>
    <w:p w14:paraId="426F88E6" w14:textId="224F5B09" w:rsidR="00835B44" w:rsidRDefault="00835B44" w:rsidP="005B5339">
      <w:pPr>
        <w:pStyle w:val="FooterTableFigure"/>
        <w:spacing w:after="0"/>
      </w:pPr>
      <w:r>
        <w:t>QALY = quality-adjusted life years</w:t>
      </w:r>
    </w:p>
    <w:p w14:paraId="7457B437" w14:textId="77777777" w:rsidR="005B5339" w:rsidRPr="009A6D58" w:rsidRDefault="005B5339" w:rsidP="005B5339">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63A991C6" w14:textId="77777777" w:rsidR="005B5339" w:rsidRDefault="005B5339" w:rsidP="005B5339">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5B5339">
        <w:rPr>
          <w:rFonts w:ascii="Arial Narrow" w:hAnsi="Arial Narrow"/>
          <w:i/>
          <w:sz w:val="18"/>
          <w:szCs w:val="18"/>
        </w:rPr>
        <w:t>$555,000 to &lt; $655,000</w:t>
      </w:r>
    </w:p>
    <w:p w14:paraId="7B4A3311" w14:textId="77777777" w:rsidR="005B5339" w:rsidRPr="009A6D58" w:rsidRDefault="005B5339" w:rsidP="005B5339">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5B5339">
        <w:rPr>
          <w:rFonts w:ascii="Arial Narrow" w:hAnsi="Arial Narrow"/>
          <w:i/>
          <w:sz w:val="18"/>
          <w:szCs w:val="18"/>
        </w:rPr>
        <w:t>$55,000 to &lt; $75,000</w:t>
      </w:r>
    </w:p>
    <w:p w14:paraId="689600B8" w14:textId="77777777" w:rsidR="005B5339" w:rsidRDefault="005B5339" w:rsidP="005B5339">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5B5339">
        <w:rPr>
          <w:rFonts w:ascii="Arial Narrow" w:hAnsi="Arial Narrow"/>
          <w:i/>
          <w:sz w:val="18"/>
          <w:szCs w:val="18"/>
        </w:rPr>
        <w:t>$95,000 to &lt; $115,000</w:t>
      </w:r>
    </w:p>
    <w:p w14:paraId="59643525" w14:textId="3443A29E" w:rsidR="005B5339" w:rsidRPr="005B5339" w:rsidRDefault="005B5339" w:rsidP="005B5339">
      <w:pPr>
        <w:spacing w:after="120"/>
        <w:rPr>
          <w:rStyle w:val="CommentReference"/>
          <w:b w:val="0"/>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5B5339">
        <w:rPr>
          <w:rFonts w:ascii="Arial Narrow" w:hAnsi="Arial Narrow"/>
          <w:i/>
          <w:sz w:val="18"/>
          <w:szCs w:val="18"/>
        </w:rPr>
        <w:t>$155,000 to &lt; $255,000</w:t>
      </w:r>
    </w:p>
    <w:p w14:paraId="5236A01B" w14:textId="265E739A" w:rsidR="005A5258" w:rsidRPr="00E331B7" w:rsidRDefault="005A5258" w:rsidP="005A5258">
      <w:pPr>
        <w:pStyle w:val="3-BodyText"/>
        <w:spacing w:after="0"/>
      </w:pPr>
      <w:r w:rsidRPr="00E331B7">
        <w:t>For patients treated with selumetinib and followed-up for 100 years, the economic evaluation estimated the following:</w:t>
      </w:r>
    </w:p>
    <w:p w14:paraId="5EEECE05" w14:textId="0493687E" w:rsidR="00DB1EE3" w:rsidRPr="00E331B7" w:rsidRDefault="005A5258" w:rsidP="00F70F2C">
      <w:pPr>
        <w:pStyle w:val="ListParagraph"/>
        <w:spacing w:after="0"/>
        <w:ind w:left="1134"/>
      </w:pPr>
      <w:r w:rsidRPr="00E331B7">
        <w:t xml:space="preserve">Cost of selumetinib was </w:t>
      </w:r>
      <w:bookmarkStart w:id="89" w:name="_Hlk111301026"/>
      <w:r w:rsidRPr="00E331B7">
        <w:t>$</w:t>
      </w:r>
      <w:r w:rsidR="00F66E51" w:rsidRPr="00BE0EE6">
        <w:rPr>
          <w:color w:val="000000"/>
          <w:w w:val="15"/>
          <w:shd w:val="solid" w:color="000000" w:fill="000000"/>
          <w:fitText w:val="-20" w:id="-1301006334"/>
          <w14:textFill>
            <w14:solidFill>
              <w14:srgbClr w14:val="000000">
                <w14:alpha w14:val="100000"/>
              </w14:srgbClr>
            </w14:solidFill>
          </w14:textFill>
        </w:rPr>
        <w:t xml:space="preserve">|  </w:t>
      </w:r>
      <w:r w:rsidR="00F66E51" w:rsidRPr="00BE0EE6">
        <w:rPr>
          <w:color w:val="000000"/>
          <w:spacing w:val="-69"/>
          <w:w w:val="15"/>
          <w:shd w:val="solid" w:color="000000" w:fill="000000"/>
          <w:fitText w:val="-20" w:id="-1301006334"/>
          <w14:textFill>
            <w14:solidFill>
              <w14:srgbClr w14:val="000000">
                <w14:alpha w14:val="100000"/>
              </w14:srgbClr>
            </w14:solidFill>
          </w14:textFill>
        </w:rPr>
        <w:t>|</w:t>
      </w:r>
      <w:r w:rsidRPr="00E331B7">
        <w:t xml:space="preserve"> </w:t>
      </w:r>
      <w:bookmarkEnd w:id="89"/>
      <w:r w:rsidRPr="00E331B7">
        <w:t>(undiscounted)</w:t>
      </w:r>
      <w:r w:rsidR="00100654" w:rsidRPr="00E331B7">
        <w:t>.</w:t>
      </w:r>
    </w:p>
    <w:p w14:paraId="3192B6C4" w14:textId="332DB03F" w:rsidR="005A5258" w:rsidRPr="00E331B7" w:rsidRDefault="00DB1EE3" w:rsidP="00F70F2C">
      <w:pPr>
        <w:pStyle w:val="ListParagraph"/>
        <w:ind w:left="1134"/>
      </w:pPr>
      <w:r w:rsidRPr="00E331B7">
        <w:t>A</w:t>
      </w:r>
      <w:r w:rsidR="005A5258" w:rsidRPr="00E331B7">
        <w:t xml:space="preserve">pproximately </w:t>
      </w:r>
      <w:r w:rsidRPr="00E331B7">
        <w:t>38.</w:t>
      </w:r>
      <w:r w:rsidR="009E025A" w:rsidRPr="00E331B7">
        <w:t>42</w:t>
      </w:r>
      <w:r w:rsidR="00100654" w:rsidRPr="00E331B7">
        <w:t xml:space="preserve"> </w:t>
      </w:r>
      <w:r w:rsidRPr="00E331B7">
        <w:t>QALYs</w:t>
      </w:r>
      <w:r w:rsidR="005A5258" w:rsidRPr="00E331B7">
        <w:t xml:space="preserve"> gained (undiscounted), resulting in an improvement of approximately </w:t>
      </w:r>
      <w:r w:rsidRPr="00E331B7">
        <w:t xml:space="preserve">8.95 QALYs </w:t>
      </w:r>
      <w:r w:rsidR="005A5258" w:rsidRPr="00E331B7">
        <w:t xml:space="preserve">over </w:t>
      </w:r>
      <w:r w:rsidRPr="00E331B7">
        <w:t>supportive care</w:t>
      </w:r>
      <w:r w:rsidR="005A5258" w:rsidRPr="00E331B7">
        <w:t>.</w:t>
      </w:r>
    </w:p>
    <w:p w14:paraId="0302DE3D" w14:textId="77D5F5D5" w:rsidR="00E331B7" w:rsidRPr="009902F7" w:rsidRDefault="00DB6884" w:rsidP="009902F7">
      <w:pPr>
        <w:pStyle w:val="3-BodyText"/>
      </w:pPr>
      <w:r w:rsidRPr="00E331B7">
        <w:rPr>
          <w:rFonts w:ascii="Calibri" w:hAnsi="Calibri"/>
          <w:snapToGrid/>
        </w:rPr>
        <w:t>Based on the economic model presented in the submission, treatment with selumetinib was associated with a</w:t>
      </w:r>
      <w:r w:rsidR="001E59AC" w:rsidRPr="00E331B7">
        <w:rPr>
          <w:rFonts w:ascii="Calibri" w:hAnsi="Calibri"/>
          <w:snapToGrid/>
        </w:rPr>
        <w:t>n incremental</w:t>
      </w:r>
      <w:r w:rsidRPr="00E331B7">
        <w:rPr>
          <w:rFonts w:ascii="Calibri" w:hAnsi="Calibri"/>
          <w:snapToGrid/>
        </w:rPr>
        <w:t xml:space="preserve"> cost per QALY gained of </w:t>
      </w:r>
      <w:r w:rsidR="009902F7" w:rsidRPr="009902F7">
        <w:t xml:space="preserve">$95,000 to &lt; $115,000 </w:t>
      </w:r>
      <w:r w:rsidRPr="009902F7">
        <w:rPr>
          <w:rFonts w:ascii="Calibri" w:hAnsi="Calibri"/>
          <w:snapToGrid/>
        </w:rPr>
        <w:t>compared to supportive care, for the treatment of patients with NF1 PN.</w:t>
      </w:r>
      <w:r w:rsidR="00FC1C8A" w:rsidRPr="009902F7">
        <w:rPr>
          <w:rFonts w:ascii="Calibri" w:hAnsi="Calibri"/>
          <w:snapToGrid/>
        </w:rPr>
        <w:t xml:space="preserve"> The revised base case </w:t>
      </w:r>
      <w:r w:rsidR="004279AC" w:rsidRPr="009902F7">
        <w:rPr>
          <w:rFonts w:ascii="Calibri" w:hAnsi="Calibri"/>
          <w:snapToGrid/>
        </w:rPr>
        <w:t xml:space="preserve">in the pre-PBAC response resulted in an incremental cost per QALY gained of </w:t>
      </w:r>
      <w:r w:rsidR="009902F7" w:rsidRPr="009902F7">
        <w:t>$155,000 to &lt; $255,000</w:t>
      </w:r>
      <w:r w:rsidR="00FC1C8A" w:rsidRPr="009902F7">
        <w:rPr>
          <w:rFonts w:ascii="Calibri" w:hAnsi="Calibri"/>
          <w:snapToGrid/>
        </w:rPr>
        <w:t>.</w:t>
      </w:r>
    </w:p>
    <w:p w14:paraId="0AF0DB78" w14:textId="23A9C555" w:rsidR="005346E5" w:rsidRPr="00F966BD" w:rsidRDefault="00D23D11" w:rsidP="00F966BD">
      <w:pPr>
        <w:pStyle w:val="3-BodyText"/>
        <w:rPr>
          <w:rFonts w:ascii="Calibri" w:hAnsi="Calibri"/>
          <w:snapToGrid/>
        </w:rPr>
      </w:pPr>
      <w:r w:rsidRPr="00F966BD">
        <w:rPr>
          <w:rFonts w:ascii="Calibri" w:hAnsi="Calibri"/>
        </w:rPr>
        <w:t xml:space="preserve">The results of key sensitivity analyses are summarised </w:t>
      </w:r>
      <w:r w:rsidR="00E16AD8" w:rsidRPr="00F966BD">
        <w:rPr>
          <w:rFonts w:ascii="Calibri" w:hAnsi="Calibri"/>
        </w:rPr>
        <w:t xml:space="preserve">in </w:t>
      </w:r>
      <w:r w:rsidR="00F966BD" w:rsidRPr="00F966BD">
        <w:rPr>
          <w:rFonts w:ascii="Calibri" w:hAnsi="Calibri"/>
        </w:rPr>
        <w:fldChar w:fldCharType="begin"/>
      </w:r>
      <w:r w:rsidR="00F966BD" w:rsidRPr="00F966BD">
        <w:rPr>
          <w:rFonts w:ascii="Calibri" w:hAnsi="Calibri"/>
        </w:rPr>
        <w:instrText xml:space="preserve"> REF _Ref129354211 \h </w:instrText>
      </w:r>
      <w:r w:rsidR="00F966BD" w:rsidRPr="00F966BD">
        <w:rPr>
          <w:rFonts w:ascii="Calibri" w:hAnsi="Calibri"/>
        </w:rPr>
      </w:r>
      <w:r w:rsidR="00F966BD" w:rsidRPr="00F966BD">
        <w:rPr>
          <w:rFonts w:ascii="Calibri" w:hAnsi="Calibri"/>
        </w:rPr>
        <w:instrText xml:space="preserve"> \* MERGEFORMAT </w:instrText>
      </w:r>
      <w:r w:rsidR="00F966BD" w:rsidRPr="00F966BD">
        <w:rPr>
          <w:rFonts w:ascii="Calibri" w:hAnsi="Calibri"/>
        </w:rPr>
        <w:fldChar w:fldCharType="separate"/>
      </w:r>
      <w:r w:rsidR="00BE0EE6" w:rsidRPr="00BE0EE6">
        <w:rPr>
          <w:rFonts w:ascii="Calibri" w:hAnsi="Calibri"/>
        </w:rPr>
        <w:t>Table 11</w:t>
      </w:r>
      <w:r w:rsidR="00F966BD" w:rsidRPr="00F966BD">
        <w:rPr>
          <w:rFonts w:ascii="Calibri" w:hAnsi="Calibri"/>
        </w:rPr>
        <w:fldChar w:fldCharType="end"/>
      </w:r>
      <w:r w:rsidR="00F966BD" w:rsidRPr="00F966BD">
        <w:rPr>
          <w:rFonts w:ascii="Calibri" w:hAnsi="Calibri"/>
        </w:rPr>
        <w:t>.</w:t>
      </w:r>
    </w:p>
    <w:p w14:paraId="767B5CC8" w14:textId="4064F262" w:rsidR="00465B07" w:rsidRDefault="00465B07">
      <w:pPr>
        <w:jc w:val="left"/>
        <w:rPr>
          <w:rStyle w:val="CommentReference"/>
          <w:szCs w:val="24"/>
        </w:rPr>
      </w:pPr>
      <w:bookmarkStart w:id="90" w:name="_Ref104804865"/>
    </w:p>
    <w:p w14:paraId="7BB37ED4" w14:textId="77777777" w:rsidR="00F966BD" w:rsidRDefault="00F966BD">
      <w:pPr>
        <w:jc w:val="left"/>
        <w:rPr>
          <w:rStyle w:val="CommentReference"/>
          <w:szCs w:val="24"/>
        </w:rPr>
      </w:pPr>
    </w:p>
    <w:p w14:paraId="3A3A2A76" w14:textId="77777777" w:rsidR="00F966BD" w:rsidRDefault="00F966BD">
      <w:pPr>
        <w:jc w:val="left"/>
        <w:rPr>
          <w:rStyle w:val="CommentReference"/>
          <w:snapToGrid w:val="0"/>
          <w:szCs w:val="24"/>
        </w:rPr>
      </w:pPr>
    </w:p>
    <w:p w14:paraId="3A64F4E7" w14:textId="1B11DCB9" w:rsidR="00D23D11" w:rsidRPr="00484FDE" w:rsidRDefault="00F966BD" w:rsidP="00484FDE">
      <w:pPr>
        <w:pStyle w:val="3-BodyText"/>
        <w:keepNext/>
        <w:numPr>
          <w:ilvl w:val="0"/>
          <w:numId w:val="0"/>
        </w:numPr>
        <w:spacing w:after="0"/>
        <w:rPr>
          <w:rStyle w:val="CommentReference"/>
          <w:szCs w:val="24"/>
        </w:rPr>
      </w:pPr>
      <w:bookmarkStart w:id="91" w:name="_Ref129354211"/>
      <w:r>
        <w:rPr>
          <w:rStyle w:val="CommentReference"/>
          <w:szCs w:val="24"/>
        </w:rPr>
        <w:lastRenderedPageBreak/>
        <w:t>Table</w:t>
      </w:r>
      <w:r w:rsidR="00E16AD8" w:rsidRPr="00484FDE">
        <w:rPr>
          <w:rStyle w:val="CommentReference"/>
          <w:szCs w:val="24"/>
        </w:rPr>
        <w:t xml:space="preserve"> </w:t>
      </w:r>
      <w:r w:rsidR="005C4D9C" w:rsidRPr="00484FDE">
        <w:rPr>
          <w:rStyle w:val="CommentReference"/>
          <w:szCs w:val="24"/>
        </w:rPr>
        <w:fldChar w:fldCharType="begin"/>
      </w:r>
      <w:r w:rsidR="005C4D9C" w:rsidRPr="00484FDE">
        <w:rPr>
          <w:rStyle w:val="CommentReference"/>
          <w:szCs w:val="24"/>
        </w:rPr>
        <w:instrText xml:space="preserve"> SEQ Table \* ARABIC </w:instrText>
      </w:r>
      <w:r w:rsidR="005C4D9C" w:rsidRPr="00484FDE">
        <w:rPr>
          <w:rStyle w:val="CommentReference"/>
          <w:szCs w:val="24"/>
        </w:rPr>
        <w:fldChar w:fldCharType="separate"/>
      </w:r>
      <w:r w:rsidR="00BE0EE6">
        <w:rPr>
          <w:rStyle w:val="CommentReference"/>
          <w:noProof/>
          <w:szCs w:val="24"/>
        </w:rPr>
        <w:t>11</w:t>
      </w:r>
      <w:r w:rsidR="005C4D9C" w:rsidRPr="00484FDE">
        <w:rPr>
          <w:rStyle w:val="CommentReference"/>
          <w:szCs w:val="24"/>
        </w:rPr>
        <w:fldChar w:fldCharType="end"/>
      </w:r>
      <w:bookmarkEnd w:id="90"/>
      <w:bookmarkEnd w:id="91"/>
      <w:r w:rsidR="00E16AD8" w:rsidRPr="00484FDE">
        <w:rPr>
          <w:rStyle w:val="CommentReference"/>
          <w:szCs w:val="24"/>
        </w:rPr>
        <w:t>:</w:t>
      </w:r>
      <w:r w:rsidR="00354F64" w:rsidRPr="00484FDE">
        <w:rPr>
          <w:rStyle w:val="CommentReference"/>
          <w:szCs w:val="24"/>
        </w:rPr>
        <w:t xml:space="preserve"> </w:t>
      </w:r>
      <w:r w:rsidR="00D15314" w:rsidRPr="00484FDE">
        <w:rPr>
          <w:rStyle w:val="CommentReference"/>
          <w:szCs w:val="24"/>
        </w:rPr>
        <w:t>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6"/>
        <w:gridCol w:w="1401"/>
        <w:gridCol w:w="1401"/>
        <w:gridCol w:w="1717"/>
        <w:gridCol w:w="1082"/>
      </w:tblGrid>
      <w:tr w:rsidR="000C4CF2" w:rsidRPr="00D23D11" w14:paraId="4832DD69" w14:textId="390B42CE" w:rsidTr="00F66E51">
        <w:trPr>
          <w:cantSplit/>
          <w:tblHeader/>
        </w:trPr>
        <w:tc>
          <w:tcPr>
            <w:tcW w:w="1894" w:type="pct"/>
          </w:tcPr>
          <w:p w14:paraId="36024DAB" w14:textId="77777777" w:rsidR="000C4CF2" w:rsidRPr="00D23D11" w:rsidRDefault="000C4CF2" w:rsidP="00484FDE">
            <w:pPr>
              <w:pStyle w:val="In-tableHeading"/>
            </w:pPr>
            <w:r w:rsidRPr="00D23D11">
              <w:t>Analyses</w:t>
            </w:r>
          </w:p>
        </w:tc>
        <w:tc>
          <w:tcPr>
            <w:tcW w:w="777" w:type="pct"/>
            <w:tcBorders>
              <w:bottom w:val="single" w:sz="4" w:space="0" w:color="auto"/>
            </w:tcBorders>
          </w:tcPr>
          <w:p w14:paraId="116A6840" w14:textId="62FD7443" w:rsidR="000C4CF2" w:rsidRPr="00D23D11" w:rsidRDefault="000C4CF2" w:rsidP="00484FDE">
            <w:pPr>
              <w:pStyle w:val="In-tableHeading"/>
              <w:jc w:val="center"/>
            </w:pPr>
            <w:r w:rsidRPr="00D23D11">
              <w:t>Incremental cost</w:t>
            </w:r>
            <w:r w:rsidR="009902F7">
              <w:t xml:space="preserve"> ($)</w:t>
            </w:r>
          </w:p>
        </w:tc>
        <w:tc>
          <w:tcPr>
            <w:tcW w:w="777" w:type="pct"/>
          </w:tcPr>
          <w:p w14:paraId="3A2E0B89" w14:textId="77777777" w:rsidR="000C4CF2" w:rsidRPr="00D23D11" w:rsidRDefault="000C4CF2" w:rsidP="00484FDE">
            <w:pPr>
              <w:pStyle w:val="In-tableHeading"/>
              <w:jc w:val="center"/>
            </w:pPr>
            <w:r w:rsidRPr="00D23D11">
              <w:t>Incremental QALY</w:t>
            </w:r>
          </w:p>
        </w:tc>
        <w:tc>
          <w:tcPr>
            <w:tcW w:w="952" w:type="pct"/>
          </w:tcPr>
          <w:p w14:paraId="137D47A9" w14:textId="4C3E64B8" w:rsidR="000C4CF2" w:rsidRPr="00D23D11" w:rsidRDefault="000C4CF2" w:rsidP="00484FDE">
            <w:pPr>
              <w:pStyle w:val="In-tableHeading"/>
              <w:jc w:val="center"/>
            </w:pPr>
            <w:r w:rsidRPr="00D23D11">
              <w:t>ICER</w:t>
            </w:r>
            <w:r w:rsidR="009902F7">
              <w:t xml:space="preserve"> ($)</w:t>
            </w:r>
          </w:p>
        </w:tc>
        <w:tc>
          <w:tcPr>
            <w:tcW w:w="600" w:type="pct"/>
          </w:tcPr>
          <w:p w14:paraId="000EA292" w14:textId="362F99AB" w:rsidR="000C4CF2" w:rsidRPr="00D23D11" w:rsidRDefault="000C4CF2" w:rsidP="00484FDE">
            <w:pPr>
              <w:pStyle w:val="In-tableHeading"/>
              <w:jc w:val="center"/>
            </w:pPr>
            <w:r>
              <w:t>% change to ICER</w:t>
            </w:r>
          </w:p>
        </w:tc>
      </w:tr>
      <w:tr w:rsidR="00AF6E6D" w:rsidRPr="00D23D11" w14:paraId="589E440B" w14:textId="4C7F6453" w:rsidTr="00F66E51">
        <w:trPr>
          <w:cantSplit/>
          <w:trHeight w:val="270"/>
        </w:trPr>
        <w:tc>
          <w:tcPr>
            <w:tcW w:w="1894" w:type="pct"/>
            <w:vAlign w:val="center"/>
          </w:tcPr>
          <w:p w14:paraId="6264D5C4" w14:textId="77777777" w:rsidR="00AF6E6D" w:rsidRPr="00BB732D" w:rsidRDefault="00AF6E6D" w:rsidP="00FD2539">
            <w:pPr>
              <w:pStyle w:val="TableText0"/>
              <w:rPr>
                <w:b/>
              </w:rPr>
            </w:pPr>
            <w:r w:rsidRPr="00BB732D">
              <w:rPr>
                <w:b/>
              </w:rPr>
              <w:t>Base case</w:t>
            </w:r>
          </w:p>
        </w:tc>
        <w:tc>
          <w:tcPr>
            <w:tcW w:w="777" w:type="pct"/>
            <w:shd w:val="solid" w:color="000000" w:fill="000000"/>
            <w:vAlign w:val="center"/>
          </w:tcPr>
          <w:p w14:paraId="5169AB20" w14:textId="531541D0" w:rsidR="00AF6E6D" w:rsidRPr="00F66E51" w:rsidRDefault="00F66E51" w:rsidP="00265AE2">
            <w:pPr>
              <w:pStyle w:val="TableText0"/>
              <w:jc w:val="center"/>
              <w:rPr>
                <w:b/>
                <w:bCs w:val="0"/>
              </w:rPr>
            </w:pPr>
            <w:r w:rsidRPr="00775A5E">
              <w:rPr>
                <w:rFonts w:hint="eastAsia"/>
                <w:b/>
                <w:bCs w:val="0"/>
                <w:color w:val="000000"/>
                <w:w w:val="31"/>
                <w:fitText w:val="139" w:id="-1301006333"/>
                <w14:textFill>
                  <w14:solidFill>
                    <w14:srgbClr w14:val="000000">
                      <w14:alpha w14:val="100000"/>
                    </w14:srgbClr>
                  </w14:solidFill>
                </w14:textFill>
              </w:rPr>
              <w:t xml:space="preserve">　</w:t>
            </w:r>
            <w:r w:rsidRPr="00775A5E">
              <w:rPr>
                <w:b/>
                <w:bCs w:val="0"/>
                <w:color w:val="000000"/>
                <w:w w:val="31"/>
                <w:fitText w:val="139" w:id="-1301006333"/>
                <w14:textFill>
                  <w14:solidFill>
                    <w14:srgbClr w14:val="000000">
                      <w14:alpha w14:val="100000"/>
                    </w14:srgbClr>
                  </w14:solidFill>
                </w14:textFill>
              </w:rPr>
              <w:t>|</w:t>
            </w:r>
            <w:r w:rsidRPr="00775A5E">
              <w:rPr>
                <w:rFonts w:hint="eastAsia"/>
                <w:b/>
                <w:bCs w:val="0"/>
                <w:color w:val="000000"/>
                <w:w w:val="31"/>
                <w:fitText w:val="139" w:id="-1301006333"/>
                <w14:textFill>
                  <w14:solidFill>
                    <w14:srgbClr w14:val="000000">
                      <w14:alpha w14:val="100000"/>
                    </w14:srgbClr>
                  </w14:solidFill>
                </w14:textFill>
              </w:rPr>
              <w:t xml:space="preserve">　</w:t>
            </w:r>
          </w:p>
        </w:tc>
        <w:tc>
          <w:tcPr>
            <w:tcW w:w="777" w:type="pct"/>
            <w:vAlign w:val="center"/>
          </w:tcPr>
          <w:p w14:paraId="5DD6CC2E" w14:textId="54D04A59" w:rsidR="00AF6E6D" w:rsidRPr="00AF6E6D" w:rsidRDefault="00AF6E6D" w:rsidP="00265AE2">
            <w:pPr>
              <w:pStyle w:val="TableText0"/>
              <w:jc w:val="center"/>
              <w:rPr>
                <w:b/>
                <w:bCs w:val="0"/>
              </w:rPr>
            </w:pPr>
            <w:r w:rsidRPr="00AF6E6D">
              <w:rPr>
                <w:b/>
                <w:bCs w:val="0"/>
              </w:rPr>
              <w:t>5.54</w:t>
            </w:r>
          </w:p>
        </w:tc>
        <w:tc>
          <w:tcPr>
            <w:tcW w:w="952" w:type="pct"/>
            <w:vAlign w:val="center"/>
          </w:tcPr>
          <w:p w14:paraId="1463ED96" w14:textId="5E9BA00E" w:rsidR="00AF6E6D" w:rsidRPr="00AF6E6D" w:rsidRDefault="00F66E51" w:rsidP="00265AE2">
            <w:pPr>
              <w:pStyle w:val="TableText0"/>
              <w:jc w:val="center"/>
              <w:rPr>
                <w:b/>
                <w:bCs w:val="0"/>
                <w:highlight w:val="black"/>
              </w:rPr>
            </w:pPr>
            <w:r w:rsidRPr="00BE0EE6">
              <w:rPr>
                <w:rFonts w:hint="eastAsia"/>
                <w:b/>
                <w:bCs w:val="0"/>
                <w:color w:val="000000"/>
                <w:w w:val="15"/>
                <w:shd w:val="solid" w:color="000000" w:fill="000000"/>
                <w:fitText w:val="8" w:id="-1301006332"/>
                <w14:textFill>
                  <w14:solidFill>
                    <w14:srgbClr w14:val="000000">
                      <w14:alpha w14:val="100000"/>
                    </w14:srgbClr>
                  </w14:solidFill>
                </w14:textFill>
              </w:rPr>
              <w:t xml:space="preserve">　</w:t>
            </w:r>
            <w:r w:rsidRPr="00BE0EE6">
              <w:rPr>
                <w:b/>
                <w:bCs w:val="0"/>
                <w:color w:val="000000"/>
                <w:w w:val="15"/>
                <w:shd w:val="solid" w:color="000000" w:fill="000000"/>
                <w:fitText w:val="8" w:id="-1301006332"/>
                <w14:textFill>
                  <w14:solidFill>
                    <w14:srgbClr w14:val="000000">
                      <w14:alpha w14:val="100000"/>
                    </w14:srgbClr>
                  </w14:solidFill>
                </w14:textFill>
              </w:rPr>
              <w:t>|</w:t>
            </w:r>
            <w:r w:rsidRPr="00BE0EE6">
              <w:rPr>
                <w:rFonts w:hint="eastAsia"/>
                <w:b/>
                <w:bCs w:val="0"/>
                <w:color w:val="000000"/>
                <w:spacing w:val="-58"/>
                <w:w w:val="15"/>
                <w:shd w:val="solid" w:color="000000" w:fill="000000"/>
                <w:fitText w:val="8" w:id="-1301006332"/>
                <w14:textFill>
                  <w14:solidFill>
                    <w14:srgbClr w14:val="000000">
                      <w14:alpha w14:val="100000"/>
                    </w14:srgbClr>
                  </w14:solidFill>
                </w14:textFill>
              </w:rPr>
              <w:t xml:space="preserve">　</w:t>
            </w:r>
            <w:r w:rsidR="009902F7" w:rsidRPr="004C11F6">
              <w:rPr>
                <w:vertAlign w:val="superscript"/>
              </w:rPr>
              <w:t>1</w:t>
            </w:r>
          </w:p>
        </w:tc>
        <w:tc>
          <w:tcPr>
            <w:tcW w:w="600" w:type="pct"/>
            <w:vAlign w:val="center"/>
          </w:tcPr>
          <w:p w14:paraId="4E38A137" w14:textId="4E303D4E" w:rsidR="00AF6E6D" w:rsidRPr="00AF6E6D" w:rsidRDefault="00776985" w:rsidP="00265AE2">
            <w:pPr>
              <w:pStyle w:val="TableText0"/>
              <w:jc w:val="center"/>
              <w:rPr>
                <w:rFonts w:eastAsia="Calibri"/>
                <w:b/>
                <w:bCs w:val="0"/>
                <w:szCs w:val="20"/>
              </w:rPr>
            </w:pPr>
            <w:r>
              <w:rPr>
                <w:rFonts w:eastAsia="Calibri"/>
                <w:b/>
                <w:bCs w:val="0"/>
                <w:szCs w:val="20"/>
              </w:rPr>
              <w:t>-</w:t>
            </w:r>
          </w:p>
        </w:tc>
      </w:tr>
      <w:tr w:rsidR="00D90AEF" w:rsidRPr="00D23D11" w14:paraId="24764820" w14:textId="77777777" w:rsidTr="00FD2539">
        <w:trPr>
          <w:cantSplit/>
          <w:trHeight w:val="270"/>
        </w:trPr>
        <w:tc>
          <w:tcPr>
            <w:tcW w:w="5000" w:type="pct"/>
            <w:gridSpan w:val="5"/>
            <w:vAlign w:val="center"/>
          </w:tcPr>
          <w:p w14:paraId="65C728D4" w14:textId="1FC2DA09" w:rsidR="00D90AEF" w:rsidRPr="00AF6E6D" w:rsidRDefault="00D90AEF" w:rsidP="00FD2539">
            <w:pPr>
              <w:pStyle w:val="TableText0"/>
              <w:rPr>
                <w:b/>
                <w:bCs w:val="0"/>
              </w:rPr>
            </w:pPr>
            <w:r w:rsidRPr="00F34D7E">
              <w:rPr>
                <w:rFonts w:cs="Times New Roman"/>
              </w:rPr>
              <w:t>Discount rate (base case 5% for costs and differential rate for outcomes)</w:t>
            </w:r>
          </w:p>
        </w:tc>
      </w:tr>
      <w:tr w:rsidR="00D90AEF" w:rsidRPr="00D23D11" w14:paraId="0431E23E" w14:textId="77777777" w:rsidTr="00F66E51">
        <w:trPr>
          <w:cantSplit/>
          <w:trHeight w:val="270"/>
        </w:trPr>
        <w:tc>
          <w:tcPr>
            <w:tcW w:w="1894" w:type="pct"/>
            <w:vAlign w:val="center"/>
          </w:tcPr>
          <w:p w14:paraId="66B30836" w14:textId="210EC40D" w:rsidR="00D90AEF" w:rsidRPr="00BB732D" w:rsidRDefault="00D90AEF" w:rsidP="00FD2539">
            <w:pPr>
              <w:pStyle w:val="TableText0"/>
              <w:rPr>
                <w:b/>
              </w:rPr>
            </w:pPr>
            <w:r w:rsidRPr="00F34D7E">
              <w:rPr>
                <w:rFonts w:cs="Times New Roman"/>
              </w:rPr>
              <w:t>0% costs and outcomes</w:t>
            </w:r>
          </w:p>
        </w:tc>
        <w:tc>
          <w:tcPr>
            <w:tcW w:w="777" w:type="pct"/>
            <w:tcBorders>
              <w:bottom w:val="single" w:sz="4" w:space="0" w:color="auto"/>
            </w:tcBorders>
            <w:shd w:val="solid" w:color="000000" w:fill="000000"/>
            <w:vAlign w:val="center"/>
          </w:tcPr>
          <w:p w14:paraId="7D4EDC4D" w14:textId="69259705" w:rsidR="00D90AEF" w:rsidRPr="00F66E51" w:rsidRDefault="00F66E51" w:rsidP="00FD2539">
            <w:pPr>
              <w:pStyle w:val="TableText0"/>
              <w:jc w:val="center"/>
              <w:rPr>
                <w:b/>
                <w:bCs w:val="0"/>
              </w:rPr>
            </w:pPr>
            <w:r w:rsidRPr="00775A5E">
              <w:rPr>
                <w:rFonts w:cs="Calibri" w:hint="eastAsia"/>
                <w:color w:val="000000"/>
                <w:w w:val="31"/>
                <w:szCs w:val="18"/>
                <w:fitText w:val="139" w:id="-1301006331"/>
                <w14:textFill>
                  <w14:solidFill>
                    <w14:srgbClr w14:val="000000">
                      <w14:alpha w14:val="100000"/>
                    </w14:srgbClr>
                  </w14:solidFill>
                </w14:textFill>
              </w:rPr>
              <w:t xml:space="preserve">　</w:t>
            </w:r>
            <w:r w:rsidRPr="00775A5E">
              <w:rPr>
                <w:rFonts w:cs="Calibri"/>
                <w:color w:val="000000"/>
                <w:w w:val="31"/>
                <w:szCs w:val="18"/>
                <w:fitText w:val="139" w:id="-1301006331"/>
                <w14:textFill>
                  <w14:solidFill>
                    <w14:srgbClr w14:val="000000">
                      <w14:alpha w14:val="100000"/>
                    </w14:srgbClr>
                  </w14:solidFill>
                </w14:textFill>
              </w:rPr>
              <w:t>|</w:t>
            </w:r>
            <w:r w:rsidRPr="00775A5E">
              <w:rPr>
                <w:rFonts w:cs="Calibri" w:hint="eastAsia"/>
                <w:color w:val="000000"/>
                <w:w w:val="31"/>
                <w:szCs w:val="18"/>
                <w:fitText w:val="139" w:id="-1301006331"/>
                <w14:textFill>
                  <w14:solidFill>
                    <w14:srgbClr w14:val="000000">
                      <w14:alpha w14:val="100000"/>
                    </w14:srgbClr>
                  </w14:solidFill>
                </w14:textFill>
              </w:rPr>
              <w:t xml:space="preserve">　</w:t>
            </w:r>
          </w:p>
        </w:tc>
        <w:tc>
          <w:tcPr>
            <w:tcW w:w="777" w:type="pct"/>
            <w:vAlign w:val="center"/>
          </w:tcPr>
          <w:p w14:paraId="55666A43" w14:textId="35257361" w:rsidR="00D90AEF" w:rsidRPr="00AF6E6D" w:rsidRDefault="00D90AEF" w:rsidP="00FD2539">
            <w:pPr>
              <w:pStyle w:val="TableText0"/>
              <w:jc w:val="center"/>
              <w:rPr>
                <w:b/>
                <w:bCs w:val="0"/>
              </w:rPr>
            </w:pPr>
            <w:r w:rsidRPr="00F34D7E">
              <w:rPr>
                <w:rFonts w:cs="Calibri"/>
                <w:szCs w:val="18"/>
              </w:rPr>
              <w:t>8.95</w:t>
            </w:r>
          </w:p>
        </w:tc>
        <w:tc>
          <w:tcPr>
            <w:tcW w:w="952" w:type="pct"/>
            <w:vAlign w:val="center"/>
          </w:tcPr>
          <w:p w14:paraId="55076295" w14:textId="698827AE" w:rsidR="00D90AEF" w:rsidRPr="004C11F6" w:rsidRDefault="00F66E51" w:rsidP="00FD2539">
            <w:pPr>
              <w:pStyle w:val="TableText0"/>
              <w:jc w:val="center"/>
              <w:rPr>
                <w:highlight w:val="darkGray"/>
              </w:rPr>
            </w:pPr>
            <w:r w:rsidRPr="00BE0EE6">
              <w:rPr>
                <w:rFonts w:cs="Calibri" w:hint="eastAsia"/>
                <w:color w:val="000000"/>
                <w:w w:val="15"/>
                <w:szCs w:val="18"/>
                <w:shd w:val="solid" w:color="000000" w:fill="000000"/>
                <w:fitText w:val="8" w:id="-1301006330"/>
                <w14:textFill>
                  <w14:solidFill>
                    <w14:srgbClr w14:val="000000">
                      <w14:alpha w14:val="100000"/>
                    </w14:srgbClr>
                  </w14:solidFill>
                </w14:textFill>
              </w:rPr>
              <w:t xml:space="preserve">　</w:t>
            </w:r>
            <w:r w:rsidRPr="00BE0EE6">
              <w:rPr>
                <w:rFonts w:cs="Calibri"/>
                <w:color w:val="000000"/>
                <w:w w:val="15"/>
                <w:szCs w:val="18"/>
                <w:shd w:val="solid" w:color="000000" w:fill="000000"/>
                <w:fitText w:val="8" w:id="-1301006330"/>
                <w14:textFill>
                  <w14:solidFill>
                    <w14:srgbClr w14:val="000000">
                      <w14:alpha w14:val="100000"/>
                    </w14:srgbClr>
                  </w14:solidFill>
                </w14:textFill>
              </w:rPr>
              <w:t>|</w:t>
            </w:r>
            <w:r w:rsidRPr="00BE0EE6">
              <w:rPr>
                <w:rFonts w:cs="Calibri" w:hint="eastAsia"/>
                <w:color w:val="000000"/>
                <w:spacing w:val="-57"/>
                <w:w w:val="15"/>
                <w:szCs w:val="18"/>
                <w:shd w:val="solid" w:color="000000" w:fill="000000"/>
                <w:fitText w:val="8" w:id="-1301006330"/>
                <w14:textFill>
                  <w14:solidFill>
                    <w14:srgbClr w14:val="000000">
                      <w14:alpha w14:val="100000"/>
                    </w14:srgbClr>
                  </w14:solidFill>
                </w14:textFill>
              </w:rPr>
              <w:t xml:space="preserve">　</w:t>
            </w:r>
            <w:r w:rsidR="009902F7" w:rsidRPr="004C11F6">
              <w:rPr>
                <w:vertAlign w:val="superscript"/>
              </w:rPr>
              <w:t>2</w:t>
            </w:r>
          </w:p>
        </w:tc>
        <w:tc>
          <w:tcPr>
            <w:tcW w:w="600" w:type="pct"/>
            <w:vAlign w:val="center"/>
          </w:tcPr>
          <w:p w14:paraId="175DCA98" w14:textId="6AB9F081" w:rsidR="00D90AEF" w:rsidRPr="00AF6E6D" w:rsidRDefault="00D90AEF" w:rsidP="00FD2539">
            <w:pPr>
              <w:pStyle w:val="TableText0"/>
              <w:jc w:val="center"/>
              <w:rPr>
                <w:b/>
                <w:bCs w:val="0"/>
              </w:rPr>
            </w:pPr>
            <w:r w:rsidRPr="00FA153D">
              <w:rPr>
                <w:rFonts w:cs="Times New Roman"/>
              </w:rPr>
              <w:t>-3</w:t>
            </w:r>
            <w:r w:rsidR="00315A6D">
              <w:rPr>
                <w:rFonts w:cs="Times New Roman"/>
              </w:rPr>
              <w:t>1</w:t>
            </w:r>
            <w:r w:rsidRPr="00FA153D">
              <w:rPr>
                <w:rFonts w:cs="Times New Roman"/>
              </w:rPr>
              <w:t>%</w:t>
            </w:r>
          </w:p>
        </w:tc>
      </w:tr>
      <w:tr w:rsidR="004C434D" w:rsidRPr="00D23D11" w14:paraId="06483E85" w14:textId="77777777" w:rsidTr="00F66E51">
        <w:trPr>
          <w:cantSplit/>
          <w:trHeight w:val="270"/>
        </w:trPr>
        <w:tc>
          <w:tcPr>
            <w:tcW w:w="1894" w:type="pct"/>
            <w:vAlign w:val="center"/>
          </w:tcPr>
          <w:p w14:paraId="284B5730" w14:textId="1DFF2CFB" w:rsidR="00C6502B" w:rsidRPr="00740B54" w:rsidRDefault="002E2EEE" w:rsidP="00FD2539">
            <w:pPr>
              <w:pStyle w:val="TableText0"/>
              <w:rPr>
                <w:rFonts w:cs="Times New Roman"/>
              </w:rPr>
            </w:pPr>
            <w:r w:rsidRPr="00740B54">
              <w:rPr>
                <w:rFonts w:cs="Times New Roman"/>
              </w:rPr>
              <w:t>3.5% costs and outcomes</w:t>
            </w:r>
          </w:p>
        </w:tc>
        <w:tc>
          <w:tcPr>
            <w:tcW w:w="777" w:type="pct"/>
            <w:tcBorders>
              <w:bottom w:val="single" w:sz="4" w:space="0" w:color="auto"/>
            </w:tcBorders>
            <w:shd w:val="solid" w:color="000000" w:fill="000000"/>
            <w:vAlign w:val="center"/>
          </w:tcPr>
          <w:p w14:paraId="6D5C8D8C" w14:textId="2D66B854" w:rsidR="00C6502B" w:rsidRPr="00F66E51" w:rsidRDefault="00F66E51" w:rsidP="00FD2539">
            <w:pPr>
              <w:pStyle w:val="TableText0"/>
              <w:jc w:val="center"/>
              <w:rPr>
                <w:rFonts w:cs="Calibri"/>
                <w:szCs w:val="18"/>
              </w:rPr>
            </w:pPr>
            <w:r w:rsidRPr="00775A5E">
              <w:rPr>
                <w:rFonts w:cs="Calibri" w:hint="eastAsia"/>
                <w:color w:val="000000"/>
                <w:w w:val="31"/>
                <w:szCs w:val="18"/>
                <w:fitText w:val="139" w:id="-1301006329"/>
                <w14:textFill>
                  <w14:solidFill>
                    <w14:srgbClr w14:val="000000">
                      <w14:alpha w14:val="100000"/>
                    </w14:srgbClr>
                  </w14:solidFill>
                </w14:textFill>
              </w:rPr>
              <w:t xml:space="preserve">　</w:t>
            </w:r>
            <w:r w:rsidRPr="00775A5E">
              <w:rPr>
                <w:rFonts w:cs="Calibri"/>
                <w:color w:val="000000"/>
                <w:w w:val="31"/>
                <w:szCs w:val="18"/>
                <w:fitText w:val="139" w:id="-1301006329"/>
                <w14:textFill>
                  <w14:solidFill>
                    <w14:srgbClr w14:val="000000">
                      <w14:alpha w14:val="100000"/>
                    </w14:srgbClr>
                  </w14:solidFill>
                </w14:textFill>
              </w:rPr>
              <w:t>|</w:t>
            </w:r>
            <w:r w:rsidRPr="00775A5E">
              <w:rPr>
                <w:rFonts w:cs="Calibri" w:hint="eastAsia"/>
                <w:color w:val="000000"/>
                <w:w w:val="31"/>
                <w:szCs w:val="18"/>
                <w:fitText w:val="139" w:id="-1301006329"/>
                <w14:textFill>
                  <w14:solidFill>
                    <w14:srgbClr w14:val="000000">
                      <w14:alpha w14:val="100000"/>
                    </w14:srgbClr>
                  </w14:solidFill>
                </w14:textFill>
              </w:rPr>
              <w:t xml:space="preserve">　</w:t>
            </w:r>
          </w:p>
        </w:tc>
        <w:tc>
          <w:tcPr>
            <w:tcW w:w="777" w:type="pct"/>
            <w:vAlign w:val="center"/>
          </w:tcPr>
          <w:p w14:paraId="12AF2E25" w14:textId="55EB02C1" w:rsidR="00C6502B" w:rsidRPr="00740B54" w:rsidRDefault="002E2EEE" w:rsidP="00FD2539">
            <w:pPr>
              <w:pStyle w:val="TableText0"/>
              <w:jc w:val="center"/>
              <w:rPr>
                <w:rFonts w:cs="Calibri"/>
                <w:szCs w:val="18"/>
              </w:rPr>
            </w:pPr>
            <w:r w:rsidRPr="00740B54">
              <w:rPr>
                <w:rFonts w:cs="Calibri"/>
                <w:szCs w:val="18"/>
              </w:rPr>
              <w:t>3.69</w:t>
            </w:r>
          </w:p>
        </w:tc>
        <w:tc>
          <w:tcPr>
            <w:tcW w:w="952" w:type="pct"/>
            <w:vAlign w:val="center"/>
          </w:tcPr>
          <w:p w14:paraId="658A05B3" w14:textId="41A0A899" w:rsidR="00C6502B" w:rsidRPr="004C11F6" w:rsidRDefault="00F66E51" w:rsidP="00FD2539">
            <w:pPr>
              <w:pStyle w:val="TableText0"/>
              <w:jc w:val="center"/>
              <w:rPr>
                <w:rFonts w:cs="Calibri"/>
                <w:szCs w:val="18"/>
                <w:highlight w:val="darkGray"/>
              </w:rPr>
            </w:pPr>
            <w:r w:rsidRPr="00BE0EE6">
              <w:rPr>
                <w:rFonts w:cs="Calibri" w:hint="eastAsia"/>
                <w:color w:val="000000"/>
                <w:w w:val="15"/>
                <w:szCs w:val="18"/>
                <w:shd w:val="solid" w:color="000000" w:fill="000000"/>
                <w:fitText w:val="8" w:id="-1301006328"/>
                <w14:textFill>
                  <w14:solidFill>
                    <w14:srgbClr w14:val="000000">
                      <w14:alpha w14:val="100000"/>
                    </w14:srgbClr>
                  </w14:solidFill>
                </w14:textFill>
              </w:rPr>
              <w:t xml:space="preserve">　</w:t>
            </w:r>
            <w:r w:rsidRPr="00BE0EE6">
              <w:rPr>
                <w:rFonts w:cs="Calibri"/>
                <w:color w:val="000000"/>
                <w:w w:val="15"/>
                <w:szCs w:val="18"/>
                <w:shd w:val="solid" w:color="000000" w:fill="000000"/>
                <w:fitText w:val="8" w:id="-1301006328"/>
                <w14:textFill>
                  <w14:solidFill>
                    <w14:srgbClr w14:val="000000">
                      <w14:alpha w14:val="100000"/>
                    </w14:srgbClr>
                  </w14:solidFill>
                </w14:textFill>
              </w:rPr>
              <w:t>|</w:t>
            </w:r>
            <w:r w:rsidRPr="00BE0EE6">
              <w:rPr>
                <w:rFonts w:cs="Calibri" w:hint="eastAsia"/>
                <w:color w:val="000000"/>
                <w:spacing w:val="-57"/>
                <w:w w:val="15"/>
                <w:szCs w:val="18"/>
                <w:shd w:val="solid" w:color="000000" w:fill="000000"/>
                <w:fitText w:val="8" w:id="-1301006328"/>
                <w14:textFill>
                  <w14:solidFill>
                    <w14:srgbClr w14:val="000000">
                      <w14:alpha w14:val="100000"/>
                    </w14:srgbClr>
                  </w14:solidFill>
                </w14:textFill>
              </w:rPr>
              <w:t xml:space="preserve">　</w:t>
            </w:r>
            <w:r w:rsidR="009902F7" w:rsidRPr="004C11F6">
              <w:rPr>
                <w:vertAlign w:val="superscript"/>
              </w:rPr>
              <w:t>3</w:t>
            </w:r>
          </w:p>
        </w:tc>
        <w:tc>
          <w:tcPr>
            <w:tcW w:w="600" w:type="pct"/>
            <w:vAlign w:val="center"/>
          </w:tcPr>
          <w:p w14:paraId="7B099012" w14:textId="3E769B4D" w:rsidR="00C6502B" w:rsidRPr="00740B54" w:rsidRDefault="00C627E8" w:rsidP="00FD2539">
            <w:pPr>
              <w:pStyle w:val="TableText0"/>
              <w:jc w:val="center"/>
              <w:rPr>
                <w:rFonts w:cs="Times New Roman"/>
              </w:rPr>
            </w:pPr>
            <w:r w:rsidRPr="00740B54">
              <w:rPr>
                <w:rFonts w:cs="Times New Roman"/>
              </w:rPr>
              <w:t>55</w:t>
            </w:r>
            <w:r w:rsidR="00DB38C7" w:rsidRPr="00740B54">
              <w:rPr>
                <w:rFonts w:cs="Times New Roman"/>
              </w:rPr>
              <w:t>%</w:t>
            </w:r>
          </w:p>
        </w:tc>
      </w:tr>
      <w:tr w:rsidR="00D90AEF" w:rsidRPr="00D23D11" w14:paraId="090894D8" w14:textId="77777777" w:rsidTr="00F66E51">
        <w:trPr>
          <w:cantSplit/>
          <w:trHeight w:val="270"/>
        </w:trPr>
        <w:tc>
          <w:tcPr>
            <w:tcW w:w="1894" w:type="pct"/>
            <w:vAlign w:val="center"/>
          </w:tcPr>
          <w:p w14:paraId="08C120C5" w14:textId="19CB69D2" w:rsidR="00D90AEF" w:rsidRPr="00BB732D" w:rsidRDefault="00D90AEF" w:rsidP="00FD2539">
            <w:pPr>
              <w:pStyle w:val="TableText0"/>
              <w:rPr>
                <w:b/>
              </w:rPr>
            </w:pPr>
            <w:r w:rsidRPr="00F34D7E">
              <w:rPr>
                <w:rFonts w:cs="Times New Roman"/>
              </w:rPr>
              <w:t>5% costs and outcomes</w:t>
            </w:r>
          </w:p>
        </w:tc>
        <w:tc>
          <w:tcPr>
            <w:tcW w:w="777" w:type="pct"/>
            <w:shd w:val="solid" w:color="000000" w:fill="000000"/>
            <w:vAlign w:val="center"/>
          </w:tcPr>
          <w:p w14:paraId="7412DA8A" w14:textId="276094DB" w:rsidR="00D90AEF" w:rsidRPr="00F66E51" w:rsidRDefault="00F66E51" w:rsidP="00FD2539">
            <w:pPr>
              <w:pStyle w:val="TableText0"/>
              <w:jc w:val="center"/>
              <w:rPr>
                <w:b/>
                <w:bCs w:val="0"/>
              </w:rPr>
            </w:pPr>
            <w:r w:rsidRPr="00775A5E">
              <w:rPr>
                <w:rFonts w:cs="Calibri" w:hint="eastAsia"/>
                <w:color w:val="000000"/>
                <w:w w:val="31"/>
                <w:szCs w:val="18"/>
                <w:fitText w:val="139" w:id="-1301006327"/>
                <w14:textFill>
                  <w14:solidFill>
                    <w14:srgbClr w14:val="000000">
                      <w14:alpha w14:val="100000"/>
                    </w14:srgbClr>
                  </w14:solidFill>
                </w14:textFill>
              </w:rPr>
              <w:t xml:space="preserve">　</w:t>
            </w:r>
            <w:r w:rsidRPr="00775A5E">
              <w:rPr>
                <w:rFonts w:cs="Calibri"/>
                <w:color w:val="000000"/>
                <w:w w:val="31"/>
                <w:szCs w:val="18"/>
                <w:fitText w:val="139" w:id="-1301006327"/>
                <w14:textFill>
                  <w14:solidFill>
                    <w14:srgbClr w14:val="000000">
                      <w14:alpha w14:val="100000"/>
                    </w14:srgbClr>
                  </w14:solidFill>
                </w14:textFill>
              </w:rPr>
              <w:t>|</w:t>
            </w:r>
            <w:r w:rsidRPr="00775A5E">
              <w:rPr>
                <w:rFonts w:cs="Calibri" w:hint="eastAsia"/>
                <w:color w:val="000000"/>
                <w:w w:val="31"/>
                <w:szCs w:val="18"/>
                <w:fitText w:val="139" w:id="-1301006327"/>
                <w14:textFill>
                  <w14:solidFill>
                    <w14:srgbClr w14:val="000000">
                      <w14:alpha w14:val="100000"/>
                    </w14:srgbClr>
                  </w14:solidFill>
                </w14:textFill>
              </w:rPr>
              <w:t xml:space="preserve">　</w:t>
            </w:r>
          </w:p>
        </w:tc>
        <w:tc>
          <w:tcPr>
            <w:tcW w:w="777" w:type="pct"/>
            <w:vAlign w:val="center"/>
          </w:tcPr>
          <w:p w14:paraId="1256CA16" w14:textId="4ECF09FC" w:rsidR="00D90AEF" w:rsidRPr="00AF6E6D" w:rsidRDefault="00D90AEF" w:rsidP="00FD2539">
            <w:pPr>
              <w:pStyle w:val="TableText0"/>
              <w:jc w:val="center"/>
              <w:rPr>
                <w:b/>
                <w:bCs w:val="0"/>
              </w:rPr>
            </w:pPr>
            <w:r w:rsidRPr="00F34D7E">
              <w:rPr>
                <w:rFonts w:cs="Calibri"/>
                <w:szCs w:val="18"/>
              </w:rPr>
              <w:t>2.84</w:t>
            </w:r>
          </w:p>
        </w:tc>
        <w:tc>
          <w:tcPr>
            <w:tcW w:w="952" w:type="pct"/>
            <w:vAlign w:val="center"/>
          </w:tcPr>
          <w:p w14:paraId="26935B7A" w14:textId="14F6E363" w:rsidR="00D90AEF" w:rsidRPr="004C11F6" w:rsidRDefault="00F66E51" w:rsidP="00FD2539">
            <w:pPr>
              <w:pStyle w:val="TableText0"/>
              <w:jc w:val="center"/>
              <w:rPr>
                <w:highlight w:val="darkGray"/>
              </w:rPr>
            </w:pPr>
            <w:r w:rsidRPr="00BE0EE6">
              <w:rPr>
                <w:rFonts w:cs="Calibri" w:hint="eastAsia"/>
                <w:color w:val="000000"/>
                <w:w w:val="15"/>
                <w:szCs w:val="18"/>
                <w:shd w:val="solid" w:color="000000" w:fill="000000"/>
                <w:fitText w:val="8" w:id="-1301006326"/>
                <w14:textFill>
                  <w14:solidFill>
                    <w14:srgbClr w14:val="000000">
                      <w14:alpha w14:val="100000"/>
                    </w14:srgbClr>
                  </w14:solidFill>
                </w14:textFill>
              </w:rPr>
              <w:t xml:space="preserve">　</w:t>
            </w:r>
            <w:r w:rsidRPr="00BE0EE6">
              <w:rPr>
                <w:rFonts w:cs="Calibri"/>
                <w:color w:val="000000"/>
                <w:w w:val="15"/>
                <w:szCs w:val="18"/>
                <w:shd w:val="solid" w:color="000000" w:fill="000000"/>
                <w:fitText w:val="8" w:id="-1301006326"/>
                <w14:textFill>
                  <w14:solidFill>
                    <w14:srgbClr w14:val="000000">
                      <w14:alpha w14:val="100000"/>
                    </w14:srgbClr>
                  </w14:solidFill>
                </w14:textFill>
              </w:rPr>
              <w:t>|</w:t>
            </w:r>
            <w:r w:rsidRPr="00BE0EE6">
              <w:rPr>
                <w:rFonts w:cs="Calibri" w:hint="eastAsia"/>
                <w:color w:val="000000"/>
                <w:spacing w:val="-57"/>
                <w:w w:val="15"/>
                <w:szCs w:val="18"/>
                <w:shd w:val="solid" w:color="000000" w:fill="000000"/>
                <w:fitText w:val="8" w:id="-1301006326"/>
                <w14:textFill>
                  <w14:solidFill>
                    <w14:srgbClr w14:val="000000">
                      <w14:alpha w14:val="100000"/>
                    </w14:srgbClr>
                  </w14:solidFill>
                </w14:textFill>
              </w:rPr>
              <w:t xml:space="preserve">　</w:t>
            </w:r>
            <w:r w:rsidR="009902F7" w:rsidRPr="004C11F6">
              <w:rPr>
                <w:vertAlign w:val="superscript"/>
              </w:rPr>
              <w:t>4</w:t>
            </w:r>
          </w:p>
        </w:tc>
        <w:tc>
          <w:tcPr>
            <w:tcW w:w="600" w:type="pct"/>
            <w:vAlign w:val="center"/>
          </w:tcPr>
          <w:p w14:paraId="7E29149C" w14:textId="3AA73319" w:rsidR="00D90AEF" w:rsidRPr="00AF6E6D" w:rsidRDefault="00D90AEF" w:rsidP="00FD2539">
            <w:pPr>
              <w:pStyle w:val="TableText0"/>
              <w:jc w:val="center"/>
              <w:rPr>
                <w:b/>
                <w:bCs w:val="0"/>
              </w:rPr>
            </w:pPr>
            <w:r w:rsidRPr="00FA153D">
              <w:rPr>
                <w:rFonts w:cs="Times New Roman"/>
              </w:rPr>
              <w:t>9</w:t>
            </w:r>
            <w:r w:rsidR="00315A6D">
              <w:rPr>
                <w:rFonts w:cs="Times New Roman"/>
              </w:rPr>
              <w:t>5</w:t>
            </w:r>
            <w:r w:rsidRPr="00FA153D">
              <w:rPr>
                <w:rFonts w:cs="Times New Roman"/>
              </w:rPr>
              <w:t>%</w:t>
            </w:r>
          </w:p>
        </w:tc>
      </w:tr>
      <w:tr w:rsidR="00095844" w:rsidRPr="00D23D11" w14:paraId="42CD3BDB" w14:textId="6D8D9305" w:rsidTr="00FD2539">
        <w:trPr>
          <w:cantSplit/>
          <w:trHeight w:val="270"/>
        </w:trPr>
        <w:tc>
          <w:tcPr>
            <w:tcW w:w="5000" w:type="pct"/>
            <w:gridSpan w:val="5"/>
            <w:vAlign w:val="center"/>
          </w:tcPr>
          <w:p w14:paraId="6B4E1110" w14:textId="5E6182C7" w:rsidR="00095844" w:rsidRPr="004C11F6" w:rsidRDefault="00095844" w:rsidP="00FD2539">
            <w:pPr>
              <w:pStyle w:val="TableText0"/>
            </w:pPr>
            <w:r w:rsidRPr="004C11F6">
              <w:rPr>
                <w:rFonts w:cs="Times New Roman"/>
              </w:rPr>
              <w:t>Time horizon (base case 100 years)</w:t>
            </w:r>
          </w:p>
        </w:tc>
      </w:tr>
      <w:tr w:rsidR="00095844" w:rsidRPr="00F608C2" w14:paraId="3B6F2FC0" w14:textId="2CF18288" w:rsidTr="00F66E51">
        <w:trPr>
          <w:cantSplit/>
          <w:trHeight w:val="270"/>
        </w:trPr>
        <w:tc>
          <w:tcPr>
            <w:tcW w:w="1894" w:type="pct"/>
            <w:vAlign w:val="center"/>
          </w:tcPr>
          <w:p w14:paraId="567E2689" w14:textId="5A712F86" w:rsidR="00095844" w:rsidRPr="00F608C2" w:rsidRDefault="00095844" w:rsidP="00FD2539">
            <w:pPr>
              <w:pStyle w:val="TableText0"/>
              <w:rPr>
                <w:rFonts w:cs="Times New Roman"/>
              </w:rPr>
            </w:pPr>
            <w:r w:rsidRPr="00F34D7E">
              <w:rPr>
                <w:rFonts w:cs="Times New Roman"/>
              </w:rPr>
              <w:t>50 years</w:t>
            </w:r>
          </w:p>
        </w:tc>
        <w:tc>
          <w:tcPr>
            <w:tcW w:w="777" w:type="pct"/>
            <w:tcBorders>
              <w:bottom w:val="single" w:sz="4" w:space="0" w:color="auto"/>
            </w:tcBorders>
            <w:shd w:val="solid" w:color="000000" w:fill="000000"/>
            <w:vAlign w:val="center"/>
          </w:tcPr>
          <w:p w14:paraId="409937C7" w14:textId="1CF406A6" w:rsidR="00095844" w:rsidRPr="00F66E51" w:rsidRDefault="00F66E51" w:rsidP="00FD2539">
            <w:pPr>
              <w:pStyle w:val="TableText0"/>
              <w:jc w:val="center"/>
              <w:rPr>
                <w:rFonts w:cs="Times New Roman"/>
              </w:rPr>
            </w:pPr>
            <w:r w:rsidRPr="00775A5E">
              <w:rPr>
                <w:rFonts w:cs="Times New Roman" w:hint="eastAsia"/>
                <w:color w:val="000000"/>
                <w:w w:val="31"/>
                <w:fitText w:val="139" w:id="-1301006325"/>
                <w14:textFill>
                  <w14:solidFill>
                    <w14:srgbClr w14:val="000000">
                      <w14:alpha w14:val="100000"/>
                    </w14:srgbClr>
                  </w14:solidFill>
                </w14:textFill>
              </w:rPr>
              <w:t xml:space="preserve">　</w:t>
            </w:r>
            <w:r w:rsidRPr="00775A5E">
              <w:rPr>
                <w:rFonts w:cs="Times New Roman"/>
                <w:color w:val="000000"/>
                <w:w w:val="31"/>
                <w:fitText w:val="139" w:id="-1301006325"/>
                <w14:textFill>
                  <w14:solidFill>
                    <w14:srgbClr w14:val="000000">
                      <w14:alpha w14:val="100000"/>
                    </w14:srgbClr>
                  </w14:solidFill>
                </w14:textFill>
              </w:rPr>
              <w:t>|</w:t>
            </w:r>
            <w:r w:rsidRPr="00775A5E">
              <w:rPr>
                <w:rFonts w:cs="Times New Roman" w:hint="eastAsia"/>
                <w:color w:val="000000"/>
                <w:w w:val="31"/>
                <w:fitText w:val="139" w:id="-1301006325"/>
                <w14:textFill>
                  <w14:solidFill>
                    <w14:srgbClr w14:val="000000">
                      <w14:alpha w14:val="100000"/>
                    </w14:srgbClr>
                  </w14:solidFill>
                </w14:textFill>
              </w:rPr>
              <w:t xml:space="preserve">　</w:t>
            </w:r>
          </w:p>
        </w:tc>
        <w:tc>
          <w:tcPr>
            <w:tcW w:w="777" w:type="pct"/>
            <w:vAlign w:val="center"/>
          </w:tcPr>
          <w:p w14:paraId="50FD973F" w14:textId="43CF949A" w:rsidR="00095844" w:rsidRPr="00F608C2" w:rsidRDefault="00095844" w:rsidP="00FD2539">
            <w:pPr>
              <w:pStyle w:val="TableText0"/>
              <w:jc w:val="center"/>
              <w:rPr>
                <w:rFonts w:cs="Times New Roman"/>
              </w:rPr>
            </w:pPr>
            <w:r w:rsidRPr="00F608C2">
              <w:rPr>
                <w:rFonts w:cs="Times New Roman"/>
              </w:rPr>
              <w:t>4.70</w:t>
            </w:r>
          </w:p>
        </w:tc>
        <w:tc>
          <w:tcPr>
            <w:tcW w:w="952" w:type="pct"/>
            <w:vAlign w:val="center"/>
          </w:tcPr>
          <w:p w14:paraId="2BA03071" w14:textId="11FD8ACF" w:rsidR="00095844" w:rsidRPr="004C11F6" w:rsidRDefault="00F66E51" w:rsidP="00FD2539">
            <w:pPr>
              <w:pStyle w:val="TableText0"/>
              <w:jc w:val="center"/>
              <w:rPr>
                <w:rFonts w:cs="Times New Roman"/>
                <w:highlight w:val="darkGray"/>
              </w:rPr>
            </w:pPr>
            <w:r w:rsidRPr="00BE0EE6">
              <w:rPr>
                <w:rFonts w:cs="Times New Roman" w:hint="eastAsia"/>
                <w:color w:val="000000"/>
                <w:w w:val="15"/>
                <w:shd w:val="solid" w:color="000000" w:fill="000000"/>
                <w:fitText w:val="8" w:id="-1301006324"/>
                <w14:textFill>
                  <w14:solidFill>
                    <w14:srgbClr w14:val="000000">
                      <w14:alpha w14:val="100000"/>
                    </w14:srgbClr>
                  </w14:solidFill>
                </w14:textFill>
              </w:rPr>
              <w:t xml:space="preserve">　</w:t>
            </w:r>
            <w:r w:rsidRPr="00BE0EE6">
              <w:rPr>
                <w:rFonts w:cs="Times New Roman"/>
                <w:color w:val="000000"/>
                <w:w w:val="15"/>
                <w:shd w:val="solid" w:color="000000" w:fill="000000"/>
                <w:fitText w:val="8" w:id="-1301006324"/>
                <w14:textFill>
                  <w14:solidFill>
                    <w14:srgbClr w14:val="000000">
                      <w14:alpha w14:val="100000"/>
                    </w14:srgbClr>
                  </w14:solidFill>
                </w14:textFill>
              </w:rPr>
              <w:t>|</w:t>
            </w:r>
            <w:r w:rsidRPr="00BE0EE6">
              <w:rPr>
                <w:rFonts w:cs="Times New Roman" w:hint="eastAsia"/>
                <w:color w:val="000000"/>
                <w:spacing w:val="-57"/>
                <w:w w:val="15"/>
                <w:shd w:val="solid" w:color="000000" w:fill="000000"/>
                <w:fitText w:val="8" w:id="-1301006324"/>
                <w14:textFill>
                  <w14:solidFill>
                    <w14:srgbClr w14:val="000000">
                      <w14:alpha w14:val="100000"/>
                    </w14:srgbClr>
                  </w14:solidFill>
                </w14:textFill>
              </w:rPr>
              <w:t xml:space="preserve">　</w:t>
            </w:r>
            <w:r w:rsidR="009902F7" w:rsidRPr="004C11F6">
              <w:rPr>
                <w:vertAlign w:val="superscript"/>
              </w:rPr>
              <w:t>5</w:t>
            </w:r>
          </w:p>
        </w:tc>
        <w:tc>
          <w:tcPr>
            <w:tcW w:w="600" w:type="pct"/>
            <w:vAlign w:val="center"/>
          </w:tcPr>
          <w:p w14:paraId="48296EA7" w14:textId="4CE78394" w:rsidR="00095844" w:rsidRPr="00F608C2" w:rsidRDefault="00095844" w:rsidP="00FD2539">
            <w:pPr>
              <w:pStyle w:val="TableText0"/>
              <w:jc w:val="center"/>
              <w:rPr>
                <w:rFonts w:cs="Times New Roman"/>
              </w:rPr>
            </w:pPr>
            <w:r w:rsidRPr="00FA153D">
              <w:rPr>
                <w:rFonts w:cs="Times New Roman"/>
              </w:rPr>
              <w:t>1</w:t>
            </w:r>
            <w:r w:rsidR="00315A6D">
              <w:rPr>
                <w:rFonts w:cs="Times New Roman"/>
              </w:rPr>
              <w:t>8</w:t>
            </w:r>
            <w:r w:rsidRPr="00FA153D">
              <w:rPr>
                <w:rFonts w:cs="Times New Roman"/>
              </w:rPr>
              <w:t>%</w:t>
            </w:r>
          </w:p>
        </w:tc>
      </w:tr>
      <w:tr w:rsidR="00095844" w:rsidRPr="00F608C2" w14:paraId="1F5CED3E" w14:textId="7886CEF0" w:rsidTr="00F66E51">
        <w:trPr>
          <w:cantSplit/>
          <w:trHeight w:val="270"/>
        </w:trPr>
        <w:tc>
          <w:tcPr>
            <w:tcW w:w="1894" w:type="pct"/>
            <w:vAlign w:val="center"/>
          </w:tcPr>
          <w:p w14:paraId="3387A447" w14:textId="19817EC1" w:rsidR="00095844" w:rsidRPr="00F608C2" w:rsidRDefault="00095844" w:rsidP="00FD2539">
            <w:pPr>
              <w:pStyle w:val="TableText0"/>
              <w:rPr>
                <w:rFonts w:cs="Times New Roman"/>
              </w:rPr>
            </w:pPr>
            <w:r w:rsidRPr="00F34D7E">
              <w:rPr>
                <w:rFonts w:cs="Times New Roman"/>
              </w:rPr>
              <w:t>80 years</w:t>
            </w:r>
          </w:p>
        </w:tc>
        <w:tc>
          <w:tcPr>
            <w:tcW w:w="777" w:type="pct"/>
            <w:shd w:val="solid" w:color="000000" w:fill="000000"/>
            <w:vAlign w:val="center"/>
          </w:tcPr>
          <w:p w14:paraId="75B6153A" w14:textId="510F5EF4" w:rsidR="00095844" w:rsidRPr="00F66E51" w:rsidRDefault="00F66E51" w:rsidP="00FD2539">
            <w:pPr>
              <w:pStyle w:val="TableText0"/>
              <w:jc w:val="center"/>
              <w:rPr>
                <w:rFonts w:cs="Times New Roman"/>
              </w:rPr>
            </w:pPr>
            <w:r w:rsidRPr="00775A5E">
              <w:rPr>
                <w:rFonts w:cs="Times New Roman" w:hint="eastAsia"/>
                <w:color w:val="000000"/>
                <w:w w:val="31"/>
                <w:fitText w:val="139" w:id="-1301006323"/>
                <w14:textFill>
                  <w14:solidFill>
                    <w14:srgbClr w14:val="000000">
                      <w14:alpha w14:val="100000"/>
                    </w14:srgbClr>
                  </w14:solidFill>
                </w14:textFill>
              </w:rPr>
              <w:t xml:space="preserve">　</w:t>
            </w:r>
            <w:r w:rsidRPr="00775A5E">
              <w:rPr>
                <w:rFonts w:cs="Times New Roman"/>
                <w:color w:val="000000"/>
                <w:w w:val="31"/>
                <w:fitText w:val="139" w:id="-1301006323"/>
                <w14:textFill>
                  <w14:solidFill>
                    <w14:srgbClr w14:val="000000">
                      <w14:alpha w14:val="100000"/>
                    </w14:srgbClr>
                  </w14:solidFill>
                </w14:textFill>
              </w:rPr>
              <w:t>|</w:t>
            </w:r>
            <w:r w:rsidRPr="00775A5E">
              <w:rPr>
                <w:rFonts w:cs="Times New Roman" w:hint="eastAsia"/>
                <w:color w:val="000000"/>
                <w:w w:val="31"/>
                <w:fitText w:val="139" w:id="-1301006323"/>
                <w14:textFill>
                  <w14:solidFill>
                    <w14:srgbClr w14:val="000000">
                      <w14:alpha w14:val="100000"/>
                    </w14:srgbClr>
                  </w14:solidFill>
                </w14:textFill>
              </w:rPr>
              <w:t xml:space="preserve">　</w:t>
            </w:r>
          </w:p>
        </w:tc>
        <w:tc>
          <w:tcPr>
            <w:tcW w:w="777" w:type="pct"/>
            <w:vAlign w:val="center"/>
          </w:tcPr>
          <w:p w14:paraId="65593F50" w14:textId="2D2A6775" w:rsidR="00095844" w:rsidRPr="00F608C2" w:rsidRDefault="00095844" w:rsidP="00FD2539">
            <w:pPr>
              <w:pStyle w:val="TableText0"/>
              <w:jc w:val="center"/>
              <w:rPr>
                <w:rFonts w:cs="Times New Roman"/>
              </w:rPr>
            </w:pPr>
            <w:r w:rsidRPr="00F608C2">
              <w:rPr>
                <w:rFonts w:cs="Times New Roman"/>
              </w:rPr>
              <w:t>5.54</w:t>
            </w:r>
          </w:p>
        </w:tc>
        <w:tc>
          <w:tcPr>
            <w:tcW w:w="952" w:type="pct"/>
            <w:vAlign w:val="center"/>
          </w:tcPr>
          <w:p w14:paraId="2BDED9F9" w14:textId="6A5BE413" w:rsidR="00095844" w:rsidRPr="004C11F6" w:rsidRDefault="00F66E51" w:rsidP="00FD2539">
            <w:pPr>
              <w:pStyle w:val="TableText0"/>
              <w:jc w:val="center"/>
              <w:rPr>
                <w:rFonts w:cs="Times New Roman"/>
                <w:highlight w:val="darkGray"/>
              </w:rPr>
            </w:pPr>
            <w:r w:rsidRPr="00BE0EE6">
              <w:rPr>
                <w:rFonts w:cs="Times New Roman" w:hint="eastAsia"/>
                <w:color w:val="000000"/>
                <w:w w:val="15"/>
                <w:shd w:val="solid" w:color="000000" w:fill="000000"/>
                <w:fitText w:val="8" w:id="-1301006322"/>
                <w14:textFill>
                  <w14:solidFill>
                    <w14:srgbClr w14:val="000000">
                      <w14:alpha w14:val="100000"/>
                    </w14:srgbClr>
                  </w14:solidFill>
                </w14:textFill>
              </w:rPr>
              <w:t xml:space="preserve">　</w:t>
            </w:r>
            <w:r w:rsidRPr="00BE0EE6">
              <w:rPr>
                <w:rFonts w:cs="Times New Roman"/>
                <w:color w:val="000000"/>
                <w:w w:val="15"/>
                <w:shd w:val="solid" w:color="000000" w:fill="000000"/>
                <w:fitText w:val="8" w:id="-1301006322"/>
                <w14:textFill>
                  <w14:solidFill>
                    <w14:srgbClr w14:val="000000">
                      <w14:alpha w14:val="100000"/>
                    </w14:srgbClr>
                  </w14:solidFill>
                </w14:textFill>
              </w:rPr>
              <w:t>|</w:t>
            </w:r>
            <w:r w:rsidRPr="00BE0EE6">
              <w:rPr>
                <w:rFonts w:cs="Times New Roman" w:hint="eastAsia"/>
                <w:color w:val="000000"/>
                <w:spacing w:val="-57"/>
                <w:w w:val="15"/>
                <w:shd w:val="solid" w:color="000000" w:fill="000000"/>
                <w:fitText w:val="8" w:id="-1301006322"/>
                <w14:textFill>
                  <w14:solidFill>
                    <w14:srgbClr w14:val="000000">
                      <w14:alpha w14:val="100000"/>
                    </w14:srgbClr>
                  </w14:solidFill>
                </w14:textFill>
              </w:rPr>
              <w:t xml:space="preserve">　</w:t>
            </w:r>
            <w:r w:rsidR="009902F7" w:rsidRPr="004C11F6">
              <w:rPr>
                <w:vertAlign w:val="superscript"/>
              </w:rPr>
              <w:t>1</w:t>
            </w:r>
          </w:p>
        </w:tc>
        <w:tc>
          <w:tcPr>
            <w:tcW w:w="600" w:type="pct"/>
            <w:vAlign w:val="center"/>
          </w:tcPr>
          <w:p w14:paraId="66BDB7F5" w14:textId="06C0D763" w:rsidR="00095844" w:rsidRPr="00F608C2" w:rsidRDefault="00095844" w:rsidP="00FD2539">
            <w:pPr>
              <w:pStyle w:val="TableText0"/>
              <w:jc w:val="center"/>
              <w:rPr>
                <w:rFonts w:cs="Times New Roman"/>
              </w:rPr>
            </w:pPr>
            <w:r w:rsidRPr="00FA153D">
              <w:rPr>
                <w:rFonts w:cs="Times New Roman"/>
              </w:rPr>
              <w:t>0.</w:t>
            </w:r>
            <w:r w:rsidR="00315A6D">
              <w:rPr>
                <w:rFonts w:cs="Times New Roman"/>
              </w:rPr>
              <w:t>1</w:t>
            </w:r>
            <w:r w:rsidRPr="00FA153D">
              <w:rPr>
                <w:rFonts w:cs="Times New Roman"/>
              </w:rPr>
              <w:t>%</w:t>
            </w:r>
          </w:p>
        </w:tc>
      </w:tr>
      <w:tr w:rsidR="00F608C2" w:rsidRPr="00F608C2" w14:paraId="13470BB1" w14:textId="0042A2B7" w:rsidTr="00FD2539">
        <w:trPr>
          <w:cantSplit/>
          <w:trHeight w:val="270"/>
        </w:trPr>
        <w:tc>
          <w:tcPr>
            <w:tcW w:w="5000" w:type="pct"/>
            <w:gridSpan w:val="5"/>
            <w:vAlign w:val="center"/>
          </w:tcPr>
          <w:p w14:paraId="1768EDBF" w14:textId="422FDAE0" w:rsidR="00F608C2" w:rsidRPr="004C11F6" w:rsidRDefault="00F608C2" w:rsidP="00FD2539">
            <w:pPr>
              <w:pStyle w:val="TableText0"/>
              <w:rPr>
                <w:rFonts w:cs="Times New Roman"/>
              </w:rPr>
            </w:pPr>
            <w:r w:rsidRPr="004C11F6">
              <w:rPr>
                <w:rFonts w:cs="Times New Roman"/>
              </w:rPr>
              <w:t>Extrapolation of PFS – selumetinib (base case exponential)</w:t>
            </w:r>
          </w:p>
        </w:tc>
      </w:tr>
      <w:tr w:rsidR="00F608C2" w:rsidRPr="00F608C2" w14:paraId="127A4C90" w14:textId="2F7572C2" w:rsidTr="00F66E51">
        <w:trPr>
          <w:cantSplit/>
          <w:trHeight w:val="270"/>
        </w:trPr>
        <w:tc>
          <w:tcPr>
            <w:tcW w:w="1894" w:type="pct"/>
            <w:vAlign w:val="center"/>
          </w:tcPr>
          <w:p w14:paraId="27983974" w14:textId="7928CF8A" w:rsidR="00F608C2" w:rsidRPr="00F608C2" w:rsidRDefault="00F608C2" w:rsidP="00FD2539">
            <w:pPr>
              <w:pStyle w:val="TableText0"/>
              <w:rPr>
                <w:rFonts w:cs="Times New Roman"/>
              </w:rPr>
            </w:pPr>
            <w:r w:rsidRPr="00F34D7E">
              <w:rPr>
                <w:rFonts w:cs="Times New Roman"/>
              </w:rPr>
              <w:t>Gompertz</w:t>
            </w:r>
          </w:p>
        </w:tc>
        <w:tc>
          <w:tcPr>
            <w:tcW w:w="777" w:type="pct"/>
            <w:tcBorders>
              <w:bottom w:val="single" w:sz="4" w:space="0" w:color="auto"/>
            </w:tcBorders>
            <w:shd w:val="solid" w:color="000000" w:fill="000000"/>
            <w:vAlign w:val="center"/>
          </w:tcPr>
          <w:p w14:paraId="15E0DACE" w14:textId="1D2F3462" w:rsidR="00F608C2" w:rsidRPr="00F66E51" w:rsidRDefault="00F66E51" w:rsidP="00FD2539">
            <w:pPr>
              <w:pStyle w:val="TableText0"/>
              <w:jc w:val="center"/>
              <w:rPr>
                <w:rFonts w:cs="Times New Roman"/>
              </w:rPr>
            </w:pPr>
            <w:r w:rsidRPr="00775A5E">
              <w:rPr>
                <w:rFonts w:cs="Times New Roman" w:hint="eastAsia"/>
                <w:color w:val="000000"/>
                <w:w w:val="31"/>
                <w:fitText w:val="139" w:id="-1301006321"/>
                <w14:textFill>
                  <w14:solidFill>
                    <w14:srgbClr w14:val="000000">
                      <w14:alpha w14:val="100000"/>
                    </w14:srgbClr>
                  </w14:solidFill>
                </w14:textFill>
              </w:rPr>
              <w:t xml:space="preserve">　</w:t>
            </w:r>
            <w:r w:rsidRPr="00775A5E">
              <w:rPr>
                <w:rFonts w:cs="Times New Roman"/>
                <w:color w:val="000000"/>
                <w:w w:val="31"/>
                <w:fitText w:val="139" w:id="-1301006321"/>
                <w14:textFill>
                  <w14:solidFill>
                    <w14:srgbClr w14:val="000000">
                      <w14:alpha w14:val="100000"/>
                    </w14:srgbClr>
                  </w14:solidFill>
                </w14:textFill>
              </w:rPr>
              <w:t>|</w:t>
            </w:r>
            <w:r w:rsidRPr="00775A5E">
              <w:rPr>
                <w:rFonts w:cs="Times New Roman" w:hint="eastAsia"/>
                <w:color w:val="000000"/>
                <w:w w:val="31"/>
                <w:fitText w:val="139" w:id="-1301006321"/>
                <w14:textFill>
                  <w14:solidFill>
                    <w14:srgbClr w14:val="000000">
                      <w14:alpha w14:val="100000"/>
                    </w14:srgbClr>
                  </w14:solidFill>
                </w14:textFill>
              </w:rPr>
              <w:t xml:space="preserve">　</w:t>
            </w:r>
          </w:p>
        </w:tc>
        <w:tc>
          <w:tcPr>
            <w:tcW w:w="777" w:type="pct"/>
            <w:vAlign w:val="center"/>
          </w:tcPr>
          <w:p w14:paraId="6E36C522" w14:textId="28ED933B" w:rsidR="00F608C2" w:rsidRPr="00F608C2" w:rsidRDefault="00F608C2" w:rsidP="00FD2539">
            <w:pPr>
              <w:pStyle w:val="TableText0"/>
              <w:jc w:val="center"/>
              <w:rPr>
                <w:rFonts w:cs="Times New Roman"/>
              </w:rPr>
            </w:pPr>
            <w:r w:rsidRPr="00F608C2">
              <w:rPr>
                <w:rFonts w:cs="Times New Roman"/>
              </w:rPr>
              <w:t>4.22</w:t>
            </w:r>
          </w:p>
        </w:tc>
        <w:tc>
          <w:tcPr>
            <w:tcW w:w="952" w:type="pct"/>
            <w:vAlign w:val="center"/>
          </w:tcPr>
          <w:p w14:paraId="4635A150" w14:textId="1D4862FB" w:rsidR="00F608C2" w:rsidRPr="004C11F6" w:rsidRDefault="00F66E51" w:rsidP="00FD2539">
            <w:pPr>
              <w:pStyle w:val="TableText0"/>
              <w:jc w:val="center"/>
              <w:rPr>
                <w:rFonts w:cs="Times New Roman"/>
                <w:highlight w:val="darkGray"/>
              </w:rPr>
            </w:pPr>
            <w:r w:rsidRPr="00BE0EE6">
              <w:rPr>
                <w:rFonts w:cs="Times New Roman" w:hint="eastAsia"/>
                <w:color w:val="000000"/>
                <w:w w:val="15"/>
                <w:shd w:val="solid" w:color="000000" w:fill="000000"/>
                <w:fitText w:val="8" w:id="-1301006320"/>
                <w14:textFill>
                  <w14:solidFill>
                    <w14:srgbClr w14:val="000000">
                      <w14:alpha w14:val="100000"/>
                    </w14:srgbClr>
                  </w14:solidFill>
                </w14:textFill>
              </w:rPr>
              <w:t xml:space="preserve">　</w:t>
            </w:r>
            <w:r w:rsidRPr="00BE0EE6">
              <w:rPr>
                <w:rFonts w:cs="Times New Roman"/>
                <w:color w:val="000000"/>
                <w:w w:val="15"/>
                <w:shd w:val="solid" w:color="000000" w:fill="000000"/>
                <w:fitText w:val="8" w:id="-1301006320"/>
                <w14:textFill>
                  <w14:solidFill>
                    <w14:srgbClr w14:val="000000">
                      <w14:alpha w14:val="100000"/>
                    </w14:srgbClr>
                  </w14:solidFill>
                </w14:textFill>
              </w:rPr>
              <w:t>|</w:t>
            </w:r>
            <w:r w:rsidRPr="00BE0EE6">
              <w:rPr>
                <w:rFonts w:cs="Times New Roman" w:hint="eastAsia"/>
                <w:color w:val="000000"/>
                <w:spacing w:val="-57"/>
                <w:w w:val="15"/>
                <w:shd w:val="solid" w:color="000000" w:fill="000000"/>
                <w:fitText w:val="8" w:id="-1301006320"/>
                <w14:textFill>
                  <w14:solidFill>
                    <w14:srgbClr w14:val="000000">
                      <w14:alpha w14:val="100000"/>
                    </w14:srgbClr>
                  </w14:solidFill>
                </w14:textFill>
              </w:rPr>
              <w:t xml:space="preserve">　</w:t>
            </w:r>
            <w:r w:rsidR="009902F7" w:rsidRPr="004C11F6">
              <w:rPr>
                <w:vertAlign w:val="superscript"/>
              </w:rPr>
              <w:t>5</w:t>
            </w:r>
          </w:p>
        </w:tc>
        <w:tc>
          <w:tcPr>
            <w:tcW w:w="600" w:type="pct"/>
            <w:vAlign w:val="center"/>
          </w:tcPr>
          <w:p w14:paraId="47C0516D" w14:textId="5DA1649B" w:rsidR="00F608C2" w:rsidRPr="00F608C2" w:rsidRDefault="00F608C2" w:rsidP="00FD2539">
            <w:pPr>
              <w:pStyle w:val="TableText0"/>
              <w:jc w:val="center"/>
              <w:rPr>
                <w:rFonts w:cs="Times New Roman"/>
              </w:rPr>
            </w:pPr>
            <w:r w:rsidRPr="00FA153D">
              <w:rPr>
                <w:rFonts w:cs="Times New Roman"/>
              </w:rPr>
              <w:t>31%</w:t>
            </w:r>
          </w:p>
        </w:tc>
      </w:tr>
      <w:tr w:rsidR="00F608C2" w:rsidRPr="00F608C2" w14:paraId="62DEE0BC" w14:textId="77777777" w:rsidTr="00F66E51">
        <w:trPr>
          <w:cantSplit/>
          <w:trHeight w:val="270"/>
        </w:trPr>
        <w:tc>
          <w:tcPr>
            <w:tcW w:w="1894" w:type="pct"/>
            <w:vAlign w:val="center"/>
          </w:tcPr>
          <w:p w14:paraId="0277FAFA" w14:textId="23387C45" w:rsidR="00F608C2" w:rsidRPr="00F608C2" w:rsidRDefault="00F608C2" w:rsidP="00FD2539">
            <w:pPr>
              <w:pStyle w:val="TableText0"/>
              <w:rPr>
                <w:rFonts w:cs="Times New Roman"/>
              </w:rPr>
            </w:pPr>
            <w:r w:rsidRPr="00F34D7E">
              <w:rPr>
                <w:rFonts w:cs="Times New Roman"/>
              </w:rPr>
              <w:t>Log</w:t>
            </w:r>
            <w:r w:rsidR="00DE092C">
              <w:rPr>
                <w:rFonts w:cs="Times New Roman"/>
              </w:rPr>
              <w:t>l</w:t>
            </w:r>
            <w:r w:rsidRPr="00F34D7E">
              <w:rPr>
                <w:rFonts w:cs="Times New Roman"/>
              </w:rPr>
              <w:t>ogistic</w:t>
            </w:r>
          </w:p>
        </w:tc>
        <w:tc>
          <w:tcPr>
            <w:tcW w:w="777" w:type="pct"/>
            <w:tcBorders>
              <w:bottom w:val="single" w:sz="4" w:space="0" w:color="auto"/>
            </w:tcBorders>
            <w:shd w:val="solid" w:color="000000" w:fill="000000"/>
            <w:vAlign w:val="center"/>
          </w:tcPr>
          <w:p w14:paraId="4FE3F002" w14:textId="6F1838E1" w:rsidR="00F608C2" w:rsidRPr="00F66E51" w:rsidRDefault="00F66E51" w:rsidP="00FD2539">
            <w:pPr>
              <w:pStyle w:val="TableText0"/>
              <w:jc w:val="center"/>
              <w:rPr>
                <w:rFonts w:cs="Times New Roman"/>
              </w:rPr>
            </w:pPr>
            <w:r w:rsidRPr="00775A5E">
              <w:rPr>
                <w:rFonts w:cs="Times New Roman" w:hint="eastAsia"/>
                <w:color w:val="000000"/>
                <w:w w:val="31"/>
                <w:fitText w:val="139" w:id="-1301006336"/>
                <w14:textFill>
                  <w14:solidFill>
                    <w14:srgbClr w14:val="000000">
                      <w14:alpha w14:val="100000"/>
                    </w14:srgbClr>
                  </w14:solidFill>
                </w14:textFill>
              </w:rPr>
              <w:t xml:space="preserve">　</w:t>
            </w:r>
            <w:r w:rsidRPr="00775A5E">
              <w:rPr>
                <w:rFonts w:cs="Times New Roman"/>
                <w:color w:val="000000"/>
                <w:w w:val="31"/>
                <w:fitText w:val="139" w:id="-1301006336"/>
                <w14:textFill>
                  <w14:solidFill>
                    <w14:srgbClr w14:val="000000">
                      <w14:alpha w14:val="100000"/>
                    </w14:srgbClr>
                  </w14:solidFill>
                </w14:textFill>
              </w:rPr>
              <w:t>|</w:t>
            </w:r>
            <w:r w:rsidRPr="00775A5E">
              <w:rPr>
                <w:rFonts w:cs="Times New Roman" w:hint="eastAsia"/>
                <w:color w:val="000000"/>
                <w:w w:val="31"/>
                <w:fitText w:val="139" w:id="-1301006336"/>
                <w14:textFill>
                  <w14:solidFill>
                    <w14:srgbClr w14:val="000000">
                      <w14:alpha w14:val="100000"/>
                    </w14:srgbClr>
                  </w14:solidFill>
                </w14:textFill>
              </w:rPr>
              <w:t xml:space="preserve">　</w:t>
            </w:r>
          </w:p>
        </w:tc>
        <w:tc>
          <w:tcPr>
            <w:tcW w:w="777" w:type="pct"/>
            <w:vAlign w:val="center"/>
          </w:tcPr>
          <w:p w14:paraId="767B567D" w14:textId="0FBCAE25" w:rsidR="00F608C2" w:rsidRPr="00F608C2" w:rsidRDefault="00F608C2" w:rsidP="00FD2539">
            <w:pPr>
              <w:pStyle w:val="TableText0"/>
              <w:jc w:val="center"/>
              <w:rPr>
                <w:rFonts w:cs="Times New Roman"/>
              </w:rPr>
            </w:pPr>
            <w:r w:rsidRPr="00F608C2">
              <w:rPr>
                <w:rFonts w:cs="Times New Roman"/>
              </w:rPr>
              <w:t>4.64</w:t>
            </w:r>
          </w:p>
        </w:tc>
        <w:tc>
          <w:tcPr>
            <w:tcW w:w="952" w:type="pct"/>
            <w:vAlign w:val="center"/>
          </w:tcPr>
          <w:p w14:paraId="74B2017A" w14:textId="6C9D352A" w:rsidR="00F608C2" w:rsidRPr="004C11F6" w:rsidRDefault="00F66E51" w:rsidP="00FD2539">
            <w:pPr>
              <w:pStyle w:val="TableText0"/>
              <w:jc w:val="center"/>
              <w:rPr>
                <w:rFonts w:cs="Times New Roman"/>
                <w:highlight w:val="darkGray"/>
              </w:rPr>
            </w:pPr>
            <w:r w:rsidRPr="00BE0EE6">
              <w:rPr>
                <w:rFonts w:cs="Times New Roman" w:hint="eastAsia"/>
                <w:color w:val="000000"/>
                <w:w w:val="15"/>
                <w:shd w:val="solid" w:color="000000" w:fill="000000"/>
                <w:fitText w:val="8" w:id="-1301006335"/>
                <w14:textFill>
                  <w14:solidFill>
                    <w14:srgbClr w14:val="000000">
                      <w14:alpha w14:val="100000"/>
                    </w14:srgbClr>
                  </w14:solidFill>
                </w14:textFill>
              </w:rPr>
              <w:t xml:space="preserve">　</w:t>
            </w:r>
            <w:r w:rsidRPr="00BE0EE6">
              <w:rPr>
                <w:rFonts w:cs="Times New Roman"/>
                <w:color w:val="000000"/>
                <w:w w:val="15"/>
                <w:shd w:val="solid" w:color="000000" w:fill="000000"/>
                <w:fitText w:val="8" w:id="-1301006335"/>
                <w14:textFill>
                  <w14:solidFill>
                    <w14:srgbClr w14:val="000000">
                      <w14:alpha w14:val="100000"/>
                    </w14:srgbClr>
                  </w14:solidFill>
                </w14:textFill>
              </w:rPr>
              <w:t>|</w:t>
            </w:r>
            <w:r w:rsidRPr="00BE0EE6">
              <w:rPr>
                <w:rFonts w:cs="Times New Roman" w:hint="eastAsia"/>
                <w:color w:val="000000"/>
                <w:spacing w:val="-57"/>
                <w:w w:val="15"/>
                <w:shd w:val="solid" w:color="000000" w:fill="000000"/>
                <w:fitText w:val="8" w:id="-1301006335"/>
                <w14:textFill>
                  <w14:solidFill>
                    <w14:srgbClr w14:val="000000">
                      <w14:alpha w14:val="100000"/>
                    </w14:srgbClr>
                  </w14:solidFill>
                </w14:textFill>
              </w:rPr>
              <w:t xml:space="preserve">　</w:t>
            </w:r>
            <w:r w:rsidR="009902F7" w:rsidRPr="004C11F6">
              <w:rPr>
                <w:vertAlign w:val="superscript"/>
              </w:rPr>
              <w:t>5</w:t>
            </w:r>
          </w:p>
        </w:tc>
        <w:tc>
          <w:tcPr>
            <w:tcW w:w="600" w:type="pct"/>
            <w:vAlign w:val="center"/>
          </w:tcPr>
          <w:p w14:paraId="6BEFA020" w14:textId="40D48CDA" w:rsidR="00F608C2" w:rsidRPr="00F608C2" w:rsidRDefault="00315A6D" w:rsidP="00FD2539">
            <w:pPr>
              <w:pStyle w:val="TableText0"/>
              <w:jc w:val="center"/>
              <w:rPr>
                <w:rFonts w:cs="Times New Roman"/>
              </w:rPr>
            </w:pPr>
            <w:r>
              <w:rPr>
                <w:rFonts w:cs="Times New Roman"/>
              </w:rPr>
              <w:t>2</w:t>
            </w:r>
            <w:r w:rsidR="00F608C2" w:rsidRPr="00FA153D">
              <w:rPr>
                <w:rFonts w:cs="Times New Roman"/>
              </w:rPr>
              <w:t>0%</w:t>
            </w:r>
          </w:p>
        </w:tc>
      </w:tr>
      <w:tr w:rsidR="00F608C2" w:rsidRPr="00F608C2" w14:paraId="08BF7C13" w14:textId="77777777" w:rsidTr="00F66E51">
        <w:trPr>
          <w:cantSplit/>
          <w:trHeight w:val="270"/>
        </w:trPr>
        <w:tc>
          <w:tcPr>
            <w:tcW w:w="1894" w:type="pct"/>
            <w:vAlign w:val="center"/>
          </w:tcPr>
          <w:p w14:paraId="1B6088E8" w14:textId="6862FF83" w:rsidR="00F608C2" w:rsidRPr="00F608C2" w:rsidRDefault="00F608C2" w:rsidP="00FD2539">
            <w:pPr>
              <w:pStyle w:val="TableText0"/>
              <w:rPr>
                <w:rFonts w:cs="Times New Roman"/>
              </w:rPr>
            </w:pPr>
            <w:r w:rsidRPr="00F34D7E">
              <w:rPr>
                <w:rFonts w:cs="Times New Roman"/>
              </w:rPr>
              <w:t>Lognormal</w:t>
            </w:r>
            <w:r w:rsidR="005A6820">
              <w:rPr>
                <w:rFonts w:cs="Times New Roman"/>
              </w:rPr>
              <w:t xml:space="preserve"> </w:t>
            </w:r>
          </w:p>
        </w:tc>
        <w:tc>
          <w:tcPr>
            <w:tcW w:w="777" w:type="pct"/>
            <w:tcBorders>
              <w:bottom w:val="single" w:sz="4" w:space="0" w:color="auto"/>
            </w:tcBorders>
            <w:shd w:val="solid" w:color="000000" w:fill="000000"/>
            <w:vAlign w:val="center"/>
          </w:tcPr>
          <w:p w14:paraId="6170E261" w14:textId="2A06BA52" w:rsidR="00F608C2" w:rsidRPr="00F66E51" w:rsidRDefault="00F66E51" w:rsidP="00FD2539">
            <w:pPr>
              <w:pStyle w:val="TableText0"/>
              <w:jc w:val="center"/>
              <w:rPr>
                <w:rFonts w:cs="Times New Roman"/>
              </w:rPr>
            </w:pPr>
            <w:r w:rsidRPr="00775A5E">
              <w:rPr>
                <w:rFonts w:cs="Times New Roman" w:hint="eastAsia"/>
                <w:color w:val="000000"/>
                <w:w w:val="31"/>
                <w:fitText w:val="139" w:id="-1301006334"/>
                <w14:textFill>
                  <w14:solidFill>
                    <w14:srgbClr w14:val="000000">
                      <w14:alpha w14:val="100000"/>
                    </w14:srgbClr>
                  </w14:solidFill>
                </w14:textFill>
              </w:rPr>
              <w:t xml:space="preserve">　</w:t>
            </w:r>
            <w:r w:rsidRPr="00775A5E">
              <w:rPr>
                <w:rFonts w:cs="Times New Roman"/>
                <w:color w:val="000000"/>
                <w:w w:val="31"/>
                <w:fitText w:val="139" w:id="-1301006334"/>
                <w14:textFill>
                  <w14:solidFill>
                    <w14:srgbClr w14:val="000000">
                      <w14:alpha w14:val="100000"/>
                    </w14:srgbClr>
                  </w14:solidFill>
                </w14:textFill>
              </w:rPr>
              <w:t>|</w:t>
            </w:r>
            <w:r w:rsidRPr="00775A5E">
              <w:rPr>
                <w:rFonts w:cs="Times New Roman" w:hint="eastAsia"/>
                <w:color w:val="000000"/>
                <w:w w:val="31"/>
                <w:fitText w:val="139" w:id="-1301006334"/>
                <w14:textFill>
                  <w14:solidFill>
                    <w14:srgbClr w14:val="000000">
                      <w14:alpha w14:val="100000"/>
                    </w14:srgbClr>
                  </w14:solidFill>
                </w14:textFill>
              </w:rPr>
              <w:t xml:space="preserve">　</w:t>
            </w:r>
          </w:p>
        </w:tc>
        <w:tc>
          <w:tcPr>
            <w:tcW w:w="777" w:type="pct"/>
            <w:vAlign w:val="center"/>
          </w:tcPr>
          <w:p w14:paraId="42A9829F" w14:textId="6B343FD7" w:rsidR="00F608C2" w:rsidRPr="00F608C2" w:rsidRDefault="00F608C2" w:rsidP="00FD2539">
            <w:pPr>
              <w:pStyle w:val="TableText0"/>
              <w:jc w:val="center"/>
              <w:rPr>
                <w:rFonts w:cs="Times New Roman"/>
              </w:rPr>
            </w:pPr>
            <w:r w:rsidRPr="00F608C2">
              <w:rPr>
                <w:rFonts w:cs="Times New Roman"/>
              </w:rPr>
              <w:t>5.08</w:t>
            </w:r>
          </w:p>
        </w:tc>
        <w:tc>
          <w:tcPr>
            <w:tcW w:w="952" w:type="pct"/>
            <w:vAlign w:val="center"/>
          </w:tcPr>
          <w:p w14:paraId="7C04F05D" w14:textId="4ACD6A9A" w:rsidR="00F608C2" w:rsidRPr="004C11F6" w:rsidRDefault="00F66E51" w:rsidP="00FD2539">
            <w:pPr>
              <w:pStyle w:val="TableText0"/>
              <w:jc w:val="center"/>
              <w:rPr>
                <w:rFonts w:cs="Times New Roman"/>
                <w:highlight w:val="darkGray"/>
              </w:rPr>
            </w:pPr>
            <w:r w:rsidRPr="00BE0EE6">
              <w:rPr>
                <w:rFonts w:cs="Times New Roman" w:hint="eastAsia"/>
                <w:color w:val="000000"/>
                <w:w w:val="15"/>
                <w:shd w:val="solid" w:color="000000" w:fill="000000"/>
                <w:fitText w:val="8" w:id="-1301006333"/>
                <w14:textFill>
                  <w14:solidFill>
                    <w14:srgbClr w14:val="000000">
                      <w14:alpha w14:val="100000"/>
                    </w14:srgbClr>
                  </w14:solidFill>
                </w14:textFill>
              </w:rPr>
              <w:t xml:space="preserve">　</w:t>
            </w:r>
            <w:r w:rsidRPr="00BE0EE6">
              <w:rPr>
                <w:rFonts w:cs="Times New Roman"/>
                <w:color w:val="000000"/>
                <w:w w:val="15"/>
                <w:shd w:val="solid" w:color="000000" w:fill="000000"/>
                <w:fitText w:val="8" w:id="-1301006333"/>
                <w14:textFill>
                  <w14:solidFill>
                    <w14:srgbClr w14:val="000000">
                      <w14:alpha w14:val="100000"/>
                    </w14:srgbClr>
                  </w14:solidFill>
                </w14:textFill>
              </w:rPr>
              <w:t>|</w:t>
            </w:r>
            <w:r w:rsidRPr="00BE0EE6">
              <w:rPr>
                <w:rFonts w:cs="Times New Roman" w:hint="eastAsia"/>
                <w:color w:val="000000"/>
                <w:spacing w:val="-57"/>
                <w:w w:val="15"/>
                <w:shd w:val="solid" w:color="000000" w:fill="000000"/>
                <w:fitText w:val="8" w:id="-1301006333"/>
                <w14:textFill>
                  <w14:solidFill>
                    <w14:srgbClr w14:val="000000">
                      <w14:alpha w14:val="100000"/>
                    </w14:srgbClr>
                  </w14:solidFill>
                </w14:textFill>
              </w:rPr>
              <w:t xml:space="preserve">　</w:t>
            </w:r>
            <w:r w:rsidR="009902F7" w:rsidRPr="004C11F6">
              <w:rPr>
                <w:vertAlign w:val="superscript"/>
              </w:rPr>
              <w:t>1</w:t>
            </w:r>
          </w:p>
        </w:tc>
        <w:tc>
          <w:tcPr>
            <w:tcW w:w="600" w:type="pct"/>
            <w:vAlign w:val="center"/>
          </w:tcPr>
          <w:p w14:paraId="6486217C" w14:textId="5274015C" w:rsidR="00F608C2" w:rsidRPr="00F608C2" w:rsidRDefault="00F608C2" w:rsidP="00FD2539">
            <w:pPr>
              <w:pStyle w:val="TableText0"/>
              <w:jc w:val="center"/>
              <w:rPr>
                <w:rFonts w:cs="Times New Roman"/>
              </w:rPr>
            </w:pPr>
            <w:r w:rsidRPr="00FA153D">
              <w:rPr>
                <w:rFonts w:cs="Times New Roman"/>
              </w:rPr>
              <w:t>9%</w:t>
            </w:r>
          </w:p>
        </w:tc>
      </w:tr>
      <w:tr w:rsidR="00F608C2" w:rsidRPr="00F608C2" w14:paraId="589E22C6" w14:textId="77777777" w:rsidTr="00F66E51">
        <w:trPr>
          <w:cantSplit/>
          <w:trHeight w:val="270"/>
        </w:trPr>
        <w:tc>
          <w:tcPr>
            <w:tcW w:w="1894" w:type="pct"/>
            <w:vAlign w:val="center"/>
          </w:tcPr>
          <w:p w14:paraId="35079934" w14:textId="24590DDE" w:rsidR="00F608C2" w:rsidRPr="00F608C2" w:rsidRDefault="00F608C2" w:rsidP="00FD2539">
            <w:pPr>
              <w:pStyle w:val="TableText0"/>
              <w:rPr>
                <w:rFonts w:cs="Times New Roman"/>
              </w:rPr>
            </w:pPr>
            <w:r w:rsidRPr="00F34D7E">
              <w:rPr>
                <w:rFonts w:cs="Times New Roman"/>
              </w:rPr>
              <w:t>Weibull</w:t>
            </w:r>
          </w:p>
        </w:tc>
        <w:tc>
          <w:tcPr>
            <w:tcW w:w="777" w:type="pct"/>
            <w:shd w:val="solid" w:color="000000" w:fill="000000"/>
            <w:vAlign w:val="center"/>
          </w:tcPr>
          <w:p w14:paraId="7F8D317C" w14:textId="1B92345A" w:rsidR="00F608C2" w:rsidRPr="00F66E51" w:rsidRDefault="00F66E51" w:rsidP="00FD2539">
            <w:pPr>
              <w:pStyle w:val="TableText0"/>
              <w:jc w:val="center"/>
              <w:rPr>
                <w:rFonts w:cs="Times New Roman"/>
              </w:rPr>
            </w:pPr>
            <w:r w:rsidRPr="00775A5E">
              <w:rPr>
                <w:rFonts w:cs="Times New Roman" w:hint="eastAsia"/>
                <w:color w:val="000000"/>
                <w:w w:val="31"/>
                <w:fitText w:val="139" w:id="-1301006332"/>
                <w14:textFill>
                  <w14:solidFill>
                    <w14:srgbClr w14:val="000000">
                      <w14:alpha w14:val="100000"/>
                    </w14:srgbClr>
                  </w14:solidFill>
                </w14:textFill>
              </w:rPr>
              <w:t xml:space="preserve">　</w:t>
            </w:r>
            <w:r w:rsidRPr="00775A5E">
              <w:rPr>
                <w:rFonts w:cs="Times New Roman"/>
                <w:color w:val="000000"/>
                <w:w w:val="31"/>
                <w:fitText w:val="139" w:id="-1301006332"/>
                <w14:textFill>
                  <w14:solidFill>
                    <w14:srgbClr w14:val="000000">
                      <w14:alpha w14:val="100000"/>
                    </w14:srgbClr>
                  </w14:solidFill>
                </w14:textFill>
              </w:rPr>
              <w:t>|</w:t>
            </w:r>
            <w:r w:rsidRPr="00775A5E">
              <w:rPr>
                <w:rFonts w:cs="Times New Roman" w:hint="eastAsia"/>
                <w:color w:val="000000"/>
                <w:w w:val="31"/>
                <w:fitText w:val="139" w:id="-1301006332"/>
                <w14:textFill>
                  <w14:solidFill>
                    <w14:srgbClr w14:val="000000">
                      <w14:alpha w14:val="100000"/>
                    </w14:srgbClr>
                  </w14:solidFill>
                </w14:textFill>
              </w:rPr>
              <w:t xml:space="preserve">　</w:t>
            </w:r>
          </w:p>
        </w:tc>
        <w:tc>
          <w:tcPr>
            <w:tcW w:w="777" w:type="pct"/>
            <w:vAlign w:val="center"/>
          </w:tcPr>
          <w:p w14:paraId="66B05AD4" w14:textId="4BED49B5" w:rsidR="00F608C2" w:rsidRPr="00F608C2" w:rsidRDefault="00F608C2" w:rsidP="00FD2539">
            <w:pPr>
              <w:pStyle w:val="TableText0"/>
              <w:jc w:val="center"/>
              <w:rPr>
                <w:rFonts w:cs="Times New Roman"/>
              </w:rPr>
            </w:pPr>
            <w:r w:rsidRPr="00F608C2">
              <w:rPr>
                <w:rFonts w:cs="Times New Roman"/>
              </w:rPr>
              <w:t>4.70</w:t>
            </w:r>
          </w:p>
        </w:tc>
        <w:tc>
          <w:tcPr>
            <w:tcW w:w="952" w:type="pct"/>
            <w:vAlign w:val="center"/>
          </w:tcPr>
          <w:p w14:paraId="16996FBA" w14:textId="1A43F4CE" w:rsidR="00F608C2" w:rsidRPr="004C11F6" w:rsidRDefault="00F66E51" w:rsidP="00FD2539">
            <w:pPr>
              <w:pStyle w:val="TableText0"/>
              <w:jc w:val="center"/>
              <w:rPr>
                <w:rFonts w:cs="Times New Roman"/>
                <w:highlight w:val="darkGray"/>
              </w:rPr>
            </w:pPr>
            <w:r w:rsidRPr="00BE0EE6">
              <w:rPr>
                <w:rFonts w:cs="Times New Roman" w:hint="eastAsia"/>
                <w:color w:val="000000"/>
                <w:w w:val="15"/>
                <w:shd w:val="solid" w:color="000000" w:fill="000000"/>
                <w:fitText w:val="8" w:id="-1301006331"/>
                <w14:textFill>
                  <w14:solidFill>
                    <w14:srgbClr w14:val="000000">
                      <w14:alpha w14:val="100000"/>
                    </w14:srgbClr>
                  </w14:solidFill>
                </w14:textFill>
              </w:rPr>
              <w:t xml:space="preserve">　</w:t>
            </w:r>
            <w:r w:rsidRPr="00BE0EE6">
              <w:rPr>
                <w:rFonts w:cs="Times New Roman"/>
                <w:color w:val="000000"/>
                <w:w w:val="15"/>
                <w:shd w:val="solid" w:color="000000" w:fill="000000"/>
                <w:fitText w:val="8" w:id="-1301006331"/>
                <w14:textFill>
                  <w14:solidFill>
                    <w14:srgbClr w14:val="000000">
                      <w14:alpha w14:val="100000"/>
                    </w14:srgbClr>
                  </w14:solidFill>
                </w14:textFill>
              </w:rPr>
              <w:t>|</w:t>
            </w:r>
            <w:r w:rsidRPr="00BE0EE6">
              <w:rPr>
                <w:rFonts w:cs="Times New Roman" w:hint="eastAsia"/>
                <w:color w:val="000000"/>
                <w:spacing w:val="-57"/>
                <w:w w:val="15"/>
                <w:shd w:val="solid" w:color="000000" w:fill="000000"/>
                <w:fitText w:val="8" w:id="-1301006331"/>
                <w14:textFill>
                  <w14:solidFill>
                    <w14:srgbClr w14:val="000000">
                      <w14:alpha w14:val="100000"/>
                    </w14:srgbClr>
                  </w14:solidFill>
                </w14:textFill>
              </w:rPr>
              <w:t xml:space="preserve">　</w:t>
            </w:r>
            <w:r w:rsidR="009902F7" w:rsidRPr="004C11F6">
              <w:rPr>
                <w:vertAlign w:val="superscript"/>
              </w:rPr>
              <w:t>5</w:t>
            </w:r>
          </w:p>
        </w:tc>
        <w:tc>
          <w:tcPr>
            <w:tcW w:w="600" w:type="pct"/>
            <w:vAlign w:val="center"/>
          </w:tcPr>
          <w:p w14:paraId="175FFDF3" w14:textId="02BE5066" w:rsidR="00F608C2" w:rsidRPr="00F608C2" w:rsidRDefault="00F608C2" w:rsidP="00FD2539">
            <w:pPr>
              <w:pStyle w:val="TableText0"/>
              <w:jc w:val="center"/>
              <w:rPr>
                <w:rFonts w:cs="Times New Roman"/>
              </w:rPr>
            </w:pPr>
            <w:r w:rsidRPr="00FA153D">
              <w:rPr>
                <w:rFonts w:cs="Times New Roman"/>
              </w:rPr>
              <w:t>1</w:t>
            </w:r>
            <w:r w:rsidR="00315A6D">
              <w:rPr>
                <w:rFonts w:cs="Times New Roman"/>
              </w:rPr>
              <w:t>8</w:t>
            </w:r>
            <w:r w:rsidRPr="00FA153D">
              <w:rPr>
                <w:rFonts w:cs="Times New Roman"/>
              </w:rPr>
              <w:t>%</w:t>
            </w:r>
          </w:p>
        </w:tc>
      </w:tr>
      <w:tr w:rsidR="008D35DF" w:rsidRPr="00D23D11" w14:paraId="1AEECE56" w14:textId="77777777" w:rsidTr="008D35DF">
        <w:trPr>
          <w:cantSplit/>
          <w:trHeight w:val="270"/>
        </w:trPr>
        <w:tc>
          <w:tcPr>
            <w:tcW w:w="5000" w:type="pct"/>
            <w:gridSpan w:val="5"/>
            <w:vAlign w:val="center"/>
          </w:tcPr>
          <w:p w14:paraId="610BC0C2" w14:textId="79600F12" w:rsidR="008D35DF" w:rsidRPr="004C11F6" w:rsidRDefault="008D35DF" w:rsidP="00FD2539">
            <w:pPr>
              <w:pStyle w:val="TableText0"/>
              <w:rPr>
                <w:rFonts w:cs="Times New Roman"/>
              </w:rPr>
            </w:pPr>
            <w:r w:rsidRPr="004C11F6">
              <w:rPr>
                <w:rFonts w:cs="Times New Roman"/>
              </w:rPr>
              <w:t>Extrapolation of TTD (base case Weibull)</w:t>
            </w:r>
          </w:p>
        </w:tc>
      </w:tr>
      <w:tr w:rsidR="0009541A" w:rsidRPr="00D23D11" w14:paraId="54464743" w14:textId="77777777" w:rsidTr="00F66E51">
        <w:trPr>
          <w:cantSplit/>
          <w:trHeight w:val="270"/>
        </w:trPr>
        <w:tc>
          <w:tcPr>
            <w:tcW w:w="1894" w:type="pct"/>
            <w:vAlign w:val="center"/>
          </w:tcPr>
          <w:p w14:paraId="36F2A3E2" w14:textId="04F0C801" w:rsidR="0009541A" w:rsidRPr="00F34D7E" w:rsidRDefault="0009541A" w:rsidP="00FD2539">
            <w:pPr>
              <w:pStyle w:val="TableText0"/>
              <w:rPr>
                <w:rFonts w:cs="Times New Roman"/>
              </w:rPr>
            </w:pPr>
            <w:r w:rsidRPr="00F34D7E">
              <w:rPr>
                <w:rFonts w:cs="Times New Roman"/>
              </w:rPr>
              <w:t>Exponential</w:t>
            </w:r>
          </w:p>
        </w:tc>
        <w:tc>
          <w:tcPr>
            <w:tcW w:w="777" w:type="pct"/>
            <w:tcBorders>
              <w:bottom w:val="single" w:sz="4" w:space="0" w:color="auto"/>
            </w:tcBorders>
            <w:shd w:val="solid" w:color="000000" w:fill="000000"/>
            <w:vAlign w:val="center"/>
          </w:tcPr>
          <w:p w14:paraId="1585DD09" w14:textId="7B7059F8" w:rsidR="0009541A" w:rsidRPr="00F66E51" w:rsidRDefault="00F66E51" w:rsidP="00FD2539">
            <w:pPr>
              <w:pStyle w:val="TableText0"/>
              <w:jc w:val="center"/>
              <w:rPr>
                <w:rFonts w:cs="Calibri"/>
                <w:szCs w:val="18"/>
              </w:rPr>
            </w:pPr>
            <w:r w:rsidRPr="00775A5E">
              <w:rPr>
                <w:rFonts w:cs="Calibri" w:hint="eastAsia"/>
                <w:color w:val="000000"/>
                <w:w w:val="31"/>
                <w:szCs w:val="18"/>
                <w:fitText w:val="139" w:id="-1301006330"/>
                <w14:textFill>
                  <w14:solidFill>
                    <w14:srgbClr w14:val="000000">
                      <w14:alpha w14:val="100000"/>
                    </w14:srgbClr>
                  </w14:solidFill>
                </w14:textFill>
              </w:rPr>
              <w:t xml:space="preserve">　</w:t>
            </w:r>
            <w:r w:rsidRPr="00775A5E">
              <w:rPr>
                <w:rFonts w:cs="Calibri"/>
                <w:color w:val="000000"/>
                <w:w w:val="31"/>
                <w:szCs w:val="18"/>
                <w:fitText w:val="139" w:id="-1301006330"/>
                <w14:textFill>
                  <w14:solidFill>
                    <w14:srgbClr w14:val="000000">
                      <w14:alpha w14:val="100000"/>
                    </w14:srgbClr>
                  </w14:solidFill>
                </w14:textFill>
              </w:rPr>
              <w:t>|</w:t>
            </w:r>
            <w:r w:rsidRPr="00775A5E">
              <w:rPr>
                <w:rFonts w:cs="Calibri" w:hint="eastAsia"/>
                <w:color w:val="000000"/>
                <w:w w:val="31"/>
                <w:szCs w:val="18"/>
                <w:fitText w:val="139" w:id="-1301006330"/>
                <w14:textFill>
                  <w14:solidFill>
                    <w14:srgbClr w14:val="000000">
                      <w14:alpha w14:val="100000"/>
                    </w14:srgbClr>
                  </w14:solidFill>
                </w14:textFill>
              </w:rPr>
              <w:t xml:space="preserve">　</w:t>
            </w:r>
          </w:p>
        </w:tc>
        <w:tc>
          <w:tcPr>
            <w:tcW w:w="777" w:type="pct"/>
            <w:vAlign w:val="center"/>
          </w:tcPr>
          <w:p w14:paraId="4B7D6422" w14:textId="324777D9" w:rsidR="0009541A" w:rsidRPr="00F34D7E" w:rsidRDefault="0009541A" w:rsidP="00FD2539">
            <w:pPr>
              <w:pStyle w:val="TableText0"/>
              <w:jc w:val="center"/>
              <w:rPr>
                <w:rFonts w:cs="Calibri"/>
                <w:szCs w:val="18"/>
              </w:rPr>
            </w:pPr>
            <w:r w:rsidRPr="00F34D7E">
              <w:rPr>
                <w:rFonts w:cs="Calibri"/>
                <w:szCs w:val="18"/>
              </w:rPr>
              <w:t>5.54</w:t>
            </w:r>
          </w:p>
        </w:tc>
        <w:tc>
          <w:tcPr>
            <w:tcW w:w="952" w:type="pct"/>
            <w:vAlign w:val="center"/>
          </w:tcPr>
          <w:p w14:paraId="2477393B" w14:textId="74DFF82C" w:rsidR="0009541A" w:rsidRPr="004C11F6" w:rsidRDefault="00F66E51" w:rsidP="00FD2539">
            <w:pPr>
              <w:pStyle w:val="TableText0"/>
              <w:jc w:val="center"/>
              <w:rPr>
                <w:rFonts w:cs="Calibri"/>
                <w:szCs w:val="18"/>
                <w:highlight w:val="darkGray"/>
              </w:rPr>
            </w:pPr>
            <w:r w:rsidRPr="00BE0EE6">
              <w:rPr>
                <w:rFonts w:cs="Calibri" w:hint="eastAsia"/>
                <w:color w:val="000000"/>
                <w:w w:val="15"/>
                <w:szCs w:val="18"/>
                <w:shd w:val="solid" w:color="000000" w:fill="000000"/>
                <w:fitText w:val="8" w:id="-1301006329"/>
                <w14:textFill>
                  <w14:solidFill>
                    <w14:srgbClr w14:val="000000">
                      <w14:alpha w14:val="100000"/>
                    </w14:srgbClr>
                  </w14:solidFill>
                </w14:textFill>
              </w:rPr>
              <w:t xml:space="preserve">　</w:t>
            </w:r>
            <w:r w:rsidRPr="00BE0EE6">
              <w:rPr>
                <w:rFonts w:cs="Calibri"/>
                <w:color w:val="000000"/>
                <w:w w:val="15"/>
                <w:szCs w:val="18"/>
                <w:shd w:val="solid" w:color="000000" w:fill="000000"/>
                <w:fitText w:val="8" w:id="-1301006329"/>
                <w14:textFill>
                  <w14:solidFill>
                    <w14:srgbClr w14:val="000000">
                      <w14:alpha w14:val="100000"/>
                    </w14:srgbClr>
                  </w14:solidFill>
                </w14:textFill>
              </w:rPr>
              <w:t>|</w:t>
            </w:r>
            <w:r w:rsidRPr="00BE0EE6">
              <w:rPr>
                <w:rFonts w:cs="Calibri" w:hint="eastAsia"/>
                <w:color w:val="000000"/>
                <w:spacing w:val="-57"/>
                <w:w w:val="15"/>
                <w:szCs w:val="18"/>
                <w:shd w:val="solid" w:color="000000" w:fill="000000"/>
                <w:fitText w:val="8" w:id="-1301006329"/>
                <w14:textFill>
                  <w14:solidFill>
                    <w14:srgbClr w14:val="000000">
                      <w14:alpha w14:val="100000"/>
                    </w14:srgbClr>
                  </w14:solidFill>
                </w14:textFill>
              </w:rPr>
              <w:t xml:space="preserve">　</w:t>
            </w:r>
            <w:r w:rsidR="009902F7" w:rsidRPr="004C11F6">
              <w:rPr>
                <w:vertAlign w:val="superscript"/>
              </w:rPr>
              <w:t>3</w:t>
            </w:r>
          </w:p>
        </w:tc>
        <w:tc>
          <w:tcPr>
            <w:tcW w:w="600" w:type="pct"/>
            <w:vAlign w:val="center"/>
          </w:tcPr>
          <w:p w14:paraId="0CDB4DD9" w14:textId="4CD763AF" w:rsidR="0009541A" w:rsidRPr="00FA153D" w:rsidRDefault="0009541A" w:rsidP="00FD2539">
            <w:pPr>
              <w:pStyle w:val="TableText0"/>
              <w:jc w:val="center"/>
              <w:rPr>
                <w:rFonts w:cs="Times New Roman"/>
              </w:rPr>
            </w:pPr>
            <w:r w:rsidRPr="00FA153D">
              <w:rPr>
                <w:rFonts w:cs="Times New Roman"/>
              </w:rPr>
              <w:t>41%</w:t>
            </w:r>
          </w:p>
        </w:tc>
      </w:tr>
      <w:tr w:rsidR="0009541A" w:rsidRPr="00D23D11" w14:paraId="551F75A2" w14:textId="77777777" w:rsidTr="00F66E51">
        <w:trPr>
          <w:cantSplit/>
          <w:trHeight w:val="270"/>
        </w:trPr>
        <w:tc>
          <w:tcPr>
            <w:tcW w:w="1894" w:type="pct"/>
            <w:vAlign w:val="center"/>
          </w:tcPr>
          <w:p w14:paraId="5F88F64A" w14:textId="1AB1C385" w:rsidR="0009541A" w:rsidRPr="00F34D7E" w:rsidRDefault="0009541A" w:rsidP="00FD2539">
            <w:pPr>
              <w:pStyle w:val="TableText0"/>
              <w:rPr>
                <w:rFonts w:cs="Times New Roman"/>
              </w:rPr>
            </w:pPr>
            <w:r w:rsidRPr="00F34D7E">
              <w:rPr>
                <w:rFonts w:cs="Times New Roman"/>
              </w:rPr>
              <w:t>Gompertz</w:t>
            </w:r>
          </w:p>
        </w:tc>
        <w:tc>
          <w:tcPr>
            <w:tcW w:w="777" w:type="pct"/>
            <w:tcBorders>
              <w:bottom w:val="single" w:sz="4" w:space="0" w:color="auto"/>
            </w:tcBorders>
            <w:shd w:val="solid" w:color="000000" w:fill="000000"/>
            <w:vAlign w:val="center"/>
          </w:tcPr>
          <w:p w14:paraId="245D643A" w14:textId="2DF8A33E" w:rsidR="0009541A" w:rsidRPr="00F66E51" w:rsidRDefault="00F66E51" w:rsidP="00FD2539">
            <w:pPr>
              <w:pStyle w:val="TableText0"/>
              <w:jc w:val="center"/>
              <w:rPr>
                <w:rFonts w:cs="Calibri"/>
                <w:szCs w:val="18"/>
              </w:rPr>
            </w:pPr>
            <w:r w:rsidRPr="00775A5E">
              <w:rPr>
                <w:rFonts w:cs="Calibri" w:hint="eastAsia"/>
                <w:color w:val="000000"/>
                <w:w w:val="31"/>
                <w:szCs w:val="18"/>
                <w:fitText w:val="139" w:id="-1301006328"/>
                <w14:textFill>
                  <w14:solidFill>
                    <w14:srgbClr w14:val="000000">
                      <w14:alpha w14:val="100000"/>
                    </w14:srgbClr>
                  </w14:solidFill>
                </w14:textFill>
              </w:rPr>
              <w:t xml:space="preserve">　</w:t>
            </w:r>
            <w:r w:rsidRPr="00775A5E">
              <w:rPr>
                <w:rFonts w:cs="Calibri"/>
                <w:color w:val="000000"/>
                <w:w w:val="31"/>
                <w:szCs w:val="18"/>
                <w:fitText w:val="139" w:id="-1301006328"/>
                <w14:textFill>
                  <w14:solidFill>
                    <w14:srgbClr w14:val="000000">
                      <w14:alpha w14:val="100000"/>
                    </w14:srgbClr>
                  </w14:solidFill>
                </w14:textFill>
              </w:rPr>
              <w:t>|</w:t>
            </w:r>
            <w:r w:rsidRPr="00775A5E">
              <w:rPr>
                <w:rFonts w:cs="Calibri" w:hint="eastAsia"/>
                <w:color w:val="000000"/>
                <w:w w:val="31"/>
                <w:szCs w:val="18"/>
                <w:fitText w:val="139" w:id="-1301006328"/>
                <w14:textFill>
                  <w14:solidFill>
                    <w14:srgbClr w14:val="000000">
                      <w14:alpha w14:val="100000"/>
                    </w14:srgbClr>
                  </w14:solidFill>
                </w14:textFill>
              </w:rPr>
              <w:t xml:space="preserve">　</w:t>
            </w:r>
          </w:p>
        </w:tc>
        <w:tc>
          <w:tcPr>
            <w:tcW w:w="777" w:type="pct"/>
            <w:vAlign w:val="center"/>
          </w:tcPr>
          <w:p w14:paraId="2DDADBC4" w14:textId="008B51DC" w:rsidR="0009541A" w:rsidRPr="00F34D7E" w:rsidRDefault="0009541A" w:rsidP="00FD2539">
            <w:pPr>
              <w:pStyle w:val="TableText0"/>
              <w:jc w:val="center"/>
              <w:rPr>
                <w:rFonts w:cs="Calibri"/>
                <w:szCs w:val="18"/>
              </w:rPr>
            </w:pPr>
            <w:r w:rsidRPr="00F34D7E">
              <w:rPr>
                <w:rFonts w:cs="Calibri"/>
                <w:szCs w:val="18"/>
              </w:rPr>
              <w:t>5.54</w:t>
            </w:r>
          </w:p>
        </w:tc>
        <w:tc>
          <w:tcPr>
            <w:tcW w:w="952" w:type="pct"/>
            <w:vAlign w:val="center"/>
          </w:tcPr>
          <w:p w14:paraId="402DA7C0" w14:textId="4E06C9C0" w:rsidR="0009541A" w:rsidRPr="004C11F6" w:rsidRDefault="00F66E51" w:rsidP="00FD2539">
            <w:pPr>
              <w:pStyle w:val="TableText0"/>
              <w:jc w:val="center"/>
              <w:rPr>
                <w:rFonts w:cs="Calibri"/>
                <w:szCs w:val="18"/>
                <w:highlight w:val="darkGray"/>
              </w:rPr>
            </w:pPr>
            <w:r w:rsidRPr="00BE0EE6">
              <w:rPr>
                <w:rFonts w:cs="Calibri" w:hint="eastAsia"/>
                <w:color w:val="000000"/>
                <w:w w:val="15"/>
                <w:szCs w:val="18"/>
                <w:shd w:val="solid" w:color="000000" w:fill="000000"/>
                <w:fitText w:val="8" w:id="-1301006327"/>
                <w14:textFill>
                  <w14:solidFill>
                    <w14:srgbClr w14:val="000000">
                      <w14:alpha w14:val="100000"/>
                    </w14:srgbClr>
                  </w14:solidFill>
                </w14:textFill>
              </w:rPr>
              <w:t xml:space="preserve">　</w:t>
            </w:r>
            <w:r w:rsidRPr="00BE0EE6">
              <w:rPr>
                <w:rFonts w:cs="Calibri"/>
                <w:color w:val="000000"/>
                <w:w w:val="15"/>
                <w:szCs w:val="18"/>
                <w:shd w:val="solid" w:color="000000" w:fill="000000"/>
                <w:fitText w:val="8" w:id="-1301006327"/>
                <w14:textFill>
                  <w14:solidFill>
                    <w14:srgbClr w14:val="000000">
                      <w14:alpha w14:val="100000"/>
                    </w14:srgbClr>
                  </w14:solidFill>
                </w14:textFill>
              </w:rPr>
              <w:t>|</w:t>
            </w:r>
            <w:r w:rsidRPr="00BE0EE6">
              <w:rPr>
                <w:rFonts w:cs="Calibri" w:hint="eastAsia"/>
                <w:color w:val="000000"/>
                <w:spacing w:val="-57"/>
                <w:w w:val="15"/>
                <w:szCs w:val="18"/>
                <w:shd w:val="solid" w:color="000000" w:fill="000000"/>
                <w:fitText w:val="8" w:id="-1301006327"/>
                <w14:textFill>
                  <w14:solidFill>
                    <w14:srgbClr w14:val="000000">
                      <w14:alpha w14:val="100000"/>
                    </w14:srgbClr>
                  </w14:solidFill>
                </w14:textFill>
              </w:rPr>
              <w:t xml:space="preserve">　</w:t>
            </w:r>
            <w:r w:rsidR="009902F7" w:rsidRPr="004C11F6">
              <w:rPr>
                <w:vertAlign w:val="superscript"/>
              </w:rPr>
              <w:t>6</w:t>
            </w:r>
          </w:p>
        </w:tc>
        <w:tc>
          <w:tcPr>
            <w:tcW w:w="600" w:type="pct"/>
            <w:vAlign w:val="center"/>
          </w:tcPr>
          <w:p w14:paraId="32893769" w14:textId="635CF652" w:rsidR="0009541A" w:rsidRPr="00FA153D" w:rsidRDefault="0009541A" w:rsidP="00FD2539">
            <w:pPr>
              <w:pStyle w:val="TableText0"/>
              <w:jc w:val="center"/>
              <w:rPr>
                <w:rFonts w:cs="Times New Roman"/>
              </w:rPr>
            </w:pPr>
            <w:r w:rsidRPr="00FA153D">
              <w:rPr>
                <w:rFonts w:cs="Times New Roman"/>
              </w:rPr>
              <w:t>-13%</w:t>
            </w:r>
          </w:p>
        </w:tc>
      </w:tr>
      <w:tr w:rsidR="0009541A" w:rsidRPr="00D23D11" w14:paraId="7B0D8AF7" w14:textId="77777777" w:rsidTr="00F66E51">
        <w:trPr>
          <w:cantSplit/>
          <w:trHeight w:val="270"/>
        </w:trPr>
        <w:tc>
          <w:tcPr>
            <w:tcW w:w="1894" w:type="pct"/>
            <w:vAlign w:val="center"/>
          </w:tcPr>
          <w:p w14:paraId="480AF87A" w14:textId="734CE696" w:rsidR="0009541A" w:rsidRPr="00F34D7E" w:rsidRDefault="0009541A" w:rsidP="00FD2539">
            <w:pPr>
              <w:pStyle w:val="TableText0"/>
              <w:rPr>
                <w:rFonts w:cs="Times New Roman"/>
              </w:rPr>
            </w:pPr>
            <w:r w:rsidRPr="00F34D7E">
              <w:rPr>
                <w:rFonts w:cs="Times New Roman"/>
              </w:rPr>
              <w:t>Log</w:t>
            </w:r>
            <w:r w:rsidR="00467E2E">
              <w:rPr>
                <w:rFonts w:cs="Times New Roman"/>
              </w:rPr>
              <w:t>l</w:t>
            </w:r>
            <w:r w:rsidRPr="00F34D7E">
              <w:rPr>
                <w:rFonts w:cs="Times New Roman"/>
              </w:rPr>
              <w:t>ogistic</w:t>
            </w:r>
          </w:p>
        </w:tc>
        <w:tc>
          <w:tcPr>
            <w:tcW w:w="777" w:type="pct"/>
            <w:tcBorders>
              <w:bottom w:val="single" w:sz="4" w:space="0" w:color="auto"/>
            </w:tcBorders>
            <w:shd w:val="solid" w:color="000000" w:fill="000000"/>
            <w:vAlign w:val="center"/>
          </w:tcPr>
          <w:p w14:paraId="67EB4925" w14:textId="4FF67942" w:rsidR="0009541A" w:rsidRPr="00F66E51" w:rsidRDefault="00F66E51" w:rsidP="00FD2539">
            <w:pPr>
              <w:pStyle w:val="TableText0"/>
              <w:jc w:val="center"/>
              <w:rPr>
                <w:rFonts w:cs="Calibri"/>
                <w:szCs w:val="18"/>
              </w:rPr>
            </w:pPr>
            <w:r w:rsidRPr="00775A5E">
              <w:rPr>
                <w:rFonts w:cs="Calibri" w:hint="eastAsia"/>
                <w:color w:val="000000"/>
                <w:w w:val="31"/>
                <w:szCs w:val="18"/>
                <w:fitText w:val="139" w:id="-1301006326"/>
                <w14:textFill>
                  <w14:solidFill>
                    <w14:srgbClr w14:val="000000">
                      <w14:alpha w14:val="100000"/>
                    </w14:srgbClr>
                  </w14:solidFill>
                </w14:textFill>
              </w:rPr>
              <w:t xml:space="preserve">　</w:t>
            </w:r>
            <w:r w:rsidRPr="00775A5E">
              <w:rPr>
                <w:rFonts w:cs="Calibri"/>
                <w:color w:val="000000"/>
                <w:w w:val="31"/>
                <w:szCs w:val="18"/>
                <w:fitText w:val="139" w:id="-1301006326"/>
                <w14:textFill>
                  <w14:solidFill>
                    <w14:srgbClr w14:val="000000">
                      <w14:alpha w14:val="100000"/>
                    </w14:srgbClr>
                  </w14:solidFill>
                </w14:textFill>
              </w:rPr>
              <w:t>|</w:t>
            </w:r>
            <w:r w:rsidRPr="00775A5E">
              <w:rPr>
                <w:rFonts w:cs="Calibri" w:hint="eastAsia"/>
                <w:color w:val="000000"/>
                <w:w w:val="31"/>
                <w:szCs w:val="18"/>
                <w:fitText w:val="139" w:id="-1301006326"/>
                <w14:textFill>
                  <w14:solidFill>
                    <w14:srgbClr w14:val="000000">
                      <w14:alpha w14:val="100000"/>
                    </w14:srgbClr>
                  </w14:solidFill>
                </w14:textFill>
              </w:rPr>
              <w:t xml:space="preserve">　</w:t>
            </w:r>
          </w:p>
        </w:tc>
        <w:tc>
          <w:tcPr>
            <w:tcW w:w="777" w:type="pct"/>
            <w:vAlign w:val="center"/>
          </w:tcPr>
          <w:p w14:paraId="4861EEB3" w14:textId="2FA02B8C" w:rsidR="0009541A" w:rsidRPr="00F34D7E" w:rsidRDefault="0009541A" w:rsidP="00FD2539">
            <w:pPr>
              <w:pStyle w:val="TableText0"/>
              <w:jc w:val="center"/>
              <w:rPr>
                <w:rFonts w:cs="Calibri"/>
                <w:szCs w:val="18"/>
              </w:rPr>
            </w:pPr>
            <w:r w:rsidRPr="00F34D7E">
              <w:rPr>
                <w:rFonts w:cs="Calibri"/>
                <w:szCs w:val="18"/>
              </w:rPr>
              <w:t>5.54</w:t>
            </w:r>
          </w:p>
        </w:tc>
        <w:tc>
          <w:tcPr>
            <w:tcW w:w="952" w:type="pct"/>
            <w:vAlign w:val="center"/>
          </w:tcPr>
          <w:p w14:paraId="700F3632" w14:textId="64EB5EEE" w:rsidR="0009541A" w:rsidRPr="004C11F6" w:rsidRDefault="00F66E51" w:rsidP="00FD2539">
            <w:pPr>
              <w:pStyle w:val="TableText0"/>
              <w:jc w:val="center"/>
              <w:rPr>
                <w:rFonts w:cs="Calibri"/>
                <w:szCs w:val="18"/>
                <w:highlight w:val="darkGray"/>
              </w:rPr>
            </w:pPr>
            <w:r w:rsidRPr="00BE0EE6">
              <w:rPr>
                <w:rFonts w:cs="Calibri" w:hint="eastAsia"/>
                <w:color w:val="000000"/>
                <w:w w:val="15"/>
                <w:szCs w:val="18"/>
                <w:shd w:val="solid" w:color="000000" w:fill="000000"/>
                <w:fitText w:val="8" w:id="-1301006325"/>
                <w14:textFill>
                  <w14:solidFill>
                    <w14:srgbClr w14:val="000000">
                      <w14:alpha w14:val="100000"/>
                    </w14:srgbClr>
                  </w14:solidFill>
                </w14:textFill>
              </w:rPr>
              <w:t xml:space="preserve">　</w:t>
            </w:r>
            <w:r w:rsidRPr="00BE0EE6">
              <w:rPr>
                <w:rFonts w:cs="Calibri"/>
                <w:color w:val="000000"/>
                <w:w w:val="15"/>
                <w:szCs w:val="18"/>
                <w:shd w:val="solid" w:color="000000" w:fill="000000"/>
                <w:fitText w:val="8" w:id="-1301006325"/>
                <w14:textFill>
                  <w14:solidFill>
                    <w14:srgbClr w14:val="000000">
                      <w14:alpha w14:val="100000"/>
                    </w14:srgbClr>
                  </w14:solidFill>
                </w14:textFill>
              </w:rPr>
              <w:t>|</w:t>
            </w:r>
            <w:r w:rsidRPr="00BE0EE6">
              <w:rPr>
                <w:rFonts w:cs="Calibri" w:hint="eastAsia"/>
                <w:color w:val="000000"/>
                <w:spacing w:val="-57"/>
                <w:w w:val="15"/>
                <w:szCs w:val="18"/>
                <w:shd w:val="solid" w:color="000000" w:fill="000000"/>
                <w:fitText w:val="8" w:id="-1301006325"/>
                <w14:textFill>
                  <w14:solidFill>
                    <w14:srgbClr w14:val="000000">
                      <w14:alpha w14:val="100000"/>
                    </w14:srgbClr>
                  </w14:solidFill>
                </w14:textFill>
              </w:rPr>
              <w:t xml:space="preserve">　</w:t>
            </w:r>
            <w:r w:rsidR="009902F7" w:rsidRPr="004C11F6">
              <w:rPr>
                <w:vertAlign w:val="superscript"/>
              </w:rPr>
              <w:t>3</w:t>
            </w:r>
          </w:p>
        </w:tc>
        <w:tc>
          <w:tcPr>
            <w:tcW w:w="600" w:type="pct"/>
            <w:vAlign w:val="center"/>
          </w:tcPr>
          <w:p w14:paraId="129F0EF5" w14:textId="212FB166" w:rsidR="0009541A" w:rsidRPr="00FA153D" w:rsidRDefault="0009541A" w:rsidP="00FD2539">
            <w:pPr>
              <w:pStyle w:val="TableText0"/>
              <w:jc w:val="center"/>
              <w:rPr>
                <w:rFonts w:cs="Times New Roman"/>
              </w:rPr>
            </w:pPr>
            <w:r w:rsidRPr="00FA153D">
              <w:rPr>
                <w:rFonts w:cs="Times New Roman"/>
              </w:rPr>
              <w:t>5</w:t>
            </w:r>
            <w:r w:rsidR="00315A6D">
              <w:rPr>
                <w:rFonts w:cs="Times New Roman"/>
              </w:rPr>
              <w:t>1</w:t>
            </w:r>
            <w:r w:rsidRPr="00FA153D">
              <w:rPr>
                <w:rFonts w:cs="Times New Roman"/>
              </w:rPr>
              <w:t>%</w:t>
            </w:r>
          </w:p>
        </w:tc>
      </w:tr>
      <w:tr w:rsidR="0009541A" w:rsidRPr="00D23D11" w14:paraId="6F784157" w14:textId="77777777" w:rsidTr="00F66E51">
        <w:trPr>
          <w:cantSplit/>
          <w:trHeight w:val="270"/>
        </w:trPr>
        <w:tc>
          <w:tcPr>
            <w:tcW w:w="1894" w:type="pct"/>
            <w:vAlign w:val="center"/>
          </w:tcPr>
          <w:p w14:paraId="25971C67" w14:textId="2370BBC8" w:rsidR="0009541A" w:rsidRPr="00F34D7E" w:rsidRDefault="0009541A" w:rsidP="00FD2539">
            <w:pPr>
              <w:pStyle w:val="TableText0"/>
              <w:rPr>
                <w:rFonts w:cs="Times New Roman"/>
              </w:rPr>
            </w:pPr>
            <w:r w:rsidRPr="00F34D7E">
              <w:rPr>
                <w:rFonts w:cs="Times New Roman"/>
              </w:rPr>
              <w:t>Lognormal</w:t>
            </w:r>
          </w:p>
        </w:tc>
        <w:tc>
          <w:tcPr>
            <w:tcW w:w="777" w:type="pct"/>
            <w:shd w:val="solid" w:color="000000" w:fill="000000"/>
            <w:vAlign w:val="center"/>
          </w:tcPr>
          <w:p w14:paraId="312963F3" w14:textId="0D9A7EF6" w:rsidR="0009541A" w:rsidRPr="00F66E51" w:rsidRDefault="00F66E51" w:rsidP="00FD2539">
            <w:pPr>
              <w:pStyle w:val="TableText0"/>
              <w:jc w:val="center"/>
              <w:rPr>
                <w:rFonts w:cs="Calibri"/>
                <w:szCs w:val="18"/>
              </w:rPr>
            </w:pPr>
            <w:r w:rsidRPr="00775A5E">
              <w:rPr>
                <w:rFonts w:cs="Calibri" w:hint="eastAsia"/>
                <w:color w:val="000000"/>
                <w:w w:val="31"/>
                <w:szCs w:val="18"/>
                <w:fitText w:val="139" w:id="-1301006324"/>
                <w14:textFill>
                  <w14:solidFill>
                    <w14:srgbClr w14:val="000000">
                      <w14:alpha w14:val="100000"/>
                    </w14:srgbClr>
                  </w14:solidFill>
                </w14:textFill>
              </w:rPr>
              <w:t xml:space="preserve">　</w:t>
            </w:r>
            <w:r w:rsidRPr="00775A5E">
              <w:rPr>
                <w:rFonts w:cs="Calibri"/>
                <w:color w:val="000000"/>
                <w:w w:val="31"/>
                <w:szCs w:val="18"/>
                <w:fitText w:val="139" w:id="-1301006324"/>
                <w14:textFill>
                  <w14:solidFill>
                    <w14:srgbClr w14:val="000000">
                      <w14:alpha w14:val="100000"/>
                    </w14:srgbClr>
                  </w14:solidFill>
                </w14:textFill>
              </w:rPr>
              <w:t>|</w:t>
            </w:r>
            <w:r w:rsidRPr="00775A5E">
              <w:rPr>
                <w:rFonts w:cs="Calibri" w:hint="eastAsia"/>
                <w:color w:val="000000"/>
                <w:w w:val="31"/>
                <w:szCs w:val="18"/>
                <w:fitText w:val="139" w:id="-1301006324"/>
                <w14:textFill>
                  <w14:solidFill>
                    <w14:srgbClr w14:val="000000">
                      <w14:alpha w14:val="100000"/>
                    </w14:srgbClr>
                  </w14:solidFill>
                </w14:textFill>
              </w:rPr>
              <w:t xml:space="preserve">　</w:t>
            </w:r>
          </w:p>
        </w:tc>
        <w:tc>
          <w:tcPr>
            <w:tcW w:w="777" w:type="pct"/>
            <w:vAlign w:val="center"/>
          </w:tcPr>
          <w:p w14:paraId="1BEC3486" w14:textId="52167A15" w:rsidR="0009541A" w:rsidRPr="00F34D7E" w:rsidRDefault="0009541A" w:rsidP="00FD2539">
            <w:pPr>
              <w:pStyle w:val="TableText0"/>
              <w:jc w:val="center"/>
              <w:rPr>
                <w:rFonts w:cs="Calibri"/>
                <w:szCs w:val="18"/>
              </w:rPr>
            </w:pPr>
            <w:r w:rsidRPr="00F34D7E">
              <w:rPr>
                <w:rFonts w:cs="Calibri"/>
                <w:szCs w:val="18"/>
              </w:rPr>
              <w:t>5.54</w:t>
            </w:r>
          </w:p>
        </w:tc>
        <w:tc>
          <w:tcPr>
            <w:tcW w:w="952" w:type="pct"/>
            <w:vAlign w:val="center"/>
          </w:tcPr>
          <w:p w14:paraId="4FA7CAF3" w14:textId="6138742B" w:rsidR="0009541A" w:rsidRPr="004C11F6" w:rsidRDefault="00F66E51" w:rsidP="00FD2539">
            <w:pPr>
              <w:pStyle w:val="TableText0"/>
              <w:jc w:val="center"/>
              <w:rPr>
                <w:rFonts w:cs="Calibri"/>
                <w:szCs w:val="18"/>
                <w:highlight w:val="darkGray"/>
              </w:rPr>
            </w:pPr>
            <w:r w:rsidRPr="00BE0EE6">
              <w:rPr>
                <w:rFonts w:cs="Calibri" w:hint="eastAsia"/>
                <w:color w:val="000000"/>
                <w:w w:val="15"/>
                <w:szCs w:val="18"/>
                <w:shd w:val="solid" w:color="000000" w:fill="000000"/>
                <w:fitText w:val="8" w:id="-1301006323"/>
                <w14:textFill>
                  <w14:solidFill>
                    <w14:srgbClr w14:val="000000">
                      <w14:alpha w14:val="100000"/>
                    </w14:srgbClr>
                  </w14:solidFill>
                </w14:textFill>
              </w:rPr>
              <w:t xml:space="preserve">　</w:t>
            </w:r>
            <w:r w:rsidRPr="00BE0EE6">
              <w:rPr>
                <w:rFonts w:cs="Calibri"/>
                <w:color w:val="000000"/>
                <w:w w:val="15"/>
                <w:szCs w:val="18"/>
                <w:shd w:val="solid" w:color="000000" w:fill="000000"/>
                <w:fitText w:val="8" w:id="-1301006323"/>
                <w14:textFill>
                  <w14:solidFill>
                    <w14:srgbClr w14:val="000000">
                      <w14:alpha w14:val="100000"/>
                    </w14:srgbClr>
                  </w14:solidFill>
                </w14:textFill>
              </w:rPr>
              <w:t>|</w:t>
            </w:r>
            <w:r w:rsidRPr="00BE0EE6">
              <w:rPr>
                <w:rFonts w:cs="Calibri" w:hint="eastAsia"/>
                <w:color w:val="000000"/>
                <w:spacing w:val="-57"/>
                <w:w w:val="15"/>
                <w:szCs w:val="18"/>
                <w:shd w:val="solid" w:color="000000" w:fill="000000"/>
                <w:fitText w:val="8" w:id="-1301006323"/>
                <w14:textFill>
                  <w14:solidFill>
                    <w14:srgbClr w14:val="000000">
                      <w14:alpha w14:val="100000"/>
                    </w14:srgbClr>
                  </w14:solidFill>
                </w14:textFill>
              </w:rPr>
              <w:t xml:space="preserve">　</w:t>
            </w:r>
            <w:r w:rsidR="009902F7" w:rsidRPr="004C11F6">
              <w:rPr>
                <w:vertAlign w:val="superscript"/>
              </w:rPr>
              <w:t>4</w:t>
            </w:r>
          </w:p>
        </w:tc>
        <w:tc>
          <w:tcPr>
            <w:tcW w:w="600" w:type="pct"/>
            <w:vAlign w:val="center"/>
          </w:tcPr>
          <w:p w14:paraId="7321B70C" w14:textId="54AF7DEB" w:rsidR="0009541A" w:rsidRPr="00FA153D" w:rsidRDefault="00315A6D" w:rsidP="00FD2539">
            <w:pPr>
              <w:pStyle w:val="TableText0"/>
              <w:jc w:val="center"/>
              <w:rPr>
                <w:rFonts w:cs="Times New Roman"/>
              </w:rPr>
            </w:pPr>
            <w:r>
              <w:rPr>
                <w:rFonts w:cs="Times New Roman"/>
              </w:rPr>
              <w:t>60</w:t>
            </w:r>
            <w:r w:rsidR="0009541A" w:rsidRPr="00FA153D">
              <w:rPr>
                <w:rFonts w:cs="Times New Roman"/>
              </w:rPr>
              <w:t>%</w:t>
            </w:r>
          </w:p>
        </w:tc>
      </w:tr>
      <w:tr w:rsidR="004C434D" w:rsidRPr="00D23D11" w14:paraId="531E14B7" w14:textId="77777777" w:rsidTr="00512112">
        <w:trPr>
          <w:cantSplit/>
          <w:trHeight w:val="270"/>
        </w:trPr>
        <w:tc>
          <w:tcPr>
            <w:tcW w:w="5000" w:type="pct"/>
            <w:gridSpan w:val="5"/>
            <w:vAlign w:val="center"/>
          </w:tcPr>
          <w:p w14:paraId="221BDB92" w14:textId="508FC921" w:rsidR="00512112" w:rsidRPr="004C11F6" w:rsidRDefault="00512112" w:rsidP="00512112">
            <w:pPr>
              <w:pStyle w:val="TableText0"/>
              <w:rPr>
                <w:rFonts w:cs="Times New Roman"/>
              </w:rPr>
            </w:pPr>
            <w:r w:rsidRPr="004C11F6">
              <w:rPr>
                <w:rFonts w:cs="Times New Roman"/>
              </w:rPr>
              <w:t xml:space="preserve">Utility – PFS (base case </w:t>
            </w:r>
            <w:r w:rsidR="00EA61EB" w:rsidRPr="004C11F6">
              <w:rPr>
                <w:rFonts w:cs="Times New Roman"/>
              </w:rPr>
              <w:t xml:space="preserve">0.74 for selumetinib (on-treatment) and </w:t>
            </w:r>
            <w:r w:rsidR="00663F30" w:rsidRPr="004C11F6">
              <w:rPr>
                <w:rFonts w:cs="Times New Roman"/>
              </w:rPr>
              <w:t>0.625</w:t>
            </w:r>
            <w:r w:rsidR="00EA61EB" w:rsidRPr="004C11F6">
              <w:rPr>
                <w:rFonts w:cs="Times New Roman"/>
              </w:rPr>
              <w:t xml:space="preserve"> for supportive care arm)</w:t>
            </w:r>
          </w:p>
        </w:tc>
      </w:tr>
      <w:tr w:rsidR="004C434D" w:rsidRPr="00D23D11" w14:paraId="6436CB6C" w14:textId="77777777" w:rsidTr="00F66E51">
        <w:trPr>
          <w:cantSplit/>
          <w:trHeight w:val="270"/>
        </w:trPr>
        <w:tc>
          <w:tcPr>
            <w:tcW w:w="1894" w:type="pct"/>
            <w:vAlign w:val="center"/>
          </w:tcPr>
          <w:p w14:paraId="5A104444" w14:textId="18CA4526" w:rsidR="00DB38C7" w:rsidRPr="00740B54" w:rsidRDefault="00DB38C7" w:rsidP="00FD2539">
            <w:pPr>
              <w:pStyle w:val="TableText0"/>
              <w:rPr>
                <w:rFonts w:cs="Times New Roman"/>
              </w:rPr>
            </w:pPr>
            <w:r w:rsidRPr="00740B54">
              <w:rPr>
                <w:rFonts w:cs="Times New Roman"/>
              </w:rPr>
              <w:t>Assuming same progression-free utility values for both arms (0.74)</w:t>
            </w:r>
          </w:p>
        </w:tc>
        <w:tc>
          <w:tcPr>
            <w:tcW w:w="777" w:type="pct"/>
            <w:shd w:val="solid" w:color="000000" w:fill="000000"/>
            <w:vAlign w:val="center"/>
          </w:tcPr>
          <w:p w14:paraId="3D17C403" w14:textId="1515DF52" w:rsidR="00DB38C7" w:rsidRPr="00F66E51" w:rsidRDefault="00F66E51" w:rsidP="00D74C31">
            <w:pPr>
              <w:pStyle w:val="TableText0"/>
              <w:jc w:val="center"/>
              <w:rPr>
                <w:rFonts w:cs="Calibri"/>
                <w:szCs w:val="18"/>
              </w:rPr>
            </w:pPr>
            <w:r w:rsidRPr="00775A5E">
              <w:rPr>
                <w:rFonts w:cs="Calibri" w:hint="eastAsia"/>
                <w:color w:val="000000"/>
                <w:w w:val="31"/>
                <w:szCs w:val="18"/>
                <w:fitText w:val="139" w:id="-1301006322"/>
                <w14:textFill>
                  <w14:solidFill>
                    <w14:srgbClr w14:val="000000">
                      <w14:alpha w14:val="100000"/>
                    </w14:srgbClr>
                  </w14:solidFill>
                </w14:textFill>
              </w:rPr>
              <w:t xml:space="preserve">　</w:t>
            </w:r>
            <w:r w:rsidRPr="00775A5E">
              <w:rPr>
                <w:rFonts w:cs="Calibri"/>
                <w:color w:val="000000"/>
                <w:w w:val="31"/>
                <w:szCs w:val="18"/>
                <w:fitText w:val="139" w:id="-1301006322"/>
                <w14:textFill>
                  <w14:solidFill>
                    <w14:srgbClr w14:val="000000">
                      <w14:alpha w14:val="100000"/>
                    </w14:srgbClr>
                  </w14:solidFill>
                </w14:textFill>
              </w:rPr>
              <w:t>|</w:t>
            </w:r>
            <w:r w:rsidRPr="00775A5E">
              <w:rPr>
                <w:rFonts w:cs="Calibri" w:hint="eastAsia"/>
                <w:color w:val="000000"/>
                <w:w w:val="31"/>
                <w:szCs w:val="18"/>
                <w:fitText w:val="139" w:id="-1301006322"/>
                <w14:textFill>
                  <w14:solidFill>
                    <w14:srgbClr w14:val="000000">
                      <w14:alpha w14:val="100000"/>
                    </w14:srgbClr>
                  </w14:solidFill>
                </w14:textFill>
              </w:rPr>
              <w:t xml:space="preserve">　</w:t>
            </w:r>
          </w:p>
        </w:tc>
        <w:tc>
          <w:tcPr>
            <w:tcW w:w="777" w:type="pct"/>
            <w:vAlign w:val="center"/>
          </w:tcPr>
          <w:p w14:paraId="53C782BA" w14:textId="3FD0D33A" w:rsidR="00DB38C7" w:rsidRPr="00740B54" w:rsidRDefault="00D74C31" w:rsidP="00FD2539">
            <w:pPr>
              <w:pStyle w:val="TableText0"/>
              <w:jc w:val="center"/>
              <w:rPr>
                <w:rFonts w:cs="Calibri"/>
                <w:szCs w:val="18"/>
              </w:rPr>
            </w:pPr>
            <w:r w:rsidRPr="00740B54">
              <w:rPr>
                <w:rFonts w:cs="Calibri"/>
                <w:szCs w:val="18"/>
              </w:rPr>
              <w:t>5.38</w:t>
            </w:r>
          </w:p>
        </w:tc>
        <w:tc>
          <w:tcPr>
            <w:tcW w:w="952" w:type="pct"/>
            <w:vAlign w:val="center"/>
          </w:tcPr>
          <w:p w14:paraId="27EEF908" w14:textId="3B3EA36B" w:rsidR="00DB38C7" w:rsidRPr="004C11F6" w:rsidRDefault="00F66E51" w:rsidP="00FD2539">
            <w:pPr>
              <w:pStyle w:val="TableText0"/>
              <w:jc w:val="center"/>
              <w:rPr>
                <w:rFonts w:cs="Calibri"/>
                <w:szCs w:val="18"/>
                <w:highlight w:val="darkGray"/>
              </w:rPr>
            </w:pPr>
            <w:r w:rsidRPr="00BE0EE6">
              <w:rPr>
                <w:rFonts w:cs="Calibri" w:hint="eastAsia"/>
                <w:color w:val="000000"/>
                <w:w w:val="15"/>
                <w:szCs w:val="18"/>
                <w:shd w:val="solid" w:color="000000" w:fill="000000"/>
                <w:fitText w:val="8" w:id="-1301006321"/>
                <w14:textFill>
                  <w14:solidFill>
                    <w14:srgbClr w14:val="000000">
                      <w14:alpha w14:val="100000"/>
                    </w14:srgbClr>
                  </w14:solidFill>
                </w14:textFill>
              </w:rPr>
              <w:t xml:space="preserve">　</w:t>
            </w:r>
            <w:r w:rsidRPr="00BE0EE6">
              <w:rPr>
                <w:rFonts w:cs="Calibri"/>
                <w:color w:val="000000"/>
                <w:w w:val="15"/>
                <w:szCs w:val="18"/>
                <w:shd w:val="solid" w:color="000000" w:fill="000000"/>
                <w:fitText w:val="8" w:id="-1301006321"/>
                <w14:textFill>
                  <w14:solidFill>
                    <w14:srgbClr w14:val="000000">
                      <w14:alpha w14:val="100000"/>
                    </w14:srgbClr>
                  </w14:solidFill>
                </w14:textFill>
              </w:rPr>
              <w:t>|</w:t>
            </w:r>
            <w:r w:rsidRPr="00BE0EE6">
              <w:rPr>
                <w:rFonts w:cs="Calibri" w:hint="eastAsia"/>
                <w:color w:val="000000"/>
                <w:spacing w:val="-57"/>
                <w:w w:val="15"/>
                <w:szCs w:val="18"/>
                <w:shd w:val="solid" w:color="000000" w:fill="000000"/>
                <w:fitText w:val="8" w:id="-1301006321"/>
                <w14:textFill>
                  <w14:solidFill>
                    <w14:srgbClr w14:val="000000">
                      <w14:alpha w14:val="100000"/>
                    </w14:srgbClr>
                  </w14:solidFill>
                </w14:textFill>
              </w:rPr>
              <w:t xml:space="preserve">　</w:t>
            </w:r>
            <w:r w:rsidR="009902F7" w:rsidRPr="004C11F6">
              <w:rPr>
                <w:vertAlign w:val="superscript"/>
              </w:rPr>
              <w:t>1</w:t>
            </w:r>
          </w:p>
        </w:tc>
        <w:tc>
          <w:tcPr>
            <w:tcW w:w="600" w:type="pct"/>
            <w:vAlign w:val="center"/>
          </w:tcPr>
          <w:p w14:paraId="15D46B1F" w14:textId="5DC36E4A" w:rsidR="00DB38C7" w:rsidRPr="00740B54" w:rsidRDefault="00315A6D" w:rsidP="00FD2539">
            <w:pPr>
              <w:pStyle w:val="TableText0"/>
              <w:jc w:val="center"/>
              <w:rPr>
                <w:rFonts w:cs="Times New Roman"/>
              </w:rPr>
            </w:pPr>
            <w:r>
              <w:rPr>
                <w:rFonts w:cs="Times New Roman"/>
              </w:rPr>
              <w:t>3</w:t>
            </w:r>
            <w:r w:rsidR="003C1300" w:rsidRPr="00740B54">
              <w:rPr>
                <w:rFonts w:cs="Times New Roman"/>
              </w:rPr>
              <w:t>%</w:t>
            </w:r>
          </w:p>
        </w:tc>
      </w:tr>
      <w:tr w:rsidR="001206BD" w:rsidRPr="00D23D11" w14:paraId="583EB206" w14:textId="77777777" w:rsidTr="001206BD">
        <w:trPr>
          <w:cantSplit/>
          <w:trHeight w:val="270"/>
        </w:trPr>
        <w:tc>
          <w:tcPr>
            <w:tcW w:w="5000" w:type="pct"/>
            <w:gridSpan w:val="5"/>
            <w:vAlign w:val="center"/>
          </w:tcPr>
          <w:p w14:paraId="38CE2A6F" w14:textId="4F2C8ACD" w:rsidR="001206BD" w:rsidRPr="004C11F6" w:rsidRDefault="001206BD" w:rsidP="001206BD">
            <w:pPr>
              <w:pStyle w:val="TableText0"/>
              <w:rPr>
                <w:rFonts w:cs="Times New Roman"/>
              </w:rPr>
            </w:pPr>
            <w:r w:rsidRPr="004C11F6">
              <w:rPr>
                <w:rFonts w:cs="Times New Roman"/>
              </w:rPr>
              <w:t>SMR (base case 2.02)</w:t>
            </w:r>
          </w:p>
        </w:tc>
      </w:tr>
      <w:tr w:rsidR="001206BD" w:rsidRPr="00D23D11" w14:paraId="3904041B" w14:textId="77777777" w:rsidTr="00F66E51">
        <w:trPr>
          <w:cantSplit/>
          <w:trHeight w:val="270"/>
        </w:trPr>
        <w:tc>
          <w:tcPr>
            <w:tcW w:w="1894" w:type="pct"/>
            <w:vAlign w:val="center"/>
          </w:tcPr>
          <w:p w14:paraId="28727188" w14:textId="77AB13D3" w:rsidR="001206BD" w:rsidRPr="00740B54" w:rsidRDefault="001206BD" w:rsidP="00FD2539">
            <w:pPr>
              <w:pStyle w:val="TableText0"/>
              <w:rPr>
                <w:rFonts w:cs="Times New Roman"/>
              </w:rPr>
            </w:pPr>
            <w:r>
              <w:rPr>
                <w:rFonts w:cs="Times New Roman"/>
              </w:rPr>
              <w:t>3.22</w:t>
            </w:r>
          </w:p>
        </w:tc>
        <w:tc>
          <w:tcPr>
            <w:tcW w:w="777" w:type="pct"/>
            <w:shd w:val="solid" w:color="000000" w:fill="000000"/>
            <w:vAlign w:val="center"/>
          </w:tcPr>
          <w:p w14:paraId="497A3DAE" w14:textId="537A5706" w:rsidR="001206BD" w:rsidRPr="00F66E51" w:rsidRDefault="00F66E51" w:rsidP="00D74C31">
            <w:pPr>
              <w:pStyle w:val="TableText0"/>
              <w:jc w:val="center"/>
              <w:rPr>
                <w:rFonts w:cs="Calibri"/>
                <w:szCs w:val="18"/>
              </w:rPr>
            </w:pPr>
            <w:r w:rsidRPr="00775A5E">
              <w:rPr>
                <w:rFonts w:cs="Times New Roman" w:hint="eastAsia"/>
                <w:color w:val="000000"/>
                <w:w w:val="31"/>
                <w:fitText w:val="139" w:id="-1301006320"/>
                <w14:textFill>
                  <w14:solidFill>
                    <w14:srgbClr w14:val="000000">
                      <w14:alpha w14:val="100000"/>
                    </w14:srgbClr>
                  </w14:solidFill>
                </w14:textFill>
              </w:rPr>
              <w:t xml:space="preserve">　</w:t>
            </w:r>
            <w:r w:rsidRPr="00775A5E">
              <w:rPr>
                <w:rFonts w:cs="Times New Roman"/>
                <w:color w:val="000000"/>
                <w:w w:val="31"/>
                <w:fitText w:val="139" w:id="-1301006320"/>
                <w14:textFill>
                  <w14:solidFill>
                    <w14:srgbClr w14:val="000000">
                      <w14:alpha w14:val="100000"/>
                    </w14:srgbClr>
                  </w14:solidFill>
                </w14:textFill>
              </w:rPr>
              <w:t>|</w:t>
            </w:r>
            <w:r w:rsidRPr="00775A5E">
              <w:rPr>
                <w:rFonts w:cs="Times New Roman" w:hint="eastAsia"/>
                <w:color w:val="000000"/>
                <w:w w:val="31"/>
                <w:fitText w:val="139" w:id="-1301006320"/>
                <w14:textFill>
                  <w14:solidFill>
                    <w14:srgbClr w14:val="000000">
                      <w14:alpha w14:val="100000"/>
                    </w14:srgbClr>
                  </w14:solidFill>
                </w14:textFill>
              </w:rPr>
              <w:t xml:space="preserve">　</w:t>
            </w:r>
          </w:p>
        </w:tc>
        <w:tc>
          <w:tcPr>
            <w:tcW w:w="777" w:type="pct"/>
            <w:vAlign w:val="center"/>
          </w:tcPr>
          <w:p w14:paraId="719D1CCA" w14:textId="2B949969" w:rsidR="001206BD" w:rsidRPr="00740B54" w:rsidRDefault="001206BD" w:rsidP="00FD2539">
            <w:pPr>
              <w:pStyle w:val="TableText0"/>
              <w:jc w:val="center"/>
              <w:rPr>
                <w:rFonts w:cs="Calibri"/>
                <w:szCs w:val="18"/>
              </w:rPr>
            </w:pPr>
            <w:r w:rsidRPr="00F34D7E">
              <w:rPr>
                <w:rFonts w:cs="Times New Roman"/>
              </w:rPr>
              <w:t>4.55</w:t>
            </w:r>
          </w:p>
        </w:tc>
        <w:tc>
          <w:tcPr>
            <w:tcW w:w="952" w:type="pct"/>
            <w:vAlign w:val="center"/>
          </w:tcPr>
          <w:p w14:paraId="336676C2" w14:textId="1537079D" w:rsidR="001206BD" w:rsidRPr="004C11F6" w:rsidRDefault="00F66E51" w:rsidP="00FD2539">
            <w:pPr>
              <w:pStyle w:val="TableText0"/>
              <w:jc w:val="center"/>
              <w:rPr>
                <w:rFonts w:cs="Calibri"/>
                <w:szCs w:val="18"/>
              </w:rPr>
            </w:pPr>
            <w:r w:rsidRPr="00BE0EE6">
              <w:rPr>
                <w:rFonts w:cs="Times New Roman" w:hint="eastAsia"/>
                <w:color w:val="000000"/>
                <w:w w:val="15"/>
                <w:shd w:val="solid" w:color="000000" w:fill="000000"/>
                <w:fitText w:val="8" w:id="-1301006336"/>
                <w14:textFill>
                  <w14:solidFill>
                    <w14:srgbClr w14:val="000000">
                      <w14:alpha w14:val="100000"/>
                    </w14:srgbClr>
                  </w14:solidFill>
                </w14:textFill>
              </w:rPr>
              <w:t xml:space="preserve">　</w:t>
            </w:r>
            <w:r w:rsidRPr="00BE0EE6">
              <w:rPr>
                <w:rFonts w:cs="Times New Roman"/>
                <w:color w:val="000000"/>
                <w:w w:val="15"/>
                <w:shd w:val="solid" w:color="000000" w:fill="000000"/>
                <w:fitText w:val="8" w:id="-1301006336"/>
                <w14:textFill>
                  <w14:solidFill>
                    <w14:srgbClr w14:val="000000">
                      <w14:alpha w14:val="100000"/>
                    </w14:srgbClr>
                  </w14:solidFill>
                </w14:textFill>
              </w:rPr>
              <w:t>|</w:t>
            </w:r>
            <w:r w:rsidRPr="00BE0EE6">
              <w:rPr>
                <w:rFonts w:cs="Times New Roman" w:hint="eastAsia"/>
                <w:color w:val="000000"/>
                <w:spacing w:val="-57"/>
                <w:w w:val="15"/>
                <w:shd w:val="solid" w:color="000000" w:fill="000000"/>
                <w:fitText w:val="8" w:id="-1301006336"/>
                <w14:textFill>
                  <w14:solidFill>
                    <w14:srgbClr w14:val="000000">
                      <w14:alpha w14:val="100000"/>
                    </w14:srgbClr>
                  </w14:solidFill>
                </w14:textFill>
              </w:rPr>
              <w:t xml:space="preserve">　</w:t>
            </w:r>
            <w:r w:rsidR="009902F7" w:rsidRPr="004C11F6">
              <w:rPr>
                <w:vertAlign w:val="superscript"/>
              </w:rPr>
              <w:t>5</w:t>
            </w:r>
          </w:p>
        </w:tc>
        <w:tc>
          <w:tcPr>
            <w:tcW w:w="600" w:type="pct"/>
            <w:vAlign w:val="center"/>
          </w:tcPr>
          <w:p w14:paraId="7CE6B03D" w14:textId="3F63816D" w:rsidR="001206BD" w:rsidRDefault="001206BD" w:rsidP="00FD2539">
            <w:pPr>
              <w:pStyle w:val="TableText0"/>
              <w:jc w:val="center"/>
              <w:rPr>
                <w:rFonts w:cs="Times New Roman"/>
              </w:rPr>
            </w:pPr>
            <w:r w:rsidRPr="00FA153D">
              <w:rPr>
                <w:rFonts w:cs="Times New Roman"/>
              </w:rPr>
              <w:t>21.83%</w:t>
            </w:r>
          </w:p>
        </w:tc>
      </w:tr>
      <w:tr w:rsidR="00FD2539" w:rsidRPr="00D23D11" w14:paraId="23C34409" w14:textId="77777777" w:rsidTr="00FD2539">
        <w:trPr>
          <w:cantSplit/>
          <w:trHeight w:val="270"/>
        </w:trPr>
        <w:tc>
          <w:tcPr>
            <w:tcW w:w="5000" w:type="pct"/>
            <w:gridSpan w:val="5"/>
            <w:vAlign w:val="center"/>
          </w:tcPr>
          <w:p w14:paraId="5C32CBDA" w14:textId="4830E036" w:rsidR="00FD2539" w:rsidRPr="00740B54" w:rsidRDefault="00FD2539" w:rsidP="00FD2539">
            <w:pPr>
              <w:pStyle w:val="TableText0"/>
              <w:rPr>
                <w:rFonts w:cs="Times New Roman"/>
              </w:rPr>
            </w:pPr>
            <w:r w:rsidRPr="00740B54">
              <w:rPr>
                <w:rFonts w:cs="Times New Roman"/>
                <w:b/>
              </w:rPr>
              <w:t>Multivariate sensitivity analyses</w:t>
            </w:r>
            <w:r w:rsidR="00F94D24" w:rsidRPr="00740B54">
              <w:rPr>
                <w:rFonts w:cs="Times New Roman"/>
                <w:b/>
              </w:rPr>
              <w:t xml:space="preserve"> </w:t>
            </w:r>
          </w:p>
        </w:tc>
      </w:tr>
      <w:tr w:rsidR="00FD2539" w:rsidRPr="00E331B7" w14:paraId="72A43311" w14:textId="77777777" w:rsidTr="00FD2539">
        <w:trPr>
          <w:cantSplit/>
          <w:trHeight w:val="270"/>
        </w:trPr>
        <w:tc>
          <w:tcPr>
            <w:tcW w:w="5000" w:type="pct"/>
            <w:gridSpan w:val="5"/>
            <w:vAlign w:val="center"/>
          </w:tcPr>
          <w:p w14:paraId="0848F9CF" w14:textId="78F6C5B1" w:rsidR="00FD2539" w:rsidRPr="00E331B7" w:rsidRDefault="00FD2539" w:rsidP="00FD2539">
            <w:pPr>
              <w:pStyle w:val="TableText0"/>
              <w:rPr>
                <w:rFonts w:cs="Times New Roman"/>
              </w:rPr>
            </w:pPr>
            <w:r w:rsidRPr="00E331B7">
              <w:rPr>
                <w:rFonts w:cs="Times New Roman"/>
              </w:rPr>
              <w:t>Assuming uniform discount rate (5%) and varying time horizon</w:t>
            </w:r>
          </w:p>
        </w:tc>
      </w:tr>
      <w:tr w:rsidR="00FD2539" w:rsidRPr="00E331B7" w14:paraId="7C31400D" w14:textId="77777777" w:rsidTr="00F66E51">
        <w:trPr>
          <w:cantSplit/>
          <w:trHeight w:val="270"/>
        </w:trPr>
        <w:tc>
          <w:tcPr>
            <w:tcW w:w="1894" w:type="pct"/>
            <w:vAlign w:val="center"/>
          </w:tcPr>
          <w:p w14:paraId="3503FF00" w14:textId="22D741FF" w:rsidR="00FD2539" w:rsidRPr="00E331B7" w:rsidRDefault="00FD2539" w:rsidP="00FD2539">
            <w:pPr>
              <w:keepLines/>
              <w:jc w:val="left"/>
              <w:rPr>
                <w:rFonts w:ascii="Arial Narrow" w:hAnsi="Arial Narrow" w:cs="Times New Roman"/>
                <w:bCs/>
                <w:sz w:val="20"/>
              </w:rPr>
            </w:pPr>
            <w:r w:rsidRPr="00E331B7">
              <w:rPr>
                <w:rFonts w:ascii="Arial Narrow" w:hAnsi="Arial Narrow" w:cs="Times New Roman"/>
                <w:bCs/>
                <w:sz w:val="20"/>
              </w:rPr>
              <w:t>50 years</w:t>
            </w:r>
          </w:p>
        </w:tc>
        <w:tc>
          <w:tcPr>
            <w:tcW w:w="777" w:type="pct"/>
            <w:tcBorders>
              <w:bottom w:val="single" w:sz="4" w:space="0" w:color="auto"/>
            </w:tcBorders>
            <w:shd w:val="solid" w:color="000000" w:fill="000000"/>
            <w:vAlign w:val="center"/>
          </w:tcPr>
          <w:p w14:paraId="755A5FFD" w14:textId="02F673F8" w:rsidR="00FD2539" w:rsidRPr="00F66E51" w:rsidRDefault="00F66E51" w:rsidP="00FD2539">
            <w:pPr>
              <w:keepLines/>
              <w:jc w:val="center"/>
              <w:rPr>
                <w:rFonts w:ascii="Arial Narrow" w:hAnsi="Arial Narrow" w:cs="Calibri"/>
                <w:bCs/>
                <w:sz w:val="20"/>
                <w:szCs w:val="18"/>
              </w:rPr>
            </w:pPr>
            <w:r w:rsidRPr="00775A5E">
              <w:rPr>
                <w:rFonts w:ascii="Arial Narrow" w:hAnsi="Arial Narrow" w:cs="Calibri" w:hint="eastAsia"/>
                <w:bCs/>
                <w:color w:val="000000"/>
                <w:w w:val="31"/>
                <w:sz w:val="20"/>
                <w:szCs w:val="18"/>
                <w:fitText w:val="139" w:id="-1301006335"/>
                <w14:textFill>
                  <w14:solidFill>
                    <w14:srgbClr w14:val="000000">
                      <w14:alpha w14:val="100000"/>
                    </w14:srgbClr>
                  </w14:solidFill>
                </w14:textFill>
              </w:rPr>
              <w:t xml:space="preserve">　</w:t>
            </w:r>
            <w:r w:rsidRPr="00775A5E">
              <w:rPr>
                <w:rFonts w:ascii="Arial Narrow" w:hAnsi="Arial Narrow" w:cs="Calibri"/>
                <w:bCs/>
                <w:color w:val="000000"/>
                <w:w w:val="31"/>
                <w:sz w:val="20"/>
                <w:szCs w:val="18"/>
                <w:fitText w:val="139" w:id="-1301006335"/>
                <w14:textFill>
                  <w14:solidFill>
                    <w14:srgbClr w14:val="000000">
                      <w14:alpha w14:val="100000"/>
                    </w14:srgbClr>
                  </w14:solidFill>
                </w14:textFill>
              </w:rPr>
              <w:t>|</w:t>
            </w:r>
            <w:r w:rsidRPr="00775A5E">
              <w:rPr>
                <w:rFonts w:ascii="Arial Narrow" w:hAnsi="Arial Narrow" w:cs="Calibri" w:hint="eastAsia"/>
                <w:bCs/>
                <w:color w:val="000000"/>
                <w:w w:val="31"/>
                <w:sz w:val="20"/>
                <w:szCs w:val="18"/>
                <w:fitText w:val="139" w:id="-1301006335"/>
                <w14:textFill>
                  <w14:solidFill>
                    <w14:srgbClr w14:val="000000">
                      <w14:alpha w14:val="100000"/>
                    </w14:srgbClr>
                  </w14:solidFill>
                </w14:textFill>
              </w:rPr>
              <w:t xml:space="preserve">　</w:t>
            </w:r>
          </w:p>
        </w:tc>
        <w:tc>
          <w:tcPr>
            <w:tcW w:w="777" w:type="pct"/>
            <w:vAlign w:val="center"/>
          </w:tcPr>
          <w:p w14:paraId="27216792" w14:textId="22C96855" w:rsidR="00FD2539" w:rsidRPr="00E331B7" w:rsidRDefault="00FD2539" w:rsidP="00FD2539">
            <w:pPr>
              <w:keepLines/>
              <w:jc w:val="center"/>
              <w:rPr>
                <w:rFonts w:ascii="Arial Narrow" w:hAnsi="Arial Narrow" w:cs="Calibri"/>
                <w:bCs/>
                <w:sz w:val="20"/>
                <w:szCs w:val="18"/>
              </w:rPr>
            </w:pPr>
            <w:r w:rsidRPr="00E331B7">
              <w:rPr>
                <w:rFonts w:ascii="Arial Narrow" w:hAnsi="Arial Narrow" w:cs="Calibri"/>
                <w:bCs/>
                <w:sz w:val="20"/>
                <w:szCs w:val="18"/>
              </w:rPr>
              <w:t>2.73</w:t>
            </w:r>
          </w:p>
        </w:tc>
        <w:tc>
          <w:tcPr>
            <w:tcW w:w="952" w:type="pct"/>
            <w:vAlign w:val="center"/>
          </w:tcPr>
          <w:p w14:paraId="478F0CDA" w14:textId="70221EAE" w:rsidR="00FD2539" w:rsidRPr="004C11F6" w:rsidRDefault="00F66E51" w:rsidP="00FD2539">
            <w:pPr>
              <w:keepLines/>
              <w:jc w:val="center"/>
              <w:rPr>
                <w:rFonts w:ascii="Arial Narrow" w:hAnsi="Arial Narrow" w:cs="Calibri"/>
                <w:sz w:val="20"/>
                <w:szCs w:val="18"/>
                <w:highlight w:val="darkGray"/>
              </w:rPr>
            </w:pPr>
            <w:r w:rsidRPr="00BE0EE6">
              <w:rPr>
                <w:rFonts w:ascii="Arial Narrow" w:hAnsi="Arial Narrow" w:cs="Calibri" w:hint="eastAsia"/>
                <w:color w:val="000000"/>
                <w:w w:val="15"/>
                <w:sz w:val="20"/>
                <w:szCs w:val="18"/>
                <w:shd w:val="solid" w:color="000000" w:fill="000000"/>
                <w:fitText w:val="16" w:id="-1301006334"/>
                <w14:textFill>
                  <w14:solidFill>
                    <w14:srgbClr w14:val="000000">
                      <w14:alpha w14:val="100000"/>
                    </w14:srgbClr>
                  </w14:solidFill>
                </w14:textFill>
              </w:rPr>
              <w:t xml:space="preserve">　</w:t>
            </w:r>
            <w:r w:rsidRPr="00BE0EE6">
              <w:rPr>
                <w:rFonts w:ascii="Arial Narrow" w:hAnsi="Arial Narrow" w:cs="Calibri"/>
                <w:color w:val="000000"/>
                <w:w w:val="15"/>
                <w:sz w:val="20"/>
                <w:szCs w:val="18"/>
                <w:shd w:val="solid" w:color="000000" w:fill="000000"/>
                <w:fitText w:val="16" w:id="-1301006334"/>
                <w14:textFill>
                  <w14:solidFill>
                    <w14:srgbClr w14:val="000000">
                      <w14:alpha w14:val="100000"/>
                    </w14:srgbClr>
                  </w14:solidFill>
                </w14:textFill>
              </w:rPr>
              <w:t>|</w:t>
            </w:r>
            <w:r w:rsidRPr="00BE0EE6">
              <w:rPr>
                <w:rFonts w:ascii="Arial Narrow" w:hAnsi="Arial Narrow" w:cs="Calibri" w:hint="eastAsia"/>
                <w:color w:val="000000"/>
                <w:spacing w:val="-49"/>
                <w:w w:val="15"/>
                <w:sz w:val="20"/>
                <w:szCs w:val="18"/>
                <w:shd w:val="solid" w:color="000000" w:fill="000000"/>
                <w:fitText w:val="16" w:id="-1301006334"/>
                <w14:textFill>
                  <w14:solidFill>
                    <w14:srgbClr w14:val="000000">
                      <w14:alpha w14:val="100000"/>
                    </w14:srgbClr>
                  </w14:solidFill>
                </w14:textFill>
              </w:rPr>
              <w:t xml:space="preserve">　</w:t>
            </w:r>
            <w:r w:rsidR="004C11F6" w:rsidRPr="004C11F6">
              <w:rPr>
                <w:vertAlign w:val="superscript"/>
              </w:rPr>
              <w:t>4</w:t>
            </w:r>
          </w:p>
        </w:tc>
        <w:tc>
          <w:tcPr>
            <w:tcW w:w="600" w:type="pct"/>
            <w:vAlign w:val="center"/>
          </w:tcPr>
          <w:p w14:paraId="55ECE59B" w14:textId="2D903BE9" w:rsidR="00FD2539" w:rsidRPr="00E331B7" w:rsidRDefault="00FD2539" w:rsidP="00FD2539">
            <w:pPr>
              <w:keepLines/>
              <w:jc w:val="center"/>
              <w:rPr>
                <w:rFonts w:ascii="Arial Narrow" w:hAnsi="Arial Narrow" w:cs="Times New Roman"/>
                <w:bCs/>
                <w:sz w:val="20"/>
              </w:rPr>
            </w:pPr>
            <w:r w:rsidRPr="00E331B7">
              <w:rPr>
                <w:rFonts w:ascii="Arial Narrow" w:hAnsi="Arial Narrow" w:cs="Times New Roman"/>
                <w:bCs/>
                <w:sz w:val="20"/>
              </w:rPr>
              <w:t>10</w:t>
            </w:r>
            <w:r w:rsidR="00315A6D" w:rsidRPr="00E331B7">
              <w:rPr>
                <w:rFonts w:ascii="Arial Narrow" w:hAnsi="Arial Narrow" w:cs="Times New Roman"/>
                <w:bCs/>
                <w:sz w:val="20"/>
              </w:rPr>
              <w:t>3</w:t>
            </w:r>
            <w:r w:rsidRPr="00E331B7">
              <w:rPr>
                <w:rFonts w:ascii="Arial Narrow" w:hAnsi="Arial Narrow" w:cs="Times New Roman"/>
                <w:bCs/>
                <w:sz w:val="20"/>
              </w:rPr>
              <w:t>%</w:t>
            </w:r>
          </w:p>
        </w:tc>
      </w:tr>
      <w:tr w:rsidR="00FD2539" w:rsidRPr="00E331B7" w14:paraId="62531A96" w14:textId="77777777" w:rsidTr="00F66E51">
        <w:trPr>
          <w:cantSplit/>
          <w:trHeight w:val="270"/>
        </w:trPr>
        <w:tc>
          <w:tcPr>
            <w:tcW w:w="1894" w:type="pct"/>
            <w:vAlign w:val="center"/>
          </w:tcPr>
          <w:p w14:paraId="654E4D31" w14:textId="38B2721F" w:rsidR="00FD2539" w:rsidRPr="00E331B7" w:rsidRDefault="00FD2539" w:rsidP="00FD2539">
            <w:pPr>
              <w:pStyle w:val="TableText0"/>
              <w:rPr>
                <w:rFonts w:cs="Times New Roman"/>
              </w:rPr>
            </w:pPr>
            <w:r w:rsidRPr="00E331B7">
              <w:rPr>
                <w:rFonts w:cs="Times New Roman"/>
              </w:rPr>
              <w:t>80 years</w:t>
            </w:r>
          </w:p>
        </w:tc>
        <w:tc>
          <w:tcPr>
            <w:tcW w:w="777" w:type="pct"/>
            <w:shd w:val="solid" w:color="000000" w:fill="000000"/>
            <w:vAlign w:val="center"/>
          </w:tcPr>
          <w:p w14:paraId="07F42AA5" w14:textId="29255C2C" w:rsidR="00FD2539" w:rsidRPr="00F66E51" w:rsidRDefault="00F66E51" w:rsidP="00FD2539">
            <w:pPr>
              <w:pStyle w:val="TableText0"/>
              <w:jc w:val="center"/>
              <w:rPr>
                <w:rFonts w:cs="Calibri"/>
                <w:szCs w:val="18"/>
              </w:rPr>
            </w:pPr>
            <w:r w:rsidRPr="00775A5E">
              <w:rPr>
                <w:rFonts w:cs="Calibri" w:hint="eastAsia"/>
                <w:color w:val="000000"/>
                <w:w w:val="31"/>
                <w:szCs w:val="18"/>
                <w:fitText w:val="139" w:id="-1301006333"/>
                <w14:textFill>
                  <w14:solidFill>
                    <w14:srgbClr w14:val="000000">
                      <w14:alpha w14:val="100000"/>
                    </w14:srgbClr>
                  </w14:solidFill>
                </w14:textFill>
              </w:rPr>
              <w:t xml:space="preserve">　</w:t>
            </w:r>
            <w:r w:rsidRPr="00775A5E">
              <w:rPr>
                <w:rFonts w:cs="Calibri"/>
                <w:color w:val="000000"/>
                <w:w w:val="31"/>
                <w:szCs w:val="18"/>
                <w:fitText w:val="139" w:id="-1301006333"/>
                <w14:textFill>
                  <w14:solidFill>
                    <w14:srgbClr w14:val="000000">
                      <w14:alpha w14:val="100000"/>
                    </w14:srgbClr>
                  </w14:solidFill>
                </w14:textFill>
              </w:rPr>
              <w:t>|</w:t>
            </w:r>
            <w:r w:rsidRPr="00775A5E">
              <w:rPr>
                <w:rFonts w:cs="Calibri" w:hint="eastAsia"/>
                <w:color w:val="000000"/>
                <w:w w:val="31"/>
                <w:szCs w:val="18"/>
                <w:fitText w:val="139" w:id="-1301006333"/>
                <w14:textFill>
                  <w14:solidFill>
                    <w14:srgbClr w14:val="000000">
                      <w14:alpha w14:val="100000"/>
                    </w14:srgbClr>
                  </w14:solidFill>
                </w14:textFill>
              </w:rPr>
              <w:t xml:space="preserve">　</w:t>
            </w:r>
          </w:p>
        </w:tc>
        <w:tc>
          <w:tcPr>
            <w:tcW w:w="777" w:type="pct"/>
            <w:vAlign w:val="center"/>
          </w:tcPr>
          <w:p w14:paraId="3D14A740" w14:textId="2B588DFB" w:rsidR="00FD2539" w:rsidRPr="00E331B7" w:rsidRDefault="00FD2539" w:rsidP="00FD2539">
            <w:pPr>
              <w:pStyle w:val="TableText0"/>
              <w:jc w:val="center"/>
              <w:rPr>
                <w:rFonts w:cs="Calibri"/>
                <w:szCs w:val="18"/>
              </w:rPr>
            </w:pPr>
            <w:r w:rsidRPr="00E331B7">
              <w:rPr>
                <w:rFonts w:cs="Calibri"/>
                <w:szCs w:val="18"/>
              </w:rPr>
              <w:t>2.84</w:t>
            </w:r>
          </w:p>
        </w:tc>
        <w:tc>
          <w:tcPr>
            <w:tcW w:w="952" w:type="pct"/>
            <w:vAlign w:val="center"/>
          </w:tcPr>
          <w:p w14:paraId="5C611BA3" w14:textId="3D5999D5" w:rsidR="00FD2539" w:rsidRPr="004C11F6" w:rsidRDefault="00F66E51" w:rsidP="00FD2539">
            <w:pPr>
              <w:pStyle w:val="TableText0"/>
              <w:jc w:val="center"/>
              <w:rPr>
                <w:rFonts w:cs="Calibri"/>
                <w:bCs w:val="0"/>
                <w:szCs w:val="18"/>
                <w:highlight w:val="darkGray"/>
              </w:rPr>
            </w:pPr>
            <w:r w:rsidRPr="00BE0EE6">
              <w:rPr>
                <w:rFonts w:cs="Calibri" w:hint="eastAsia"/>
                <w:bCs w:val="0"/>
                <w:color w:val="000000"/>
                <w:w w:val="15"/>
                <w:szCs w:val="18"/>
                <w:shd w:val="solid" w:color="000000" w:fill="000000"/>
                <w:fitText w:val="8" w:id="-1301006332"/>
                <w14:textFill>
                  <w14:solidFill>
                    <w14:srgbClr w14:val="000000">
                      <w14:alpha w14:val="100000"/>
                    </w14:srgbClr>
                  </w14:solidFill>
                </w14:textFill>
              </w:rPr>
              <w:t xml:space="preserve">　</w:t>
            </w:r>
            <w:r w:rsidRPr="00BE0EE6">
              <w:rPr>
                <w:rFonts w:cs="Calibri"/>
                <w:bCs w:val="0"/>
                <w:color w:val="000000"/>
                <w:w w:val="15"/>
                <w:szCs w:val="18"/>
                <w:shd w:val="solid" w:color="000000" w:fill="000000"/>
                <w:fitText w:val="8" w:id="-1301006332"/>
                <w14:textFill>
                  <w14:solidFill>
                    <w14:srgbClr w14:val="000000">
                      <w14:alpha w14:val="100000"/>
                    </w14:srgbClr>
                  </w14:solidFill>
                </w14:textFill>
              </w:rPr>
              <w:t>|</w:t>
            </w:r>
            <w:r w:rsidRPr="00BE0EE6">
              <w:rPr>
                <w:rFonts w:cs="Calibri" w:hint="eastAsia"/>
                <w:bCs w:val="0"/>
                <w:color w:val="000000"/>
                <w:spacing w:val="-57"/>
                <w:w w:val="15"/>
                <w:szCs w:val="18"/>
                <w:shd w:val="solid" w:color="000000" w:fill="000000"/>
                <w:fitText w:val="8" w:id="-1301006332"/>
                <w14:textFill>
                  <w14:solidFill>
                    <w14:srgbClr w14:val="000000">
                      <w14:alpha w14:val="100000"/>
                    </w14:srgbClr>
                  </w14:solidFill>
                </w14:textFill>
              </w:rPr>
              <w:t xml:space="preserve">　</w:t>
            </w:r>
            <w:r w:rsidR="004C11F6" w:rsidRPr="004C11F6">
              <w:rPr>
                <w:bCs w:val="0"/>
                <w:vertAlign w:val="superscript"/>
              </w:rPr>
              <w:t>4</w:t>
            </w:r>
          </w:p>
        </w:tc>
        <w:tc>
          <w:tcPr>
            <w:tcW w:w="600" w:type="pct"/>
            <w:vAlign w:val="center"/>
          </w:tcPr>
          <w:p w14:paraId="146E30CE" w14:textId="529FB058" w:rsidR="00FD2539" w:rsidRPr="00E331B7" w:rsidRDefault="00FD2539" w:rsidP="00FD2539">
            <w:pPr>
              <w:pStyle w:val="TableText0"/>
              <w:jc w:val="center"/>
              <w:rPr>
                <w:rFonts w:cs="Times New Roman"/>
              </w:rPr>
            </w:pPr>
            <w:r w:rsidRPr="00E331B7">
              <w:rPr>
                <w:rFonts w:cs="Times New Roman"/>
              </w:rPr>
              <w:t>9</w:t>
            </w:r>
            <w:r w:rsidR="00315A6D" w:rsidRPr="00E331B7">
              <w:rPr>
                <w:rFonts w:cs="Times New Roman"/>
              </w:rPr>
              <w:t>5</w:t>
            </w:r>
            <w:r w:rsidRPr="00E331B7">
              <w:rPr>
                <w:rFonts w:cs="Times New Roman"/>
              </w:rPr>
              <w:t>%</w:t>
            </w:r>
          </w:p>
        </w:tc>
      </w:tr>
      <w:tr w:rsidR="00F97679" w:rsidRPr="00E331B7" w14:paraId="39255F0A" w14:textId="77777777" w:rsidTr="00F97679">
        <w:trPr>
          <w:cantSplit/>
          <w:trHeight w:val="270"/>
        </w:trPr>
        <w:tc>
          <w:tcPr>
            <w:tcW w:w="5000" w:type="pct"/>
            <w:gridSpan w:val="5"/>
            <w:vAlign w:val="center"/>
          </w:tcPr>
          <w:p w14:paraId="7E4F0951" w14:textId="0358E3D9" w:rsidR="00F97679" w:rsidRPr="004C11F6" w:rsidDel="00F97679" w:rsidRDefault="00F97679" w:rsidP="00F97679">
            <w:pPr>
              <w:pStyle w:val="TableText0"/>
              <w:rPr>
                <w:rFonts w:cs="Times New Roman"/>
                <w:bCs w:val="0"/>
              </w:rPr>
            </w:pPr>
            <w:r w:rsidRPr="004C11F6">
              <w:rPr>
                <w:rFonts w:cs="Times New Roman"/>
                <w:bCs w:val="0"/>
              </w:rPr>
              <w:t>Assuming uniform discount rate (5%), 50 year time horizon, extrapolation of PFS for selumetinib (lognormal), same progression-free utility values for both arms (0.74)</w:t>
            </w:r>
          </w:p>
        </w:tc>
      </w:tr>
      <w:tr w:rsidR="00F97679" w:rsidRPr="00E331B7" w14:paraId="5F2C3EEA" w14:textId="77777777" w:rsidTr="00F66E51">
        <w:trPr>
          <w:cantSplit/>
          <w:trHeight w:val="270"/>
        </w:trPr>
        <w:tc>
          <w:tcPr>
            <w:tcW w:w="1894" w:type="pct"/>
            <w:vAlign w:val="center"/>
          </w:tcPr>
          <w:p w14:paraId="3F67F0E6" w14:textId="77777777" w:rsidR="00F97679" w:rsidRPr="00E331B7" w:rsidRDefault="00F97679" w:rsidP="00FD2539">
            <w:pPr>
              <w:pStyle w:val="TableText0"/>
              <w:rPr>
                <w:rFonts w:cs="Times New Roman"/>
              </w:rPr>
            </w:pPr>
          </w:p>
        </w:tc>
        <w:tc>
          <w:tcPr>
            <w:tcW w:w="777" w:type="pct"/>
            <w:shd w:val="solid" w:color="000000" w:fill="000000"/>
            <w:vAlign w:val="center"/>
          </w:tcPr>
          <w:p w14:paraId="11917017" w14:textId="164A0995" w:rsidR="00F97679" w:rsidRPr="00F66E51" w:rsidRDefault="00F66E51" w:rsidP="00A00783">
            <w:pPr>
              <w:jc w:val="center"/>
              <w:rPr>
                <w:rFonts w:ascii="Arial Narrow" w:hAnsi="Arial Narrow" w:cs="Calibri"/>
                <w:bCs/>
                <w:sz w:val="20"/>
                <w:szCs w:val="18"/>
              </w:rPr>
            </w:pPr>
            <w:r w:rsidRPr="00775A5E">
              <w:rPr>
                <w:rFonts w:ascii="Arial Narrow" w:hAnsi="Arial Narrow" w:cs="Calibri" w:hint="eastAsia"/>
                <w:bCs/>
                <w:color w:val="000000"/>
                <w:w w:val="31"/>
                <w:sz w:val="20"/>
                <w:szCs w:val="18"/>
                <w:fitText w:val="139" w:id="-1301006331"/>
                <w14:textFill>
                  <w14:solidFill>
                    <w14:srgbClr w14:val="000000">
                      <w14:alpha w14:val="100000"/>
                    </w14:srgbClr>
                  </w14:solidFill>
                </w14:textFill>
              </w:rPr>
              <w:t xml:space="preserve">　</w:t>
            </w:r>
            <w:r w:rsidRPr="00775A5E">
              <w:rPr>
                <w:rFonts w:ascii="Arial Narrow" w:hAnsi="Arial Narrow" w:cs="Calibri"/>
                <w:bCs/>
                <w:color w:val="000000"/>
                <w:w w:val="31"/>
                <w:sz w:val="20"/>
                <w:szCs w:val="18"/>
                <w:fitText w:val="139" w:id="-1301006331"/>
                <w14:textFill>
                  <w14:solidFill>
                    <w14:srgbClr w14:val="000000">
                      <w14:alpha w14:val="100000"/>
                    </w14:srgbClr>
                  </w14:solidFill>
                </w14:textFill>
              </w:rPr>
              <w:t>|</w:t>
            </w:r>
            <w:r w:rsidRPr="00775A5E">
              <w:rPr>
                <w:rFonts w:ascii="Arial Narrow" w:hAnsi="Arial Narrow" w:cs="Calibri" w:hint="eastAsia"/>
                <w:bCs/>
                <w:color w:val="000000"/>
                <w:w w:val="31"/>
                <w:sz w:val="20"/>
                <w:szCs w:val="18"/>
                <w:fitText w:val="139" w:id="-1301006331"/>
                <w14:textFill>
                  <w14:solidFill>
                    <w14:srgbClr w14:val="000000">
                      <w14:alpha w14:val="100000"/>
                    </w14:srgbClr>
                  </w14:solidFill>
                </w14:textFill>
              </w:rPr>
              <w:t xml:space="preserve">　</w:t>
            </w:r>
          </w:p>
        </w:tc>
        <w:tc>
          <w:tcPr>
            <w:tcW w:w="777" w:type="pct"/>
            <w:vAlign w:val="center"/>
          </w:tcPr>
          <w:p w14:paraId="1385CF3E" w14:textId="50E4547E" w:rsidR="00F97679" w:rsidRPr="00E331B7" w:rsidRDefault="00A00783" w:rsidP="00A00783">
            <w:pPr>
              <w:jc w:val="center"/>
              <w:rPr>
                <w:rFonts w:cs="Calibri"/>
                <w:color w:val="808080"/>
                <w:sz w:val="28"/>
                <w:szCs w:val="28"/>
              </w:rPr>
            </w:pPr>
            <w:r w:rsidRPr="00E331B7">
              <w:rPr>
                <w:rFonts w:ascii="Arial Narrow" w:hAnsi="Arial Narrow" w:cs="Calibri"/>
                <w:bCs/>
                <w:sz w:val="20"/>
                <w:szCs w:val="18"/>
              </w:rPr>
              <w:t>2.40</w:t>
            </w:r>
          </w:p>
        </w:tc>
        <w:tc>
          <w:tcPr>
            <w:tcW w:w="952" w:type="pct"/>
            <w:vAlign w:val="center"/>
          </w:tcPr>
          <w:p w14:paraId="0F6C296F" w14:textId="4AD89D2B" w:rsidR="00F97679" w:rsidRPr="004C11F6" w:rsidDel="00F97679" w:rsidRDefault="00F66E51" w:rsidP="00A00783">
            <w:pPr>
              <w:jc w:val="center"/>
              <w:rPr>
                <w:rFonts w:cs="Calibri"/>
                <w:color w:val="81014E"/>
                <w:sz w:val="28"/>
                <w:szCs w:val="28"/>
              </w:rPr>
            </w:pPr>
            <w:r w:rsidRPr="00BE0EE6">
              <w:rPr>
                <w:rFonts w:ascii="Arial Narrow" w:hAnsi="Arial Narrow" w:cs="Calibri" w:hint="eastAsia"/>
                <w:color w:val="000000"/>
                <w:w w:val="15"/>
                <w:sz w:val="20"/>
                <w:szCs w:val="18"/>
                <w:shd w:val="solid" w:color="000000" w:fill="000000"/>
                <w:fitText w:val="16" w:id="-1301006330"/>
                <w14:textFill>
                  <w14:solidFill>
                    <w14:srgbClr w14:val="000000">
                      <w14:alpha w14:val="100000"/>
                    </w14:srgbClr>
                  </w14:solidFill>
                </w14:textFill>
              </w:rPr>
              <w:t xml:space="preserve">　</w:t>
            </w:r>
            <w:r w:rsidRPr="00BE0EE6">
              <w:rPr>
                <w:rFonts w:ascii="Arial Narrow" w:hAnsi="Arial Narrow" w:cs="Calibri"/>
                <w:color w:val="000000"/>
                <w:w w:val="15"/>
                <w:sz w:val="20"/>
                <w:szCs w:val="18"/>
                <w:shd w:val="solid" w:color="000000" w:fill="000000"/>
                <w:fitText w:val="16" w:id="-1301006330"/>
                <w14:textFill>
                  <w14:solidFill>
                    <w14:srgbClr w14:val="000000">
                      <w14:alpha w14:val="100000"/>
                    </w14:srgbClr>
                  </w14:solidFill>
                </w14:textFill>
              </w:rPr>
              <w:t>|</w:t>
            </w:r>
            <w:r w:rsidRPr="00BE0EE6">
              <w:rPr>
                <w:rFonts w:ascii="Arial Narrow" w:hAnsi="Arial Narrow" w:cs="Calibri" w:hint="eastAsia"/>
                <w:color w:val="000000"/>
                <w:spacing w:val="-49"/>
                <w:w w:val="15"/>
                <w:sz w:val="20"/>
                <w:szCs w:val="18"/>
                <w:shd w:val="solid" w:color="000000" w:fill="000000"/>
                <w:fitText w:val="16" w:id="-1301006330"/>
                <w14:textFill>
                  <w14:solidFill>
                    <w14:srgbClr w14:val="000000">
                      <w14:alpha w14:val="100000"/>
                    </w14:srgbClr>
                  </w14:solidFill>
                </w14:textFill>
              </w:rPr>
              <w:t xml:space="preserve">　</w:t>
            </w:r>
            <w:r w:rsidR="004C11F6" w:rsidRPr="004C11F6">
              <w:rPr>
                <w:vertAlign w:val="superscript"/>
              </w:rPr>
              <w:t>4</w:t>
            </w:r>
          </w:p>
        </w:tc>
        <w:tc>
          <w:tcPr>
            <w:tcW w:w="600" w:type="pct"/>
            <w:vAlign w:val="center"/>
          </w:tcPr>
          <w:p w14:paraId="437E4BBC" w14:textId="29F79900" w:rsidR="00F97679" w:rsidRPr="00E331B7" w:rsidDel="00F97679" w:rsidRDefault="00A00783" w:rsidP="00FD2539">
            <w:pPr>
              <w:pStyle w:val="TableText0"/>
              <w:jc w:val="center"/>
              <w:rPr>
                <w:rFonts w:cs="Times New Roman"/>
              </w:rPr>
            </w:pPr>
            <w:r w:rsidRPr="00E331B7">
              <w:rPr>
                <w:rFonts w:cs="Times New Roman"/>
              </w:rPr>
              <w:t>131%</w:t>
            </w:r>
          </w:p>
        </w:tc>
      </w:tr>
      <w:tr w:rsidR="00A00783" w:rsidRPr="00E331B7" w14:paraId="40F697B6" w14:textId="77777777" w:rsidTr="00A00783">
        <w:trPr>
          <w:cantSplit/>
          <w:trHeight w:val="270"/>
        </w:trPr>
        <w:tc>
          <w:tcPr>
            <w:tcW w:w="5000" w:type="pct"/>
            <w:gridSpan w:val="5"/>
            <w:vAlign w:val="center"/>
          </w:tcPr>
          <w:p w14:paraId="341FBF31" w14:textId="42DB2B94" w:rsidR="00A00783" w:rsidRPr="00E331B7" w:rsidRDefault="00A00783" w:rsidP="00A00783">
            <w:pPr>
              <w:pStyle w:val="TableText0"/>
              <w:rPr>
                <w:rFonts w:cs="Times New Roman"/>
              </w:rPr>
            </w:pPr>
            <w:r w:rsidRPr="00E331B7">
              <w:rPr>
                <w:rFonts w:cs="Times New Roman"/>
              </w:rPr>
              <w:t>Assuming uniform discount rate (5%), 50 year time horizon, extrapolation of PFS for selumetinib (lognormal) and TTD (loglogistic), same progression-free utility values for both arms (0.74)</w:t>
            </w:r>
          </w:p>
        </w:tc>
      </w:tr>
      <w:tr w:rsidR="00A00783" w:rsidRPr="00E331B7" w14:paraId="4AB31CE8" w14:textId="77777777" w:rsidTr="00F66E51">
        <w:trPr>
          <w:cantSplit/>
          <w:trHeight w:val="270"/>
        </w:trPr>
        <w:tc>
          <w:tcPr>
            <w:tcW w:w="1894" w:type="pct"/>
            <w:vAlign w:val="center"/>
          </w:tcPr>
          <w:p w14:paraId="466D6D5A" w14:textId="77777777" w:rsidR="00A00783" w:rsidRPr="00E331B7" w:rsidRDefault="00A00783" w:rsidP="00FD2539">
            <w:pPr>
              <w:pStyle w:val="TableText0"/>
              <w:rPr>
                <w:rFonts w:cs="Times New Roman"/>
              </w:rPr>
            </w:pPr>
          </w:p>
        </w:tc>
        <w:tc>
          <w:tcPr>
            <w:tcW w:w="777" w:type="pct"/>
            <w:shd w:val="solid" w:color="000000" w:fill="000000"/>
            <w:vAlign w:val="center"/>
          </w:tcPr>
          <w:p w14:paraId="6F08E81D" w14:textId="4572C871" w:rsidR="00A00783" w:rsidRPr="00F66E51" w:rsidRDefault="00F66E51" w:rsidP="00A00783">
            <w:pPr>
              <w:jc w:val="center"/>
              <w:rPr>
                <w:rFonts w:cs="Calibri"/>
                <w:color w:val="808080"/>
                <w:sz w:val="28"/>
                <w:szCs w:val="28"/>
              </w:rPr>
            </w:pPr>
            <w:r w:rsidRPr="00775A5E">
              <w:rPr>
                <w:rFonts w:ascii="Arial Narrow" w:hAnsi="Arial Narrow" w:cs="Calibri" w:hint="eastAsia"/>
                <w:bCs/>
                <w:color w:val="000000"/>
                <w:w w:val="31"/>
                <w:sz w:val="20"/>
                <w:szCs w:val="18"/>
                <w:fitText w:val="139" w:id="-1301006329"/>
                <w14:textFill>
                  <w14:solidFill>
                    <w14:srgbClr w14:val="000000">
                      <w14:alpha w14:val="100000"/>
                    </w14:srgbClr>
                  </w14:solidFill>
                </w14:textFill>
              </w:rPr>
              <w:t xml:space="preserve">　</w:t>
            </w:r>
            <w:r w:rsidRPr="00775A5E">
              <w:rPr>
                <w:rFonts w:ascii="Arial Narrow" w:hAnsi="Arial Narrow" w:cs="Calibri"/>
                <w:bCs/>
                <w:color w:val="000000"/>
                <w:w w:val="31"/>
                <w:sz w:val="20"/>
                <w:szCs w:val="18"/>
                <w:fitText w:val="139" w:id="-1301006329"/>
                <w14:textFill>
                  <w14:solidFill>
                    <w14:srgbClr w14:val="000000">
                      <w14:alpha w14:val="100000"/>
                    </w14:srgbClr>
                  </w14:solidFill>
                </w14:textFill>
              </w:rPr>
              <w:t>|</w:t>
            </w:r>
            <w:r w:rsidRPr="00775A5E">
              <w:rPr>
                <w:rFonts w:ascii="Arial Narrow" w:hAnsi="Arial Narrow" w:cs="Calibri" w:hint="eastAsia"/>
                <w:bCs/>
                <w:color w:val="000000"/>
                <w:w w:val="31"/>
                <w:sz w:val="20"/>
                <w:szCs w:val="18"/>
                <w:fitText w:val="139" w:id="-1301006329"/>
                <w14:textFill>
                  <w14:solidFill>
                    <w14:srgbClr w14:val="000000">
                      <w14:alpha w14:val="100000"/>
                    </w14:srgbClr>
                  </w14:solidFill>
                </w14:textFill>
              </w:rPr>
              <w:t xml:space="preserve">　</w:t>
            </w:r>
          </w:p>
        </w:tc>
        <w:tc>
          <w:tcPr>
            <w:tcW w:w="777" w:type="pct"/>
            <w:vAlign w:val="center"/>
          </w:tcPr>
          <w:p w14:paraId="43BD993F" w14:textId="1FCD0B3B" w:rsidR="00A00783" w:rsidRPr="00E331B7" w:rsidRDefault="00A00783" w:rsidP="00A00783">
            <w:pPr>
              <w:jc w:val="center"/>
              <w:rPr>
                <w:rFonts w:ascii="Arial Narrow" w:hAnsi="Arial Narrow" w:cs="Calibri"/>
                <w:bCs/>
                <w:sz w:val="20"/>
                <w:szCs w:val="18"/>
              </w:rPr>
            </w:pPr>
            <w:r w:rsidRPr="00E331B7">
              <w:rPr>
                <w:rFonts w:ascii="Arial Narrow" w:hAnsi="Arial Narrow" w:cs="Calibri"/>
                <w:bCs/>
                <w:sz w:val="20"/>
                <w:szCs w:val="18"/>
              </w:rPr>
              <w:t>2.40</w:t>
            </w:r>
          </w:p>
        </w:tc>
        <w:tc>
          <w:tcPr>
            <w:tcW w:w="952" w:type="pct"/>
            <w:vAlign w:val="center"/>
          </w:tcPr>
          <w:p w14:paraId="5BACD157" w14:textId="135F7909" w:rsidR="00A00783" w:rsidRPr="00E331B7" w:rsidRDefault="00F66E51" w:rsidP="00A00783">
            <w:pPr>
              <w:jc w:val="center"/>
              <w:rPr>
                <w:rFonts w:ascii="Arial Narrow" w:hAnsi="Arial Narrow" w:cs="Calibri"/>
                <w:bCs/>
                <w:sz w:val="20"/>
                <w:szCs w:val="18"/>
              </w:rPr>
            </w:pPr>
            <w:r w:rsidRPr="00BE0EE6">
              <w:rPr>
                <w:rFonts w:ascii="Arial Narrow" w:hAnsi="Arial Narrow" w:cs="Calibri" w:hint="eastAsia"/>
                <w:bCs/>
                <w:color w:val="000000"/>
                <w:w w:val="15"/>
                <w:sz w:val="20"/>
                <w:szCs w:val="18"/>
                <w:shd w:val="solid" w:color="000000" w:fill="000000"/>
                <w:fitText w:val="16" w:id="-1301006328"/>
                <w14:textFill>
                  <w14:solidFill>
                    <w14:srgbClr w14:val="000000">
                      <w14:alpha w14:val="100000"/>
                    </w14:srgbClr>
                  </w14:solidFill>
                </w14:textFill>
              </w:rPr>
              <w:t xml:space="preserve">　</w:t>
            </w:r>
            <w:r w:rsidRPr="00BE0EE6">
              <w:rPr>
                <w:rFonts w:ascii="Arial Narrow" w:hAnsi="Arial Narrow" w:cs="Calibri"/>
                <w:bCs/>
                <w:color w:val="000000"/>
                <w:w w:val="15"/>
                <w:sz w:val="20"/>
                <w:szCs w:val="18"/>
                <w:shd w:val="solid" w:color="000000" w:fill="000000"/>
                <w:fitText w:val="16" w:id="-1301006328"/>
                <w14:textFill>
                  <w14:solidFill>
                    <w14:srgbClr w14:val="000000">
                      <w14:alpha w14:val="100000"/>
                    </w14:srgbClr>
                  </w14:solidFill>
                </w14:textFill>
              </w:rPr>
              <w:t>|</w:t>
            </w:r>
            <w:r w:rsidRPr="00BE0EE6">
              <w:rPr>
                <w:rFonts w:ascii="Arial Narrow" w:hAnsi="Arial Narrow" w:cs="Calibri" w:hint="eastAsia"/>
                <w:bCs/>
                <w:color w:val="000000"/>
                <w:spacing w:val="-49"/>
                <w:w w:val="15"/>
                <w:sz w:val="20"/>
                <w:szCs w:val="18"/>
                <w:shd w:val="solid" w:color="000000" w:fill="000000"/>
                <w:fitText w:val="16" w:id="-1301006328"/>
                <w14:textFill>
                  <w14:solidFill>
                    <w14:srgbClr w14:val="000000">
                      <w14:alpha w14:val="100000"/>
                    </w14:srgbClr>
                  </w14:solidFill>
                </w14:textFill>
              </w:rPr>
              <w:t xml:space="preserve">　</w:t>
            </w:r>
            <w:r w:rsidR="004C11F6" w:rsidRPr="004C11F6">
              <w:rPr>
                <w:vertAlign w:val="superscript"/>
              </w:rPr>
              <w:t>7</w:t>
            </w:r>
          </w:p>
        </w:tc>
        <w:tc>
          <w:tcPr>
            <w:tcW w:w="600" w:type="pct"/>
            <w:vAlign w:val="center"/>
          </w:tcPr>
          <w:p w14:paraId="0FE7CD13" w14:textId="72A1B0A5" w:rsidR="00A00783" w:rsidRPr="00E331B7" w:rsidRDefault="00577374" w:rsidP="00FD2539">
            <w:pPr>
              <w:pStyle w:val="TableText0"/>
              <w:jc w:val="center"/>
              <w:rPr>
                <w:rFonts w:cs="Times New Roman"/>
              </w:rPr>
            </w:pPr>
            <w:r w:rsidRPr="00E331B7">
              <w:rPr>
                <w:rFonts w:cs="Times New Roman"/>
              </w:rPr>
              <w:t>247</w:t>
            </w:r>
            <w:r w:rsidR="00A00783" w:rsidRPr="00E331B7">
              <w:rPr>
                <w:rFonts w:cs="Times New Roman"/>
              </w:rPr>
              <w:t>%</w:t>
            </w:r>
          </w:p>
        </w:tc>
      </w:tr>
    </w:tbl>
    <w:p w14:paraId="0F4C280D" w14:textId="6D5D716B" w:rsidR="00D23D11" w:rsidRDefault="00D23D11" w:rsidP="00BB732D">
      <w:pPr>
        <w:pStyle w:val="FooterTableFigure"/>
        <w:rPr>
          <w:rStyle w:val="CommentReference"/>
        </w:rPr>
      </w:pPr>
      <w:r>
        <w:t xml:space="preserve">Source: </w:t>
      </w:r>
      <w:r w:rsidR="00FA4ED1" w:rsidRPr="00FA4ED1">
        <w:t>Table 3.31, pp221-222 and Table 3.32, p222-223 of the submission.</w:t>
      </w:r>
    </w:p>
    <w:p w14:paraId="1565C9D2" w14:textId="34A98794" w:rsidR="008215FB" w:rsidRPr="00F94D24" w:rsidRDefault="00B7166D" w:rsidP="009902F7">
      <w:pPr>
        <w:pStyle w:val="FooterTableFigure"/>
        <w:spacing w:after="0"/>
        <w:rPr>
          <w:rFonts w:eastAsia="Calibri"/>
          <w:szCs w:val="20"/>
        </w:rPr>
      </w:pPr>
      <w:r>
        <w:rPr>
          <w:rFonts w:eastAsia="Calibri"/>
          <w:szCs w:val="20"/>
        </w:rPr>
        <w:t xml:space="preserve">AIC = </w:t>
      </w:r>
      <w:r w:rsidRPr="00B7166D">
        <w:rPr>
          <w:rFonts w:eastAsia="Calibri"/>
          <w:szCs w:val="20"/>
        </w:rPr>
        <w:t>Akaike's Information Criteria</w:t>
      </w:r>
      <w:r>
        <w:rPr>
          <w:rFonts w:eastAsia="Calibri"/>
          <w:szCs w:val="20"/>
        </w:rPr>
        <w:t>, BIC =</w:t>
      </w:r>
      <w:r w:rsidRPr="00B7166D">
        <w:t xml:space="preserve"> </w:t>
      </w:r>
      <w:r w:rsidRPr="00B7166D">
        <w:rPr>
          <w:rFonts w:eastAsia="Calibri"/>
          <w:szCs w:val="20"/>
        </w:rPr>
        <w:t>Bayesian Information Criteria</w:t>
      </w:r>
      <w:r>
        <w:rPr>
          <w:rFonts w:eastAsia="Calibri"/>
          <w:szCs w:val="20"/>
        </w:rPr>
        <w:t xml:space="preserve">, </w:t>
      </w:r>
      <w:r w:rsidR="007D0C78" w:rsidRPr="007D0C78">
        <w:rPr>
          <w:rFonts w:eastAsia="Calibri"/>
          <w:szCs w:val="20"/>
        </w:rPr>
        <w:t>ICER = Incremental cost-effective ratio, PFS = progression-free survival, TTD = time to discontinuation</w:t>
      </w:r>
      <w:r w:rsidR="007D0C78">
        <w:rPr>
          <w:rFonts w:eastAsia="Calibri"/>
          <w:szCs w:val="20"/>
        </w:rPr>
        <w:t xml:space="preserve">, </w:t>
      </w:r>
      <w:r w:rsidR="00D23D11" w:rsidRPr="001F4081">
        <w:rPr>
          <w:rFonts w:eastAsia="Calibri"/>
          <w:szCs w:val="20"/>
        </w:rPr>
        <w:t>QALY</w:t>
      </w:r>
      <w:r w:rsidR="009A2DCC">
        <w:rPr>
          <w:rFonts w:eastAsia="Calibri"/>
          <w:szCs w:val="20"/>
        </w:rPr>
        <w:t xml:space="preserve"> =</w:t>
      </w:r>
      <w:r w:rsidR="00D23D11" w:rsidRPr="001F4081">
        <w:rPr>
          <w:rFonts w:eastAsia="Calibri"/>
          <w:szCs w:val="20"/>
        </w:rPr>
        <w:t xml:space="preserve"> quality adjusted life year.</w:t>
      </w:r>
    </w:p>
    <w:p w14:paraId="74CC4A4C" w14:textId="77777777" w:rsidR="009902F7" w:rsidRPr="009A6D58" w:rsidRDefault="009902F7" w:rsidP="009902F7">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5C4B3567" w14:textId="2F06324B" w:rsidR="009902F7" w:rsidRPr="009A6D58" w:rsidRDefault="009902F7" w:rsidP="009902F7">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9902F7">
        <w:rPr>
          <w:rFonts w:ascii="Arial Narrow" w:hAnsi="Arial Narrow"/>
          <w:i/>
          <w:sz w:val="18"/>
          <w:szCs w:val="18"/>
        </w:rPr>
        <w:t>$95,000 to &lt; $115,000</w:t>
      </w:r>
    </w:p>
    <w:p w14:paraId="4C4C8A8E" w14:textId="7C3D92F0" w:rsidR="009902F7" w:rsidRPr="009A6D58" w:rsidRDefault="009902F7" w:rsidP="009902F7">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9902F7">
        <w:rPr>
          <w:rFonts w:ascii="Arial Narrow" w:hAnsi="Arial Narrow"/>
          <w:i/>
          <w:sz w:val="18"/>
          <w:szCs w:val="18"/>
        </w:rPr>
        <w:t>$55,000 to &lt; $75,000</w:t>
      </w:r>
    </w:p>
    <w:p w14:paraId="2F6C5722" w14:textId="528AE3F4" w:rsidR="009902F7" w:rsidRDefault="009902F7" w:rsidP="009902F7">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9902F7">
        <w:rPr>
          <w:rFonts w:ascii="Arial Narrow" w:hAnsi="Arial Narrow"/>
          <w:i/>
          <w:sz w:val="18"/>
          <w:szCs w:val="18"/>
        </w:rPr>
        <w:t>$135,000 to &lt; $155,000</w:t>
      </w:r>
    </w:p>
    <w:p w14:paraId="6A577C41" w14:textId="232FD755" w:rsidR="009902F7" w:rsidRDefault="009902F7" w:rsidP="009902F7">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9902F7">
        <w:rPr>
          <w:rFonts w:ascii="Arial Narrow" w:hAnsi="Arial Narrow"/>
          <w:i/>
          <w:sz w:val="18"/>
          <w:szCs w:val="18"/>
        </w:rPr>
        <w:t>$155,000 to &lt; $255,000</w:t>
      </w:r>
    </w:p>
    <w:p w14:paraId="3946BFB3" w14:textId="3C61D3DB" w:rsidR="009902F7" w:rsidRDefault="009902F7" w:rsidP="009902F7">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9902F7">
        <w:rPr>
          <w:rFonts w:ascii="Arial Narrow" w:hAnsi="Arial Narrow"/>
          <w:i/>
          <w:sz w:val="18"/>
          <w:szCs w:val="18"/>
        </w:rPr>
        <w:t>$115,000 to &lt; $135,000</w:t>
      </w:r>
    </w:p>
    <w:p w14:paraId="6A351A0E" w14:textId="5B95CD74" w:rsidR="009902F7" w:rsidRDefault="009902F7" w:rsidP="009902F7">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Pr="009902F7">
        <w:rPr>
          <w:rFonts w:ascii="Arial Narrow" w:hAnsi="Arial Narrow"/>
          <w:i/>
          <w:sz w:val="18"/>
          <w:szCs w:val="18"/>
        </w:rPr>
        <w:t>$75,000 to &lt; $95,000</w:t>
      </w:r>
    </w:p>
    <w:p w14:paraId="6008D5D0" w14:textId="78B6DCCC" w:rsidR="00465B07" w:rsidRPr="00466367" w:rsidRDefault="009902F7" w:rsidP="00466367">
      <w:pPr>
        <w:spacing w:after="120"/>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004C11F6" w:rsidRPr="004C11F6">
        <w:rPr>
          <w:rFonts w:ascii="Arial Narrow" w:hAnsi="Arial Narrow"/>
          <w:i/>
          <w:sz w:val="18"/>
          <w:szCs w:val="18"/>
        </w:rPr>
        <w:t>$255,000 to &lt; $355,000</w:t>
      </w:r>
    </w:p>
    <w:p w14:paraId="3224AF5E" w14:textId="79E21F15" w:rsidR="005346E5" w:rsidRPr="004C11F6" w:rsidRDefault="005346E5" w:rsidP="004C11F6">
      <w:pPr>
        <w:pStyle w:val="3-BodyText"/>
      </w:pPr>
      <w:r w:rsidRPr="00740B54">
        <w:t xml:space="preserve">The results of sensitivity analyses indicate that the model was most sensitive to discount rate. Applying a uniform discount rate of 5% (as per PBAC guidelines) to </w:t>
      </w:r>
      <w:r w:rsidRPr="00740B54">
        <w:lastRenderedPageBreak/>
        <w:t>outcomes instead of differential discounting increased the ICER by 9</w:t>
      </w:r>
      <w:r w:rsidR="00553151" w:rsidRPr="00740B54">
        <w:t>5</w:t>
      </w:r>
      <w:r w:rsidRPr="00740B54">
        <w:t xml:space="preserve">% to </w:t>
      </w:r>
      <w:r w:rsidR="004C11F6" w:rsidRPr="004C11F6">
        <w:t>$155,000 to &lt; $255,000</w:t>
      </w:r>
      <w:r w:rsidR="004C11F6">
        <w:t xml:space="preserve"> </w:t>
      </w:r>
      <w:r w:rsidR="00315A6D">
        <w:t xml:space="preserve">per </w:t>
      </w:r>
      <w:r w:rsidRPr="00740B54">
        <w:t>QALY</w:t>
      </w:r>
      <w:r w:rsidR="00315A6D">
        <w:t xml:space="preserve"> gained</w:t>
      </w:r>
      <w:r w:rsidRPr="004C11F6">
        <w:rPr>
          <w:i/>
          <w:iCs/>
        </w:rPr>
        <w:t xml:space="preserve">. </w:t>
      </w:r>
      <w:r>
        <w:t xml:space="preserve"> </w:t>
      </w:r>
    </w:p>
    <w:p w14:paraId="3054AEEB" w14:textId="3626625E" w:rsidR="004279AC" w:rsidRPr="004279AC" w:rsidRDefault="00315A6D" w:rsidP="00467E2E">
      <w:pPr>
        <w:pStyle w:val="3-BodyText"/>
        <w:rPr>
          <w:rFonts w:cstheme="minorHAnsi"/>
          <w:bCs/>
        </w:rPr>
      </w:pPr>
      <w:bookmarkStart w:id="92" w:name="_Ref120874393"/>
      <w:r w:rsidRPr="00E331B7">
        <w:t xml:space="preserve">The ESC considered that the </w:t>
      </w:r>
      <w:r w:rsidR="00F63472">
        <w:t xml:space="preserve">economic </w:t>
      </w:r>
      <w:r w:rsidRPr="00E331B7">
        <w:t>model provided in the submission w</w:t>
      </w:r>
      <w:r w:rsidR="00F63472">
        <w:t>as</w:t>
      </w:r>
      <w:r w:rsidRPr="00E331B7">
        <w:t xml:space="preserve"> optimistic and suggested </w:t>
      </w:r>
      <w:r w:rsidR="00580209" w:rsidRPr="00E331B7">
        <w:t>that a revised base case should apply</w:t>
      </w:r>
      <w:r w:rsidR="004279AC">
        <w:t>:</w:t>
      </w:r>
      <w:bookmarkEnd w:id="92"/>
      <w:r w:rsidR="00580209" w:rsidRPr="00E331B7">
        <w:t xml:space="preserve"> </w:t>
      </w:r>
    </w:p>
    <w:p w14:paraId="6600FFED" w14:textId="1A9DB478" w:rsidR="004279AC" w:rsidRPr="004279AC" w:rsidRDefault="00580209" w:rsidP="004279AC">
      <w:pPr>
        <w:pStyle w:val="3-BodyText"/>
        <w:numPr>
          <w:ilvl w:val="1"/>
          <w:numId w:val="31"/>
        </w:numPr>
        <w:ind w:left="1077" w:hanging="357"/>
        <w:rPr>
          <w:rFonts w:cstheme="minorHAnsi"/>
          <w:bCs/>
        </w:rPr>
      </w:pPr>
      <w:r w:rsidRPr="00E331B7">
        <w:t>a constant discount rate of 5% to costs and outcomes</w:t>
      </w:r>
      <w:r w:rsidR="004279AC">
        <w:t>. The pre-PBAC response stated that the revised base case applied a 5% discount rate to health benefits whilst a patient was on treatment</w:t>
      </w:r>
      <w:r w:rsidR="001B23C1">
        <w:t xml:space="preserve"> (i.e. up to the age of 24 years)</w:t>
      </w:r>
      <w:r w:rsidR="004279AC">
        <w:t xml:space="preserve">. The pre-PBAC response claimed that the application of the revised 3.5% rate to benefits for patients off treatment </w:t>
      </w:r>
      <w:r w:rsidR="001B23C1">
        <w:t xml:space="preserve">(i.e. patients over the age of 24 years) was appropriate as these patients had improved quality of life and it </w:t>
      </w:r>
      <w:r w:rsidR="004279AC">
        <w:t>re</w:t>
      </w:r>
      <w:r w:rsidR="001B23C1">
        <w:t>duced the uncertainties in the economic model</w:t>
      </w:r>
      <w:r w:rsidRPr="00E331B7">
        <w:t xml:space="preserve">, </w:t>
      </w:r>
    </w:p>
    <w:p w14:paraId="41619D68" w14:textId="515B375E" w:rsidR="004279AC" w:rsidRPr="004279AC" w:rsidRDefault="00580209" w:rsidP="004279AC">
      <w:pPr>
        <w:pStyle w:val="3-BodyText"/>
        <w:numPr>
          <w:ilvl w:val="1"/>
          <w:numId w:val="31"/>
        </w:numPr>
        <w:ind w:left="1077" w:hanging="357"/>
        <w:rPr>
          <w:rFonts w:cstheme="minorHAnsi"/>
          <w:bCs/>
        </w:rPr>
      </w:pPr>
      <w:r w:rsidRPr="00E331B7">
        <w:t>a time horizon of 50 years</w:t>
      </w:r>
      <w:r w:rsidR="001B23C1">
        <w:t>. The pre-PBAC response stated that there was no justification for a 50 year time horizon and that Evans et al (2011)</w:t>
      </w:r>
      <w:r w:rsidR="00C442EF">
        <w:rPr>
          <w:rStyle w:val="FootnoteReference"/>
        </w:rPr>
        <w:footnoteReference w:id="6"/>
      </w:r>
      <w:r w:rsidR="001B23C1">
        <w:t xml:space="preserve"> demonstrated a median survival of 71.5 years, based on estimates from 1,023 NF1 patients</w:t>
      </w:r>
      <w:r w:rsidR="005A1367">
        <w:t>;</w:t>
      </w:r>
      <w:r w:rsidR="00467E2E" w:rsidRPr="00E331B7">
        <w:t xml:space="preserve"> </w:t>
      </w:r>
    </w:p>
    <w:p w14:paraId="35E5046B" w14:textId="79644DA7" w:rsidR="004279AC" w:rsidRPr="004279AC" w:rsidRDefault="00467E2E" w:rsidP="004279AC">
      <w:pPr>
        <w:pStyle w:val="3-BodyText"/>
        <w:numPr>
          <w:ilvl w:val="1"/>
          <w:numId w:val="31"/>
        </w:numPr>
        <w:ind w:left="1077" w:hanging="357"/>
        <w:rPr>
          <w:rFonts w:cstheme="minorHAnsi"/>
          <w:bCs/>
        </w:rPr>
      </w:pPr>
      <w:r w:rsidRPr="00E331B7">
        <w:t>lognormal extrapolation for PFS in the selumetinib arm</w:t>
      </w:r>
      <w:r w:rsidR="00F63472">
        <w:t xml:space="preserve"> (this was accepted in the pre-PBAC response); </w:t>
      </w:r>
      <w:r w:rsidR="00580209" w:rsidRPr="00E331B7">
        <w:t xml:space="preserve">and </w:t>
      </w:r>
    </w:p>
    <w:p w14:paraId="1DBFE3C2" w14:textId="1D7AF0BE" w:rsidR="004279AC" w:rsidRPr="004279AC" w:rsidRDefault="00580209" w:rsidP="004279AC">
      <w:pPr>
        <w:pStyle w:val="3-BodyText"/>
        <w:numPr>
          <w:ilvl w:val="1"/>
          <w:numId w:val="31"/>
        </w:numPr>
        <w:ind w:left="1077" w:hanging="357"/>
        <w:rPr>
          <w:rFonts w:cstheme="minorHAnsi"/>
          <w:bCs/>
        </w:rPr>
      </w:pPr>
      <w:r w:rsidRPr="00E331B7">
        <w:t xml:space="preserve">uniform utility values to the progression free health state for both the selumetinib and standard care arms. </w:t>
      </w:r>
      <w:r w:rsidR="001B23C1">
        <w:t>The pre-PBAC response stated that the application of a uniform progression free utility value was not appropriate as it implied that patients on standard care experience the same rate of PN growth (or reduction) and quality of life as selumetinib patients.</w:t>
      </w:r>
    </w:p>
    <w:p w14:paraId="72CBE335" w14:textId="77777777" w:rsidR="00466367" w:rsidRDefault="00580209" w:rsidP="004C11F6">
      <w:pPr>
        <w:pStyle w:val="3-BodyText"/>
      </w:pPr>
      <w:r w:rsidRPr="00E331B7">
        <w:t xml:space="preserve">The ESC </w:t>
      </w:r>
      <w:r w:rsidR="00467E2E" w:rsidRPr="00E331B7">
        <w:t xml:space="preserve">noted the ICER for this scenario was </w:t>
      </w:r>
      <w:r w:rsidR="004C11F6" w:rsidRPr="004C11F6">
        <w:t>$155,000 to &lt; $255,000</w:t>
      </w:r>
      <w:r w:rsidR="004C11F6">
        <w:t xml:space="preserve"> </w:t>
      </w:r>
      <w:r w:rsidR="00686399" w:rsidRPr="00E331B7">
        <w:t>per</w:t>
      </w:r>
      <w:r w:rsidR="00467E2E" w:rsidRPr="00E331B7">
        <w:t xml:space="preserve"> QALY and </w:t>
      </w:r>
      <w:r w:rsidRPr="00E331B7">
        <w:t>advised that a price reduction would be required to ensure the cost effectiveness of selumetinib.</w:t>
      </w:r>
      <w:r w:rsidR="001F67A4" w:rsidRPr="00E331B7">
        <w:t xml:space="preserve"> The ESC noted the ICER was sensitive to assumptions regarding time to treatment discontinuation with the ICER increasing to </w:t>
      </w:r>
      <w:r w:rsidR="004C11F6" w:rsidRPr="004C11F6">
        <w:t>$255,000 to &lt; $355,000</w:t>
      </w:r>
      <w:r w:rsidR="004C11F6">
        <w:t xml:space="preserve"> </w:t>
      </w:r>
      <w:r w:rsidR="00686399" w:rsidRPr="00E331B7">
        <w:t xml:space="preserve">per </w:t>
      </w:r>
      <w:r w:rsidR="001F67A4" w:rsidRPr="00E331B7">
        <w:t xml:space="preserve">QALY using an alternative extrapolation assumption.  </w:t>
      </w:r>
    </w:p>
    <w:p w14:paraId="2AFF7D03" w14:textId="43630603" w:rsidR="00580209" w:rsidRPr="004C11F6" w:rsidRDefault="00580209" w:rsidP="00466367">
      <w:pPr>
        <w:pStyle w:val="3-BodyText"/>
        <w:numPr>
          <w:ilvl w:val="0"/>
          <w:numId w:val="0"/>
        </w:numPr>
        <w:ind w:left="720"/>
      </w:pPr>
    </w:p>
    <w:p w14:paraId="472842D7" w14:textId="351631C8" w:rsidR="00C25D9C" w:rsidRDefault="00C25D9C" w:rsidP="00BB732D">
      <w:pPr>
        <w:pStyle w:val="4-SubsectionHeading"/>
      </w:pPr>
      <w:bookmarkStart w:id="93" w:name="_Toc22897646"/>
      <w:bookmarkStart w:id="94" w:name="_Toc114041594"/>
      <w:r w:rsidRPr="002C2775">
        <w:lastRenderedPageBreak/>
        <w:t>Drug</w:t>
      </w:r>
      <w:r w:rsidR="000B2E7B">
        <w:t xml:space="preserve"> </w:t>
      </w:r>
      <w:r w:rsidRPr="002C2775">
        <w:t>cost/patient/year</w:t>
      </w:r>
      <w:bookmarkEnd w:id="93"/>
      <w:bookmarkEnd w:id="94"/>
    </w:p>
    <w:p w14:paraId="51691BD3" w14:textId="4B4BB130" w:rsidR="00494207" w:rsidRPr="00BB732D" w:rsidRDefault="00E16AD8" w:rsidP="00E16AD8">
      <w:pPr>
        <w:pStyle w:val="Caption"/>
        <w:rPr>
          <w:rStyle w:val="CommentReference"/>
          <w:b/>
          <w:szCs w:val="24"/>
        </w:rPr>
      </w:pPr>
      <w:bookmarkStart w:id="95" w:name="_Ref104805102"/>
      <w:r>
        <w:t xml:space="preserve">Table </w:t>
      </w:r>
      <w:fldSimple w:instr=" SEQ Table \* ARABIC ">
        <w:r w:rsidR="00BE0EE6">
          <w:rPr>
            <w:noProof/>
          </w:rPr>
          <w:t>12</w:t>
        </w:r>
      </w:fldSimple>
      <w:bookmarkEnd w:id="95"/>
      <w:r>
        <w:t>:</w:t>
      </w:r>
      <w:r w:rsidR="00494207" w:rsidRPr="00BB732D">
        <w:rPr>
          <w:rStyle w:val="CommentReference"/>
          <w:b/>
          <w:szCs w:val="24"/>
        </w:rPr>
        <w:t xml:space="preserve"> Drug cost per patient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79"/>
        <w:gridCol w:w="1430"/>
        <w:gridCol w:w="1555"/>
        <w:gridCol w:w="1555"/>
        <w:gridCol w:w="2498"/>
      </w:tblGrid>
      <w:tr w:rsidR="00502231" w:rsidRPr="00E2771E" w14:paraId="21AC90BD" w14:textId="77777777" w:rsidTr="00F66E51">
        <w:trPr>
          <w:cantSplit/>
          <w:tblHeader/>
          <w:jc w:val="center"/>
        </w:trPr>
        <w:tc>
          <w:tcPr>
            <w:tcW w:w="1098" w:type="pct"/>
            <w:shd w:val="clear" w:color="auto" w:fill="auto"/>
          </w:tcPr>
          <w:p w14:paraId="485D48B1" w14:textId="4989F5E1" w:rsidR="00502231" w:rsidRPr="0046474C" w:rsidRDefault="00502231" w:rsidP="00F37C46">
            <w:pPr>
              <w:pStyle w:val="TableText0"/>
              <w:jc w:val="center"/>
              <w:rPr>
                <w:b/>
                <w:bCs w:val="0"/>
              </w:rPr>
            </w:pPr>
            <w:r w:rsidRPr="0046474C">
              <w:rPr>
                <w:b/>
                <w:bCs w:val="0"/>
              </w:rPr>
              <w:t>Body surface area (m</w:t>
            </w:r>
            <w:r w:rsidRPr="0046474C">
              <w:rPr>
                <w:b/>
                <w:bCs w:val="0"/>
                <w:vertAlign w:val="superscript"/>
              </w:rPr>
              <w:t>2</w:t>
            </w:r>
            <w:r w:rsidRPr="0046474C">
              <w:rPr>
                <w:b/>
                <w:bCs w:val="0"/>
              </w:rPr>
              <w:t xml:space="preserve">) </w:t>
            </w:r>
            <w:r w:rsidRPr="0046474C">
              <w:rPr>
                <w:b/>
                <w:bCs w:val="0"/>
                <w:vertAlign w:val="superscript"/>
              </w:rPr>
              <w:t>a</w:t>
            </w:r>
          </w:p>
        </w:tc>
        <w:tc>
          <w:tcPr>
            <w:tcW w:w="793" w:type="pct"/>
            <w:shd w:val="clear" w:color="auto" w:fill="auto"/>
          </w:tcPr>
          <w:p w14:paraId="3642530E" w14:textId="1400FB0A" w:rsidR="00502231" w:rsidRPr="0046474C" w:rsidRDefault="00502231" w:rsidP="00F37C46">
            <w:pPr>
              <w:pStyle w:val="TableText0"/>
              <w:jc w:val="center"/>
              <w:rPr>
                <w:b/>
                <w:bCs w:val="0"/>
              </w:rPr>
            </w:pPr>
            <w:r w:rsidRPr="0046474C">
              <w:rPr>
                <w:b/>
                <w:bCs w:val="0"/>
              </w:rPr>
              <w:t>Dose (mg)</w:t>
            </w:r>
          </w:p>
        </w:tc>
        <w:tc>
          <w:tcPr>
            <w:tcW w:w="862" w:type="pct"/>
            <w:tcBorders>
              <w:bottom w:val="single" w:sz="4" w:space="0" w:color="auto"/>
            </w:tcBorders>
          </w:tcPr>
          <w:p w14:paraId="6662B1D1" w14:textId="0825FDE9" w:rsidR="00502231" w:rsidRPr="0046474C" w:rsidRDefault="00502231" w:rsidP="00F37C46">
            <w:pPr>
              <w:pStyle w:val="TableText0"/>
              <w:jc w:val="center"/>
              <w:rPr>
                <w:b/>
                <w:bCs w:val="0"/>
              </w:rPr>
            </w:pPr>
            <w:r w:rsidRPr="0046474C">
              <w:rPr>
                <w:b/>
                <w:bCs w:val="0"/>
              </w:rPr>
              <w:t>Cost/dose</w:t>
            </w:r>
            <w:r w:rsidR="00D060C7">
              <w:rPr>
                <w:b/>
                <w:bCs w:val="0"/>
              </w:rPr>
              <w:t xml:space="preserve"> ($)</w:t>
            </w:r>
          </w:p>
        </w:tc>
        <w:tc>
          <w:tcPr>
            <w:tcW w:w="862" w:type="pct"/>
            <w:tcBorders>
              <w:bottom w:val="single" w:sz="4" w:space="0" w:color="auto"/>
            </w:tcBorders>
            <w:shd w:val="clear" w:color="auto" w:fill="auto"/>
          </w:tcPr>
          <w:p w14:paraId="250CD479" w14:textId="3D539400" w:rsidR="00502231" w:rsidRPr="0046474C" w:rsidRDefault="00502231" w:rsidP="00F37C46">
            <w:pPr>
              <w:pStyle w:val="TableText0"/>
              <w:jc w:val="center"/>
              <w:rPr>
                <w:b/>
                <w:bCs w:val="0"/>
              </w:rPr>
            </w:pPr>
            <w:r w:rsidRPr="0046474C">
              <w:rPr>
                <w:b/>
                <w:bCs w:val="0"/>
              </w:rPr>
              <w:t>Cost/day</w:t>
            </w:r>
            <w:r w:rsidR="00D060C7">
              <w:rPr>
                <w:b/>
                <w:bCs w:val="0"/>
              </w:rPr>
              <w:t xml:space="preserve"> ($)</w:t>
            </w:r>
          </w:p>
        </w:tc>
        <w:tc>
          <w:tcPr>
            <w:tcW w:w="1386" w:type="pct"/>
            <w:tcBorders>
              <w:bottom w:val="single" w:sz="4" w:space="0" w:color="auto"/>
            </w:tcBorders>
            <w:shd w:val="clear" w:color="auto" w:fill="auto"/>
          </w:tcPr>
          <w:p w14:paraId="44C76606" w14:textId="18CA5F70" w:rsidR="00502231" w:rsidRPr="0046474C" w:rsidRDefault="00502231" w:rsidP="00F37C46">
            <w:pPr>
              <w:pStyle w:val="TableText0"/>
              <w:jc w:val="center"/>
              <w:rPr>
                <w:b/>
                <w:bCs w:val="0"/>
              </w:rPr>
            </w:pPr>
            <w:r w:rsidRPr="0046474C">
              <w:rPr>
                <w:b/>
                <w:bCs w:val="0"/>
              </w:rPr>
              <w:t>Cost/annum</w:t>
            </w:r>
            <w:r w:rsidR="00D060C7">
              <w:rPr>
                <w:b/>
                <w:bCs w:val="0"/>
              </w:rPr>
              <w:t xml:space="preserve"> ($)</w:t>
            </w:r>
          </w:p>
        </w:tc>
      </w:tr>
      <w:tr w:rsidR="00502231" w:rsidRPr="00E2771E" w14:paraId="745DAF0B" w14:textId="77777777" w:rsidTr="00F66E51">
        <w:trPr>
          <w:cantSplit/>
          <w:jc w:val="center"/>
        </w:trPr>
        <w:tc>
          <w:tcPr>
            <w:tcW w:w="1098" w:type="pct"/>
            <w:shd w:val="clear" w:color="auto" w:fill="auto"/>
          </w:tcPr>
          <w:p w14:paraId="743973CE" w14:textId="03538FFD" w:rsidR="00502231" w:rsidRPr="001F5BDA" w:rsidRDefault="00502231" w:rsidP="0046474C">
            <w:pPr>
              <w:pStyle w:val="TableText0"/>
              <w:rPr>
                <w:lang w:val="en-US"/>
              </w:rPr>
            </w:pPr>
            <w:r w:rsidRPr="00F35B3A">
              <w:t>0.55-0.69</w:t>
            </w:r>
          </w:p>
        </w:tc>
        <w:tc>
          <w:tcPr>
            <w:tcW w:w="793" w:type="pct"/>
            <w:shd w:val="clear" w:color="auto" w:fill="auto"/>
          </w:tcPr>
          <w:p w14:paraId="5B1C9B2C" w14:textId="37C79076" w:rsidR="00502231" w:rsidRPr="009C47B4" w:rsidRDefault="00502231" w:rsidP="0046474C">
            <w:pPr>
              <w:pStyle w:val="TableText0"/>
              <w:jc w:val="center"/>
              <w:rPr>
                <w:lang w:val="en-US"/>
              </w:rPr>
            </w:pPr>
            <w:r w:rsidRPr="00F35B3A">
              <w:t>20 then 10</w:t>
            </w:r>
          </w:p>
        </w:tc>
        <w:tc>
          <w:tcPr>
            <w:tcW w:w="862" w:type="pct"/>
            <w:tcBorders>
              <w:bottom w:val="single" w:sz="4" w:space="0" w:color="auto"/>
            </w:tcBorders>
            <w:shd w:val="solid" w:color="000000" w:fill="000000"/>
          </w:tcPr>
          <w:p w14:paraId="5D1CEB2F" w14:textId="15CF5A76" w:rsidR="00502231" w:rsidRPr="00F66E51" w:rsidRDefault="00F66E51" w:rsidP="0046474C">
            <w:pPr>
              <w:pStyle w:val="TableText0"/>
              <w:jc w:val="center"/>
              <w:rPr>
                <w:b/>
                <w:lang w:val="en-US"/>
              </w:rPr>
            </w:pPr>
            <w:r w:rsidRPr="00F66E51">
              <w:rPr>
                <w:color w:val="000000"/>
                <w14:textFill>
                  <w14:solidFill>
                    <w14:srgbClr w14:val="000000">
                      <w14:alpha w14:val="100000"/>
                    </w14:srgbClr>
                  </w14:solidFill>
                </w14:textFill>
              </w:rPr>
              <w:t>|</w:t>
            </w:r>
          </w:p>
        </w:tc>
        <w:tc>
          <w:tcPr>
            <w:tcW w:w="862" w:type="pct"/>
            <w:tcBorders>
              <w:bottom w:val="single" w:sz="4" w:space="0" w:color="auto"/>
            </w:tcBorders>
            <w:shd w:val="solid" w:color="000000" w:fill="000000"/>
          </w:tcPr>
          <w:p w14:paraId="7379D234" w14:textId="580152D4" w:rsidR="00502231" w:rsidRPr="00F66E51" w:rsidRDefault="00F66E51" w:rsidP="0046474C">
            <w:pPr>
              <w:pStyle w:val="TableText0"/>
              <w:jc w:val="center"/>
              <w:rPr>
                <w:b/>
                <w:lang w:val="en-US"/>
              </w:rPr>
            </w:pPr>
            <w:r w:rsidRPr="00F66E51">
              <w:rPr>
                <w:color w:val="000000"/>
                <w14:textFill>
                  <w14:solidFill>
                    <w14:srgbClr w14:val="000000">
                      <w14:alpha w14:val="100000"/>
                    </w14:srgbClr>
                  </w14:solidFill>
                </w14:textFill>
              </w:rPr>
              <w:t>|</w:t>
            </w:r>
          </w:p>
        </w:tc>
        <w:tc>
          <w:tcPr>
            <w:tcW w:w="1386" w:type="pct"/>
            <w:tcBorders>
              <w:bottom w:val="single" w:sz="4" w:space="0" w:color="auto"/>
            </w:tcBorders>
            <w:shd w:val="solid" w:color="000000" w:fill="000000"/>
          </w:tcPr>
          <w:p w14:paraId="23821253" w14:textId="6F2CE986" w:rsidR="00502231" w:rsidRPr="00F66E51" w:rsidRDefault="00F66E51" w:rsidP="0046474C">
            <w:pPr>
              <w:pStyle w:val="TableText0"/>
              <w:jc w:val="center"/>
              <w:rPr>
                <w:b/>
                <w:lang w:val="en-US"/>
              </w:rPr>
            </w:pPr>
            <w:r w:rsidRPr="00F66E51">
              <w:rPr>
                <w:color w:val="000000"/>
                <w14:textFill>
                  <w14:solidFill>
                    <w14:srgbClr w14:val="000000">
                      <w14:alpha w14:val="100000"/>
                    </w14:srgbClr>
                  </w14:solidFill>
                </w14:textFill>
              </w:rPr>
              <w:t>|</w:t>
            </w:r>
          </w:p>
        </w:tc>
      </w:tr>
      <w:tr w:rsidR="00502231" w:rsidRPr="00E2771E" w14:paraId="0B84FE33" w14:textId="77777777" w:rsidTr="00F66E51">
        <w:trPr>
          <w:cantSplit/>
          <w:jc w:val="center"/>
        </w:trPr>
        <w:tc>
          <w:tcPr>
            <w:tcW w:w="1098" w:type="pct"/>
            <w:shd w:val="clear" w:color="auto" w:fill="auto"/>
          </w:tcPr>
          <w:p w14:paraId="49111F6C" w14:textId="404DB832" w:rsidR="00502231" w:rsidRPr="001F5BDA" w:rsidRDefault="00502231" w:rsidP="0046474C">
            <w:pPr>
              <w:pStyle w:val="TableText0"/>
              <w:rPr>
                <w:lang w:val="en-US"/>
              </w:rPr>
            </w:pPr>
            <w:r w:rsidRPr="00F35B3A">
              <w:t>0.70-0.89</w:t>
            </w:r>
          </w:p>
        </w:tc>
        <w:tc>
          <w:tcPr>
            <w:tcW w:w="793" w:type="pct"/>
            <w:shd w:val="clear" w:color="auto" w:fill="auto"/>
          </w:tcPr>
          <w:p w14:paraId="30EF57C3" w14:textId="00A02FB6" w:rsidR="00502231" w:rsidRPr="00E2771E" w:rsidRDefault="00502231" w:rsidP="0046474C">
            <w:pPr>
              <w:pStyle w:val="TableText0"/>
              <w:jc w:val="center"/>
              <w:rPr>
                <w:b/>
                <w:lang w:val="en-US"/>
              </w:rPr>
            </w:pPr>
            <w:r w:rsidRPr="00F35B3A">
              <w:t>20</w:t>
            </w:r>
          </w:p>
        </w:tc>
        <w:tc>
          <w:tcPr>
            <w:tcW w:w="862" w:type="pct"/>
            <w:tcBorders>
              <w:bottom w:val="single" w:sz="4" w:space="0" w:color="auto"/>
            </w:tcBorders>
            <w:shd w:val="solid" w:color="000000" w:fill="000000"/>
          </w:tcPr>
          <w:p w14:paraId="33C50805" w14:textId="4B65BB54" w:rsidR="00502231" w:rsidRPr="00F66E51" w:rsidRDefault="00F66E51" w:rsidP="0046474C">
            <w:pPr>
              <w:pStyle w:val="TableText0"/>
              <w:jc w:val="center"/>
              <w:rPr>
                <w:b/>
                <w:lang w:val="en-US"/>
              </w:rPr>
            </w:pPr>
            <w:r w:rsidRPr="00F66E51">
              <w:rPr>
                <w:color w:val="000000"/>
                <w14:textFill>
                  <w14:solidFill>
                    <w14:srgbClr w14:val="000000">
                      <w14:alpha w14:val="100000"/>
                    </w14:srgbClr>
                  </w14:solidFill>
                </w14:textFill>
              </w:rPr>
              <w:t>|</w:t>
            </w:r>
          </w:p>
        </w:tc>
        <w:tc>
          <w:tcPr>
            <w:tcW w:w="862" w:type="pct"/>
            <w:tcBorders>
              <w:bottom w:val="single" w:sz="4" w:space="0" w:color="auto"/>
            </w:tcBorders>
            <w:shd w:val="solid" w:color="000000" w:fill="000000"/>
          </w:tcPr>
          <w:p w14:paraId="6906B266" w14:textId="7EBECD7E" w:rsidR="00502231" w:rsidRPr="00F66E51" w:rsidRDefault="00F66E51" w:rsidP="0046474C">
            <w:pPr>
              <w:pStyle w:val="TableText0"/>
              <w:jc w:val="center"/>
              <w:rPr>
                <w:b/>
                <w:lang w:val="en-US"/>
              </w:rPr>
            </w:pPr>
            <w:r w:rsidRPr="00F66E51">
              <w:rPr>
                <w:color w:val="000000"/>
                <w14:textFill>
                  <w14:solidFill>
                    <w14:srgbClr w14:val="000000">
                      <w14:alpha w14:val="100000"/>
                    </w14:srgbClr>
                  </w14:solidFill>
                </w14:textFill>
              </w:rPr>
              <w:t>|</w:t>
            </w:r>
          </w:p>
        </w:tc>
        <w:tc>
          <w:tcPr>
            <w:tcW w:w="1386" w:type="pct"/>
            <w:tcBorders>
              <w:bottom w:val="single" w:sz="4" w:space="0" w:color="auto"/>
            </w:tcBorders>
            <w:shd w:val="solid" w:color="000000" w:fill="000000"/>
          </w:tcPr>
          <w:p w14:paraId="40F6D5BC" w14:textId="434BF29A" w:rsidR="00502231" w:rsidRPr="00F66E51" w:rsidRDefault="00F66E51" w:rsidP="0046474C">
            <w:pPr>
              <w:pStyle w:val="TableText0"/>
              <w:jc w:val="center"/>
              <w:rPr>
                <w:b/>
                <w:lang w:val="en-US"/>
              </w:rPr>
            </w:pPr>
            <w:r w:rsidRPr="00F66E51">
              <w:rPr>
                <w:color w:val="000000"/>
                <w14:textFill>
                  <w14:solidFill>
                    <w14:srgbClr w14:val="000000">
                      <w14:alpha w14:val="100000"/>
                    </w14:srgbClr>
                  </w14:solidFill>
                </w14:textFill>
              </w:rPr>
              <w:t>|</w:t>
            </w:r>
          </w:p>
        </w:tc>
      </w:tr>
      <w:tr w:rsidR="00502231" w:rsidRPr="00E2771E" w14:paraId="455F2922" w14:textId="77777777" w:rsidTr="00F66E51">
        <w:trPr>
          <w:cantSplit/>
          <w:jc w:val="center"/>
        </w:trPr>
        <w:tc>
          <w:tcPr>
            <w:tcW w:w="1098" w:type="pct"/>
            <w:shd w:val="clear" w:color="auto" w:fill="auto"/>
          </w:tcPr>
          <w:p w14:paraId="0818A7F9" w14:textId="0AC5F37A" w:rsidR="00502231" w:rsidRPr="00E2771E" w:rsidRDefault="00502231" w:rsidP="0046474C">
            <w:pPr>
              <w:pStyle w:val="TableText0"/>
              <w:rPr>
                <w:lang w:val="en-US"/>
              </w:rPr>
            </w:pPr>
            <w:r w:rsidRPr="00F35B3A">
              <w:t>0.90-1.09</w:t>
            </w:r>
          </w:p>
        </w:tc>
        <w:tc>
          <w:tcPr>
            <w:tcW w:w="793" w:type="pct"/>
            <w:shd w:val="clear" w:color="auto" w:fill="auto"/>
          </w:tcPr>
          <w:p w14:paraId="34F0ACD6" w14:textId="671A4ABD" w:rsidR="00502231" w:rsidRPr="00E2771E" w:rsidRDefault="00502231" w:rsidP="0046474C">
            <w:pPr>
              <w:pStyle w:val="TableText0"/>
              <w:jc w:val="center"/>
              <w:rPr>
                <w:lang w:val="en-US"/>
              </w:rPr>
            </w:pPr>
            <w:r w:rsidRPr="00F35B3A">
              <w:t>25</w:t>
            </w:r>
          </w:p>
        </w:tc>
        <w:tc>
          <w:tcPr>
            <w:tcW w:w="862" w:type="pct"/>
            <w:tcBorders>
              <w:bottom w:val="single" w:sz="4" w:space="0" w:color="auto"/>
            </w:tcBorders>
            <w:shd w:val="solid" w:color="000000" w:fill="000000"/>
          </w:tcPr>
          <w:p w14:paraId="06E6AD09" w14:textId="77328FBF" w:rsidR="00502231" w:rsidRPr="00F66E51" w:rsidRDefault="00F66E51" w:rsidP="0046474C">
            <w:pPr>
              <w:pStyle w:val="TableText0"/>
              <w:jc w:val="center"/>
              <w:rPr>
                <w:lang w:val="en-US"/>
              </w:rPr>
            </w:pPr>
            <w:r w:rsidRPr="00F66E51">
              <w:rPr>
                <w:color w:val="000000"/>
                <w14:textFill>
                  <w14:solidFill>
                    <w14:srgbClr w14:val="000000">
                      <w14:alpha w14:val="100000"/>
                    </w14:srgbClr>
                  </w14:solidFill>
                </w14:textFill>
              </w:rPr>
              <w:t>|</w:t>
            </w:r>
          </w:p>
        </w:tc>
        <w:tc>
          <w:tcPr>
            <w:tcW w:w="862" w:type="pct"/>
            <w:tcBorders>
              <w:bottom w:val="single" w:sz="4" w:space="0" w:color="auto"/>
            </w:tcBorders>
            <w:shd w:val="solid" w:color="000000" w:fill="000000"/>
          </w:tcPr>
          <w:p w14:paraId="10235C1F" w14:textId="4B2577F4" w:rsidR="00502231" w:rsidRPr="00F66E51" w:rsidRDefault="00F66E51" w:rsidP="0046474C">
            <w:pPr>
              <w:pStyle w:val="TableText0"/>
              <w:jc w:val="center"/>
              <w:rPr>
                <w:lang w:val="en-US"/>
              </w:rPr>
            </w:pPr>
            <w:r w:rsidRPr="00F66E51">
              <w:rPr>
                <w:color w:val="000000"/>
                <w14:textFill>
                  <w14:solidFill>
                    <w14:srgbClr w14:val="000000">
                      <w14:alpha w14:val="100000"/>
                    </w14:srgbClr>
                  </w14:solidFill>
                </w14:textFill>
              </w:rPr>
              <w:t>|</w:t>
            </w:r>
          </w:p>
        </w:tc>
        <w:tc>
          <w:tcPr>
            <w:tcW w:w="1386" w:type="pct"/>
            <w:tcBorders>
              <w:bottom w:val="single" w:sz="4" w:space="0" w:color="auto"/>
            </w:tcBorders>
            <w:shd w:val="solid" w:color="000000" w:fill="000000"/>
          </w:tcPr>
          <w:p w14:paraId="3791C497" w14:textId="199CEB69" w:rsidR="00502231" w:rsidRPr="00F66E51" w:rsidRDefault="00F66E51" w:rsidP="0046474C">
            <w:pPr>
              <w:pStyle w:val="TableText0"/>
              <w:jc w:val="center"/>
              <w:rPr>
                <w:lang w:val="en-US"/>
              </w:rPr>
            </w:pPr>
            <w:r w:rsidRPr="00F66E51">
              <w:rPr>
                <w:color w:val="000000"/>
                <w14:textFill>
                  <w14:solidFill>
                    <w14:srgbClr w14:val="000000">
                      <w14:alpha w14:val="100000"/>
                    </w14:srgbClr>
                  </w14:solidFill>
                </w14:textFill>
              </w:rPr>
              <w:t>|</w:t>
            </w:r>
          </w:p>
        </w:tc>
      </w:tr>
      <w:tr w:rsidR="00502231" w:rsidRPr="00E2771E" w14:paraId="06512171" w14:textId="77777777" w:rsidTr="00F66E51">
        <w:trPr>
          <w:cantSplit/>
          <w:jc w:val="center"/>
        </w:trPr>
        <w:tc>
          <w:tcPr>
            <w:tcW w:w="1098" w:type="pct"/>
            <w:shd w:val="clear" w:color="auto" w:fill="auto"/>
          </w:tcPr>
          <w:p w14:paraId="6EB9C80D" w14:textId="7BC0F83A" w:rsidR="00502231" w:rsidRPr="00E2771E" w:rsidRDefault="00502231" w:rsidP="0046474C">
            <w:pPr>
              <w:pStyle w:val="TableText0"/>
              <w:rPr>
                <w:lang w:val="en-US"/>
              </w:rPr>
            </w:pPr>
            <w:r w:rsidRPr="00F35B3A">
              <w:t>1.10-1.29</w:t>
            </w:r>
          </w:p>
        </w:tc>
        <w:tc>
          <w:tcPr>
            <w:tcW w:w="793" w:type="pct"/>
            <w:shd w:val="clear" w:color="auto" w:fill="auto"/>
          </w:tcPr>
          <w:p w14:paraId="683C9E98" w14:textId="34FFB9D7" w:rsidR="00502231" w:rsidRPr="00E2771E" w:rsidRDefault="00502231" w:rsidP="0046474C">
            <w:pPr>
              <w:pStyle w:val="TableText0"/>
              <w:jc w:val="center"/>
              <w:rPr>
                <w:lang w:val="en-US"/>
              </w:rPr>
            </w:pPr>
            <w:r w:rsidRPr="00F35B3A">
              <w:t>30</w:t>
            </w:r>
          </w:p>
        </w:tc>
        <w:tc>
          <w:tcPr>
            <w:tcW w:w="862" w:type="pct"/>
            <w:tcBorders>
              <w:bottom w:val="single" w:sz="4" w:space="0" w:color="auto"/>
            </w:tcBorders>
            <w:shd w:val="solid" w:color="000000" w:fill="000000"/>
          </w:tcPr>
          <w:p w14:paraId="531608B6" w14:textId="1559E2A3" w:rsidR="00502231" w:rsidRPr="00F66E51" w:rsidRDefault="00F66E51" w:rsidP="0046474C">
            <w:pPr>
              <w:pStyle w:val="TableText0"/>
              <w:jc w:val="center"/>
              <w:rPr>
                <w:lang w:val="en-US"/>
              </w:rPr>
            </w:pPr>
            <w:r w:rsidRPr="00F66E51">
              <w:rPr>
                <w:color w:val="000000"/>
                <w14:textFill>
                  <w14:solidFill>
                    <w14:srgbClr w14:val="000000">
                      <w14:alpha w14:val="100000"/>
                    </w14:srgbClr>
                  </w14:solidFill>
                </w14:textFill>
              </w:rPr>
              <w:t>|</w:t>
            </w:r>
          </w:p>
        </w:tc>
        <w:tc>
          <w:tcPr>
            <w:tcW w:w="862" w:type="pct"/>
            <w:tcBorders>
              <w:bottom w:val="single" w:sz="4" w:space="0" w:color="auto"/>
            </w:tcBorders>
            <w:shd w:val="solid" w:color="000000" w:fill="000000"/>
          </w:tcPr>
          <w:p w14:paraId="789D216E" w14:textId="202F8C64" w:rsidR="00502231" w:rsidRPr="00F66E51" w:rsidRDefault="00F66E51" w:rsidP="0046474C">
            <w:pPr>
              <w:pStyle w:val="TableText0"/>
              <w:jc w:val="center"/>
              <w:rPr>
                <w:lang w:val="en-US"/>
              </w:rPr>
            </w:pPr>
            <w:r w:rsidRPr="00F66E51">
              <w:rPr>
                <w:color w:val="000000"/>
                <w14:textFill>
                  <w14:solidFill>
                    <w14:srgbClr w14:val="000000">
                      <w14:alpha w14:val="100000"/>
                    </w14:srgbClr>
                  </w14:solidFill>
                </w14:textFill>
              </w:rPr>
              <w:t>|</w:t>
            </w:r>
          </w:p>
        </w:tc>
        <w:tc>
          <w:tcPr>
            <w:tcW w:w="1386" w:type="pct"/>
            <w:tcBorders>
              <w:bottom w:val="single" w:sz="4" w:space="0" w:color="auto"/>
            </w:tcBorders>
            <w:shd w:val="solid" w:color="000000" w:fill="000000"/>
          </w:tcPr>
          <w:p w14:paraId="3F186E99" w14:textId="0EECF578" w:rsidR="00502231" w:rsidRPr="00F66E51" w:rsidRDefault="00F66E51" w:rsidP="0046474C">
            <w:pPr>
              <w:pStyle w:val="TableText0"/>
              <w:jc w:val="center"/>
              <w:rPr>
                <w:lang w:val="en-US"/>
              </w:rPr>
            </w:pPr>
            <w:r w:rsidRPr="00F66E51">
              <w:rPr>
                <w:color w:val="000000"/>
                <w14:textFill>
                  <w14:solidFill>
                    <w14:srgbClr w14:val="000000">
                      <w14:alpha w14:val="100000"/>
                    </w14:srgbClr>
                  </w14:solidFill>
                </w14:textFill>
              </w:rPr>
              <w:t>|</w:t>
            </w:r>
          </w:p>
        </w:tc>
      </w:tr>
      <w:tr w:rsidR="00502231" w:rsidRPr="00E2771E" w14:paraId="64D804AD" w14:textId="77777777" w:rsidTr="00F66E51">
        <w:trPr>
          <w:cantSplit/>
          <w:jc w:val="center"/>
        </w:trPr>
        <w:tc>
          <w:tcPr>
            <w:tcW w:w="1098" w:type="pct"/>
            <w:shd w:val="clear" w:color="auto" w:fill="auto"/>
          </w:tcPr>
          <w:p w14:paraId="5C8587B8" w14:textId="78C466D8" w:rsidR="00502231" w:rsidRPr="00F35B3A" w:rsidRDefault="00502231" w:rsidP="0046474C">
            <w:pPr>
              <w:pStyle w:val="TableText0"/>
            </w:pPr>
            <w:r w:rsidRPr="008553DC">
              <w:t>1.30-1.49</w:t>
            </w:r>
          </w:p>
        </w:tc>
        <w:tc>
          <w:tcPr>
            <w:tcW w:w="793" w:type="pct"/>
            <w:shd w:val="clear" w:color="auto" w:fill="auto"/>
          </w:tcPr>
          <w:p w14:paraId="09B477C3" w14:textId="21AA54C5" w:rsidR="00502231" w:rsidRPr="00F35B3A" w:rsidRDefault="00502231" w:rsidP="0046474C">
            <w:pPr>
              <w:pStyle w:val="TableText0"/>
              <w:jc w:val="center"/>
            </w:pPr>
            <w:r w:rsidRPr="008553DC">
              <w:t>35</w:t>
            </w:r>
          </w:p>
        </w:tc>
        <w:tc>
          <w:tcPr>
            <w:tcW w:w="862" w:type="pct"/>
            <w:tcBorders>
              <w:bottom w:val="single" w:sz="4" w:space="0" w:color="auto"/>
            </w:tcBorders>
            <w:shd w:val="solid" w:color="000000" w:fill="000000"/>
          </w:tcPr>
          <w:p w14:paraId="6B63261D" w14:textId="09B573FC" w:rsidR="00502231" w:rsidRPr="00F66E51" w:rsidRDefault="00F66E51" w:rsidP="0046474C">
            <w:pPr>
              <w:pStyle w:val="TableText0"/>
              <w:jc w:val="center"/>
            </w:pPr>
            <w:r w:rsidRPr="00F66E51">
              <w:rPr>
                <w:color w:val="000000"/>
                <w14:textFill>
                  <w14:solidFill>
                    <w14:srgbClr w14:val="000000">
                      <w14:alpha w14:val="100000"/>
                    </w14:srgbClr>
                  </w14:solidFill>
                </w14:textFill>
              </w:rPr>
              <w:t>|</w:t>
            </w:r>
          </w:p>
        </w:tc>
        <w:tc>
          <w:tcPr>
            <w:tcW w:w="862" w:type="pct"/>
            <w:tcBorders>
              <w:bottom w:val="single" w:sz="4" w:space="0" w:color="auto"/>
            </w:tcBorders>
            <w:shd w:val="solid" w:color="000000" w:fill="000000"/>
          </w:tcPr>
          <w:p w14:paraId="55BA222A" w14:textId="43984D93" w:rsidR="00502231" w:rsidRPr="00F66E51" w:rsidRDefault="00F66E51" w:rsidP="0046474C">
            <w:pPr>
              <w:pStyle w:val="TableText0"/>
              <w:jc w:val="center"/>
            </w:pPr>
            <w:r w:rsidRPr="00F66E51">
              <w:rPr>
                <w:color w:val="000000"/>
                <w14:textFill>
                  <w14:solidFill>
                    <w14:srgbClr w14:val="000000">
                      <w14:alpha w14:val="100000"/>
                    </w14:srgbClr>
                  </w14:solidFill>
                </w14:textFill>
              </w:rPr>
              <w:t>|</w:t>
            </w:r>
          </w:p>
        </w:tc>
        <w:tc>
          <w:tcPr>
            <w:tcW w:w="1386" w:type="pct"/>
            <w:tcBorders>
              <w:bottom w:val="single" w:sz="4" w:space="0" w:color="auto"/>
            </w:tcBorders>
            <w:shd w:val="solid" w:color="000000" w:fill="000000"/>
          </w:tcPr>
          <w:p w14:paraId="60BD9A5E" w14:textId="58F8490B" w:rsidR="00502231" w:rsidRPr="00F66E51" w:rsidRDefault="00F66E51" w:rsidP="0046474C">
            <w:pPr>
              <w:pStyle w:val="TableText0"/>
              <w:jc w:val="center"/>
            </w:pPr>
            <w:r w:rsidRPr="00F66E51">
              <w:rPr>
                <w:color w:val="000000"/>
                <w14:textFill>
                  <w14:solidFill>
                    <w14:srgbClr w14:val="000000">
                      <w14:alpha w14:val="100000"/>
                    </w14:srgbClr>
                  </w14:solidFill>
                </w14:textFill>
              </w:rPr>
              <w:t>|</w:t>
            </w:r>
          </w:p>
        </w:tc>
      </w:tr>
      <w:tr w:rsidR="00502231" w:rsidRPr="00E2771E" w14:paraId="026ABE30" w14:textId="77777777" w:rsidTr="00F66E51">
        <w:trPr>
          <w:cantSplit/>
          <w:jc w:val="center"/>
        </w:trPr>
        <w:tc>
          <w:tcPr>
            <w:tcW w:w="1098" w:type="pct"/>
            <w:shd w:val="clear" w:color="auto" w:fill="auto"/>
          </w:tcPr>
          <w:p w14:paraId="0B7E3178" w14:textId="7743DC68" w:rsidR="00502231" w:rsidRPr="00F35B3A" w:rsidRDefault="00502231" w:rsidP="0046474C">
            <w:pPr>
              <w:pStyle w:val="TableText0"/>
            </w:pPr>
            <w:r w:rsidRPr="008553DC">
              <w:t>1.50-1.69</w:t>
            </w:r>
          </w:p>
        </w:tc>
        <w:tc>
          <w:tcPr>
            <w:tcW w:w="793" w:type="pct"/>
            <w:shd w:val="clear" w:color="auto" w:fill="auto"/>
          </w:tcPr>
          <w:p w14:paraId="033C8990" w14:textId="016B8117" w:rsidR="00502231" w:rsidRPr="00F35B3A" w:rsidRDefault="00502231" w:rsidP="0046474C">
            <w:pPr>
              <w:pStyle w:val="TableText0"/>
              <w:jc w:val="center"/>
            </w:pPr>
            <w:r w:rsidRPr="008553DC">
              <w:t>40</w:t>
            </w:r>
          </w:p>
        </w:tc>
        <w:tc>
          <w:tcPr>
            <w:tcW w:w="862" w:type="pct"/>
            <w:tcBorders>
              <w:bottom w:val="single" w:sz="4" w:space="0" w:color="auto"/>
            </w:tcBorders>
            <w:shd w:val="solid" w:color="000000" w:fill="000000"/>
          </w:tcPr>
          <w:p w14:paraId="4475F8EF" w14:textId="4CC5B988" w:rsidR="00502231" w:rsidRPr="00F66E51" w:rsidRDefault="00F66E51" w:rsidP="0046474C">
            <w:pPr>
              <w:pStyle w:val="TableText0"/>
              <w:jc w:val="center"/>
            </w:pPr>
            <w:r w:rsidRPr="00F66E51">
              <w:rPr>
                <w:color w:val="000000"/>
                <w14:textFill>
                  <w14:solidFill>
                    <w14:srgbClr w14:val="000000">
                      <w14:alpha w14:val="100000"/>
                    </w14:srgbClr>
                  </w14:solidFill>
                </w14:textFill>
              </w:rPr>
              <w:t>|</w:t>
            </w:r>
          </w:p>
        </w:tc>
        <w:tc>
          <w:tcPr>
            <w:tcW w:w="862" w:type="pct"/>
            <w:tcBorders>
              <w:bottom w:val="single" w:sz="4" w:space="0" w:color="auto"/>
            </w:tcBorders>
            <w:shd w:val="solid" w:color="000000" w:fill="000000"/>
          </w:tcPr>
          <w:p w14:paraId="7CDBB553" w14:textId="035FBFEE" w:rsidR="00502231" w:rsidRPr="00F66E51" w:rsidRDefault="00F66E51" w:rsidP="0046474C">
            <w:pPr>
              <w:pStyle w:val="TableText0"/>
              <w:jc w:val="center"/>
            </w:pPr>
            <w:r w:rsidRPr="00F66E51">
              <w:rPr>
                <w:color w:val="000000"/>
                <w14:textFill>
                  <w14:solidFill>
                    <w14:srgbClr w14:val="000000">
                      <w14:alpha w14:val="100000"/>
                    </w14:srgbClr>
                  </w14:solidFill>
                </w14:textFill>
              </w:rPr>
              <w:t>|</w:t>
            </w:r>
          </w:p>
        </w:tc>
        <w:tc>
          <w:tcPr>
            <w:tcW w:w="1386" w:type="pct"/>
            <w:tcBorders>
              <w:bottom w:val="single" w:sz="4" w:space="0" w:color="auto"/>
            </w:tcBorders>
            <w:shd w:val="solid" w:color="000000" w:fill="000000"/>
          </w:tcPr>
          <w:p w14:paraId="13C83375" w14:textId="2B8E7AC1" w:rsidR="00502231" w:rsidRPr="00F66E51" w:rsidRDefault="00F66E51" w:rsidP="0046474C">
            <w:pPr>
              <w:pStyle w:val="TableText0"/>
              <w:jc w:val="center"/>
            </w:pPr>
            <w:r w:rsidRPr="00F66E51">
              <w:rPr>
                <w:color w:val="000000"/>
                <w14:textFill>
                  <w14:solidFill>
                    <w14:srgbClr w14:val="000000">
                      <w14:alpha w14:val="100000"/>
                    </w14:srgbClr>
                  </w14:solidFill>
                </w14:textFill>
              </w:rPr>
              <w:t>|</w:t>
            </w:r>
          </w:p>
        </w:tc>
      </w:tr>
      <w:tr w:rsidR="00502231" w:rsidRPr="00E2771E" w14:paraId="23E79283" w14:textId="77777777" w:rsidTr="00F66E51">
        <w:trPr>
          <w:cantSplit/>
          <w:jc w:val="center"/>
        </w:trPr>
        <w:tc>
          <w:tcPr>
            <w:tcW w:w="1098" w:type="pct"/>
            <w:shd w:val="clear" w:color="auto" w:fill="auto"/>
          </w:tcPr>
          <w:p w14:paraId="266CE6DD" w14:textId="1D61455C" w:rsidR="00502231" w:rsidRPr="00F35B3A" w:rsidRDefault="00502231" w:rsidP="0046474C">
            <w:pPr>
              <w:pStyle w:val="TableText0"/>
            </w:pPr>
            <w:r w:rsidRPr="008553DC">
              <w:t>1.70-1.89</w:t>
            </w:r>
          </w:p>
        </w:tc>
        <w:tc>
          <w:tcPr>
            <w:tcW w:w="793" w:type="pct"/>
            <w:shd w:val="clear" w:color="auto" w:fill="auto"/>
          </w:tcPr>
          <w:p w14:paraId="3AE17FFB" w14:textId="37AE8E03" w:rsidR="00502231" w:rsidRPr="00F35B3A" w:rsidRDefault="00502231" w:rsidP="0046474C">
            <w:pPr>
              <w:pStyle w:val="TableText0"/>
              <w:jc w:val="center"/>
            </w:pPr>
            <w:r w:rsidRPr="008553DC">
              <w:t>45</w:t>
            </w:r>
          </w:p>
        </w:tc>
        <w:tc>
          <w:tcPr>
            <w:tcW w:w="862" w:type="pct"/>
            <w:tcBorders>
              <w:bottom w:val="single" w:sz="4" w:space="0" w:color="auto"/>
            </w:tcBorders>
            <w:shd w:val="solid" w:color="000000" w:fill="000000"/>
          </w:tcPr>
          <w:p w14:paraId="77F795E6" w14:textId="538B5AE8" w:rsidR="00502231" w:rsidRPr="00F66E51" w:rsidRDefault="00F66E51" w:rsidP="0046474C">
            <w:pPr>
              <w:pStyle w:val="TableText0"/>
              <w:jc w:val="center"/>
            </w:pPr>
            <w:r w:rsidRPr="00F66E51">
              <w:rPr>
                <w:color w:val="000000"/>
                <w14:textFill>
                  <w14:solidFill>
                    <w14:srgbClr w14:val="000000">
                      <w14:alpha w14:val="100000"/>
                    </w14:srgbClr>
                  </w14:solidFill>
                </w14:textFill>
              </w:rPr>
              <w:t>|</w:t>
            </w:r>
          </w:p>
        </w:tc>
        <w:tc>
          <w:tcPr>
            <w:tcW w:w="862" w:type="pct"/>
            <w:tcBorders>
              <w:bottom w:val="single" w:sz="4" w:space="0" w:color="auto"/>
            </w:tcBorders>
            <w:shd w:val="solid" w:color="000000" w:fill="000000"/>
          </w:tcPr>
          <w:p w14:paraId="703E90F6" w14:textId="0BFA68AC" w:rsidR="00502231" w:rsidRPr="00F66E51" w:rsidRDefault="00F66E51" w:rsidP="0046474C">
            <w:pPr>
              <w:pStyle w:val="TableText0"/>
              <w:jc w:val="center"/>
            </w:pPr>
            <w:r w:rsidRPr="00F66E51">
              <w:rPr>
                <w:color w:val="000000"/>
                <w14:textFill>
                  <w14:solidFill>
                    <w14:srgbClr w14:val="000000">
                      <w14:alpha w14:val="100000"/>
                    </w14:srgbClr>
                  </w14:solidFill>
                </w14:textFill>
              </w:rPr>
              <w:t>|</w:t>
            </w:r>
          </w:p>
        </w:tc>
        <w:tc>
          <w:tcPr>
            <w:tcW w:w="1386" w:type="pct"/>
            <w:tcBorders>
              <w:bottom w:val="single" w:sz="4" w:space="0" w:color="auto"/>
            </w:tcBorders>
            <w:shd w:val="solid" w:color="000000" w:fill="000000"/>
          </w:tcPr>
          <w:p w14:paraId="2B4C29AD" w14:textId="2D0ED92C" w:rsidR="00502231" w:rsidRPr="00F66E51" w:rsidRDefault="00F66E51" w:rsidP="0046474C">
            <w:pPr>
              <w:pStyle w:val="TableText0"/>
              <w:jc w:val="center"/>
            </w:pPr>
            <w:r w:rsidRPr="00F66E51">
              <w:rPr>
                <w:color w:val="000000"/>
                <w14:textFill>
                  <w14:solidFill>
                    <w14:srgbClr w14:val="000000">
                      <w14:alpha w14:val="100000"/>
                    </w14:srgbClr>
                  </w14:solidFill>
                </w14:textFill>
              </w:rPr>
              <w:t>|</w:t>
            </w:r>
          </w:p>
        </w:tc>
      </w:tr>
      <w:tr w:rsidR="00502231" w:rsidRPr="00E2771E" w14:paraId="7F9FB956" w14:textId="77777777" w:rsidTr="00F66E51">
        <w:trPr>
          <w:cantSplit/>
          <w:jc w:val="center"/>
        </w:trPr>
        <w:tc>
          <w:tcPr>
            <w:tcW w:w="1098" w:type="pct"/>
            <w:shd w:val="clear" w:color="auto" w:fill="auto"/>
          </w:tcPr>
          <w:p w14:paraId="50287868" w14:textId="637BBFA7" w:rsidR="00502231" w:rsidRPr="00F35B3A" w:rsidRDefault="00502231" w:rsidP="0046474C">
            <w:pPr>
              <w:pStyle w:val="TableText0"/>
            </w:pPr>
            <w:r w:rsidRPr="008553DC">
              <w:t>1.90-1.94</w:t>
            </w:r>
          </w:p>
        </w:tc>
        <w:tc>
          <w:tcPr>
            <w:tcW w:w="793" w:type="pct"/>
            <w:shd w:val="clear" w:color="auto" w:fill="auto"/>
          </w:tcPr>
          <w:p w14:paraId="3BA00692" w14:textId="1D745711" w:rsidR="00502231" w:rsidRPr="00F35B3A" w:rsidRDefault="00502231" w:rsidP="0046474C">
            <w:pPr>
              <w:pStyle w:val="TableText0"/>
              <w:jc w:val="center"/>
            </w:pPr>
            <w:r w:rsidRPr="008553DC">
              <w:t>50</w:t>
            </w:r>
          </w:p>
        </w:tc>
        <w:tc>
          <w:tcPr>
            <w:tcW w:w="862" w:type="pct"/>
            <w:shd w:val="solid" w:color="000000" w:fill="000000"/>
          </w:tcPr>
          <w:p w14:paraId="0528F23F" w14:textId="21F738C2" w:rsidR="00502231" w:rsidRPr="00F66E51" w:rsidRDefault="00F66E51" w:rsidP="0046474C">
            <w:pPr>
              <w:pStyle w:val="TableText0"/>
              <w:jc w:val="center"/>
            </w:pPr>
            <w:r w:rsidRPr="00F66E51">
              <w:rPr>
                <w:color w:val="000000"/>
                <w14:textFill>
                  <w14:solidFill>
                    <w14:srgbClr w14:val="000000">
                      <w14:alpha w14:val="100000"/>
                    </w14:srgbClr>
                  </w14:solidFill>
                </w14:textFill>
              </w:rPr>
              <w:t>|</w:t>
            </w:r>
          </w:p>
        </w:tc>
        <w:tc>
          <w:tcPr>
            <w:tcW w:w="862" w:type="pct"/>
            <w:shd w:val="solid" w:color="000000" w:fill="000000"/>
          </w:tcPr>
          <w:p w14:paraId="0EE2213F" w14:textId="71B2941C" w:rsidR="00502231" w:rsidRPr="00F66E51" w:rsidRDefault="00F66E51" w:rsidP="0046474C">
            <w:pPr>
              <w:pStyle w:val="TableText0"/>
              <w:jc w:val="center"/>
            </w:pPr>
            <w:r w:rsidRPr="00F66E51">
              <w:rPr>
                <w:color w:val="000000"/>
                <w14:textFill>
                  <w14:solidFill>
                    <w14:srgbClr w14:val="000000">
                      <w14:alpha w14:val="100000"/>
                    </w14:srgbClr>
                  </w14:solidFill>
                </w14:textFill>
              </w:rPr>
              <w:t>|</w:t>
            </w:r>
          </w:p>
        </w:tc>
        <w:tc>
          <w:tcPr>
            <w:tcW w:w="1386" w:type="pct"/>
            <w:shd w:val="solid" w:color="000000" w:fill="000000"/>
          </w:tcPr>
          <w:p w14:paraId="142236DF" w14:textId="185BAF51" w:rsidR="00502231" w:rsidRPr="00F66E51" w:rsidRDefault="00F66E51" w:rsidP="0046474C">
            <w:pPr>
              <w:pStyle w:val="TableText0"/>
              <w:jc w:val="center"/>
            </w:pPr>
            <w:r w:rsidRPr="00F66E51">
              <w:rPr>
                <w:color w:val="000000"/>
                <w14:textFill>
                  <w14:solidFill>
                    <w14:srgbClr w14:val="000000">
                      <w14:alpha w14:val="100000"/>
                    </w14:srgbClr>
                  </w14:solidFill>
                </w14:textFill>
              </w:rPr>
              <w:t>|</w:t>
            </w:r>
          </w:p>
        </w:tc>
      </w:tr>
    </w:tbl>
    <w:p w14:paraId="717CADAF" w14:textId="37CE3903" w:rsidR="00494207" w:rsidRDefault="00494207" w:rsidP="00C94053">
      <w:pPr>
        <w:pStyle w:val="FooterTableFigure"/>
      </w:pPr>
      <w:r w:rsidRPr="007F1017">
        <w:t xml:space="preserve">Source: </w:t>
      </w:r>
      <w:r w:rsidR="00502231">
        <w:t>‘Selumetinib Section 3  Workbook’</w:t>
      </w:r>
    </w:p>
    <w:p w14:paraId="29AC1AA2" w14:textId="70B947BE" w:rsidR="009C47B4" w:rsidRDefault="009C47B4" w:rsidP="00C94053">
      <w:pPr>
        <w:pStyle w:val="FooterTableFigure"/>
      </w:pPr>
      <w:r w:rsidRPr="00502231">
        <w:rPr>
          <w:vertAlign w:val="superscript"/>
        </w:rPr>
        <w:t>a</w:t>
      </w:r>
      <w:r>
        <w:t xml:space="preserve"> Dosage was based on body surface area and was assumed to increase with age until 18 years.</w:t>
      </w:r>
    </w:p>
    <w:p w14:paraId="4657E892" w14:textId="3512E736" w:rsidR="008B01AB" w:rsidRPr="00E331B7" w:rsidRDefault="008B01AB" w:rsidP="00D9271B">
      <w:pPr>
        <w:pStyle w:val="3-BodyText"/>
      </w:pPr>
      <w:r w:rsidRPr="00E331B7">
        <w:t xml:space="preserve">The cost of </w:t>
      </w:r>
      <w:r w:rsidR="00580209" w:rsidRPr="00E331B7">
        <w:t xml:space="preserve">selumetinib </w:t>
      </w:r>
      <w:r w:rsidRPr="00E331B7">
        <w:t xml:space="preserve">per patient per year was based on the </w:t>
      </w:r>
      <w:r w:rsidR="00580209" w:rsidRPr="00E331B7">
        <w:t xml:space="preserve">patients </w:t>
      </w:r>
      <w:r w:rsidR="00F8243C" w:rsidRPr="00E331B7">
        <w:t>BSA</w:t>
      </w:r>
      <w:r w:rsidR="00AB459B" w:rsidRPr="00E331B7">
        <w:t xml:space="preserve">. </w:t>
      </w:r>
      <w:r w:rsidR="00A97C6F" w:rsidRPr="00E331B7">
        <w:t>I</w:t>
      </w:r>
      <w:r w:rsidR="0097712C" w:rsidRPr="00E331B7">
        <w:t xml:space="preserve">n the economic model, the submission assumed that </w:t>
      </w:r>
      <w:r w:rsidR="00A97C6F" w:rsidRPr="00E331B7">
        <w:t>BSA will change as patients age and grow.</w:t>
      </w:r>
      <w:r w:rsidR="00580209" w:rsidRPr="00E331B7">
        <w:t xml:space="preserve"> A l</w:t>
      </w:r>
      <w:r w:rsidR="00EA6B7D" w:rsidRPr="00E331B7">
        <w:t xml:space="preserve">inear regression algorithm was used to predict </w:t>
      </w:r>
      <w:r w:rsidR="00580209" w:rsidRPr="00E331B7">
        <w:t xml:space="preserve">the </w:t>
      </w:r>
      <w:r w:rsidR="00EA6B7D" w:rsidRPr="00E331B7">
        <w:t>BSA of patients until the age of 18 years, after which the BSA was assumed to stabilise</w:t>
      </w:r>
      <w:r w:rsidR="00A97C6F" w:rsidRPr="00E331B7">
        <w:t xml:space="preserve">. </w:t>
      </w:r>
      <w:r w:rsidR="008C597B" w:rsidRPr="00E331B7">
        <w:t xml:space="preserve">In the </w:t>
      </w:r>
      <w:r w:rsidR="00CB2F08" w:rsidRPr="00E331B7">
        <w:t>financial analysis</w:t>
      </w:r>
      <w:r w:rsidR="008C597B" w:rsidRPr="00E331B7">
        <w:t>, the submission</w:t>
      </w:r>
      <w:r w:rsidR="00A97C6F" w:rsidRPr="00E331B7">
        <w:t xml:space="preserve"> </w:t>
      </w:r>
      <w:r w:rsidR="00CB2F08" w:rsidRPr="00E331B7">
        <w:t>estimated the</w:t>
      </w:r>
      <w:r w:rsidR="00A97C6F" w:rsidRPr="00E331B7">
        <w:t xml:space="preserve"> annual cost based on </w:t>
      </w:r>
      <w:r w:rsidR="00263D7E" w:rsidRPr="00E331B7">
        <w:t xml:space="preserve">a mean age of 10.3 years and </w:t>
      </w:r>
      <w:r w:rsidR="00BF4DCB" w:rsidRPr="00E331B7">
        <w:t xml:space="preserve">a </w:t>
      </w:r>
      <w:r w:rsidR="00A97C6F" w:rsidRPr="00E331B7">
        <w:t xml:space="preserve">mean BSA </w:t>
      </w:r>
      <w:r w:rsidR="00CB2F08" w:rsidRPr="00E331B7">
        <w:t xml:space="preserve">of </w:t>
      </w:r>
      <w:r w:rsidR="00A97C6F" w:rsidRPr="00E331B7">
        <w:t>1.127m</w:t>
      </w:r>
      <w:r w:rsidR="00A97C6F" w:rsidRPr="00E331B7">
        <w:rPr>
          <w:vertAlign w:val="superscript"/>
        </w:rPr>
        <w:t>2</w:t>
      </w:r>
      <w:r w:rsidR="00BF4DCB" w:rsidRPr="00E331B7">
        <w:t xml:space="preserve">; however, </w:t>
      </w:r>
      <w:r w:rsidR="00580209" w:rsidRPr="00E331B7">
        <w:t xml:space="preserve">as </w:t>
      </w:r>
      <w:r w:rsidR="00BF4DCB" w:rsidRPr="00E331B7">
        <w:t xml:space="preserve">the </w:t>
      </w:r>
      <w:r w:rsidR="00CB2F08" w:rsidRPr="00E331B7">
        <w:t>BSA was</w:t>
      </w:r>
      <w:r w:rsidR="00263D7E" w:rsidRPr="00E331B7">
        <w:t xml:space="preserve"> not adjusted for age</w:t>
      </w:r>
      <w:r w:rsidR="00580209" w:rsidRPr="00E331B7">
        <w:t xml:space="preserve"> this</w:t>
      </w:r>
      <w:r w:rsidR="00BF4DCB" w:rsidRPr="00E331B7">
        <w:t xml:space="preserve"> </w:t>
      </w:r>
      <w:r w:rsidR="00263D7E" w:rsidRPr="00E331B7">
        <w:t xml:space="preserve">may </w:t>
      </w:r>
      <w:r w:rsidR="00A97C6F" w:rsidRPr="00E331B7">
        <w:t xml:space="preserve">have underestimated the financial impact </w:t>
      </w:r>
      <w:r w:rsidR="00263D7E" w:rsidRPr="00E331B7">
        <w:t xml:space="preserve">of listing selumetinib. </w:t>
      </w:r>
    </w:p>
    <w:p w14:paraId="268768EF" w14:textId="3626F292" w:rsidR="00B60939" w:rsidRPr="00C9624D" w:rsidRDefault="00B60939" w:rsidP="002B05A1">
      <w:pPr>
        <w:pStyle w:val="4-SubsectionHeading"/>
      </w:pPr>
      <w:bookmarkStart w:id="96" w:name="_Toc22897647"/>
      <w:bookmarkStart w:id="97" w:name="_Toc114041595"/>
      <w:r w:rsidRPr="00C9624D">
        <w:t>Estimated PBS usage &amp; financial implications</w:t>
      </w:r>
      <w:bookmarkEnd w:id="96"/>
      <w:bookmarkEnd w:id="97"/>
    </w:p>
    <w:p w14:paraId="66999A47" w14:textId="341C7301" w:rsidR="003F5A2D" w:rsidRPr="002B40C3" w:rsidRDefault="003F5A2D" w:rsidP="003F5A2D">
      <w:pPr>
        <w:pStyle w:val="3-BodyText"/>
        <w:rPr>
          <w:color w:val="0066FF"/>
        </w:rPr>
      </w:pPr>
      <w:bookmarkStart w:id="98" w:name="_Toc22897648"/>
      <w:bookmarkStart w:id="99" w:name="_Toc114041596"/>
      <w:r>
        <w:t>This submission was considered by DUSC</w:t>
      </w:r>
      <w:r w:rsidRPr="00B50DB8">
        <w:rPr>
          <w:color w:val="0070C0"/>
        </w:rPr>
        <w:t>.</w:t>
      </w:r>
      <w:r>
        <w:t xml:space="preserve"> </w:t>
      </w:r>
    </w:p>
    <w:p w14:paraId="2DC08DE8" w14:textId="62F581A9" w:rsidR="003F5A2D" w:rsidRPr="00330E21" w:rsidRDefault="003F5A2D" w:rsidP="003F5A2D">
      <w:pPr>
        <w:pStyle w:val="3-BodyText"/>
        <w:rPr>
          <w:color w:val="0066FF"/>
        </w:rPr>
      </w:pPr>
      <w:r w:rsidRPr="006E3E46">
        <w:t xml:space="preserve">The submission applied an epidemiological approach to estimate the use of selumetinib for the treatment of patients aged ≥2 years and diagnosed ≤18 years of age with NF1 and symptomatic, inoperable PN. </w:t>
      </w:r>
      <w:r>
        <w:t xml:space="preserve">The estimated use and financial implications of listing selumetinib are summarised in </w:t>
      </w:r>
      <w:r>
        <w:fldChar w:fldCharType="begin"/>
      </w:r>
      <w:r>
        <w:instrText xml:space="preserve"> REF _Ref104805262 \h </w:instrText>
      </w:r>
      <w:r>
        <w:fldChar w:fldCharType="separate"/>
      </w:r>
      <w:r w:rsidR="00BE0EE6">
        <w:t xml:space="preserve">Table </w:t>
      </w:r>
      <w:r w:rsidR="00BE0EE6">
        <w:rPr>
          <w:noProof/>
        </w:rPr>
        <w:t>13</w:t>
      </w:r>
      <w:r>
        <w:fldChar w:fldCharType="end"/>
      </w:r>
      <w:r>
        <w:t>.</w:t>
      </w:r>
      <w:r w:rsidR="005B3B5E">
        <w:t xml:space="preserve"> </w:t>
      </w:r>
    </w:p>
    <w:p w14:paraId="4F10B746" w14:textId="315749B8" w:rsidR="003F5A2D" w:rsidRPr="007925DF" w:rsidRDefault="003F5A2D" w:rsidP="003F5A2D">
      <w:pPr>
        <w:pStyle w:val="Caption"/>
        <w:rPr>
          <w:rStyle w:val="CommentReference"/>
          <w:b/>
          <w:szCs w:val="24"/>
        </w:rPr>
      </w:pPr>
      <w:bookmarkStart w:id="100" w:name="_Ref104805262"/>
      <w:r>
        <w:lastRenderedPageBreak/>
        <w:t xml:space="preserve">Table </w:t>
      </w:r>
      <w:fldSimple w:instr=" SEQ Table \* ARABIC ">
        <w:r w:rsidR="00BE0EE6">
          <w:rPr>
            <w:noProof/>
          </w:rPr>
          <w:t>13</w:t>
        </w:r>
      </w:fldSimple>
      <w:bookmarkEnd w:id="100"/>
      <w:r>
        <w:t>:</w:t>
      </w:r>
      <w:r w:rsidRPr="007925DF">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14"/>
        <w:gridCol w:w="3244"/>
        <w:gridCol w:w="4059"/>
      </w:tblGrid>
      <w:tr w:rsidR="003F5A2D" w:rsidRPr="003F5A2D" w14:paraId="4DFBDC2F" w14:textId="77777777" w:rsidTr="001A4D21">
        <w:trPr>
          <w:tblHeader/>
        </w:trPr>
        <w:tc>
          <w:tcPr>
            <w:tcW w:w="950" w:type="pct"/>
            <w:shd w:val="clear" w:color="auto" w:fill="auto"/>
            <w:vAlign w:val="center"/>
          </w:tcPr>
          <w:p w14:paraId="4F53E8E5" w14:textId="77777777" w:rsidR="003F5A2D" w:rsidRPr="003F5A2D" w:rsidRDefault="003F5A2D" w:rsidP="001A4D21">
            <w:pPr>
              <w:pStyle w:val="In-tableHeading"/>
            </w:pPr>
            <w:r w:rsidRPr="003F5A2D">
              <w:t>Parameter</w:t>
            </w:r>
          </w:p>
        </w:tc>
        <w:tc>
          <w:tcPr>
            <w:tcW w:w="1799" w:type="pct"/>
            <w:shd w:val="clear" w:color="auto" w:fill="auto"/>
            <w:vAlign w:val="center"/>
          </w:tcPr>
          <w:p w14:paraId="611A8BAE" w14:textId="77777777" w:rsidR="003F5A2D" w:rsidRPr="003F5A2D" w:rsidRDefault="003F5A2D" w:rsidP="001A4D21">
            <w:pPr>
              <w:pStyle w:val="In-tableHeading"/>
            </w:pPr>
            <w:r w:rsidRPr="003F5A2D">
              <w:t>Value applied and source</w:t>
            </w:r>
          </w:p>
        </w:tc>
        <w:tc>
          <w:tcPr>
            <w:tcW w:w="2251" w:type="pct"/>
            <w:shd w:val="clear" w:color="auto" w:fill="auto"/>
            <w:vAlign w:val="center"/>
          </w:tcPr>
          <w:p w14:paraId="526D8107" w14:textId="77777777" w:rsidR="003F5A2D" w:rsidRPr="003F5A2D" w:rsidRDefault="003F5A2D" w:rsidP="001A4D21">
            <w:pPr>
              <w:pStyle w:val="In-tableHeading"/>
            </w:pPr>
            <w:r w:rsidRPr="003F5A2D">
              <w:t>Comment</w:t>
            </w:r>
          </w:p>
        </w:tc>
      </w:tr>
      <w:tr w:rsidR="003F5A2D" w:rsidRPr="003F5A2D" w14:paraId="75B1B6D7" w14:textId="77777777" w:rsidTr="001A4D21">
        <w:tc>
          <w:tcPr>
            <w:tcW w:w="950" w:type="pct"/>
            <w:shd w:val="clear" w:color="auto" w:fill="auto"/>
            <w:vAlign w:val="center"/>
          </w:tcPr>
          <w:p w14:paraId="523ACD77" w14:textId="77777777" w:rsidR="003F5A2D" w:rsidRPr="003F5A2D" w:rsidRDefault="003F5A2D" w:rsidP="001A4D21">
            <w:pPr>
              <w:pStyle w:val="TableText0"/>
              <w:rPr>
                <w:lang w:val="en-US"/>
              </w:rPr>
            </w:pPr>
            <w:r w:rsidRPr="003F5A2D">
              <w:t>Australian population aged ≥2 years to ≤18 years</w:t>
            </w:r>
          </w:p>
        </w:tc>
        <w:tc>
          <w:tcPr>
            <w:tcW w:w="1799" w:type="pct"/>
            <w:shd w:val="clear" w:color="auto" w:fill="auto"/>
            <w:vAlign w:val="center"/>
          </w:tcPr>
          <w:p w14:paraId="34E938A1" w14:textId="77777777" w:rsidR="003F5A2D" w:rsidRPr="003F5A2D" w:rsidRDefault="003F5A2D" w:rsidP="001A4D21">
            <w:pPr>
              <w:pStyle w:val="TableText0"/>
              <w:rPr>
                <w:lang w:val="en-US"/>
              </w:rPr>
            </w:pPr>
            <w:r w:rsidRPr="003F5A2D">
              <w:t>Year 1: 5,680,375; ABS projection (2023)</w:t>
            </w:r>
          </w:p>
        </w:tc>
        <w:tc>
          <w:tcPr>
            <w:tcW w:w="2251" w:type="pct"/>
            <w:shd w:val="clear" w:color="auto" w:fill="auto"/>
            <w:vAlign w:val="center"/>
          </w:tcPr>
          <w:p w14:paraId="722E4FA1" w14:textId="441029D2" w:rsidR="003F5A2D" w:rsidRPr="003F5A2D" w:rsidRDefault="00B3105E" w:rsidP="001A4D21">
            <w:pPr>
              <w:pStyle w:val="TableText0"/>
              <w:rPr>
                <w:lang w:val="en-US"/>
              </w:rPr>
            </w:pPr>
            <w:r>
              <w:rPr>
                <w:lang w:val="en-US"/>
              </w:rPr>
              <w:t>-</w:t>
            </w:r>
          </w:p>
        </w:tc>
      </w:tr>
      <w:tr w:rsidR="003F5A2D" w:rsidRPr="003F5A2D" w14:paraId="26497E70" w14:textId="77777777" w:rsidTr="001A4D21">
        <w:tc>
          <w:tcPr>
            <w:tcW w:w="950" w:type="pct"/>
            <w:shd w:val="clear" w:color="auto" w:fill="auto"/>
            <w:vAlign w:val="center"/>
          </w:tcPr>
          <w:p w14:paraId="3DC050EA" w14:textId="77777777" w:rsidR="003F5A2D" w:rsidRPr="003F5A2D" w:rsidRDefault="003F5A2D" w:rsidP="001A4D21">
            <w:pPr>
              <w:pStyle w:val="TableText0"/>
              <w:rPr>
                <w:lang w:val="en-US"/>
              </w:rPr>
            </w:pPr>
            <w:r w:rsidRPr="003F5A2D">
              <w:t>Prevalence of NF1</w:t>
            </w:r>
          </w:p>
        </w:tc>
        <w:tc>
          <w:tcPr>
            <w:tcW w:w="1799" w:type="pct"/>
            <w:shd w:val="clear" w:color="auto" w:fill="auto"/>
            <w:vAlign w:val="center"/>
          </w:tcPr>
          <w:p w14:paraId="15ECEFC3" w14:textId="77777777" w:rsidR="003F5A2D" w:rsidRPr="003F5A2D" w:rsidRDefault="003F5A2D" w:rsidP="001A4D21">
            <w:pPr>
              <w:pStyle w:val="TableText0"/>
              <w:rPr>
                <w:lang w:val="en-US"/>
              </w:rPr>
            </w:pPr>
            <w:r w:rsidRPr="003F5A2D">
              <w:t>1 in 3,000; The Royal Children’s Hospital Melbourne</w:t>
            </w:r>
          </w:p>
        </w:tc>
        <w:tc>
          <w:tcPr>
            <w:tcW w:w="2251" w:type="pct"/>
            <w:shd w:val="clear" w:color="auto" w:fill="auto"/>
            <w:vAlign w:val="center"/>
          </w:tcPr>
          <w:p w14:paraId="3DB6BBA5" w14:textId="3B2131CF" w:rsidR="003F5A2D" w:rsidRPr="003F5A2D" w:rsidRDefault="00B3105E" w:rsidP="001A4D21">
            <w:pPr>
              <w:pStyle w:val="TableText0"/>
              <w:rPr>
                <w:lang w:val="en-US"/>
              </w:rPr>
            </w:pPr>
            <w:r>
              <w:rPr>
                <w:lang w:val="en-US"/>
              </w:rPr>
              <w:t>-</w:t>
            </w:r>
          </w:p>
        </w:tc>
      </w:tr>
      <w:tr w:rsidR="003F5A2D" w:rsidRPr="003F5A2D" w14:paraId="7288A072" w14:textId="77777777" w:rsidTr="001A4D21">
        <w:tc>
          <w:tcPr>
            <w:tcW w:w="950" w:type="pct"/>
            <w:shd w:val="clear" w:color="auto" w:fill="auto"/>
            <w:vAlign w:val="center"/>
          </w:tcPr>
          <w:p w14:paraId="6C844BD4" w14:textId="77777777" w:rsidR="003F5A2D" w:rsidRPr="003F5A2D" w:rsidRDefault="003F5A2D" w:rsidP="001A4D21">
            <w:pPr>
              <w:pStyle w:val="TableText0"/>
              <w:rPr>
                <w:lang w:val="en-US"/>
              </w:rPr>
            </w:pPr>
            <w:r w:rsidRPr="003F5A2D">
              <w:t>Incidence of NF1</w:t>
            </w:r>
          </w:p>
        </w:tc>
        <w:tc>
          <w:tcPr>
            <w:tcW w:w="1799" w:type="pct"/>
            <w:shd w:val="clear" w:color="auto" w:fill="auto"/>
            <w:vAlign w:val="center"/>
          </w:tcPr>
          <w:p w14:paraId="2A5DE640" w14:textId="77777777" w:rsidR="003F5A2D" w:rsidRPr="003F5A2D" w:rsidRDefault="003F5A2D" w:rsidP="001A4D21">
            <w:pPr>
              <w:pStyle w:val="TableText0"/>
              <w:rPr>
                <w:lang w:val="en-US"/>
              </w:rPr>
            </w:pPr>
            <w:r w:rsidRPr="003F5A2D">
              <w:t>103 to 104 new patients per year; Projections from AIHW Mothers and babies 2019</w:t>
            </w:r>
          </w:p>
        </w:tc>
        <w:tc>
          <w:tcPr>
            <w:tcW w:w="2251" w:type="pct"/>
            <w:shd w:val="clear" w:color="auto" w:fill="auto"/>
            <w:vAlign w:val="center"/>
          </w:tcPr>
          <w:p w14:paraId="6F56DDD1" w14:textId="074893AC" w:rsidR="003F5A2D" w:rsidRPr="003F5A2D" w:rsidRDefault="00892022" w:rsidP="001A4D21">
            <w:pPr>
              <w:pStyle w:val="TableText0"/>
              <w:rPr>
                <w:lang w:val="en-US"/>
              </w:rPr>
            </w:pPr>
            <w:r>
              <w:rPr>
                <w:lang w:val="en-US"/>
              </w:rPr>
              <w:t>Incident patients were removed in the revised estimates presented in the pre-PBAC response.</w:t>
            </w:r>
          </w:p>
        </w:tc>
      </w:tr>
      <w:tr w:rsidR="003F5A2D" w:rsidRPr="003F5A2D" w14:paraId="7062E101" w14:textId="77777777" w:rsidTr="001A4D21">
        <w:tc>
          <w:tcPr>
            <w:tcW w:w="950" w:type="pct"/>
            <w:shd w:val="clear" w:color="auto" w:fill="auto"/>
            <w:vAlign w:val="center"/>
          </w:tcPr>
          <w:p w14:paraId="7E8029A0" w14:textId="77777777" w:rsidR="003F5A2D" w:rsidRPr="003F5A2D" w:rsidRDefault="003F5A2D" w:rsidP="001A4D21">
            <w:pPr>
              <w:pStyle w:val="TableText0"/>
              <w:rPr>
                <w:lang w:val="en-US"/>
              </w:rPr>
            </w:pPr>
            <w:r w:rsidRPr="003F5A2D">
              <w:t>Proportion of patients with PN</w:t>
            </w:r>
          </w:p>
        </w:tc>
        <w:tc>
          <w:tcPr>
            <w:tcW w:w="1799" w:type="pct"/>
            <w:shd w:val="clear" w:color="auto" w:fill="auto"/>
            <w:vAlign w:val="center"/>
          </w:tcPr>
          <w:p w14:paraId="15C9D4D7" w14:textId="77777777" w:rsidR="003F5A2D" w:rsidRPr="003F5A2D" w:rsidRDefault="003F5A2D" w:rsidP="001A4D21">
            <w:pPr>
              <w:pStyle w:val="TableText0"/>
              <w:rPr>
                <w:lang w:val="en-US"/>
              </w:rPr>
            </w:pPr>
            <w:r w:rsidRPr="003F5A2D">
              <w:t>30%; Survey of seven Australian clinicians experienced in treating PN and validated at Australian Clinical Advisory Board</w:t>
            </w:r>
          </w:p>
        </w:tc>
        <w:tc>
          <w:tcPr>
            <w:tcW w:w="2251" w:type="pct"/>
            <w:shd w:val="clear" w:color="auto" w:fill="auto"/>
            <w:vAlign w:val="center"/>
          </w:tcPr>
          <w:p w14:paraId="7AF6FD5D" w14:textId="6743AD47" w:rsidR="003F5A2D" w:rsidRPr="003F5A2D" w:rsidRDefault="0061114D" w:rsidP="001A4D21">
            <w:pPr>
              <w:pStyle w:val="TableText0"/>
              <w:rPr>
                <w:lang w:val="en-US"/>
              </w:rPr>
            </w:pPr>
            <w:r>
              <w:rPr>
                <w:lang w:val="en-US"/>
              </w:rPr>
              <w:t xml:space="preserve">The </w:t>
            </w:r>
            <w:r w:rsidRPr="0061114D">
              <w:rPr>
                <w:lang w:val="en-US"/>
              </w:rPr>
              <w:t xml:space="preserve">DUSC </w:t>
            </w:r>
            <w:r>
              <w:rPr>
                <w:lang w:val="en-US"/>
              </w:rPr>
              <w:t xml:space="preserve">noted </w:t>
            </w:r>
            <w:r w:rsidRPr="0061114D">
              <w:rPr>
                <w:lang w:val="en-US"/>
              </w:rPr>
              <w:t>there was no information</w:t>
            </w:r>
            <w:r>
              <w:rPr>
                <w:lang w:val="en-US"/>
              </w:rPr>
              <w:t xml:space="preserve"> provided in the submission</w:t>
            </w:r>
            <w:r w:rsidRPr="0061114D">
              <w:rPr>
                <w:lang w:val="en-US"/>
              </w:rPr>
              <w:t xml:space="preserve"> regarding the range of responses provided or how the responses were analysed</w:t>
            </w:r>
            <w:r>
              <w:rPr>
                <w:lang w:val="en-US"/>
              </w:rPr>
              <w:t xml:space="preserve">. </w:t>
            </w:r>
          </w:p>
        </w:tc>
      </w:tr>
      <w:tr w:rsidR="003F5A2D" w:rsidRPr="003F5A2D" w14:paraId="368E4F2E" w14:textId="77777777" w:rsidTr="001A4D21">
        <w:tc>
          <w:tcPr>
            <w:tcW w:w="950" w:type="pct"/>
            <w:shd w:val="clear" w:color="auto" w:fill="auto"/>
            <w:vAlign w:val="center"/>
          </w:tcPr>
          <w:p w14:paraId="1C5EC5E6" w14:textId="77777777" w:rsidR="003F5A2D" w:rsidRPr="003F5A2D" w:rsidRDefault="003F5A2D" w:rsidP="001A4D21">
            <w:pPr>
              <w:pStyle w:val="TableText0"/>
              <w:rPr>
                <w:lang w:val="en-US"/>
              </w:rPr>
            </w:pPr>
            <w:r w:rsidRPr="003F5A2D">
              <w:t>Proportion of patient with symptomatic NF1 PN</w:t>
            </w:r>
          </w:p>
        </w:tc>
        <w:tc>
          <w:tcPr>
            <w:tcW w:w="1799" w:type="pct"/>
            <w:shd w:val="clear" w:color="auto" w:fill="auto"/>
            <w:vAlign w:val="center"/>
          </w:tcPr>
          <w:p w14:paraId="7ADAB6A2" w14:textId="77777777" w:rsidR="003F5A2D" w:rsidRPr="003F5A2D" w:rsidRDefault="003F5A2D" w:rsidP="001A4D21">
            <w:pPr>
              <w:pStyle w:val="TableText0"/>
              <w:rPr>
                <w:lang w:val="en-US"/>
              </w:rPr>
            </w:pPr>
            <w:r w:rsidRPr="003F5A2D">
              <w:t>74%; Survey of seven Australian clinicians experienced in treating PN and validated at Australian Clinical Advisory Board</w:t>
            </w:r>
          </w:p>
        </w:tc>
        <w:tc>
          <w:tcPr>
            <w:tcW w:w="2251" w:type="pct"/>
            <w:shd w:val="clear" w:color="auto" w:fill="auto"/>
            <w:vAlign w:val="center"/>
          </w:tcPr>
          <w:p w14:paraId="339D59E4" w14:textId="42E2CF2A" w:rsidR="003F5A2D" w:rsidRPr="003F5A2D" w:rsidRDefault="003F5A2D" w:rsidP="001A4D21">
            <w:pPr>
              <w:pStyle w:val="TableText0"/>
              <w:rPr>
                <w:lang w:val="en-US"/>
              </w:rPr>
            </w:pPr>
          </w:p>
        </w:tc>
      </w:tr>
      <w:tr w:rsidR="003F5A2D" w:rsidRPr="003F5A2D" w14:paraId="638988A4" w14:textId="77777777" w:rsidTr="001A4D21">
        <w:tc>
          <w:tcPr>
            <w:tcW w:w="950" w:type="pct"/>
            <w:shd w:val="clear" w:color="auto" w:fill="auto"/>
            <w:vAlign w:val="center"/>
          </w:tcPr>
          <w:p w14:paraId="0C8058E7" w14:textId="77777777" w:rsidR="003F5A2D" w:rsidRPr="003F5A2D" w:rsidRDefault="003F5A2D" w:rsidP="001A4D21">
            <w:pPr>
              <w:pStyle w:val="TableText0"/>
              <w:rPr>
                <w:lang w:val="en-US"/>
              </w:rPr>
            </w:pPr>
            <w:r w:rsidRPr="003F5A2D">
              <w:t>Proportion of patients with symptomatic, inoperable NF1 PN</w:t>
            </w:r>
          </w:p>
        </w:tc>
        <w:tc>
          <w:tcPr>
            <w:tcW w:w="1799" w:type="pct"/>
            <w:shd w:val="clear" w:color="auto" w:fill="auto"/>
            <w:vAlign w:val="center"/>
          </w:tcPr>
          <w:p w14:paraId="32DF4A72" w14:textId="77777777" w:rsidR="003F5A2D" w:rsidRPr="003F5A2D" w:rsidRDefault="003F5A2D" w:rsidP="001A4D21">
            <w:pPr>
              <w:pStyle w:val="TableText0"/>
              <w:rPr>
                <w:lang w:val="en-US"/>
              </w:rPr>
            </w:pPr>
            <w:r w:rsidRPr="003F5A2D">
              <w:t>90%; Survey of seven Australian clinicians experienced in treating PN and validated at Australian Clinical Advisory Board</w:t>
            </w:r>
          </w:p>
        </w:tc>
        <w:tc>
          <w:tcPr>
            <w:tcW w:w="2251" w:type="pct"/>
            <w:shd w:val="clear" w:color="auto" w:fill="auto"/>
            <w:vAlign w:val="center"/>
          </w:tcPr>
          <w:p w14:paraId="3B37B78E" w14:textId="12324465" w:rsidR="003F5A2D" w:rsidRPr="003F5A2D" w:rsidRDefault="003F5A2D" w:rsidP="001A4D21">
            <w:pPr>
              <w:pStyle w:val="TableText0"/>
              <w:rPr>
                <w:lang w:val="en-US"/>
              </w:rPr>
            </w:pPr>
          </w:p>
        </w:tc>
      </w:tr>
      <w:tr w:rsidR="003F5A2D" w:rsidRPr="003F5A2D" w14:paraId="67DEC545" w14:textId="77777777" w:rsidTr="001A4D21">
        <w:tc>
          <w:tcPr>
            <w:tcW w:w="950" w:type="pct"/>
            <w:shd w:val="clear" w:color="auto" w:fill="auto"/>
            <w:vAlign w:val="center"/>
          </w:tcPr>
          <w:p w14:paraId="2E4BF56A" w14:textId="77777777" w:rsidR="003F5A2D" w:rsidRPr="003F5A2D" w:rsidRDefault="003F5A2D" w:rsidP="001A4D21">
            <w:pPr>
              <w:pStyle w:val="TableText0"/>
              <w:rPr>
                <w:lang w:val="en-US"/>
              </w:rPr>
            </w:pPr>
            <w:r w:rsidRPr="003F5A2D">
              <w:t>Patients actively managed</w:t>
            </w:r>
          </w:p>
        </w:tc>
        <w:tc>
          <w:tcPr>
            <w:tcW w:w="1799" w:type="pct"/>
            <w:shd w:val="clear" w:color="auto" w:fill="auto"/>
            <w:vAlign w:val="center"/>
          </w:tcPr>
          <w:p w14:paraId="3312A452" w14:textId="77777777" w:rsidR="003F5A2D" w:rsidRPr="003F5A2D" w:rsidRDefault="003F5A2D" w:rsidP="001A4D21">
            <w:pPr>
              <w:pStyle w:val="TableText0"/>
              <w:rPr>
                <w:lang w:val="en-US"/>
              </w:rPr>
            </w:pPr>
            <w:r w:rsidRPr="003F5A2D">
              <w:t>75%; Survey of seven Australian clinicians experienced in treating PN and validated at Australian Clinical Advisory Board</w:t>
            </w:r>
          </w:p>
        </w:tc>
        <w:tc>
          <w:tcPr>
            <w:tcW w:w="2251" w:type="pct"/>
            <w:shd w:val="clear" w:color="auto" w:fill="auto"/>
            <w:vAlign w:val="center"/>
          </w:tcPr>
          <w:p w14:paraId="6D36BC32" w14:textId="4A572C92" w:rsidR="003F5A2D" w:rsidRPr="003F5A2D" w:rsidRDefault="00892022" w:rsidP="001A4D21">
            <w:pPr>
              <w:pStyle w:val="TableText0"/>
              <w:rPr>
                <w:lang w:val="en-US"/>
              </w:rPr>
            </w:pPr>
            <w:r>
              <w:rPr>
                <w:lang w:val="en-US"/>
              </w:rPr>
              <w:t xml:space="preserve">This </w:t>
            </w:r>
            <w:r w:rsidR="0038405F">
              <w:rPr>
                <w:lang w:val="en-US"/>
              </w:rPr>
              <w:t>assumption was</w:t>
            </w:r>
            <w:r>
              <w:rPr>
                <w:lang w:val="en-US"/>
              </w:rPr>
              <w:t xml:space="preserve"> removed in the revised estimates presented in the pre-PBAC response.</w:t>
            </w:r>
          </w:p>
        </w:tc>
      </w:tr>
      <w:tr w:rsidR="003F5A2D" w:rsidRPr="003F5A2D" w14:paraId="1BF6728E" w14:textId="77777777" w:rsidTr="001A4D21">
        <w:tc>
          <w:tcPr>
            <w:tcW w:w="950" w:type="pct"/>
            <w:shd w:val="clear" w:color="auto" w:fill="auto"/>
            <w:vAlign w:val="center"/>
          </w:tcPr>
          <w:p w14:paraId="6842D2B0" w14:textId="77777777" w:rsidR="003F5A2D" w:rsidRPr="003F5A2D" w:rsidRDefault="003F5A2D" w:rsidP="001A4D21">
            <w:pPr>
              <w:pStyle w:val="TableText0"/>
              <w:rPr>
                <w:lang w:val="en-US"/>
              </w:rPr>
            </w:pPr>
            <w:r w:rsidRPr="003F5A2D">
              <w:t>Selumetinib share</w:t>
            </w:r>
          </w:p>
        </w:tc>
        <w:tc>
          <w:tcPr>
            <w:tcW w:w="1799" w:type="pct"/>
            <w:shd w:val="clear" w:color="auto" w:fill="auto"/>
            <w:vAlign w:val="center"/>
          </w:tcPr>
          <w:p w14:paraId="669995FB" w14:textId="77777777" w:rsidR="003F5A2D" w:rsidRPr="003F5A2D" w:rsidRDefault="003F5A2D" w:rsidP="001A4D21">
            <w:pPr>
              <w:pStyle w:val="TableText0"/>
              <w:rPr>
                <w:lang w:val="en-US"/>
              </w:rPr>
            </w:pPr>
            <w:r w:rsidRPr="003F5A2D">
              <w:t>80%; Survey of seven Australian clinicians experienced in treating PN and validated at Australian Clinical Advisory Board</w:t>
            </w:r>
          </w:p>
        </w:tc>
        <w:tc>
          <w:tcPr>
            <w:tcW w:w="2251" w:type="pct"/>
            <w:shd w:val="clear" w:color="auto" w:fill="auto"/>
          </w:tcPr>
          <w:p w14:paraId="2D1BBB8A" w14:textId="77777777" w:rsidR="003F5A2D" w:rsidRPr="003F5A2D" w:rsidRDefault="003F5A2D" w:rsidP="001A4D21">
            <w:pPr>
              <w:pStyle w:val="TableText0"/>
              <w:rPr>
                <w:lang w:val="en-US"/>
              </w:rPr>
            </w:pPr>
            <w:bookmarkStart w:id="101" w:name="_Hlk110861981"/>
            <w:r w:rsidRPr="003F5A2D">
              <w:t>This is uncertain given t</w:t>
            </w:r>
            <w:bookmarkEnd w:id="101"/>
            <w:r w:rsidRPr="003F5A2D">
              <w:t>he off-label use of trametinib for treating NF1 PN in Australia and the ongoing recruitment of patients in the TiNT trial.</w:t>
            </w:r>
          </w:p>
        </w:tc>
      </w:tr>
      <w:tr w:rsidR="003F5A2D" w:rsidRPr="003F5A2D" w14:paraId="4AF7FC49" w14:textId="77777777" w:rsidTr="001A4D21">
        <w:tc>
          <w:tcPr>
            <w:tcW w:w="950" w:type="pct"/>
            <w:shd w:val="clear" w:color="auto" w:fill="auto"/>
            <w:vAlign w:val="center"/>
          </w:tcPr>
          <w:p w14:paraId="589567C2" w14:textId="77777777" w:rsidR="003F5A2D" w:rsidRPr="003F5A2D" w:rsidRDefault="003F5A2D" w:rsidP="001A4D21">
            <w:pPr>
              <w:pStyle w:val="TableText0"/>
            </w:pPr>
            <w:r w:rsidRPr="003F5A2D">
              <w:t>Prevalent population uptake rate</w:t>
            </w:r>
          </w:p>
        </w:tc>
        <w:tc>
          <w:tcPr>
            <w:tcW w:w="1799" w:type="pct"/>
            <w:shd w:val="clear" w:color="auto" w:fill="auto"/>
            <w:vAlign w:val="center"/>
          </w:tcPr>
          <w:p w14:paraId="001CAE60" w14:textId="77777777" w:rsidR="003F5A2D" w:rsidRDefault="003F5A2D" w:rsidP="001A4D21">
            <w:pPr>
              <w:pStyle w:val="TableText0"/>
            </w:pPr>
            <w:r w:rsidRPr="003F5A2D">
              <w:t>Estimation based on proxy analysis of vismodegib listed on the PBS</w:t>
            </w:r>
            <w:r w:rsidR="00B3105E">
              <w:t>.</w:t>
            </w:r>
          </w:p>
          <w:p w14:paraId="76BA63D3" w14:textId="78C9AD39" w:rsidR="00B3105E" w:rsidRPr="003F5A2D" w:rsidRDefault="00B3105E" w:rsidP="001A4D21">
            <w:pPr>
              <w:pStyle w:val="TableText0"/>
              <w:rPr>
                <w:lang w:val="en-US"/>
              </w:rPr>
            </w:pPr>
            <w:r>
              <w:rPr>
                <w:lang w:val="en-US"/>
              </w:rPr>
              <w:t xml:space="preserve">40% in Year 1 to 95% in Year 6. </w:t>
            </w:r>
          </w:p>
        </w:tc>
        <w:tc>
          <w:tcPr>
            <w:tcW w:w="2251" w:type="pct"/>
            <w:shd w:val="clear" w:color="auto" w:fill="auto"/>
            <w:vAlign w:val="center"/>
          </w:tcPr>
          <w:p w14:paraId="67949A80" w14:textId="7BCC1932" w:rsidR="003F5A2D" w:rsidRPr="003F5A2D" w:rsidRDefault="00305542" w:rsidP="00305542">
            <w:pPr>
              <w:snapToGrid w:val="0"/>
              <w:rPr>
                <w:lang w:val="en-US"/>
              </w:rPr>
            </w:pPr>
            <w:r>
              <w:rPr>
                <w:rFonts w:ascii="Arial Narrow" w:eastAsiaTheme="majorEastAsia" w:hAnsi="Arial Narrow" w:cstheme="majorBidi"/>
                <w:bCs/>
                <w:sz w:val="20"/>
              </w:rPr>
              <w:t xml:space="preserve">The </w:t>
            </w:r>
            <w:r w:rsidRPr="00305542">
              <w:rPr>
                <w:rFonts w:ascii="Arial Narrow" w:eastAsiaTheme="majorEastAsia" w:hAnsi="Arial Narrow" w:cstheme="majorBidi"/>
                <w:bCs/>
                <w:sz w:val="20"/>
              </w:rPr>
              <w:t>DUSC considered other factors that may affect uptake of selumetinib includ</w:t>
            </w:r>
            <w:r>
              <w:rPr>
                <w:rFonts w:ascii="Arial Narrow" w:eastAsiaTheme="majorEastAsia" w:hAnsi="Arial Narrow" w:cstheme="majorBidi"/>
                <w:bCs/>
                <w:sz w:val="20"/>
              </w:rPr>
              <w:t>e</w:t>
            </w:r>
            <w:r w:rsidRPr="00305542">
              <w:rPr>
                <w:rFonts w:ascii="Arial Narrow" w:eastAsiaTheme="majorEastAsia" w:hAnsi="Arial Narrow" w:cstheme="majorBidi"/>
                <w:bCs/>
                <w:sz w:val="20"/>
              </w:rPr>
              <w:t xml:space="preserve"> the ability to swallow capsules as well as the off-label use of trametinib for the treatment of NF1 PN. </w:t>
            </w:r>
          </w:p>
        </w:tc>
      </w:tr>
      <w:tr w:rsidR="003F5A2D" w:rsidRPr="003F5A2D" w14:paraId="672B827D" w14:textId="77777777" w:rsidTr="00775A5E">
        <w:tc>
          <w:tcPr>
            <w:tcW w:w="950" w:type="pct"/>
            <w:shd w:val="clear" w:color="auto" w:fill="auto"/>
            <w:vAlign w:val="center"/>
          </w:tcPr>
          <w:p w14:paraId="795126DA" w14:textId="77777777" w:rsidR="003F5A2D" w:rsidRPr="003F5A2D" w:rsidRDefault="003F5A2D" w:rsidP="001A4D21">
            <w:pPr>
              <w:pStyle w:val="TableText0"/>
            </w:pPr>
            <w:r w:rsidRPr="003F5A2D">
              <w:t>Time on treatment (Weibull)</w:t>
            </w:r>
          </w:p>
        </w:tc>
        <w:tc>
          <w:tcPr>
            <w:tcW w:w="1799" w:type="pct"/>
            <w:shd w:val="clear" w:color="auto" w:fill="auto"/>
            <w:vAlign w:val="center"/>
          </w:tcPr>
          <w:p w14:paraId="46CE6B26" w14:textId="77777777" w:rsidR="00224ED0" w:rsidRDefault="003F5A2D" w:rsidP="00775A5E">
            <w:pPr>
              <w:pStyle w:val="TableText0"/>
            </w:pPr>
            <w:r w:rsidRPr="003F5A2D">
              <w:t>Derived from the Weibull extrapolation of time on treatment</w:t>
            </w:r>
            <w:r w:rsidR="00224ED0">
              <w:t>.</w:t>
            </w:r>
          </w:p>
          <w:p w14:paraId="394C828A" w14:textId="13E8A32D" w:rsidR="003F5A2D" w:rsidRPr="003F5A2D" w:rsidRDefault="00224ED0" w:rsidP="00775A5E">
            <w:pPr>
              <w:pStyle w:val="TableText0"/>
              <w:rPr>
                <w:lang w:val="en-US"/>
              </w:rPr>
            </w:pPr>
            <w:r>
              <w:t xml:space="preserve">100% in Year 1 to 23.3% in Year 6 from TTD KM curve. </w:t>
            </w:r>
          </w:p>
        </w:tc>
        <w:tc>
          <w:tcPr>
            <w:tcW w:w="2251" w:type="pct"/>
            <w:shd w:val="clear" w:color="auto" w:fill="auto"/>
            <w:vAlign w:val="center"/>
          </w:tcPr>
          <w:p w14:paraId="4738C006" w14:textId="2ECEA598" w:rsidR="003F5A2D" w:rsidRPr="003F5A2D" w:rsidRDefault="003F5A2D" w:rsidP="001A4D21">
            <w:pPr>
              <w:pStyle w:val="TableText0"/>
              <w:rPr>
                <w:lang w:val="en-US"/>
              </w:rPr>
            </w:pPr>
            <w:r w:rsidRPr="003F5A2D">
              <w:t xml:space="preserve">This </w:t>
            </w:r>
            <w:r w:rsidR="00224ED0">
              <w:t xml:space="preserve">approach to estimating time on treatment </w:t>
            </w:r>
            <w:r w:rsidRPr="003F5A2D">
              <w:t>may not be reasonable</w:t>
            </w:r>
            <w:r w:rsidR="00DC5700">
              <w:t xml:space="preserve"> as </w:t>
            </w:r>
            <w:r w:rsidR="00DC5700" w:rsidRPr="00DC5700">
              <w:t xml:space="preserve">applying discontinuation from the Weibull </w:t>
            </w:r>
            <w:r w:rsidR="00DC5700">
              <w:t xml:space="preserve">extrapolation </w:t>
            </w:r>
            <w:r w:rsidR="00DC5700" w:rsidRPr="00DC5700">
              <w:t>is not necessary with a prevalence-based approach. Patients will be represented in each forward year within the prevalence estimate and compliance is already applied for the number of scripts they receive in each year</w:t>
            </w:r>
            <w:r w:rsidR="00DC5700">
              <w:t>.</w:t>
            </w:r>
          </w:p>
        </w:tc>
      </w:tr>
      <w:tr w:rsidR="003F5A2D" w:rsidRPr="003F5A2D" w14:paraId="313598F5" w14:textId="77777777" w:rsidTr="001A4D21">
        <w:tc>
          <w:tcPr>
            <w:tcW w:w="950" w:type="pct"/>
            <w:shd w:val="clear" w:color="auto" w:fill="auto"/>
            <w:vAlign w:val="center"/>
          </w:tcPr>
          <w:p w14:paraId="0B39ED39" w14:textId="77777777" w:rsidR="003F5A2D" w:rsidRPr="003F5A2D" w:rsidRDefault="003F5A2D" w:rsidP="001A4D21">
            <w:pPr>
              <w:pStyle w:val="TableText0"/>
            </w:pPr>
            <w:r w:rsidRPr="003F5A2D">
              <w:t>Compliance rate</w:t>
            </w:r>
          </w:p>
        </w:tc>
        <w:tc>
          <w:tcPr>
            <w:tcW w:w="1799" w:type="pct"/>
            <w:shd w:val="clear" w:color="auto" w:fill="auto"/>
            <w:vAlign w:val="center"/>
          </w:tcPr>
          <w:p w14:paraId="484E6831" w14:textId="77777777" w:rsidR="003F5A2D" w:rsidRPr="003F5A2D" w:rsidRDefault="003F5A2D" w:rsidP="001A4D21">
            <w:pPr>
              <w:pStyle w:val="TableText0"/>
              <w:rPr>
                <w:lang w:val="en-US"/>
              </w:rPr>
            </w:pPr>
            <w:r w:rsidRPr="003F5A2D">
              <w:t>85%; submission assumption</w:t>
            </w:r>
          </w:p>
        </w:tc>
        <w:tc>
          <w:tcPr>
            <w:tcW w:w="2251" w:type="pct"/>
            <w:shd w:val="clear" w:color="auto" w:fill="auto"/>
            <w:vAlign w:val="center"/>
          </w:tcPr>
          <w:p w14:paraId="02FFFA65" w14:textId="010BFDB1" w:rsidR="003F5A2D" w:rsidRPr="003F5A2D" w:rsidRDefault="00B3105E" w:rsidP="001A4D21">
            <w:pPr>
              <w:pStyle w:val="TableText0"/>
              <w:rPr>
                <w:lang w:val="en-US"/>
              </w:rPr>
            </w:pPr>
            <w:r>
              <w:rPr>
                <w:lang w:val="en-US"/>
              </w:rPr>
              <w:t>-</w:t>
            </w:r>
          </w:p>
        </w:tc>
      </w:tr>
      <w:tr w:rsidR="003F5A2D" w:rsidRPr="003F5A2D" w14:paraId="0394FB48" w14:textId="77777777" w:rsidTr="001A4D21">
        <w:tc>
          <w:tcPr>
            <w:tcW w:w="950" w:type="pct"/>
            <w:shd w:val="clear" w:color="auto" w:fill="auto"/>
            <w:vAlign w:val="center"/>
          </w:tcPr>
          <w:p w14:paraId="7039C58C" w14:textId="77777777" w:rsidR="003F5A2D" w:rsidRPr="003F5A2D" w:rsidRDefault="003F5A2D" w:rsidP="001A4D21">
            <w:pPr>
              <w:pStyle w:val="TableText0"/>
            </w:pPr>
            <w:r w:rsidRPr="003F5A2D">
              <w:t>Average dose</w:t>
            </w:r>
          </w:p>
        </w:tc>
        <w:tc>
          <w:tcPr>
            <w:tcW w:w="1799" w:type="pct"/>
            <w:shd w:val="clear" w:color="auto" w:fill="auto"/>
            <w:vAlign w:val="center"/>
          </w:tcPr>
          <w:p w14:paraId="735C74D5" w14:textId="5FBF281B" w:rsidR="003F5A2D" w:rsidRPr="003F5A2D" w:rsidRDefault="003F5A2D" w:rsidP="001A4D21">
            <w:pPr>
              <w:pStyle w:val="TableText0"/>
            </w:pPr>
            <w:r w:rsidRPr="003F5A2D">
              <w:t>30</w:t>
            </w:r>
            <w:r w:rsidR="001A4D21">
              <w:t xml:space="preserve"> </w:t>
            </w:r>
            <w:r w:rsidRPr="003F5A2D">
              <w:t>mg BID; Based on the mean BSA reported in the SPRINT trial and dosed at 25</w:t>
            </w:r>
            <w:r w:rsidR="001A4D21">
              <w:t xml:space="preserve"> </w:t>
            </w:r>
            <w:r w:rsidRPr="003F5A2D">
              <w:t>mg/m</w:t>
            </w:r>
            <w:r w:rsidRPr="003F5A2D">
              <w:rPr>
                <w:vertAlign w:val="superscript"/>
              </w:rPr>
              <w:t>2</w:t>
            </w:r>
          </w:p>
        </w:tc>
        <w:tc>
          <w:tcPr>
            <w:tcW w:w="2251" w:type="pct"/>
            <w:shd w:val="clear" w:color="auto" w:fill="auto"/>
            <w:vAlign w:val="center"/>
          </w:tcPr>
          <w:p w14:paraId="3CFAFBA7" w14:textId="7684BB2F" w:rsidR="003F5A2D" w:rsidRPr="003F5A2D" w:rsidRDefault="003F5A2D" w:rsidP="001A4D21">
            <w:pPr>
              <w:pStyle w:val="TableText0"/>
              <w:rPr>
                <w:lang w:val="en-US"/>
              </w:rPr>
            </w:pPr>
            <w:r w:rsidRPr="003F5A2D">
              <w:rPr>
                <w:lang w:val="en-US"/>
              </w:rPr>
              <w:t>Consistent with the SPRINT trial, the dose for a BSA of 1.127m</w:t>
            </w:r>
            <w:r w:rsidRPr="003F5A2D">
              <w:rPr>
                <w:vertAlign w:val="superscript"/>
                <w:lang w:val="en-US"/>
              </w:rPr>
              <w:t>2</w:t>
            </w:r>
            <w:r w:rsidRPr="003F5A2D">
              <w:rPr>
                <w:lang w:val="en-US"/>
              </w:rPr>
              <w:t xml:space="preserve"> was 30 mg twice daily</w:t>
            </w:r>
            <w:r w:rsidR="00C436C7">
              <w:rPr>
                <w:lang w:val="en-US"/>
              </w:rPr>
              <w:t xml:space="preserve"> ($</w:t>
            </w:r>
            <w:r w:rsidR="00F66E51" w:rsidRPr="00F66E51">
              <w:rPr>
                <w:color w:val="000000"/>
                <w:spacing w:val="39"/>
                <w:shd w:val="solid" w:color="000000" w:fill="000000"/>
                <w:fitText w:val="455" w:id="-1301006327"/>
                <w:lang w:val="en-US"/>
                <w14:textFill>
                  <w14:solidFill>
                    <w14:srgbClr w14:val="000000">
                      <w14:alpha w14:val="100000"/>
                    </w14:srgbClr>
                  </w14:solidFill>
                </w14:textFill>
              </w:rPr>
              <w:t>|||||</w:t>
            </w:r>
            <w:r w:rsidR="00F66E51" w:rsidRPr="00F66E51">
              <w:rPr>
                <w:color w:val="000000"/>
                <w:spacing w:val="5"/>
                <w:shd w:val="solid" w:color="000000" w:fill="000000"/>
                <w:fitText w:val="455" w:id="-1301006327"/>
                <w:lang w:val="en-US"/>
                <w14:textFill>
                  <w14:solidFill>
                    <w14:srgbClr w14:val="000000">
                      <w14:alpha w14:val="100000"/>
                    </w14:srgbClr>
                  </w14:solidFill>
                </w14:textFill>
              </w:rPr>
              <w:t>|</w:t>
            </w:r>
            <w:r w:rsidR="00C436C7">
              <w:rPr>
                <w:lang w:val="en-US"/>
              </w:rPr>
              <w:t xml:space="preserve"> per patient per year)</w:t>
            </w:r>
            <w:r w:rsidRPr="003F5A2D">
              <w:rPr>
                <w:lang w:val="en-US"/>
              </w:rPr>
              <w:t>. However, this dose was not adjusted to account for the increase in BSA with age.</w:t>
            </w:r>
          </w:p>
        </w:tc>
      </w:tr>
      <w:tr w:rsidR="003F5A2D" w:rsidRPr="003F5A2D" w14:paraId="56404541" w14:textId="77777777" w:rsidTr="001A4D21">
        <w:tc>
          <w:tcPr>
            <w:tcW w:w="950" w:type="pct"/>
            <w:shd w:val="clear" w:color="auto" w:fill="auto"/>
            <w:vAlign w:val="center"/>
          </w:tcPr>
          <w:p w14:paraId="0578A2D2" w14:textId="77777777" w:rsidR="003F5A2D" w:rsidRPr="003F5A2D" w:rsidRDefault="003F5A2D" w:rsidP="001A4D21">
            <w:pPr>
              <w:pStyle w:val="TableText0"/>
            </w:pPr>
            <w:r w:rsidRPr="003F5A2D">
              <w:t>MRI scans</w:t>
            </w:r>
          </w:p>
        </w:tc>
        <w:tc>
          <w:tcPr>
            <w:tcW w:w="1799" w:type="pct"/>
            <w:shd w:val="clear" w:color="auto" w:fill="auto"/>
            <w:vAlign w:val="center"/>
          </w:tcPr>
          <w:p w14:paraId="000B0578" w14:textId="77777777" w:rsidR="003F5A2D" w:rsidRPr="003F5A2D" w:rsidRDefault="003F5A2D" w:rsidP="001A4D21">
            <w:pPr>
              <w:pStyle w:val="TableText0"/>
              <w:keepNext w:val="0"/>
            </w:pPr>
            <w:r w:rsidRPr="003F5A2D">
              <w:t>$380.80; 100%, MBS item code: 63301</w:t>
            </w:r>
          </w:p>
          <w:p w14:paraId="41DD8264" w14:textId="77777777" w:rsidR="003F5A2D" w:rsidRPr="003F5A2D" w:rsidRDefault="003F5A2D" w:rsidP="001A4D21">
            <w:pPr>
              <w:pStyle w:val="TableText0"/>
              <w:rPr>
                <w:lang w:val="en-US"/>
              </w:rPr>
            </w:pPr>
            <w:r w:rsidRPr="003F5A2D">
              <w:t>Average MBS benefit: 80%</w:t>
            </w:r>
          </w:p>
        </w:tc>
        <w:tc>
          <w:tcPr>
            <w:tcW w:w="2251" w:type="pct"/>
            <w:shd w:val="clear" w:color="auto" w:fill="auto"/>
            <w:vAlign w:val="center"/>
          </w:tcPr>
          <w:p w14:paraId="69E02033" w14:textId="3CB75D8C" w:rsidR="003F5A2D" w:rsidRPr="003F5A2D" w:rsidRDefault="00393001" w:rsidP="001A4D21">
            <w:pPr>
              <w:pStyle w:val="TableText0"/>
              <w:rPr>
                <w:lang w:val="en-US"/>
              </w:rPr>
            </w:pPr>
            <w:r>
              <w:t xml:space="preserve"> Updated </w:t>
            </w:r>
            <w:r w:rsidR="00254225">
              <w:t xml:space="preserve">to reflect July 2022 costs </w:t>
            </w:r>
            <w:r>
              <w:t>in pre-PBAC response</w:t>
            </w:r>
          </w:p>
        </w:tc>
      </w:tr>
      <w:tr w:rsidR="003F5A2D" w:rsidRPr="003F5A2D" w14:paraId="11B98C07" w14:textId="77777777" w:rsidTr="001A4D21">
        <w:tc>
          <w:tcPr>
            <w:tcW w:w="950" w:type="pct"/>
            <w:shd w:val="clear" w:color="auto" w:fill="auto"/>
            <w:vAlign w:val="center"/>
          </w:tcPr>
          <w:p w14:paraId="7AADAAB2" w14:textId="77777777" w:rsidR="003F5A2D" w:rsidRPr="003F5A2D" w:rsidRDefault="003F5A2D" w:rsidP="001A4D21">
            <w:pPr>
              <w:pStyle w:val="TableText0"/>
            </w:pPr>
            <w:r w:rsidRPr="003F5A2D">
              <w:t>Public/Private weighting</w:t>
            </w:r>
          </w:p>
        </w:tc>
        <w:tc>
          <w:tcPr>
            <w:tcW w:w="1799" w:type="pct"/>
            <w:shd w:val="clear" w:color="auto" w:fill="auto"/>
            <w:vAlign w:val="center"/>
          </w:tcPr>
          <w:p w14:paraId="737A77EE" w14:textId="77777777" w:rsidR="003F5A2D" w:rsidRPr="003F5A2D" w:rsidRDefault="003F5A2D" w:rsidP="001A4D21">
            <w:pPr>
              <w:pStyle w:val="TableText0"/>
              <w:keepNext w:val="0"/>
            </w:pPr>
            <w:r w:rsidRPr="003F5A2D">
              <w:t xml:space="preserve">The submission assumed 100% public weighting, </w:t>
            </w:r>
          </w:p>
        </w:tc>
        <w:tc>
          <w:tcPr>
            <w:tcW w:w="2251" w:type="pct"/>
            <w:shd w:val="clear" w:color="auto" w:fill="auto"/>
            <w:vAlign w:val="center"/>
          </w:tcPr>
          <w:p w14:paraId="3C57DCAC" w14:textId="77777777" w:rsidR="003F5A2D" w:rsidRPr="003F5A2D" w:rsidRDefault="003F5A2D" w:rsidP="001A4D21">
            <w:pPr>
              <w:pStyle w:val="TableText0"/>
            </w:pPr>
            <w:r w:rsidRPr="003F5A2D">
              <w:t>This may not be appropriate given that the submission requested listing for use in both public and private setting.</w:t>
            </w:r>
          </w:p>
        </w:tc>
      </w:tr>
    </w:tbl>
    <w:p w14:paraId="163D9E58" w14:textId="77777777" w:rsidR="003F5A2D" w:rsidRDefault="003F5A2D" w:rsidP="003F5A2D">
      <w:pPr>
        <w:pStyle w:val="FooterTableFigure"/>
      </w:pPr>
      <w:r w:rsidRPr="007925DF">
        <w:t xml:space="preserve">Source: </w:t>
      </w:r>
      <w:r>
        <w:t>Table 4.2, pp225-226 of the submission.</w:t>
      </w:r>
    </w:p>
    <w:p w14:paraId="54F0597A" w14:textId="77777777" w:rsidR="003F5A2D" w:rsidRPr="007925DF" w:rsidRDefault="003F5A2D" w:rsidP="003F5A2D">
      <w:pPr>
        <w:pStyle w:val="FooterTableFigure"/>
      </w:pPr>
      <w:r>
        <w:t>ABS = Australian Bureau of Statistics, AIHW = Australian Institute of Health and Welfare, BID = twice a day, BSA = body surface area, MBS = Medicare Benefits Scheme, MRI = magnetic imaging resonance, NF1 = neurofibromatosis type 1, PN = plexiform neurofibroma(s).</w:t>
      </w:r>
    </w:p>
    <w:p w14:paraId="23A5906A" w14:textId="618C8BF0" w:rsidR="003F5A2D" w:rsidRPr="003F5A2D" w:rsidRDefault="003F5A2D" w:rsidP="003F5A2D">
      <w:pPr>
        <w:pStyle w:val="3-BodyText"/>
      </w:pPr>
      <w:bookmarkStart w:id="102" w:name="_Ref113967798"/>
      <w:r w:rsidRPr="003F5A2D">
        <w:t xml:space="preserve">The addition of the number of incident patients to the number of prevalent patients will overestimate the treated population (as incident patients would already be captured in the prevalence estimate). </w:t>
      </w:r>
      <w:r w:rsidR="005B3B5E">
        <w:t>The DUSC considered that a</w:t>
      </w:r>
      <w:r w:rsidR="005B3B5E" w:rsidRPr="003F5A2D">
        <w:t xml:space="preserve"> </w:t>
      </w:r>
      <w:r w:rsidRPr="003F5A2D">
        <w:t xml:space="preserve">prevalence only based epidemiological approach would be appropriate and this approach would also </w:t>
      </w:r>
      <w:r w:rsidRPr="003F5A2D">
        <w:lastRenderedPageBreak/>
        <w:t>capture any potential grandfathered patients (noting the submission requested a restriction to allow patients currently receiving selumetinib to transition to PBS-subsidised treatment).</w:t>
      </w:r>
      <w:bookmarkEnd w:id="102"/>
      <w:r w:rsidR="005B3B5E">
        <w:t xml:space="preserve"> Revised estimates presented in the pre-PBAC response removed the incident patients.</w:t>
      </w:r>
    </w:p>
    <w:p w14:paraId="21A1E5FC" w14:textId="22663993" w:rsidR="003F5A2D" w:rsidRPr="003F5A2D" w:rsidRDefault="003F5A2D" w:rsidP="003F5A2D">
      <w:pPr>
        <w:pStyle w:val="3-BodyText"/>
        <w:snapToGrid w:val="0"/>
        <w:spacing w:after="0"/>
      </w:pPr>
      <w:r w:rsidRPr="003F5A2D">
        <w:t xml:space="preserve">The </w:t>
      </w:r>
      <w:r w:rsidR="00254225">
        <w:t xml:space="preserve">evaluation considered the </w:t>
      </w:r>
      <w:r w:rsidRPr="003F5A2D">
        <w:t>main sources of uncertainty relating to the estimated use of selumetinib were:</w:t>
      </w:r>
    </w:p>
    <w:p w14:paraId="58B79985" w14:textId="77777777" w:rsidR="003F5A2D" w:rsidRPr="003F5A2D" w:rsidRDefault="003F5A2D" w:rsidP="003F5A2D">
      <w:pPr>
        <w:pStyle w:val="ListParagraph"/>
        <w:snapToGrid w:val="0"/>
        <w:spacing w:after="0"/>
        <w:ind w:left="1134"/>
      </w:pPr>
      <w:r w:rsidRPr="003F5A2D">
        <w:t>The estimated uptake rate may not be accurate given the off-label use of trametinib for treating NF1 PN in Australia and the ongoing recruitment of patients in TiNT trial.</w:t>
      </w:r>
    </w:p>
    <w:p w14:paraId="1689756F" w14:textId="77777777" w:rsidR="003F5A2D" w:rsidRPr="003F5A2D" w:rsidRDefault="003F5A2D" w:rsidP="003F5A2D">
      <w:pPr>
        <w:pStyle w:val="ListParagraph"/>
        <w:spacing w:after="0"/>
        <w:ind w:left="1134"/>
      </w:pPr>
      <w:r w:rsidRPr="003F5A2D">
        <w:t>Vismodegib, a PBS drug listed for different indication and population, was used as a proxy to predict the uptake rate for selumetinib.</w:t>
      </w:r>
    </w:p>
    <w:p w14:paraId="326AEF4D" w14:textId="77777777" w:rsidR="003F5A2D" w:rsidRPr="003F5A2D" w:rsidRDefault="003F5A2D" w:rsidP="003F5A2D">
      <w:pPr>
        <w:pStyle w:val="ListParagraph"/>
        <w:ind w:left="1134"/>
      </w:pPr>
      <w:r w:rsidRPr="003F5A2D">
        <w:t>Use of compliance rate to estimate scripts would be double counting given that compliance is reflected in the number of patients on treatment.</w:t>
      </w:r>
    </w:p>
    <w:p w14:paraId="4B6B3DDB" w14:textId="77777777" w:rsidR="003F5A2D" w:rsidRPr="003F5A2D" w:rsidRDefault="003F5A2D" w:rsidP="003F5A2D">
      <w:pPr>
        <w:pStyle w:val="3-BodyText"/>
      </w:pPr>
      <w:r w:rsidRPr="003F5A2D">
        <w:t xml:space="preserve">The submission may have underestimated the additional tests required for monitoring toxicity with the use of selumetinib. TGA PI for selumetinib recommends the use of serum creatine phosphokinase (CPK) prior to obtaining selumetinib, periodically during treatment, and as clinically indicated. The TGA PI further recommends an ophthalmological evaluation prior to treatment and at any time a patient reports new visual disturbances. Furthermore, the number of MRIs are required to replace volumetric MRIs is uncertain.  </w:t>
      </w:r>
    </w:p>
    <w:p w14:paraId="1057A154" w14:textId="1D523EDD" w:rsidR="003F5A2D" w:rsidRPr="003F5A2D" w:rsidRDefault="003F5A2D" w:rsidP="003F5A2D">
      <w:pPr>
        <w:pStyle w:val="3-BodyText"/>
        <w:rPr>
          <w:color w:val="0066FF"/>
        </w:rPr>
      </w:pPr>
      <w:r w:rsidRPr="003F5A2D">
        <w:t xml:space="preserve">The estimated net financial implications of listing selumetinib are summarised in </w:t>
      </w:r>
      <w:r w:rsidRPr="003F5A2D">
        <w:fldChar w:fldCharType="begin"/>
      </w:r>
      <w:r w:rsidRPr="003F5A2D">
        <w:instrText xml:space="preserve"> REF _Ref104805295 \h  \* MERGEFORMAT </w:instrText>
      </w:r>
      <w:r w:rsidRPr="003F5A2D">
        <w:fldChar w:fldCharType="separate"/>
      </w:r>
      <w:r w:rsidR="00BE0EE6">
        <w:t xml:space="preserve">Table </w:t>
      </w:r>
      <w:r w:rsidR="00BE0EE6">
        <w:rPr>
          <w:noProof/>
        </w:rPr>
        <w:t>14</w:t>
      </w:r>
      <w:r w:rsidRPr="003F5A2D">
        <w:fldChar w:fldCharType="end"/>
      </w:r>
      <w:r w:rsidRPr="003F5A2D">
        <w:t>.</w:t>
      </w:r>
      <w:r>
        <w:t xml:space="preserve"> </w:t>
      </w:r>
    </w:p>
    <w:p w14:paraId="278507E9" w14:textId="24586023" w:rsidR="003F5A2D" w:rsidRPr="00606FBA" w:rsidRDefault="003F5A2D" w:rsidP="003F5A2D">
      <w:pPr>
        <w:pStyle w:val="Caption"/>
      </w:pPr>
      <w:bookmarkStart w:id="103" w:name="_Ref104805295"/>
      <w:r>
        <w:t xml:space="preserve">Table </w:t>
      </w:r>
      <w:fldSimple w:instr=" SEQ Table \* ARABIC ">
        <w:r w:rsidR="00BE0EE6">
          <w:rPr>
            <w:noProof/>
          </w:rPr>
          <w:t>14</w:t>
        </w:r>
      </w:fldSimple>
      <w:bookmarkEnd w:id="103"/>
      <w:r>
        <w:t>:</w:t>
      </w:r>
      <w:r w:rsidRPr="00606FBA">
        <w:rPr>
          <w:rStyle w:val="CommentReference"/>
          <w:b/>
          <w:szCs w:val="24"/>
        </w:rPr>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5"/>
        <w:gridCol w:w="1102"/>
        <w:gridCol w:w="1102"/>
        <w:gridCol w:w="1102"/>
        <w:gridCol w:w="1102"/>
        <w:gridCol w:w="1102"/>
        <w:gridCol w:w="1102"/>
      </w:tblGrid>
      <w:tr w:rsidR="003F5A2D" w:rsidRPr="00D1078F" w14:paraId="1B487FCE" w14:textId="77777777" w:rsidTr="001A4D21">
        <w:trPr>
          <w:tblHeader/>
        </w:trPr>
        <w:tc>
          <w:tcPr>
            <w:tcW w:w="1334" w:type="pct"/>
            <w:shd w:val="clear" w:color="auto" w:fill="auto"/>
            <w:vAlign w:val="center"/>
          </w:tcPr>
          <w:p w14:paraId="358D40CC" w14:textId="77777777" w:rsidR="003F5A2D" w:rsidRPr="00A45EA8" w:rsidRDefault="003F5A2D" w:rsidP="001A4D21">
            <w:pPr>
              <w:pStyle w:val="In-tableHeading"/>
              <w:jc w:val="center"/>
              <w:rPr>
                <w:szCs w:val="20"/>
              </w:rPr>
            </w:pPr>
          </w:p>
        </w:tc>
        <w:tc>
          <w:tcPr>
            <w:tcW w:w="611" w:type="pct"/>
            <w:shd w:val="clear" w:color="auto" w:fill="auto"/>
            <w:vAlign w:val="center"/>
          </w:tcPr>
          <w:p w14:paraId="06FBB312" w14:textId="77777777" w:rsidR="003F5A2D" w:rsidRPr="00A45EA8" w:rsidRDefault="003F5A2D" w:rsidP="001A4D21">
            <w:pPr>
              <w:pStyle w:val="In-tableHeading"/>
              <w:jc w:val="center"/>
              <w:rPr>
                <w:szCs w:val="20"/>
              </w:rPr>
            </w:pPr>
            <w:r w:rsidRPr="00A45EA8">
              <w:rPr>
                <w:szCs w:val="20"/>
              </w:rPr>
              <w:t>Year 1</w:t>
            </w:r>
          </w:p>
        </w:tc>
        <w:tc>
          <w:tcPr>
            <w:tcW w:w="611" w:type="pct"/>
            <w:shd w:val="clear" w:color="auto" w:fill="auto"/>
            <w:vAlign w:val="center"/>
          </w:tcPr>
          <w:p w14:paraId="01116EAB" w14:textId="77777777" w:rsidR="003F5A2D" w:rsidRPr="00A45EA8" w:rsidRDefault="003F5A2D" w:rsidP="001A4D21">
            <w:pPr>
              <w:pStyle w:val="In-tableHeading"/>
              <w:jc w:val="center"/>
              <w:rPr>
                <w:szCs w:val="20"/>
              </w:rPr>
            </w:pPr>
            <w:r w:rsidRPr="00A45EA8">
              <w:rPr>
                <w:szCs w:val="20"/>
              </w:rPr>
              <w:t>Year 2</w:t>
            </w:r>
          </w:p>
        </w:tc>
        <w:tc>
          <w:tcPr>
            <w:tcW w:w="611" w:type="pct"/>
            <w:shd w:val="clear" w:color="auto" w:fill="auto"/>
            <w:vAlign w:val="center"/>
          </w:tcPr>
          <w:p w14:paraId="14CF4148" w14:textId="77777777" w:rsidR="003F5A2D" w:rsidRPr="00A45EA8" w:rsidRDefault="003F5A2D" w:rsidP="001A4D21">
            <w:pPr>
              <w:pStyle w:val="In-tableHeading"/>
              <w:jc w:val="center"/>
              <w:rPr>
                <w:szCs w:val="20"/>
              </w:rPr>
            </w:pPr>
            <w:r w:rsidRPr="00A45EA8">
              <w:rPr>
                <w:szCs w:val="20"/>
              </w:rPr>
              <w:t>Year 3</w:t>
            </w:r>
          </w:p>
        </w:tc>
        <w:tc>
          <w:tcPr>
            <w:tcW w:w="611" w:type="pct"/>
            <w:shd w:val="clear" w:color="auto" w:fill="auto"/>
            <w:vAlign w:val="center"/>
          </w:tcPr>
          <w:p w14:paraId="6E08329C" w14:textId="77777777" w:rsidR="003F5A2D" w:rsidRPr="00A45EA8" w:rsidRDefault="003F5A2D" w:rsidP="001A4D21">
            <w:pPr>
              <w:pStyle w:val="In-tableHeading"/>
              <w:jc w:val="center"/>
              <w:rPr>
                <w:szCs w:val="20"/>
              </w:rPr>
            </w:pPr>
            <w:r w:rsidRPr="00A45EA8">
              <w:rPr>
                <w:szCs w:val="20"/>
              </w:rPr>
              <w:t>Year 4</w:t>
            </w:r>
          </w:p>
        </w:tc>
        <w:tc>
          <w:tcPr>
            <w:tcW w:w="611" w:type="pct"/>
            <w:shd w:val="clear" w:color="auto" w:fill="auto"/>
            <w:vAlign w:val="center"/>
          </w:tcPr>
          <w:p w14:paraId="4B8A6CA4" w14:textId="77777777" w:rsidR="003F5A2D" w:rsidRPr="00A45EA8" w:rsidRDefault="003F5A2D" w:rsidP="001A4D21">
            <w:pPr>
              <w:pStyle w:val="In-tableHeading"/>
              <w:jc w:val="center"/>
              <w:rPr>
                <w:szCs w:val="20"/>
              </w:rPr>
            </w:pPr>
            <w:r w:rsidRPr="00A45EA8">
              <w:rPr>
                <w:szCs w:val="20"/>
              </w:rPr>
              <w:t>Year 5</w:t>
            </w:r>
          </w:p>
        </w:tc>
        <w:tc>
          <w:tcPr>
            <w:tcW w:w="611" w:type="pct"/>
          </w:tcPr>
          <w:p w14:paraId="1876A945" w14:textId="77777777" w:rsidR="003F5A2D" w:rsidRPr="00A45EA8" w:rsidRDefault="003F5A2D" w:rsidP="001A4D21">
            <w:pPr>
              <w:pStyle w:val="In-tableHeading"/>
              <w:jc w:val="center"/>
              <w:rPr>
                <w:szCs w:val="20"/>
              </w:rPr>
            </w:pPr>
            <w:r w:rsidRPr="00A45EA8">
              <w:rPr>
                <w:szCs w:val="20"/>
              </w:rPr>
              <w:t>Year 6</w:t>
            </w:r>
          </w:p>
        </w:tc>
      </w:tr>
      <w:tr w:rsidR="003F5A2D" w:rsidRPr="00D1078F" w14:paraId="25728249" w14:textId="77777777" w:rsidTr="001A4D21">
        <w:tc>
          <w:tcPr>
            <w:tcW w:w="5000" w:type="pct"/>
            <w:gridSpan w:val="7"/>
            <w:shd w:val="clear" w:color="auto" w:fill="auto"/>
            <w:vAlign w:val="center"/>
          </w:tcPr>
          <w:p w14:paraId="475BBD1B" w14:textId="77777777" w:rsidR="003F5A2D" w:rsidRPr="00A45EA8" w:rsidRDefault="003F5A2D" w:rsidP="001A4D21">
            <w:pPr>
              <w:pStyle w:val="In-tableHeading"/>
              <w:rPr>
                <w:bCs/>
                <w:color w:val="000000"/>
                <w:szCs w:val="20"/>
              </w:rPr>
            </w:pPr>
            <w:r w:rsidRPr="00A45EA8">
              <w:rPr>
                <w:bCs/>
                <w:color w:val="000000"/>
                <w:szCs w:val="20"/>
              </w:rPr>
              <w:t>Estimated extent of use</w:t>
            </w:r>
          </w:p>
        </w:tc>
      </w:tr>
      <w:tr w:rsidR="003F5A2D" w:rsidRPr="003639A6" w14:paraId="21486E42" w14:textId="77777777" w:rsidTr="001A4D21">
        <w:tc>
          <w:tcPr>
            <w:tcW w:w="1334" w:type="pct"/>
            <w:shd w:val="clear" w:color="auto" w:fill="auto"/>
            <w:vAlign w:val="center"/>
          </w:tcPr>
          <w:p w14:paraId="34FCFD51" w14:textId="77777777" w:rsidR="003F5A2D" w:rsidRPr="00A45EA8" w:rsidRDefault="003F5A2D" w:rsidP="001A4D21">
            <w:pPr>
              <w:pStyle w:val="TableText0"/>
              <w:rPr>
                <w:szCs w:val="20"/>
              </w:rPr>
            </w:pPr>
            <w:r w:rsidRPr="00A45EA8">
              <w:rPr>
                <w:szCs w:val="20"/>
              </w:rPr>
              <w:t>Number of patients treated</w:t>
            </w:r>
          </w:p>
        </w:tc>
        <w:tc>
          <w:tcPr>
            <w:tcW w:w="611" w:type="pct"/>
            <w:shd w:val="clear" w:color="auto" w:fill="auto"/>
            <w:vAlign w:val="center"/>
          </w:tcPr>
          <w:p w14:paraId="688EDB40" w14:textId="7A3D83E4" w:rsidR="003F5A2D" w:rsidRPr="00D060C7" w:rsidRDefault="00F66E51" w:rsidP="001A4D21">
            <w:pPr>
              <w:pStyle w:val="TableText0"/>
              <w:jc w:val="center"/>
              <w:rPr>
                <w:color w:val="000000"/>
                <w:szCs w:val="20"/>
                <w:highlight w:val="darkGray"/>
              </w:rPr>
            </w:pPr>
            <w:r w:rsidRPr="00F66E51">
              <w:rPr>
                <w:color w:val="000000"/>
                <w:spacing w:val="55"/>
                <w:szCs w:val="20"/>
                <w:shd w:val="solid" w:color="000000" w:fill="000000"/>
                <w:fitText w:val="239" w:id="-1301006326"/>
                <w14:textFill>
                  <w14:solidFill>
                    <w14:srgbClr w14:val="000000">
                      <w14:alpha w14:val="100000"/>
                    </w14:srgbClr>
                  </w14:solidFill>
                </w14:textFill>
              </w:rPr>
              <w:t>||</w:t>
            </w:r>
            <w:r w:rsidRPr="00F66E51">
              <w:rPr>
                <w:color w:val="000000"/>
                <w:spacing w:val="2"/>
                <w:szCs w:val="20"/>
                <w:shd w:val="solid" w:color="000000" w:fill="000000"/>
                <w:fitText w:val="239" w:id="-1301006326"/>
                <w14:textFill>
                  <w14:solidFill>
                    <w14:srgbClr w14:val="000000">
                      <w14:alpha w14:val="100000"/>
                    </w14:srgbClr>
                  </w14:solidFill>
                </w14:textFill>
              </w:rPr>
              <w:t>|</w:t>
            </w:r>
            <w:r w:rsidR="00D060C7" w:rsidRPr="00D060C7">
              <w:rPr>
                <w:szCs w:val="20"/>
                <w:vertAlign w:val="superscript"/>
              </w:rPr>
              <w:t>1</w:t>
            </w:r>
          </w:p>
        </w:tc>
        <w:tc>
          <w:tcPr>
            <w:tcW w:w="611" w:type="pct"/>
            <w:shd w:val="clear" w:color="auto" w:fill="auto"/>
            <w:vAlign w:val="center"/>
          </w:tcPr>
          <w:p w14:paraId="4B7E0363" w14:textId="66237960" w:rsidR="003F5A2D" w:rsidRPr="00D060C7" w:rsidRDefault="00F66E51" w:rsidP="001A4D21">
            <w:pPr>
              <w:pStyle w:val="TableText0"/>
              <w:jc w:val="center"/>
              <w:rPr>
                <w:color w:val="000000"/>
                <w:szCs w:val="20"/>
                <w:highlight w:val="darkGray"/>
              </w:rPr>
            </w:pPr>
            <w:r w:rsidRPr="00F66E51">
              <w:rPr>
                <w:color w:val="000000"/>
                <w:spacing w:val="55"/>
                <w:szCs w:val="20"/>
                <w:shd w:val="solid" w:color="000000" w:fill="000000"/>
                <w:fitText w:val="239" w:id="-1301006325"/>
                <w14:textFill>
                  <w14:solidFill>
                    <w14:srgbClr w14:val="000000">
                      <w14:alpha w14:val="100000"/>
                    </w14:srgbClr>
                  </w14:solidFill>
                </w14:textFill>
              </w:rPr>
              <w:t>||</w:t>
            </w:r>
            <w:r w:rsidRPr="00F66E51">
              <w:rPr>
                <w:color w:val="000000"/>
                <w:spacing w:val="2"/>
                <w:szCs w:val="20"/>
                <w:shd w:val="solid" w:color="000000" w:fill="000000"/>
                <w:fitText w:val="239" w:id="-1301006325"/>
                <w14:textFill>
                  <w14:solidFill>
                    <w14:srgbClr w14:val="000000">
                      <w14:alpha w14:val="100000"/>
                    </w14:srgbClr>
                  </w14:solidFill>
                </w14:textFill>
              </w:rPr>
              <w:t>|</w:t>
            </w:r>
            <w:r w:rsidR="00D060C7" w:rsidRPr="00D060C7">
              <w:rPr>
                <w:szCs w:val="20"/>
                <w:vertAlign w:val="superscript"/>
              </w:rPr>
              <w:t>1</w:t>
            </w:r>
          </w:p>
        </w:tc>
        <w:tc>
          <w:tcPr>
            <w:tcW w:w="611" w:type="pct"/>
            <w:shd w:val="clear" w:color="auto" w:fill="auto"/>
            <w:vAlign w:val="center"/>
          </w:tcPr>
          <w:p w14:paraId="3C54BE56" w14:textId="3040EBE8" w:rsidR="003F5A2D" w:rsidRPr="00D060C7" w:rsidRDefault="00F66E51" w:rsidP="001A4D21">
            <w:pPr>
              <w:pStyle w:val="TableText0"/>
              <w:jc w:val="center"/>
              <w:rPr>
                <w:color w:val="000000"/>
                <w:szCs w:val="20"/>
                <w:highlight w:val="darkGray"/>
              </w:rPr>
            </w:pPr>
            <w:r w:rsidRPr="00F66E51">
              <w:rPr>
                <w:color w:val="000000"/>
                <w:spacing w:val="55"/>
                <w:szCs w:val="20"/>
                <w:shd w:val="solid" w:color="000000" w:fill="000000"/>
                <w:fitText w:val="239" w:id="-1301006324"/>
                <w14:textFill>
                  <w14:solidFill>
                    <w14:srgbClr w14:val="000000">
                      <w14:alpha w14:val="100000"/>
                    </w14:srgbClr>
                  </w14:solidFill>
                </w14:textFill>
              </w:rPr>
              <w:t>||</w:t>
            </w:r>
            <w:r w:rsidRPr="00F66E51">
              <w:rPr>
                <w:color w:val="000000"/>
                <w:spacing w:val="2"/>
                <w:szCs w:val="20"/>
                <w:shd w:val="solid" w:color="000000" w:fill="000000"/>
                <w:fitText w:val="239" w:id="-1301006324"/>
                <w14:textFill>
                  <w14:solidFill>
                    <w14:srgbClr w14:val="000000">
                      <w14:alpha w14:val="100000"/>
                    </w14:srgbClr>
                  </w14:solidFill>
                </w14:textFill>
              </w:rPr>
              <w:t>|</w:t>
            </w:r>
            <w:r w:rsidR="00D060C7" w:rsidRPr="00D060C7">
              <w:rPr>
                <w:szCs w:val="20"/>
                <w:vertAlign w:val="superscript"/>
              </w:rPr>
              <w:t>1</w:t>
            </w:r>
          </w:p>
        </w:tc>
        <w:tc>
          <w:tcPr>
            <w:tcW w:w="611" w:type="pct"/>
            <w:shd w:val="clear" w:color="auto" w:fill="auto"/>
            <w:vAlign w:val="center"/>
          </w:tcPr>
          <w:p w14:paraId="1A16CD20" w14:textId="20D80E96" w:rsidR="003F5A2D" w:rsidRPr="00D060C7" w:rsidRDefault="00F66E51" w:rsidP="001A4D21">
            <w:pPr>
              <w:pStyle w:val="TableText0"/>
              <w:jc w:val="center"/>
              <w:rPr>
                <w:color w:val="000000"/>
                <w:szCs w:val="20"/>
                <w:highlight w:val="darkGray"/>
              </w:rPr>
            </w:pPr>
            <w:r w:rsidRPr="00F66E51">
              <w:rPr>
                <w:color w:val="000000"/>
                <w:spacing w:val="55"/>
                <w:szCs w:val="20"/>
                <w:shd w:val="solid" w:color="000000" w:fill="000000"/>
                <w:fitText w:val="238" w:id="-1301006323"/>
                <w14:textFill>
                  <w14:solidFill>
                    <w14:srgbClr w14:val="000000">
                      <w14:alpha w14:val="100000"/>
                    </w14:srgbClr>
                  </w14:solidFill>
                </w14:textFill>
              </w:rPr>
              <w:t>||</w:t>
            </w:r>
            <w:r w:rsidRPr="00F66E51">
              <w:rPr>
                <w:color w:val="000000"/>
                <w:spacing w:val="1"/>
                <w:szCs w:val="20"/>
                <w:shd w:val="solid" w:color="000000" w:fill="000000"/>
                <w:fitText w:val="238" w:id="-1301006323"/>
                <w14:textFill>
                  <w14:solidFill>
                    <w14:srgbClr w14:val="000000">
                      <w14:alpha w14:val="100000"/>
                    </w14:srgbClr>
                  </w14:solidFill>
                </w14:textFill>
              </w:rPr>
              <w:t>|</w:t>
            </w:r>
            <w:r w:rsidR="00D060C7" w:rsidRPr="00D060C7">
              <w:rPr>
                <w:szCs w:val="20"/>
                <w:vertAlign w:val="superscript"/>
              </w:rPr>
              <w:t>1</w:t>
            </w:r>
          </w:p>
        </w:tc>
        <w:tc>
          <w:tcPr>
            <w:tcW w:w="611" w:type="pct"/>
            <w:shd w:val="clear" w:color="auto" w:fill="auto"/>
            <w:vAlign w:val="center"/>
          </w:tcPr>
          <w:p w14:paraId="77C7FCF8" w14:textId="369CCD7E" w:rsidR="003F5A2D" w:rsidRPr="00D060C7" w:rsidRDefault="00F66E51" w:rsidP="001A4D21">
            <w:pPr>
              <w:pStyle w:val="TableText0"/>
              <w:jc w:val="center"/>
              <w:rPr>
                <w:color w:val="000000"/>
                <w:szCs w:val="20"/>
                <w:highlight w:val="darkGray"/>
              </w:rPr>
            </w:pPr>
            <w:r w:rsidRPr="00F66E51">
              <w:rPr>
                <w:color w:val="000000"/>
                <w:spacing w:val="55"/>
                <w:szCs w:val="20"/>
                <w:shd w:val="solid" w:color="000000" w:fill="000000"/>
                <w:fitText w:val="239" w:id="-1301006322"/>
                <w14:textFill>
                  <w14:solidFill>
                    <w14:srgbClr w14:val="000000">
                      <w14:alpha w14:val="100000"/>
                    </w14:srgbClr>
                  </w14:solidFill>
                </w14:textFill>
              </w:rPr>
              <w:t>||</w:t>
            </w:r>
            <w:r w:rsidRPr="00F66E51">
              <w:rPr>
                <w:color w:val="000000"/>
                <w:spacing w:val="2"/>
                <w:szCs w:val="20"/>
                <w:shd w:val="solid" w:color="000000" w:fill="000000"/>
                <w:fitText w:val="239" w:id="-1301006322"/>
                <w14:textFill>
                  <w14:solidFill>
                    <w14:srgbClr w14:val="000000">
                      <w14:alpha w14:val="100000"/>
                    </w14:srgbClr>
                  </w14:solidFill>
                </w14:textFill>
              </w:rPr>
              <w:t>|</w:t>
            </w:r>
            <w:r w:rsidR="00D060C7" w:rsidRPr="00D060C7">
              <w:rPr>
                <w:szCs w:val="20"/>
                <w:vertAlign w:val="superscript"/>
              </w:rPr>
              <w:t>1</w:t>
            </w:r>
          </w:p>
        </w:tc>
        <w:tc>
          <w:tcPr>
            <w:tcW w:w="611" w:type="pct"/>
            <w:vAlign w:val="center"/>
          </w:tcPr>
          <w:p w14:paraId="4E40A6B6" w14:textId="5824765E" w:rsidR="003F5A2D" w:rsidRPr="00D060C7" w:rsidRDefault="00F66E51" w:rsidP="001A4D21">
            <w:pPr>
              <w:pStyle w:val="TableText0"/>
              <w:jc w:val="center"/>
              <w:rPr>
                <w:color w:val="000000"/>
                <w:szCs w:val="20"/>
                <w:highlight w:val="darkGray"/>
              </w:rPr>
            </w:pPr>
            <w:r w:rsidRPr="00F66E51">
              <w:rPr>
                <w:color w:val="000000"/>
                <w:spacing w:val="55"/>
                <w:szCs w:val="20"/>
                <w:shd w:val="solid" w:color="000000" w:fill="000000"/>
                <w:fitText w:val="239" w:id="-1301006321"/>
                <w14:textFill>
                  <w14:solidFill>
                    <w14:srgbClr w14:val="000000">
                      <w14:alpha w14:val="100000"/>
                    </w14:srgbClr>
                  </w14:solidFill>
                </w14:textFill>
              </w:rPr>
              <w:t>||</w:t>
            </w:r>
            <w:r w:rsidRPr="00F66E51">
              <w:rPr>
                <w:color w:val="000000"/>
                <w:spacing w:val="2"/>
                <w:szCs w:val="20"/>
                <w:shd w:val="solid" w:color="000000" w:fill="000000"/>
                <w:fitText w:val="239" w:id="-1301006321"/>
                <w14:textFill>
                  <w14:solidFill>
                    <w14:srgbClr w14:val="000000">
                      <w14:alpha w14:val="100000"/>
                    </w14:srgbClr>
                  </w14:solidFill>
                </w14:textFill>
              </w:rPr>
              <w:t>|</w:t>
            </w:r>
            <w:r w:rsidR="00D060C7" w:rsidRPr="00D060C7">
              <w:rPr>
                <w:szCs w:val="20"/>
                <w:vertAlign w:val="superscript"/>
              </w:rPr>
              <w:t>1</w:t>
            </w:r>
          </w:p>
        </w:tc>
      </w:tr>
      <w:tr w:rsidR="003F5A2D" w:rsidRPr="003639A6" w14:paraId="0F065520" w14:textId="77777777" w:rsidTr="001A4D21">
        <w:tc>
          <w:tcPr>
            <w:tcW w:w="1334" w:type="pct"/>
            <w:shd w:val="clear" w:color="auto" w:fill="auto"/>
            <w:vAlign w:val="center"/>
          </w:tcPr>
          <w:p w14:paraId="72BAA128" w14:textId="77777777" w:rsidR="003F5A2D" w:rsidRPr="00A45EA8" w:rsidRDefault="003F5A2D" w:rsidP="001A4D21">
            <w:pPr>
              <w:pStyle w:val="TableText0"/>
              <w:rPr>
                <w:szCs w:val="20"/>
              </w:rPr>
            </w:pPr>
            <w:r w:rsidRPr="00A45EA8">
              <w:rPr>
                <w:szCs w:val="20"/>
              </w:rPr>
              <w:t>Number of scripts dispensed</w:t>
            </w:r>
            <w:r w:rsidRPr="00A45EA8">
              <w:rPr>
                <w:szCs w:val="20"/>
                <w:vertAlign w:val="superscript"/>
              </w:rPr>
              <w:t>a</w:t>
            </w:r>
          </w:p>
        </w:tc>
        <w:tc>
          <w:tcPr>
            <w:tcW w:w="611" w:type="pct"/>
            <w:shd w:val="clear" w:color="auto" w:fill="auto"/>
            <w:vAlign w:val="center"/>
          </w:tcPr>
          <w:p w14:paraId="7CC56ACC" w14:textId="31D3B984" w:rsidR="003F5A2D" w:rsidRPr="00D060C7" w:rsidRDefault="00F66E51" w:rsidP="001A4D21">
            <w:pPr>
              <w:pStyle w:val="TableText0"/>
              <w:jc w:val="center"/>
              <w:rPr>
                <w:color w:val="000000"/>
                <w:szCs w:val="20"/>
                <w:highlight w:val="darkGray"/>
              </w:rPr>
            </w:pPr>
            <w:r w:rsidRPr="00F66E51">
              <w:rPr>
                <w:color w:val="000000"/>
                <w:spacing w:val="55"/>
                <w:szCs w:val="20"/>
                <w:shd w:val="solid" w:color="000000" w:fill="000000"/>
                <w:fitText w:val="239" w:id="-1301006320"/>
                <w14:textFill>
                  <w14:solidFill>
                    <w14:srgbClr w14:val="000000">
                      <w14:alpha w14:val="100000"/>
                    </w14:srgbClr>
                  </w14:solidFill>
                </w14:textFill>
              </w:rPr>
              <w:t>||</w:t>
            </w:r>
            <w:r w:rsidRPr="00F66E51">
              <w:rPr>
                <w:color w:val="000000"/>
                <w:spacing w:val="2"/>
                <w:szCs w:val="20"/>
                <w:shd w:val="solid" w:color="000000" w:fill="000000"/>
                <w:fitText w:val="239" w:id="-1301006320"/>
                <w14:textFill>
                  <w14:solidFill>
                    <w14:srgbClr w14:val="000000">
                      <w14:alpha w14:val="100000"/>
                    </w14:srgbClr>
                  </w14:solidFill>
                </w14:textFill>
              </w:rPr>
              <w:t>|</w:t>
            </w:r>
            <w:r w:rsidR="00D060C7">
              <w:rPr>
                <w:szCs w:val="20"/>
                <w:vertAlign w:val="superscript"/>
              </w:rPr>
              <w:t>2</w:t>
            </w:r>
          </w:p>
        </w:tc>
        <w:tc>
          <w:tcPr>
            <w:tcW w:w="611" w:type="pct"/>
            <w:shd w:val="clear" w:color="auto" w:fill="auto"/>
            <w:vAlign w:val="center"/>
          </w:tcPr>
          <w:p w14:paraId="3C9F0A46" w14:textId="1AF71760" w:rsidR="003F5A2D" w:rsidRPr="00D060C7" w:rsidRDefault="00F66E51" w:rsidP="001A4D21">
            <w:pPr>
              <w:pStyle w:val="TableText0"/>
              <w:jc w:val="center"/>
              <w:rPr>
                <w:color w:val="000000"/>
                <w:szCs w:val="20"/>
                <w:highlight w:val="darkGray"/>
              </w:rPr>
            </w:pPr>
            <w:r w:rsidRPr="00F66E51">
              <w:rPr>
                <w:color w:val="000000"/>
                <w:spacing w:val="55"/>
                <w:szCs w:val="20"/>
                <w:shd w:val="solid" w:color="000000" w:fill="000000"/>
                <w:fitText w:val="239" w:id="-1301006336"/>
                <w14:textFill>
                  <w14:solidFill>
                    <w14:srgbClr w14:val="000000">
                      <w14:alpha w14:val="100000"/>
                    </w14:srgbClr>
                  </w14:solidFill>
                </w14:textFill>
              </w:rPr>
              <w:t>||</w:t>
            </w:r>
            <w:r w:rsidRPr="00F66E51">
              <w:rPr>
                <w:color w:val="000000"/>
                <w:spacing w:val="2"/>
                <w:szCs w:val="20"/>
                <w:shd w:val="solid" w:color="000000" w:fill="000000"/>
                <w:fitText w:val="239" w:id="-1301006336"/>
                <w14:textFill>
                  <w14:solidFill>
                    <w14:srgbClr w14:val="000000">
                      <w14:alpha w14:val="100000"/>
                    </w14:srgbClr>
                  </w14:solidFill>
                </w14:textFill>
              </w:rPr>
              <w:t>|</w:t>
            </w:r>
            <w:r w:rsidR="00D060C7">
              <w:rPr>
                <w:szCs w:val="20"/>
                <w:vertAlign w:val="superscript"/>
              </w:rPr>
              <w:t>2</w:t>
            </w:r>
          </w:p>
        </w:tc>
        <w:tc>
          <w:tcPr>
            <w:tcW w:w="611" w:type="pct"/>
            <w:shd w:val="clear" w:color="auto" w:fill="auto"/>
            <w:vAlign w:val="center"/>
          </w:tcPr>
          <w:p w14:paraId="3C59E424" w14:textId="4B437D71" w:rsidR="003F5A2D" w:rsidRPr="00D060C7" w:rsidRDefault="00F66E51" w:rsidP="001A4D21">
            <w:pPr>
              <w:pStyle w:val="TableText0"/>
              <w:jc w:val="center"/>
              <w:rPr>
                <w:color w:val="000000"/>
                <w:szCs w:val="20"/>
                <w:highlight w:val="darkGray"/>
              </w:rPr>
            </w:pPr>
            <w:r w:rsidRPr="00F66E51">
              <w:rPr>
                <w:color w:val="000000"/>
                <w:spacing w:val="55"/>
                <w:szCs w:val="20"/>
                <w:shd w:val="solid" w:color="000000" w:fill="000000"/>
                <w:fitText w:val="239" w:id="-1301006335"/>
                <w14:textFill>
                  <w14:solidFill>
                    <w14:srgbClr w14:val="000000">
                      <w14:alpha w14:val="100000"/>
                    </w14:srgbClr>
                  </w14:solidFill>
                </w14:textFill>
              </w:rPr>
              <w:t>||</w:t>
            </w:r>
            <w:r w:rsidRPr="00F66E51">
              <w:rPr>
                <w:color w:val="000000"/>
                <w:spacing w:val="2"/>
                <w:szCs w:val="20"/>
                <w:shd w:val="solid" w:color="000000" w:fill="000000"/>
                <w:fitText w:val="239" w:id="-1301006335"/>
                <w14:textFill>
                  <w14:solidFill>
                    <w14:srgbClr w14:val="000000">
                      <w14:alpha w14:val="100000"/>
                    </w14:srgbClr>
                  </w14:solidFill>
                </w14:textFill>
              </w:rPr>
              <w:t>|</w:t>
            </w:r>
            <w:r w:rsidR="00D060C7">
              <w:rPr>
                <w:szCs w:val="20"/>
                <w:vertAlign w:val="superscript"/>
              </w:rPr>
              <w:t>2</w:t>
            </w:r>
          </w:p>
        </w:tc>
        <w:tc>
          <w:tcPr>
            <w:tcW w:w="611" w:type="pct"/>
            <w:shd w:val="clear" w:color="auto" w:fill="auto"/>
            <w:vAlign w:val="center"/>
          </w:tcPr>
          <w:p w14:paraId="5F920235" w14:textId="152B6F9F" w:rsidR="003F5A2D" w:rsidRPr="00D060C7" w:rsidRDefault="00F66E51" w:rsidP="001A4D21">
            <w:pPr>
              <w:pStyle w:val="TableText0"/>
              <w:jc w:val="center"/>
              <w:rPr>
                <w:color w:val="000000"/>
                <w:szCs w:val="20"/>
                <w:highlight w:val="darkGray"/>
              </w:rPr>
            </w:pPr>
            <w:r w:rsidRPr="00F66E51">
              <w:rPr>
                <w:color w:val="000000"/>
                <w:spacing w:val="55"/>
                <w:szCs w:val="20"/>
                <w:shd w:val="solid" w:color="000000" w:fill="000000"/>
                <w:fitText w:val="238" w:id="-1301006334"/>
                <w14:textFill>
                  <w14:solidFill>
                    <w14:srgbClr w14:val="000000">
                      <w14:alpha w14:val="100000"/>
                    </w14:srgbClr>
                  </w14:solidFill>
                </w14:textFill>
              </w:rPr>
              <w:t>||</w:t>
            </w:r>
            <w:r w:rsidRPr="00F66E51">
              <w:rPr>
                <w:color w:val="000000"/>
                <w:spacing w:val="1"/>
                <w:szCs w:val="20"/>
                <w:shd w:val="solid" w:color="000000" w:fill="000000"/>
                <w:fitText w:val="238" w:id="-1301006334"/>
                <w14:textFill>
                  <w14:solidFill>
                    <w14:srgbClr w14:val="000000">
                      <w14:alpha w14:val="100000"/>
                    </w14:srgbClr>
                  </w14:solidFill>
                </w14:textFill>
              </w:rPr>
              <w:t>|</w:t>
            </w:r>
            <w:r w:rsidR="00D060C7">
              <w:rPr>
                <w:szCs w:val="20"/>
                <w:vertAlign w:val="superscript"/>
              </w:rPr>
              <w:t>2</w:t>
            </w:r>
          </w:p>
        </w:tc>
        <w:tc>
          <w:tcPr>
            <w:tcW w:w="611" w:type="pct"/>
            <w:shd w:val="clear" w:color="auto" w:fill="auto"/>
            <w:vAlign w:val="center"/>
          </w:tcPr>
          <w:p w14:paraId="7F6B8FE1" w14:textId="5B96A899" w:rsidR="003F5A2D" w:rsidRPr="00D060C7" w:rsidRDefault="00F66E51" w:rsidP="001A4D21">
            <w:pPr>
              <w:pStyle w:val="TableText0"/>
              <w:jc w:val="center"/>
              <w:rPr>
                <w:color w:val="000000"/>
                <w:szCs w:val="20"/>
                <w:highlight w:val="darkGray"/>
              </w:rPr>
            </w:pPr>
            <w:r w:rsidRPr="00F66E51">
              <w:rPr>
                <w:color w:val="000000"/>
                <w:spacing w:val="55"/>
                <w:szCs w:val="20"/>
                <w:shd w:val="solid" w:color="000000" w:fill="000000"/>
                <w:fitText w:val="239" w:id="-1301006333"/>
                <w14:textFill>
                  <w14:solidFill>
                    <w14:srgbClr w14:val="000000">
                      <w14:alpha w14:val="100000"/>
                    </w14:srgbClr>
                  </w14:solidFill>
                </w14:textFill>
              </w:rPr>
              <w:t>||</w:t>
            </w:r>
            <w:r w:rsidRPr="00F66E51">
              <w:rPr>
                <w:color w:val="000000"/>
                <w:spacing w:val="2"/>
                <w:szCs w:val="20"/>
                <w:shd w:val="solid" w:color="000000" w:fill="000000"/>
                <w:fitText w:val="239" w:id="-1301006333"/>
                <w14:textFill>
                  <w14:solidFill>
                    <w14:srgbClr w14:val="000000">
                      <w14:alpha w14:val="100000"/>
                    </w14:srgbClr>
                  </w14:solidFill>
                </w14:textFill>
              </w:rPr>
              <w:t>|</w:t>
            </w:r>
            <w:r w:rsidR="00D060C7">
              <w:rPr>
                <w:szCs w:val="20"/>
                <w:vertAlign w:val="superscript"/>
              </w:rPr>
              <w:t>2</w:t>
            </w:r>
          </w:p>
        </w:tc>
        <w:tc>
          <w:tcPr>
            <w:tcW w:w="611" w:type="pct"/>
            <w:vAlign w:val="center"/>
          </w:tcPr>
          <w:p w14:paraId="5C7BA8C4" w14:textId="67C9455C" w:rsidR="003F5A2D" w:rsidRPr="00D060C7" w:rsidRDefault="00F66E51" w:rsidP="001A4D21">
            <w:pPr>
              <w:pStyle w:val="TableText0"/>
              <w:jc w:val="center"/>
              <w:rPr>
                <w:color w:val="000000"/>
                <w:szCs w:val="20"/>
                <w:highlight w:val="darkGray"/>
              </w:rPr>
            </w:pPr>
            <w:r w:rsidRPr="00F66E51">
              <w:rPr>
                <w:color w:val="000000"/>
                <w:spacing w:val="55"/>
                <w:szCs w:val="20"/>
                <w:shd w:val="solid" w:color="000000" w:fill="000000"/>
                <w:fitText w:val="239" w:id="-1301006332"/>
                <w14:textFill>
                  <w14:solidFill>
                    <w14:srgbClr w14:val="000000">
                      <w14:alpha w14:val="100000"/>
                    </w14:srgbClr>
                  </w14:solidFill>
                </w14:textFill>
              </w:rPr>
              <w:t>||</w:t>
            </w:r>
            <w:r w:rsidRPr="00F66E51">
              <w:rPr>
                <w:color w:val="000000"/>
                <w:spacing w:val="2"/>
                <w:szCs w:val="20"/>
                <w:shd w:val="solid" w:color="000000" w:fill="000000"/>
                <w:fitText w:val="239" w:id="-1301006332"/>
                <w14:textFill>
                  <w14:solidFill>
                    <w14:srgbClr w14:val="000000">
                      <w14:alpha w14:val="100000"/>
                    </w14:srgbClr>
                  </w14:solidFill>
                </w14:textFill>
              </w:rPr>
              <w:t>|</w:t>
            </w:r>
            <w:r w:rsidR="00D060C7">
              <w:rPr>
                <w:szCs w:val="20"/>
                <w:vertAlign w:val="superscript"/>
              </w:rPr>
              <w:t>2</w:t>
            </w:r>
          </w:p>
        </w:tc>
      </w:tr>
      <w:tr w:rsidR="003F5A2D" w:rsidRPr="00D1078F" w14:paraId="6FAE9835" w14:textId="77777777" w:rsidTr="001A4D21">
        <w:tc>
          <w:tcPr>
            <w:tcW w:w="5000" w:type="pct"/>
            <w:gridSpan w:val="7"/>
            <w:shd w:val="clear" w:color="auto" w:fill="auto"/>
            <w:vAlign w:val="center"/>
          </w:tcPr>
          <w:p w14:paraId="00FC7203" w14:textId="77777777" w:rsidR="003F5A2D" w:rsidRPr="00A45EA8" w:rsidRDefault="003F5A2D" w:rsidP="001A4D21">
            <w:pPr>
              <w:pStyle w:val="In-tableHeading"/>
              <w:rPr>
                <w:szCs w:val="20"/>
              </w:rPr>
            </w:pPr>
            <w:r w:rsidRPr="00A45EA8">
              <w:rPr>
                <w:szCs w:val="20"/>
              </w:rPr>
              <w:t>Estimated financial implications of selumetinib</w:t>
            </w:r>
          </w:p>
        </w:tc>
      </w:tr>
      <w:tr w:rsidR="003F5A2D" w:rsidRPr="00CC2C1B" w14:paraId="6243028F" w14:textId="77777777" w:rsidTr="001A4D21">
        <w:tc>
          <w:tcPr>
            <w:tcW w:w="1334" w:type="pct"/>
            <w:shd w:val="clear" w:color="auto" w:fill="auto"/>
            <w:vAlign w:val="center"/>
          </w:tcPr>
          <w:p w14:paraId="18120F29" w14:textId="39B97C2B" w:rsidR="003F5A2D" w:rsidRPr="00A45EA8" w:rsidRDefault="003F5A2D" w:rsidP="001A4D21">
            <w:pPr>
              <w:pStyle w:val="TableText0"/>
              <w:rPr>
                <w:b/>
                <w:bCs w:val="0"/>
                <w:szCs w:val="20"/>
              </w:rPr>
            </w:pPr>
            <w:r w:rsidRPr="00A45EA8">
              <w:rPr>
                <w:b/>
                <w:bCs w:val="0"/>
                <w:szCs w:val="20"/>
              </w:rPr>
              <w:t>Cost to PBS/RPBS less copayments</w:t>
            </w:r>
            <w:r w:rsidR="00D060C7">
              <w:rPr>
                <w:b/>
                <w:bCs w:val="0"/>
                <w:szCs w:val="20"/>
              </w:rPr>
              <w:t xml:space="preserve"> ($)</w:t>
            </w:r>
          </w:p>
        </w:tc>
        <w:tc>
          <w:tcPr>
            <w:tcW w:w="611" w:type="pct"/>
            <w:shd w:val="clear" w:color="auto" w:fill="auto"/>
            <w:vAlign w:val="center"/>
          </w:tcPr>
          <w:p w14:paraId="07DC581D" w14:textId="0B032EF0" w:rsidR="003F5A2D" w:rsidRPr="00D060C7" w:rsidRDefault="00F66E51" w:rsidP="001A4D21">
            <w:pPr>
              <w:pStyle w:val="TableText0"/>
              <w:jc w:val="center"/>
              <w:rPr>
                <w:b/>
                <w:bCs w:val="0"/>
                <w:szCs w:val="20"/>
                <w:highlight w:val="darkGray"/>
              </w:rPr>
            </w:pPr>
            <w:r w:rsidRPr="00775A5E">
              <w:rPr>
                <w:b/>
                <w:bCs w:val="0"/>
                <w:color w:val="000000"/>
                <w:spacing w:val="50"/>
                <w:szCs w:val="20"/>
                <w:shd w:val="solid" w:color="000000" w:fill="000000"/>
                <w:fitText w:val="239" w:id="-1301006331"/>
                <w14:textFill>
                  <w14:solidFill>
                    <w14:srgbClr w14:val="000000">
                      <w14:alpha w14:val="100000"/>
                    </w14:srgbClr>
                  </w14:solidFill>
                </w14:textFill>
              </w:rPr>
              <w:t>||</w:t>
            </w:r>
            <w:r w:rsidRPr="00775A5E">
              <w:rPr>
                <w:b/>
                <w:bCs w:val="0"/>
                <w:color w:val="000000"/>
                <w:spacing w:val="2"/>
                <w:szCs w:val="20"/>
                <w:shd w:val="solid" w:color="000000" w:fill="000000"/>
                <w:fitText w:val="239" w:id="-1301006331"/>
                <w14:textFill>
                  <w14:solidFill>
                    <w14:srgbClr w14:val="000000">
                      <w14:alpha w14:val="100000"/>
                    </w14:srgbClr>
                  </w14:solidFill>
                </w14:textFill>
              </w:rPr>
              <w:t>|</w:t>
            </w:r>
            <w:r w:rsidR="00D060C7">
              <w:rPr>
                <w:szCs w:val="20"/>
                <w:vertAlign w:val="superscript"/>
              </w:rPr>
              <w:t>3</w:t>
            </w:r>
          </w:p>
        </w:tc>
        <w:tc>
          <w:tcPr>
            <w:tcW w:w="611" w:type="pct"/>
            <w:shd w:val="clear" w:color="auto" w:fill="auto"/>
            <w:vAlign w:val="center"/>
          </w:tcPr>
          <w:p w14:paraId="2B2CF733" w14:textId="1816E424" w:rsidR="003F5A2D" w:rsidRPr="00D060C7" w:rsidRDefault="00F66E51" w:rsidP="001A4D21">
            <w:pPr>
              <w:pStyle w:val="TableText0"/>
              <w:jc w:val="center"/>
              <w:rPr>
                <w:b/>
                <w:bCs w:val="0"/>
                <w:szCs w:val="20"/>
                <w:highlight w:val="darkGray"/>
              </w:rPr>
            </w:pPr>
            <w:r w:rsidRPr="00775A5E">
              <w:rPr>
                <w:b/>
                <w:bCs w:val="0"/>
                <w:color w:val="000000"/>
                <w:spacing w:val="50"/>
                <w:szCs w:val="20"/>
                <w:shd w:val="solid" w:color="000000" w:fill="000000"/>
                <w:fitText w:val="239" w:id="-1301006330"/>
                <w14:textFill>
                  <w14:solidFill>
                    <w14:srgbClr w14:val="000000">
                      <w14:alpha w14:val="100000"/>
                    </w14:srgbClr>
                  </w14:solidFill>
                </w14:textFill>
              </w:rPr>
              <w:t>||</w:t>
            </w:r>
            <w:r w:rsidRPr="00775A5E">
              <w:rPr>
                <w:b/>
                <w:bCs w:val="0"/>
                <w:color w:val="000000"/>
                <w:spacing w:val="2"/>
                <w:szCs w:val="20"/>
                <w:shd w:val="solid" w:color="000000" w:fill="000000"/>
                <w:fitText w:val="239" w:id="-1301006330"/>
                <w14:textFill>
                  <w14:solidFill>
                    <w14:srgbClr w14:val="000000">
                      <w14:alpha w14:val="100000"/>
                    </w14:srgbClr>
                  </w14:solidFill>
                </w14:textFill>
              </w:rPr>
              <w:t>|</w:t>
            </w:r>
            <w:r w:rsidR="00004CC0">
              <w:rPr>
                <w:szCs w:val="20"/>
                <w:vertAlign w:val="superscript"/>
              </w:rPr>
              <w:t>6</w:t>
            </w:r>
          </w:p>
        </w:tc>
        <w:tc>
          <w:tcPr>
            <w:tcW w:w="611" w:type="pct"/>
            <w:shd w:val="clear" w:color="auto" w:fill="auto"/>
            <w:vAlign w:val="center"/>
          </w:tcPr>
          <w:p w14:paraId="77142EE0" w14:textId="024E50A4" w:rsidR="003F5A2D" w:rsidRPr="00D060C7" w:rsidRDefault="00F66E51" w:rsidP="001A4D21">
            <w:pPr>
              <w:pStyle w:val="TableText0"/>
              <w:jc w:val="center"/>
              <w:rPr>
                <w:b/>
                <w:bCs w:val="0"/>
                <w:szCs w:val="20"/>
                <w:highlight w:val="darkGray"/>
              </w:rPr>
            </w:pPr>
            <w:r w:rsidRPr="00775A5E">
              <w:rPr>
                <w:b/>
                <w:bCs w:val="0"/>
                <w:color w:val="000000"/>
                <w:spacing w:val="50"/>
                <w:szCs w:val="20"/>
                <w:shd w:val="solid" w:color="000000" w:fill="000000"/>
                <w:fitText w:val="239" w:id="-1301006329"/>
                <w14:textFill>
                  <w14:solidFill>
                    <w14:srgbClr w14:val="000000">
                      <w14:alpha w14:val="100000"/>
                    </w14:srgbClr>
                  </w14:solidFill>
                </w14:textFill>
              </w:rPr>
              <w:t>||</w:t>
            </w:r>
            <w:r w:rsidRPr="00775A5E">
              <w:rPr>
                <w:b/>
                <w:bCs w:val="0"/>
                <w:color w:val="000000"/>
                <w:spacing w:val="2"/>
                <w:szCs w:val="20"/>
                <w:shd w:val="solid" w:color="000000" w:fill="000000"/>
                <w:fitText w:val="239" w:id="-1301006329"/>
                <w14:textFill>
                  <w14:solidFill>
                    <w14:srgbClr w14:val="000000">
                      <w14:alpha w14:val="100000"/>
                    </w14:srgbClr>
                  </w14:solidFill>
                </w14:textFill>
              </w:rPr>
              <w:t>|</w:t>
            </w:r>
            <w:r w:rsidR="00004CC0">
              <w:rPr>
                <w:szCs w:val="20"/>
                <w:vertAlign w:val="superscript"/>
              </w:rPr>
              <w:t>6</w:t>
            </w:r>
          </w:p>
        </w:tc>
        <w:tc>
          <w:tcPr>
            <w:tcW w:w="611" w:type="pct"/>
            <w:shd w:val="clear" w:color="auto" w:fill="auto"/>
            <w:vAlign w:val="center"/>
          </w:tcPr>
          <w:p w14:paraId="5C572EED" w14:textId="1C334C5D" w:rsidR="003F5A2D" w:rsidRPr="00D060C7" w:rsidRDefault="00F66E51" w:rsidP="001A4D21">
            <w:pPr>
              <w:pStyle w:val="TableText0"/>
              <w:jc w:val="center"/>
              <w:rPr>
                <w:b/>
                <w:bCs w:val="0"/>
                <w:szCs w:val="20"/>
                <w:highlight w:val="darkGray"/>
              </w:rPr>
            </w:pPr>
            <w:r w:rsidRPr="00775A5E">
              <w:rPr>
                <w:b/>
                <w:bCs w:val="0"/>
                <w:color w:val="000000"/>
                <w:spacing w:val="50"/>
                <w:szCs w:val="20"/>
                <w:shd w:val="solid" w:color="000000" w:fill="000000"/>
                <w:fitText w:val="238" w:id="-1301006328"/>
                <w14:textFill>
                  <w14:solidFill>
                    <w14:srgbClr w14:val="000000">
                      <w14:alpha w14:val="100000"/>
                    </w14:srgbClr>
                  </w14:solidFill>
                </w14:textFill>
              </w:rPr>
              <w:t>||</w:t>
            </w:r>
            <w:r w:rsidRPr="00775A5E">
              <w:rPr>
                <w:b/>
                <w:bCs w:val="0"/>
                <w:color w:val="000000"/>
                <w:spacing w:val="1"/>
                <w:szCs w:val="20"/>
                <w:shd w:val="solid" w:color="000000" w:fill="000000"/>
                <w:fitText w:val="238" w:id="-1301006328"/>
                <w14:textFill>
                  <w14:solidFill>
                    <w14:srgbClr w14:val="000000">
                      <w14:alpha w14:val="100000"/>
                    </w14:srgbClr>
                  </w14:solidFill>
                </w14:textFill>
              </w:rPr>
              <w:t>|</w:t>
            </w:r>
            <w:r w:rsidR="00004CC0">
              <w:rPr>
                <w:szCs w:val="20"/>
                <w:vertAlign w:val="superscript"/>
              </w:rPr>
              <w:t>6</w:t>
            </w:r>
          </w:p>
        </w:tc>
        <w:tc>
          <w:tcPr>
            <w:tcW w:w="611" w:type="pct"/>
            <w:shd w:val="clear" w:color="auto" w:fill="auto"/>
            <w:vAlign w:val="center"/>
          </w:tcPr>
          <w:p w14:paraId="17B01523" w14:textId="030B9176" w:rsidR="003F5A2D" w:rsidRPr="00D060C7" w:rsidRDefault="00F66E51" w:rsidP="001A4D21">
            <w:pPr>
              <w:pStyle w:val="TableText0"/>
              <w:jc w:val="center"/>
              <w:rPr>
                <w:b/>
                <w:bCs w:val="0"/>
                <w:szCs w:val="20"/>
                <w:highlight w:val="darkGray"/>
              </w:rPr>
            </w:pPr>
            <w:r w:rsidRPr="00775A5E">
              <w:rPr>
                <w:b/>
                <w:bCs w:val="0"/>
                <w:color w:val="000000"/>
                <w:spacing w:val="50"/>
                <w:szCs w:val="20"/>
                <w:shd w:val="solid" w:color="000000" w:fill="000000"/>
                <w:fitText w:val="239" w:id="-1301006327"/>
                <w14:textFill>
                  <w14:solidFill>
                    <w14:srgbClr w14:val="000000">
                      <w14:alpha w14:val="100000"/>
                    </w14:srgbClr>
                  </w14:solidFill>
                </w14:textFill>
              </w:rPr>
              <w:t>||</w:t>
            </w:r>
            <w:r w:rsidRPr="00775A5E">
              <w:rPr>
                <w:b/>
                <w:bCs w:val="0"/>
                <w:color w:val="000000"/>
                <w:spacing w:val="2"/>
                <w:szCs w:val="20"/>
                <w:shd w:val="solid" w:color="000000" w:fill="000000"/>
                <w:fitText w:val="239" w:id="-1301006327"/>
                <w14:textFill>
                  <w14:solidFill>
                    <w14:srgbClr w14:val="000000">
                      <w14:alpha w14:val="100000"/>
                    </w14:srgbClr>
                  </w14:solidFill>
                </w14:textFill>
              </w:rPr>
              <w:t>|</w:t>
            </w:r>
            <w:r w:rsidR="00004CC0">
              <w:rPr>
                <w:szCs w:val="20"/>
                <w:vertAlign w:val="superscript"/>
              </w:rPr>
              <w:t>5</w:t>
            </w:r>
          </w:p>
        </w:tc>
        <w:tc>
          <w:tcPr>
            <w:tcW w:w="611" w:type="pct"/>
            <w:vAlign w:val="center"/>
          </w:tcPr>
          <w:p w14:paraId="5927ADCA" w14:textId="5F2E5315" w:rsidR="003F5A2D" w:rsidRPr="00D060C7" w:rsidRDefault="00F66E51" w:rsidP="001A4D21">
            <w:pPr>
              <w:pStyle w:val="TableText0"/>
              <w:jc w:val="center"/>
              <w:rPr>
                <w:b/>
                <w:bCs w:val="0"/>
                <w:szCs w:val="20"/>
                <w:highlight w:val="darkGray"/>
              </w:rPr>
            </w:pPr>
            <w:r w:rsidRPr="00775A5E">
              <w:rPr>
                <w:b/>
                <w:bCs w:val="0"/>
                <w:color w:val="000000"/>
                <w:spacing w:val="50"/>
                <w:szCs w:val="20"/>
                <w:shd w:val="solid" w:color="000000" w:fill="000000"/>
                <w:fitText w:val="239" w:id="-1301006326"/>
                <w14:textFill>
                  <w14:solidFill>
                    <w14:srgbClr w14:val="000000">
                      <w14:alpha w14:val="100000"/>
                    </w14:srgbClr>
                  </w14:solidFill>
                </w14:textFill>
              </w:rPr>
              <w:t>||</w:t>
            </w:r>
            <w:r w:rsidRPr="00775A5E">
              <w:rPr>
                <w:b/>
                <w:bCs w:val="0"/>
                <w:color w:val="000000"/>
                <w:spacing w:val="2"/>
                <w:szCs w:val="20"/>
                <w:shd w:val="solid" w:color="000000" w:fill="000000"/>
                <w:fitText w:val="239" w:id="-1301006326"/>
                <w14:textFill>
                  <w14:solidFill>
                    <w14:srgbClr w14:val="000000">
                      <w14:alpha w14:val="100000"/>
                    </w14:srgbClr>
                  </w14:solidFill>
                </w14:textFill>
              </w:rPr>
              <w:t>|</w:t>
            </w:r>
            <w:r w:rsidR="00004CC0">
              <w:rPr>
                <w:szCs w:val="20"/>
                <w:vertAlign w:val="superscript"/>
              </w:rPr>
              <w:t>5</w:t>
            </w:r>
          </w:p>
        </w:tc>
      </w:tr>
      <w:tr w:rsidR="003F5A2D" w:rsidRPr="00FC22AB" w14:paraId="2F279B8A" w14:textId="77777777" w:rsidTr="001A4D21">
        <w:tc>
          <w:tcPr>
            <w:tcW w:w="5000" w:type="pct"/>
            <w:gridSpan w:val="7"/>
            <w:shd w:val="clear" w:color="auto" w:fill="auto"/>
            <w:vAlign w:val="center"/>
          </w:tcPr>
          <w:p w14:paraId="3FC62288" w14:textId="77777777" w:rsidR="003F5A2D" w:rsidRPr="00A45EA8" w:rsidRDefault="003F5A2D" w:rsidP="001A4D21">
            <w:pPr>
              <w:pStyle w:val="In-tableHeading"/>
              <w:rPr>
                <w:szCs w:val="20"/>
              </w:rPr>
            </w:pPr>
            <w:r w:rsidRPr="00A45EA8">
              <w:rPr>
                <w:szCs w:val="20"/>
              </w:rPr>
              <w:t>Net financial implications</w:t>
            </w:r>
            <w:r w:rsidRPr="00A45EA8">
              <w:rPr>
                <w:color w:val="4BACC6" w:themeColor="accent5"/>
                <w:szCs w:val="20"/>
              </w:rPr>
              <w:t xml:space="preserve"> </w:t>
            </w:r>
          </w:p>
        </w:tc>
      </w:tr>
      <w:tr w:rsidR="003F5A2D" w:rsidRPr="003639A6" w14:paraId="7E3F300F" w14:textId="77777777" w:rsidTr="001A4D21">
        <w:tc>
          <w:tcPr>
            <w:tcW w:w="1334" w:type="pct"/>
            <w:shd w:val="clear" w:color="auto" w:fill="auto"/>
            <w:vAlign w:val="center"/>
          </w:tcPr>
          <w:p w14:paraId="1D86D8B3" w14:textId="678960E2" w:rsidR="003F5A2D" w:rsidRPr="00A45EA8" w:rsidRDefault="003F5A2D" w:rsidP="001A4D21">
            <w:pPr>
              <w:pStyle w:val="TableText0"/>
              <w:rPr>
                <w:szCs w:val="20"/>
              </w:rPr>
            </w:pPr>
            <w:r w:rsidRPr="00A45EA8">
              <w:rPr>
                <w:szCs w:val="20"/>
              </w:rPr>
              <w:t>Net cost to MBS</w:t>
            </w:r>
            <w:r w:rsidR="00D060C7">
              <w:rPr>
                <w:szCs w:val="20"/>
              </w:rPr>
              <w:t xml:space="preserve"> ($)</w:t>
            </w:r>
          </w:p>
        </w:tc>
        <w:tc>
          <w:tcPr>
            <w:tcW w:w="611" w:type="pct"/>
            <w:shd w:val="clear" w:color="auto" w:fill="auto"/>
            <w:vAlign w:val="center"/>
          </w:tcPr>
          <w:p w14:paraId="5933FD27" w14:textId="134F429B" w:rsidR="003F5A2D" w:rsidRPr="00D060C7" w:rsidRDefault="00F66E51" w:rsidP="001A4D21">
            <w:pPr>
              <w:pStyle w:val="TableText0"/>
              <w:jc w:val="center"/>
              <w:rPr>
                <w:szCs w:val="20"/>
                <w:highlight w:val="darkGray"/>
              </w:rPr>
            </w:pPr>
            <w:r w:rsidRPr="00F66E51">
              <w:rPr>
                <w:color w:val="000000"/>
                <w:spacing w:val="55"/>
                <w:szCs w:val="20"/>
                <w:shd w:val="solid" w:color="000000" w:fill="000000"/>
                <w:fitText w:val="239" w:id="-1301006325"/>
                <w14:textFill>
                  <w14:solidFill>
                    <w14:srgbClr w14:val="000000">
                      <w14:alpha w14:val="100000"/>
                    </w14:srgbClr>
                  </w14:solidFill>
                </w14:textFill>
              </w:rPr>
              <w:t>||</w:t>
            </w:r>
            <w:r w:rsidRPr="00F66E51">
              <w:rPr>
                <w:color w:val="000000"/>
                <w:spacing w:val="2"/>
                <w:szCs w:val="20"/>
                <w:shd w:val="solid" w:color="000000" w:fill="000000"/>
                <w:fitText w:val="239" w:id="-1301006325"/>
                <w14:textFill>
                  <w14:solidFill>
                    <w14:srgbClr w14:val="000000">
                      <w14:alpha w14:val="100000"/>
                    </w14:srgbClr>
                  </w14:solidFill>
                </w14:textFill>
              </w:rPr>
              <w:t>|</w:t>
            </w:r>
            <w:r w:rsidR="00D060C7">
              <w:rPr>
                <w:szCs w:val="20"/>
                <w:vertAlign w:val="superscript"/>
              </w:rPr>
              <w:t>4</w:t>
            </w:r>
          </w:p>
        </w:tc>
        <w:tc>
          <w:tcPr>
            <w:tcW w:w="611" w:type="pct"/>
            <w:shd w:val="clear" w:color="auto" w:fill="auto"/>
            <w:vAlign w:val="center"/>
          </w:tcPr>
          <w:p w14:paraId="3A83AEDD" w14:textId="420B0247" w:rsidR="003F5A2D" w:rsidRPr="00D060C7" w:rsidRDefault="00F66E51" w:rsidP="001A4D21">
            <w:pPr>
              <w:pStyle w:val="TableText0"/>
              <w:jc w:val="center"/>
              <w:rPr>
                <w:szCs w:val="20"/>
                <w:highlight w:val="darkGray"/>
              </w:rPr>
            </w:pPr>
            <w:r w:rsidRPr="00F66E51">
              <w:rPr>
                <w:color w:val="000000"/>
                <w:spacing w:val="55"/>
                <w:szCs w:val="20"/>
                <w:shd w:val="solid" w:color="000000" w:fill="000000"/>
                <w:fitText w:val="239" w:id="-1301006324"/>
                <w14:textFill>
                  <w14:solidFill>
                    <w14:srgbClr w14:val="000000">
                      <w14:alpha w14:val="100000"/>
                    </w14:srgbClr>
                  </w14:solidFill>
                </w14:textFill>
              </w:rPr>
              <w:t>||</w:t>
            </w:r>
            <w:r w:rsidRPr="00F66E51">
              <w:rPr>
                <w:color w:val="000000"/>
                <w:spacing w:val="2"/>
                <w:szCs w:val="20"/>
                <w:shd w:val="solid" w:color="000000" w:fill="000000"/>
                <w:fitText w:val="239" w:id="-1301006324"/>
                <w14:textFill>
                  <w14:solidFill>
                    <w14:srgbClr w14:val="000000">
                      <w14:alpha w14:val="100000"/>
                    </w14:srgbClr>
                  </w14:solidFill>
                </w14:textFill>
              </w:rPr>
              <w:t>|</w:t>
            </w:r>
            <w:r w:rsidR="00D060C7">
              <w:rPr>
                <w:szCs w:val="20"/>
                <w:vertAlign w:val="superscript"/>
              </w:rPr>
              <w:t>4</w:t>
            </w:r>
          </w:p>
        </w:tc>
        <w:tc>
          <w:tcPr>
            <w:tcW w:w="611" w:type="pct"/>
            <w:shd w:val="clear" w:color="auto" w:fill="auto"/>
            <w:vAlign w:val="center"/>
          </w:tcPr>
          <w:p w14:paraId="68D82B20" w14:textId="1C093417" w:rsidR="003F5A2D" w:rsidRPr="00D060C7" w:rsidRDefault="00F66E51" w:rsidP="001A4D21">
            <w:pPr>
              <w:pStyle w:val="TableText0"/>
              <w:jc w:val="center"/>
              <w:rPr>
                <w:szCs w:val="20"/>
                <w:highlight w:val="darkGray"/>
              </w:rPr>
            </w:pPr>
            <w:r w:rsidRPr="00F66E51">
              <w:rPr>
                <w:color w:val="000000"/>
                <w:spacing w:val="55"/>
                <w:szCs w:val="20"/>
                <w:shd w:val="solid" w:color="000000" w:fill="000000"/>
                <w:fitText w:val="239" w:id="-1301006323"/>
                <w14:textFill>
                  <w14:solidFill>
                    <w14:srgbClr w14:val="000000">
                      <w14:alpha w14:val="100000"/>
                    </w14:srgbClr>
                  </w14:solidFill>
                </w14:textFill>
              </w:rPr>
              <w:t>||</w:t>
            </w:r>
            <w:r w:rsidRPr="00F66E51">
              <w:rPr>
                <w:color w:val="000000"/>
                <w:spacing w:val="2"/>
                <w:szCs w:val="20"/>
                <w:shd w:val="solid" w:color="000000" w:fill="000000"/>
                <w:fitText w:val="239" w:id="-1301006323"/>
                <w14:textFill>
                  <w14:solidFill>
                    <w14:srgbClr w14:val="000000">
                      <w14:alpha w14:val="100000"/>
                    </w14:srgbClr>
                  </w14:solidFill>
                </w14:textFill>
              </w:rPr>
              <w:t>|</w:t>
            </w:r>
            <w:r w:rsidR="00D060C7">
              <w:rPr>
                <w:szCs w:val="20"/>
                <w:vertAlign w:val="superscript"/>
              </w:rPr>
              <w:t>4</w:t>
            </w:r>
          </w:p>
        </w:tc>
        <w:tc>
          <w:tcPr>
            <w:tcW w:w="611" w:type="pct"/>
            <w:shd w:val="clear" w:color="auto" w:fill="auto"/>
            <w:vAlign w:val="center"/>
          </w:tcPr>
          <w:p w14:paraId="47FB5878" w14:textId="39E9DF64" w:rsidR="003F5A2D" w:rsidRPr="00D060C7" w:rsidRDefault="00F66E51" w:rsidP="001A4D21">
            <w:pPr>
              <w:pStyle w:val="TableText0"/>
              <w:jc w:val="center"/>
              <w:rPr>
                <w:szCs w:val="20"/>
                <w:highlight w:val="darkGray"/>
              </w:rPr>
            </w:pPr>
            <w:r w:rsidRPr="00F66E51">
              <w:rPr>
                <w:color w:val="000000"/>
                <w:spacing w:val="55"/>
                <w:szCs w:val="20"/>
                <w:shd w:val="solid" w:color="000000" w:fill="000000"/>
                <w:fitText w:val="238" w:id="-1301006322"/>
                <w14:textFill>
                  <w14:solidFill>
                    <w14:srgbClr w14:val="000000">
                      <w14:alpha w14:val="100000"/>
                    </w14:srgbClr>
                  </w14:solidFill>
                </w14:textFill>
              </w:rPr>
              <w:t>||</w:t>
            </w:r>
            <w:r w:rsidRPr="00F66E51">
              <w:rPr>
                <w:color w:val="000000"/>
                <w:spacing w:val="1"/>
                <w:szCs w:val="20"/>
                <w:shd w:val="solid" w:color="000000" w:fill="000000"/>
                <w:fitText w:val="238" w:id="-1301006322"/>
                <w14:textFill>
                  <w14:solidFill>
                    <w14:srgbClr w14:val="000000">
                      <w14:alpha w14:val="100000"/>
                    </w14:srgbClr>
                  </w14:solidFill>
                </w14:textFill>
              </w:rPr>
              <w:t>|</w:t>
            </w:r>
            <w:r w:rsidR="00D060C7">
              <w:rPr>
                <w:szCs w:val="20"/>
                <w:vertAlign w:val="superscript"/>
              </w:rPr>
              <w:t>4</w:t>
            </w:r>
          </w:p>
        </w:tc>
        <w:tc>
          <w:tcPr>
            <w:tcW w:w="611" w:type="pct"/>
            <w:shd w:val="clear" w:color="auto" w:fill="auto"/>
            <w:vAlign w:val="center"/>
          </w:tcPr>
          <w:p w14:paraId="107DD860" w14:textId="48E08757" w:rsidR="003F5A2D" w:rsidRPr="00D060C7" w:rsidRDefault="00F66E51" w:rsidP="001A4D21">
            <w:pPr>
              <w:pStyle w:val="TableText0"/>
              <w:jc w:val="center"/>
              <w:rPr>
                <w:szCs w:val="20"/>
                <w:highlight w:val="darkGray"/>
              </w:rPr>
            </w:pPr>
            <w:r w:rsidRPr="00F66E51">
              <w:rPr>
                <w:color w:val="000000"/>
                <w:spacing w:val="55"/>
                <w:szCs w:val="20"/>
                <w:shd w:val="solid" w:color="000000" w:fill="000000"/>
                <w:fitText w:val="239" w:id="-1301006080"/>
                <w14:textFill>
                  <w14:solidFill>
                    <w14:srgbClr w14:val="000000">
                      <w14:alpha w14:val="100000"/>
                    </w14:srgbClr>
                  </w14:solidFill>
                </w14:textFill>
              </w:rPr>
              <w:t>||</w:t>
            </w:r>
            <w:r w:rsidRPr="00F66E51">
              <w:rPr>
                <w:color w:val="000000"/>
                <w:spacing w:val="2"/>
                <w:szCs w:val="20"/>
                <w:shd w:val="solid" w:color="000000" w:fill="000000"/>
                <w:fitText w:val="239" w:id="-1301006080"/>
                <w14:textFill>
                  <w14:solidFill>
                    <w14:srgbClr w14:val="000000">
                      <w14:alpha w14:val="100000"/>
                    </w14:srgbClr>
                  </w14:solidFill>
                </w14:textFill>
              </w:rPr>
              <w:t>|</w:t>
            </w:r>
            <w:r w:rsidR="00D060C7">
              <w:rPr>
                <w:szCs w:val="20"/>
                <w:vertAlign w:val="superscript"/>
              </w:rPr>
              <w:t>4</w:t>
            </w:r>
          </w:p>
        </w:tc>
        <w:tc>
          <w:tcPr>
            <w:tcW w:w="611" w:type="pct"/>
            <w:vAlign w:val="center"/>
          </w:tcPr>
          <w:p w14:paraId="46E29A1D" w14:textId="2BE46400" w:rsidR="003F5A2D" w:rsidRPr="00D060C7" w:rsidRDefault="00F66E51" w:rsidP="001A4D21">
            <w:pPr>
              <w:pStyle w:val="TableText0"/>
              <w:jc w:val="center"/>
              <w:rPr>
                <w:szCs w:val="20"/>
                <w:highlight w:val="darkGray"/>
              </w:rPr>
            </w:pPr>
            <w:r w:rsidRPr="00F66E51">
              <w:rPr>
                <w:color w:val="000000"/>
                <w:spacing w:val="55"/>
                <w:szCs w:val="20"/>
                <w:shd w:val="solid" w:color="000000" w:fill="000000"/>
                <w:fitText w:val="239" w:id="-1301006079"/>
                <w14:textFill>
                  <w14:solidFill>
                    <w14:srgbClr w14:val="000000">
                      <w14:alpha w14:val="100000"/>
                    </w14:srgbClr>
                  </w14:solidFill>
                </w14:textFill>
              </w:rPr>
              <w:t>||</w:t>
            </w:r>
            <w:r w:rsidRPr="00F66E51">
              <w:rPr>
                <w:color w:val="000000"/>
                <w:spacing w:val="2"/>
                <w:szCs w:val="20"/>
                <w:shd w:val="solid" w:color="000000" w:fill="000000"/>
                <w:fitText w:val="239" w:id="-1301006079"/>
                <w14:textFill>
                  <w14:solidFill>
                    <w14:srgbClr w14:val="000000">
                      <w14:alpha w14:val="100000"/>
                    </w14:srgbClr>
                  </w14:solidFill>
                </w14:textFill>
              </w:rPr>
              <w:t>|</w:t>
            </w:r>
            <w:r w:rsidR="00D060C7">
              <w:rPr>
                <w:szCs w:val="20"/>
                <w:vertAlign w:val="superscript"/>
              </w:rPr>
              <w:t>4</w:t>
            </w:r>
          </w:p>
        </w:tc>
      </w:tr>
      <w:tr w:rsidR="003F5A2D" w:rsidRPr="003639A6" w14:paraId="2E972D92" w14:textId="77777777" w:rsidTr="001A4D21">
        <w:tc>
          <w:tcPr>
            <w:tcW w:w="1334" w:type="pct"/>
            <w:shd w:val="clear" w:color="auto" w:fill="auto"/>
            <w:vAlign w:val="center"/>
          </w:tcPr>
          <w:p w14:paraId="5923B45F" w14:textId="683F6729" w:rsidR="003F5A2D" w:rsidRPr="00A45EA8" w:rsidRDefault="003F5A2D" w:rsidP="001A4D21">
            <w:pPr>
              <w:pStyle w:val="TableText0"/>
              <w:rPr>
                <w:szCs w:val="20"/>
              </w:rPr>
            </w:pPr>
            <w:r w:rsidRPr="00A45EA8">
              <w:rPr>
                <w:szCs w:val="20"/>
              </w:rPr>
              <w:t>Net cost to PBS/RPBS/MBS</w:t>
            </w:r>
            <w:r w:rsidR="00D060C7">
              <w:rPr>
                <w:szCs w:val="20"/>
              </w:rPr>
              <w:t xml:space="preserve"> ($)</w:t>
            </w:r>
          </w:p>
        </w:tc>
        <w:tc>
          <w:tcPr>
            <w:tcW w:w="611" w:type="pct"/>
            <w:shd w:val="clear" w:color="auto" w:fill="auto"/>
            <w:vAlign w:val="center"/>
          </w:tcPr>
          <w:p w14:paraId="49CB8358" w14:textId="7344C523" w:rsidR="003F5A2D" w:rsidRPr="00D060C7" w:rsidRDefault="00F66E51" w:rsidP="001A4D21">
            <w:pPr>
              <w:pStyle w:val="TableText0"/>
              <w:jc w:val="center"/>
              <w:rPr>
                <w:szCs w:val="20"/>
                <w:highlight w:val="darkGray"/>
              </w:rPr>
            </w:pPr>
            <w:r w:rsidRPr="00F66E51">
              <w:rPr>
                <w:color w:val="000000"/>
                <w:spacing w:val="55"/>
                <w:szCs w:val="20"/>
                <w:shd w:val="solid" w:color="000000" w:fill="000000"/>
                <w:fitText w:val="239" w:id="-1301006078"/>
                <w14:textFill>
                  <w14:solidFill>
                    <w14:srgbClr w14:val="000000">
                      <w14:alpha w14:val="100000"/>
                    </w14:srgbClr>
                  </w14:solidFill>
                </w14:textFill>
              </w:rPr>
              <w:t>||</w:t>
            </w:r>
            <w:r w:rsidRPr="00F66E51">
              <w:rPr>
                <w:color w:val="000000"/>
                <w:spacing w:val="2"/>
                <w:szCs w:val="20"/>
                <w:shd w:val="solid" w:color="000000" w:fill="000000"/>
                <w:fitText w:val="239" w:id="-1301006078"/>
                <w14:textFill>
                  <w14:solidFill>
                    <w14:srgbClr w14:val="000000">
                      <w14:alpha w14:val="100000"/>
                    </w14:srgbClr>
                  </w14:solidFill>
                </w14:textFill>
              </w:rPr>
              <w:t>|</w:t>
            </w:r>
            <w:r w:rsidR="00D060C7">
              <w:rPr>
                <w:szCs w:val="20"/>
                <w:vertAlign w:val="superscript"/>
              </w:rPr>
              <w:t>3</w:t>
            </w:r>
          </w:p>
        </w:tc>
        <w:tc>
          <w:tcPr>
            <w:tcW w:w="611" w:type="pct"/>
            <w:shd w:val="clear" w:color="auto" w:fill="auto"/>
            <w:vAlign w:val="center"/>
          </w:tcPr>
          <w:p w14:paraId="1F7A90DA" w14:textId="13BDAF22" w:rsidR="003F5A2D" w:rsidRPr="00D060C7" w:rsidRDefault="00F66E51" w:rsidP="001A4D21">
            <w:pPr>
              <w:pStyle w:val="TableText0"/>
              <w:jc w:val="center"/>
              <w:rPr>
                <w:szCs w:val="20"/>
                <w:highlight w:val="darkGray"/>
              </w:rPr>
            </w:pPr>
            <w:r w:rsidRPr="00F66E51">
              <w:rPr>
                <w:color w:val="000000"/>
                <w:spacing w:val="55"/>
                <w:szCs w:val="20"/>
                <w:shd w:val="solid" w:color="000000" w:fill="000000"/>
                <w:fitText w:val="239" w:id="-1301006077"/>
                <w14:textFill>
                  <w14:solidFill>
                    <w14:srgbClr w14:val="000000">
                      <w14:alpha w14:val="100000"/>
                    </w14:srgbClr>
                  </w14:solidFill>
                </w14:textFill>
              </w:rPr>
              <w:t>||</w:t>
            </w:r>
            <w:r w:rsidRPr="00F66E51">
              <w:rPr>
                <w:color w:val="000000"/>
                <w:spacing w:val="2"/>
                <w:szCs w:val="20"/>
                <w:shd w:val="solid" w:color="000000" w:fill="000000"/>
                <w:fitText w:val="239" w:id="-1301006077"/>
                <w14:textFill>
                  <w14:solidFill>
                    <w14:srgbClr w14:val="000000">
                      <w14:alpha w14:val="100000"/>
                    </w14:srgbClr>
                  </w14:solidFill>
                </w14:textFill>
              </w:rPr>
              <w:t>|</w:t>
            </w:r>
            <w:r w:rsidR="00004CC0">
              <w:rPr>
                <w:szCs w:val="20"/>
                <w:vertAlign w:val="superscript"/>
              </w:rPr>
              <w:t>6</w:t>
            </w:r>
          </w:p>
        </w:tc>
        <w:tc>
          <w:tcPr>
            <w:tcW w:w="611" w:type="pct"/>
            <w:shd w:val="clear" w:color="auto" w:fill="auto"/>
            <w:vAlign w:val="center"/>
          </w:tcPr>
          <w:p w14:paraId="3C13B26B" w14:textId="296E59B1" w:rsidR="003F5A2D" w:rsidRPr="00D060C7" w:rsidRDefault="00F66E51" w:rsidP="001A4D21">
            <w:pPr>
              <w:pStyle w:val="TableText0"/>
              <w:jc w:val="center"/>
              <w:rPr>
                <w:szCs w:val="20"/>
                <w:highlight w:val="darkGray"/>
              </w:rPr>
            </w:pPr>
            <w:r w:rsidRPr="00F66E51">
              <w:rPr>
                <w:color w:val="000000"/>
                <w:spacing w:val="55"/>
                <w:szCs w:val="20"/>
                <w:shd w:val="solid" w:color="000000" w:fill="000000"/>
                <w:fitText w:val="239" w:id="-1301006076"/>
                <w14:textFill>
                  <w14:solidFill>
                    <w14:srgbClr w14:val="000000">
                      <w14:alpha w14:val="100000"/>
                    </w14:srgbClr>
                  </w14:solidFill>
                </w14:textFill>
              </w:rPr>
              <w:t>||</w:t>
            </w:r>
            <w:r w:rsidRPr="00F66E51">
              <w:rPr>
                <w:color w:val="000000"/>
                <w:spacing w:val="2"/>
                <w:szCs w:val="20"/>
                <w:shd w:val="solid" w:color="000000" w:fill="000000"/>
                <w:fitText w:val="239" w:id="-1301006076"/>
                <w14:textFill>
                  <w14:solidFill>
                    <w14:srgbClr w14:val="000000">
                      <w14:alpha w14:val="100000"/>
                    </w14:srgbClr>
                  </w14:solidFill>
                </w14:textFill>
              </w:rPr>
              <w:t>|</w:t>
            </w:r>
            <w:r w:rsidR="00004CC0">
              <w:rPr>
                <w:szCs w:val="20"/>
                <w:vertAlign w:val="superscript"/>
              </w:rPr>
              <w:t>6</w:t>
            </w:r>
          </w:p>
        </w:tc>
        <w:tc>
          <w:tcPr>
            <w:tcW w:w="611" w:type="pct"/>
            <w:shd w:val="clear" w:color="auto" w:fill="auto"/>
            <w:vAlign w:val="center"/>
          </w:tcPr>
          <w:p w14:paraId="5AB087B0" w14:textId="39EC6F58" w:rsidR="003F5A2D" w:rsidRPr="00D060C7" w:rsidRDefault="00F66E51" w:rsidP="001A4D21">
            <w:pPr>
              <w:pStyle w:val="TableText0"/>
              <w:jc w:val="center"/>
              <w:rPr>
                <w:szCs w:val="20"/>
                <w:highlight w:val="darkGray"/>
              </w:rPr>
            </w:pPr>
            <w:r w:rsidRPr="00F66E51">
              <w:rPr>
                <w:color w:val="000000"/>
                <w:spacing w:val="55"/>
                <w:szCs w:val="20"/>
                <w:shd w:val="solid" w:color="000000" w:fill="000000"/>
                <w:fitText w:val="238" w:id="-1301006075"/>
                <w14:textFill>
                  <w14:solidFill>
                    <w14:srgbClr w14:val="000000">
                      <w14:alpha w14:val="100000"/>
                    </w14:srgbClr>
                  </w14:solidFill>
                </w14:textFill>
              </w:rPr>
              <w:t>||</w:t>
            </w:r>
            <w:r w:rsidRPr="00F66E51">
              <w:rPr>
                <w:color w:val="000000"/>
                <w:spacing w:val="1"/>
                <w:szCs w:val="20"/>
                <w:shd w:val="solid" w:color="000000" w:fill="000000"/>
                <w:fitText w:val="238" w:id="-1301006075"/>
                <w14:textFill>
                  <w14:solidFill>
                    <w14:srgbClr w14:val="000000">
                      <w14:alpha w14:val="100000"/>
                    </w14:srgbClr>
                  </w14:solidFill>
                </w14:textFill>
              </w:rPr>
              <w:t>|</w:t>
            </w:r>
            <w:r w:rsidR="00004CC0">
              <w:rPr>
                <w:szCs w:val="20"/>
                <w:vertAlign w:val="superscript"/>
              </w:rPr>
              <w:t>6</w:t>
            </w:r>
          </w:p>
        </w:tc>
        <w:tc>
          <w:tcPr>
            <w:tcW w:w="611" w:type="pct"/>
            <w:shd w:val="clear" w:color="auto" w:fill="auto"/>
            <w:vAlign w:val="center"/>
          </w:tcPr>
          <w:p w14:paraId="41525C74" w14:textId="2ABF9F5B" w:rsidR="003F5A2D" w:rsidRPr="00D060C7" w:rsidRDefault="00F66E51" w:rsidP="001A4D21">
            <w:pPr>
              <w:pStyle w:val="TableText0"/>
              <w:jc w:val="center"/>
              <w:rPr>
                <w:szCs w:val="20"/>
                <w:highlight w:val="darkGray"/>
              </w:rPr>
            </w:pPr>
            <w:r w:rsidRPr="00F66E51">
              <w:rPr>
                <w:color w:val="000000"/>
                <w:spacing w:val="55"/>
                <w:szCs w:val="20"/>
                <w:shd w:val="solid" w:color="000000" w:fill="000000"/>
                <w:fitText w:val="239" w:id="-1301006074"/>
                <w14:textFill>
                  <w14:solidFill>
                    <w14:srgbClr w14:val="000000">
                      <w14:alpha w14:val="100000"/>
                    </w14:srgbClr>
                  </w14:solidFill>
                </w14:textFill>
              </w:rPr>
              <w:t>||</w:t>
            </w:r>
            <w:r w:rsidRPr="00F66E51">
              <w:rPr>
                <w:color w:val="000000"/>
                <w:spacing w:val="2"/>
                <w:szCs w:val="20"/>
                <w:shd w:val="solid" w:color="000000" w:fill="000000"/>
                <w:fitText w:val="239" w:id="-1301006074"/>
                <w14:textFill>
                  <w14:solidFill>
                    <w14:srgbClr w14:val="000000">
                      <w14:alpha w14:val="100000"/>
                    </w14:srgbClr>
                  </w14:solidFill>
                </w14:textFill>
              </w:rPr>
              <w:t>|</w:t>
            </w:r>
            <w:r w:rsidR="00004CC0">
              <w:rPr>
                <w:szCs w:val="20"/>
                <w:vertAlign w:val="superscript"/>
              </w:rPr>
              <w:t>5</w:t>
            </w:r>
          </w:p>
        </w:tc>
        <w:tc>
          <w:tcPr>
            <w:tcW w:w="611" w:type="pct"/>
            <w:vAlign w:val="center"/>
          </w:tcPr>
          <w:p w14:paraId="0FB1AF1A" w14:textId="64CB22D0" w:rsidR="003F5A2D" w:rsidRPr="00D060C7" w:rsidRDefault="00F66E51" w:rsidP="001A4D21">
            <w:pPr>
              <w:pStyle w:val="TableText0"/>
              <w:jc w:val="center"/>
              <w:rPr>
                <w:szCs w:val="20"/>
                <w:highlight w:val="darkGray"/>
              </w:rPr>
            </w:pPr>
            <w:r w:rsidRPr="00F66E51">
              <w:rPr>
                <w:color w:val="000000"/>
                <w:spacing w:val="55"/>
                <w:szCs w:val="20"/>
                <w:shd w:val="solid" w:color="000000" w:fill="000000"/>
                <w:fitText w:val="239" w:id="-1301006073"/>
                <w14:textFill>
                  <w14:solidFill>
                    <w14:srgbClr w14:val="000000">
                      <w14:alpha w14:val="100000"/>
                    </w14:srgbClr>
                  </w14:solidFill>
                </w14:textFill>
              </w:rPr>
              <w:t>||</w:t>
            </w:r>
            <w:r w:rsidRPr="00F66E51">
              <w:rPr>
                <w:color w:val="000000"/>
                <w:spacing w:val="2"/>
                <w:szCs w:val="20"/>
                <w:shd w:val="solid" w:color="000000" w:fill="000000"/>
                <w:fitText w:val="239" w:id="-1301006073"/>
                <w14:textFill>
                  <w14:solidFill>
                    <w14:srgbClr w14:val="000000">
                      <w14:alpha w14:val="100000"/>
                    </w14:srgbClr>
                  </w14:solidFill>
                </w14:textFill>
              </w:rPr>
              <w:t>|</w:t>
            </w:r>
            <w:r w:rsidR="00004CC0">
              <w:rPr>
                <w:szCs w:val="20"/>
                <w:vertAlign w:val="superscript"/>
              </w:rPr>
              <w:t>5</w:t>
            </w:r>
          </w:p>
        </w:tc>
      </w:tr>
      <w:tr w:rsidR="00CC2C1B" w:rsidRPr="00CC2C1B" w14:paraId="6AC6DB19" w14:textId="77777777" w:rsidTr="00CC2C1B">
        <w:tc>
          <w:tcPr>
            <w:tcW w:w="5000" w:type="pct"/>
            <w:gridSpan w:val="7"/>
            <w:shd w:val="clear" w:color="auto" w:fill="auto"/>
            <w:vAlign w:val="center"/>
          </w:tcPr>
          <w:p w14:paraId="4489852D" w14:textId="1C5BBF58" w:rsidR="00CC2C1B" w:rsidRPr="00A45EA8" w:rsidRDefault="00CC2C1B" w:rsidP="00CC2C1B">
            <w:pPr>
              <w:pStyle w:val="TableText0"/>
              <w:rPr>
                <w:b/>
                <w:bCs w:val="0"/>
                <w:szCs w:val="20"/>
              </w:rPr>
            </w:pPr>
            <w:r w:rsidRPr="00A45EA8">
              <w:rPr>
                <w:b/>
                <w:bCs w:val="0"/>
                <w:szCs w:val="20"/>
              </w:rPr>
              <w:t>Pre-PBAC revised estimates</w:t>
            </w:r>
          </w:p>
        </w:tc>
      </w:tr>
      <w:tr w:rsidR="00CC2C1B" w:rsidRPr="003639A6" w14:paraId="3846B94E" w14:textId="77777777" w:rsidTr="001A4D21">
        <w:tc>
          <w:tcPr>
            <w:tcW w:w="1334" w:type="pct"/>
            <w:shd w:val="clear" w:color="auto" w:fill="auto"/>
            <w:vAlign w:val="center"/>
          </w:tcPr>
          <w:p w14:paraId="6AC658AA" w14:textId="640AECBC" w:rsidR="00CC2C1B" w:rsidRPr="00A45EA8" w:rsidRDefault="00CC2C1B" w:rsidP="001A4D21">
            <w:pPr>
              <w:pStyle w:val="TableText0"/>
              <w:rPr>
                <w:szCs w:val="20"/>
              </w:rPr>
            </w:pPr>
            <w:r w:rsidRPr="00A45EA8">
              <w:rPr>
                <w:szCs w:val="20"/>
              </w:rPr>
              <w:t>Number of patients treated</w:t>
            </w:r>
          </w:p>
        </w:tc>
        <w:tc>
          <w:tcPr>
            <w:tcW w:w="611" w:type="pct"/>
            <w:shd w:val="clear" w:color="auto" w:fill="auto"/>
            <w:vAlign w:val="center"/>
          </w:tcPr>
          <w:p w14:paraId="56446765" w14:textId="5D0A8153" w:rsidR="00CC2C1B" w:rsidRPr="00D060C7" w:rsidRDefault="00F66E51" w:rsidP="001A4D21">
            <w:pPr>
              <w:pStyle w:val="TableText0"/>
              <w:jc w:val="center"/>
              <w:rPr>
                <w:szCs w:val="20"/>
                <w:highlight w:val="darkGray"/>
              </w:rPr>
            </w:pPr>
            <w:r w:rsidRPr="00F66E51">
              <w:rPr>
                <w:color w:val="000000"/>
                <w:spacing w:val="55"/>
                <w:szCs w:val="20"/>
                <w:shd w:val="solid" w:color="000000" w:fill="000000"/>
                <w:fitText w:val="239" w:id="-1301006072"/>
                <w14:textFill>
                  <w14:solidFill>
                    <w14:srgbClr w14:val="000000">
                      <w14:alpha w14:val="100000"/>
                    </w14:srgbClr>
                  </w14:solidFill>
                </w14:textFill>
              </w:rPr>
              <w:t>||</w:t>
            </w:r>
            <w:r w:rsidRPr="00F66E51">
              <w:rPr>
                <w:color w:val="000000"/>
                <w:spacing w:val="2"/>
                <w:szCs w:val="20"/>
                <w:shd w:val="solid" w:color="000000" w:fill="000000"/>
                <w:fitText w:val="239" w:id="-1301006072"/>
                <w14:textFill>
                  <w14:solidFill>
                    <w14:srgbClr w14:val="000000">
                      <w14:alpha w14:val="100000"/>
                    </w14:srgbClr>
                  </w14:solidFill>
                </w14:textFill>
              </w:rPr>
              <w:t>|</w:t>
            </w:r>
            <w:r w:rsidR="00D060C7" w:rsidRPr="00D060C7">
              <w:rPr>
                <w:szCs w:val="20"/>
                <w:vertAlign w:val="superscript"/>
              </w:rPr>
              <w:t>1</w:t>
            </w:r>
          </w:p>
        </w:tc>
        <w:tc>
          <w:tcPr>
            <w:tcW w:w="611" w:type="pct"/>
            <w:shd w:val="clear" w:color="auto" w:fill="auto"/>
            <w:vAlign w:val="center"/>
          </w:tcPr>
          <w:p w14:paraId="193F6E6D" w14:textId="43C5173E" w:rsidR="00CC2C1B" w:rsidRPr="00D060C7" w:rsidRDefault="00F66E51" w:rsidP="001A4D21">
            <w:pPr>
              <w:pStyle w:val="TableText0"/>
              <w:jc w:val="center"/>
              <w:rPr>
                <w:szCs w:val="20"/>
                <w:highlight w:val="darkGray"/>
              </w:rPr>
            </w:pPr>
            <w:r w:rsidRPr="00F66E51">
              <w:rPr>
                <w:color w:val="000000"/>
                <w:spacing w:val="55"/>
                <w:szCs w:val="20"/>
                <w:shd w:val="solid" w:color="000000" w:fill="000000"/>
                <w:fitText w:val="239" w:id="-1301006071"/>
                <w14:textFill>
                  <w14:solidFill>
                    <w14:srgbClr w14:val="000000">
                      <w14:alpha w14:val="100000"/>
                    </w14:srgbClr>
                  </w14:solidFill>
                </w14:textFill>
              </w:rPr>
              <w:t>||</w:t>
            </w:r>
            <w:r w:rsidRPr="00F66E51">
              <w:rPr>
                <w:color w:val="000000"/>
                <w:spacing w:val="2"/>
                <w:szCs w:val="20"/>
                <w:shd w:val="solid" w:color="000000" w:fill="000000"/>
                <w:fitText w:val="239" w:id="-1301006071"/>
                <w14:textFill>
                  <w14:solidFill>
                    <w14:srgbClr w14:val="000000">
                      <w14:alpha w14:val="100000"/>
                    </w14:srgbClr>
                  </w14:solidFill>
                </w14:textFill>
              </w:rPr>
              <w:t>|</w:t>
            </w:r>
            <w:r w:rsidR="00D060C7" w:rsidRPr="00D060C7">
              <w:rPr>
                <w:szCs w:val="20"/>
                <w:vertAlign w:val="superscript"/>
              </w:rPr>
              <w:t>1</w:t>
            </w:r>
          </w:p>
        </w:tc>
        <w:tc>
          <w:tcPr>
            <w:tcW w:w="611" w:type="pct"/>
            <w:shd w:val="clear" w:color="auto" w:fill="auto"/>
            <w:vAlign w:val="center"/>
          </w:tcPr>
          <w:p w14:paraId="317C122E" w14:textId="4E00DE3C" w:rsidR="00CC2C1B" w:rsidRPr="00D060C7" w:rsidRDefault="00F66E51" w:rsidP="001A4D21">
            <w:pPr>
              <w:pStyle w:val="TableText0"/>
              <w:jc w:val="center"/>
              <w:rPr>
                <w:szCs w:val="20"/>
                <w:highlight w:val="darkGray"/>
              </w:rPr>
            </w:pPr>
            <w:r w:rsidRPr="00F66E51">
              <w:rPr>
                <w:color w:val="000000"/>
                <w:spacing w:val="55"/>
                <w:szCs w:val="20"/>
                <w:shd w:val="solid" w:color="000000" w:fill="000000"/>
                <w:fitText w:val="239" w:id="-1301006070"/>
                <w14:textFill>
                  <w14:solidFill>
                    <w14:srgbClr w14:val="000000">
                      <w14:alpha w14:val="100000"/>
                    </w14:srgbClr>
                  </w14:solidFill>
                </w14:textFill>
              </w:rPr>
              <w:t>||</w:t>
            </w:r>
            <w:r w:rsidRPr="00F66E51">
              <w:rPr>
                <w:color w:val="000000"/>
                <w:spacing w:val="2"/>
                <w:szCs w:val="20"/>
                <w:shd w:val="solid" w:color="000000" w:fill="000000"/>
                <w:fitText w:val="239" w:id="-1301006070"/>
                <w14:textFill>
                  <w14:solidFill>
                    <w14:srgbClr w14:val="000000">
                      <w14:alpha w14:val="100000"/>
                    </w14:srgbClr>
                  </w14:solidFill>
                </w14:textFill>
              </w:rPr>
              <w:t>|</w:t>
            </w:r>
            <w:r w:rsidR="00D060C7" w:rsidRPr="00D060C7">
              <w:rPr>
                <w:szCs w:val="20"/>
                <w:vertAlign w:val="superscript"/>
              </w:rPr>
              <w:t>1</w:t>
            </w:r>
          </w:p>
        </w:tc>
        <w:tc>
          <w:tcPr>
            <w:tcW w:w="611" w:type="pct"/>
            <w:shd w:val="clear" w:color="auto" w:fill="auto"/>
            <w:vAlign w:val="center"/>
          </w:tcPr>
          <w:p w14:paraId="7FD24C98" w14:textId="2C00A787" w:rsidR="00CC2C1B" w:rsidRPr="00D060C7" w:rsidRDefault="00F66E51" w:rsidP="001A4D21">
            <w:pPr>
              <w:pStyle w:val="TableText0"/>
              <w:jc w:val="center"/>
              <w:rPr>
                <w:szCs w:val="20"/>
                <w:highlight w:val="darkGray"/>
              </w:rPr>
            </w:pPr>
            <w:r w:rsidRPr="00F66E51">
              <w:rPr>
                <w:color w:val="000000"/>
                <w:spacing w:val="55"/>
                <w:szCs w:val="20"/>
                <w:shd w:val="solid" w:color="000000" w:fill="000000"/>
                <w:fitText w:val="238" w:id="-1301006069"/>
                <w14:textFill>
                  <w14:solidFill>
                    <w14:srgbClr w14:val="000000">
                      <w14:alpha w14:val="100000"/>
                    </w14:srgbClr>
                  </w14:solidFill>
                </w14:textFill>
              </w:rPr>
              <w:t>||</w:t>
            </w:r>
            <w:r w:rsidRPr="00F66E51">
              <w:rPr>
                <w:color w:val="000000"/>
                <w:spacing w:val="1"/>
                <w:szCs w:val="20"/>
                <w:shd w:val="solid" w:color="000000" w:fill="000000"/>
                <w:fitText w:val="238" w:id="-1301006069"/>
                <w14:textFill>
                  <w14:solidFill>
                    <w14:srgbClr w14:val="000000">
                      <w14:alpha w14:val="100000"/>
                    </w14:srgbClr>
                  </w14:solidFill>
                </w14:textFill>
              </w:rPr>
              <w:t>|</w:t>
            </w:r>
            <w:r w:rsidR="00D060C7" w:rsidRPr="00D060C7">
              <w:rPr>
                <w:szCs w:val="20"/>
                <w:vertAlign w:val="superscript"/>
              </w:rPr>
              <w:t>1</w:t>
            </w:r>
          </w:p>
        </w:tc>
        <w:tc>
          <w:tcPr>
            <w:tcW w:w="611" w:type="pct"/>
            <w:shd w:val="clear" w:color="auto" w:fill="auto"/>
            <w:vAlign w:val="center"/>
          </w:tcPr>
          <w:p w14:paraId="41D153E9" w14:textId="496869EB" w:rsidR="00CC2C1B" w:rsidRPr="00D060C7" w:rsidRDefault="00F66E51" w:rsidP="001A4D21">
            <w:pPr>
              <w:pStyle w:val="TableText0"/>
              <w:jc w:val="center"/>
              <w:rPr>
                <w:szCs w:val="20"/>
                <w:highlight w:val="darkGray"/>
              </w:rPr>
            </w:pPr>
            <w:r w:rsidRPr="00F66E51">
              <w:rPr>
                <w:color w:val="000000"/>
                <w:spacing w:val="55"/>
                <w:szCs w:val="20"/>
                <w:shd w:val="solid" w:color="000000" w:fill="000000"/>
                <w:fitText w:val="239" w:id="-1301006068"/>
                <w14:textFill>
                  <w14:solidFill>
                    <w14:srgbClr w14:val="000000">
                      <w14:alpha w14:val="100000"/>
                    </w14:srgbClr>
                  </w14:solidFill>
                </w14:textFill>
              </w:rPr>
              <w:t>||</w:t>
            </w:r>
            <w:r w:rsidRPr="00F66E51">
              <w:rPr>
                <w:color w:val="000000"/>
                <w:spacing w:val="2"/>
                <w:szCs w:val="20"/>
                <w:shd w:val="solid" w:color="000000" w:fill="000000"/>
                <w:fitText w:val="239" w:id="-1301006068"/>
                <w14:textFill>
                  <w14:solidFill>
                    <w14:srgbClr w14:val="000000">
                      <w14:alpha w14:val="100000"/>
                    </w14:srgbClr>
                  </w14:solidFill>
                </w14:textFill>
              </w:rPr>
              <w:t>|</w:t>
            </w:r>
            <w:r w:rsidR="00D060C7" w:rsidRPr="00D060C7">
              <w:rPr>
                <w:szCs w:val="20"/>
                <w:vertAlign w:val="superscript"/>
              </w:rPr>
              <w:t>1</w:t>
            </w:r>
          </w:p>
        </w:tc>
        <w:tc>
          <w:tcPr>
            <w:tcW w:w="611" w:type="pct"/>
            <w:vAlign w:val="center"/>
          </w:tcPr>
          <w:p w14:paraId="168CF2AE" w14:textId="629EBEFD" w:rsidR="00CC2C1B" w:rsidRPr="00D060C7" w:rsidRDefault="00F66E51" w:rsidP="001A4D21">
            <w:pPr>
              <w:pStyle w:val="TableText0"/>
              <w:jc w:val="center"/>
              <w:rPr>
                <w:szCs w:val="20"/>
                <w:highlight w:val="darkGray"/>
              </w:rPr>
            </w:pPr>
            <w:r w:rsidRPr="00F66E51">
              <w:rPr>
                <w:color w:val="000000"/>
                <w:spacing w:val="55"/>
                <w:szCs w:val="20"/>
                <w:shd w:val="solid" w:color="000000" w:fill="000000"/>
                <w:fitText w:val="239" w:id="-1301006067"/>
                <w14:textFill>
                  <w14:solidFill>
                    <w14:srgbClr w14:val="000000">
                      <w14:alpha w14:val="100000"/>
                    </w14:srgbClr>
                  </w14:solidFill>
                </w14:textFill>
              </w:rPr>
              <w:t>||</w:t>
            </w:r>
            <w:r w:rsidRPr="00F66E51">
              <w:rPr>
                <w:color w:val="000000"/>
                <w:spacing w:val="2"/>
                <w:szCs w:val="20"/>
                <w:shd w:val="solid" w:color="000000" w:fill="000000"/>
                <w:fitText w:val="239" w:id="-1301006067"/>
                <w14:textFill>
                  <w14:solidFill>
                    <w14:srgbClr w14:val="000000">
                      <w14:alpha w14:val="100000"/>
                    </w14:srgbClr>
                  </w14:solidFill>
                </w14:textFill>
              </w:rPr>
              <w:t>|</w:t>
            </w:r>
            <w:r w:rsidR="00D060C7" w:rsidRPr="00D060C7">
              <w:rPr>
                <w:szCs w:val="20"/>
                <w:vertAlign w:val="superscript"/>
              </w:rPr>
              <w:t>1</w:t>
            </w:r>
          </w:p>
        </w:tc>
      </w:tr>
      <w:tr w:rsidR="00CC2C1B" w:rsidRPr="003639A6" w14:paraId="07FE3039" w14:textId="77777777" w:rsidTr="001A4D21">
        <w:tc>
          <w:tcPr>
            <w:tcW w:w="1334" w:type="pct"/>
            <w:shd w:val="clear" w:color="auto" w:fill="auto"/>
            <w:vAlign w:val="center"/>
          </w:tcPr>
          <w:p w14:paraId="7DCCAE28" w14:textId="4A2B0157" w:rsidR="00CC2C1B" w:rsidRPr="00A45EA8" w:rsidRDefault="00CC2C1B" w:rsidP="001A4D21">
            <w:pPr>
              <w:pStyle w:val="TableText0"/>
              <w:rPr>
                <w:szCs w:val="20"/>
              </w:rPr>
            </w:pPr>
            <w:r w:rsidRPr="00A45EA8">
              <w:rPr>
                <w:szCs w:val="20"/>
              </w:rPr>
              <w:t>Net cost to PBS/RPBS less copayments</w:t>
            </w:r>
            <w:r w:rsidR="00D060C7">
              <w:rPr>
                <w:szCs w:val="20"/>
              </w:rPr>
              <w:t xml:space="preserve"> ($)</w:t>
            </w:r>
          </w:p>
        </w:tc>
        <w:tc>
          <w:tcPr>
            <w:tcW w:w="611" w:type="pct"/>
            <w:shd w:val="clear" w:color="auto" w:fill="auto"/>
            <w:vAlign w:val="center"/>
          </w:tcPr>
          <w:p w14:paraId="304222FA" w14:textId="444F5FF4" w:rsidR="00CC2C1B" w:rsidRPr="00D060C7" w:rsidRDefault="00F66E51" w:rsidP="001A4D21">
            <w:pPr>
              <w:pStyle w:val="TableText0"/>
              <w:jc w:val="center"/>
              <w:rPr>
                <w:szCs w:val="20"/>
                <w:highlight w:val="darkGray"/>
              </w:rPr>
            </w:pPr>
            <w:r w:rsidRPr="00F66E51">
              <w:rPr>
                <w:color w:val="000000"/>
                <w:spacing w:val="55"/>
                <w:szCs w:val="20"/>
                <w:shd w:val="solid" w:color="000000" w:fill="000000"/>
                <w:fitText w:val="239" w:id="-1301006066"/>
                <w14:textFill>
                  <w14:solidFill>
                    <w14:srgbClr w14:val="000000">
                      <w14:alpha w14:val="100000"/>
                    </w14:srgbClr>
                  </w14:solidFill>
                </w14:textFill>
              </w:rPr>
              <w:t>||</w:t>
            </w:r>
            <w:r w:rsidRPr="00F66E51">
              <w:rPr>
                <w:color w:val="000000"/>
                <w:spacing w:val="2"/>
                <w:szCs w:val="20"/>
                <w:shd w:val="solid" w:color="000000" w:fill="000000"/>
                <w:fitText w:val="239" w:id="-1301006066"/>
                <w14:textFill>
                  <w14:solidFill>
                    <w14:srgbClr w14:val="000000">
                      <w14:alpha w14:val="100000"/>
                    </w14:srgbClr>
                  </w14:solidFill>
                </w14:textFill>
              </w:rPr>
              <w:t>|</w:t>
            </w:r>
            <w:r w:rsidR="00D060C7">
              <w:rPr>
                <w:szCs w:val="20"/>
                <w:vertAlign w:val="superscript"/>
              </w:rPr>
              <w:t>5</w:t>
            </w:r>
          </w:p>
        </w:tc>
        <w:tc>
          <w:tcPr>
            <w:tcW w:w="611" w:type="pct"/>
            <w:shd w:val="clear" w:color="auto" w:fill="auto"/>
            <w:vAlign w:val="center"/>
          </w:tcPr>
          <w:p w14:paraId="7444A0C4" w14:textId="585D3970" w:rsidR="00CC2C1B" w:rsidRPr="00D060C7" w:rsidRDefault="00F66E51" w:rsidP="001A4D21">
            <w:pPr>
              <w:pStyle w:val="TableText0"/>
              <w:jc w:val="center"/>
              <w:rPr>
                <w:szCs w:val="20"/>
                <w:highlight w:val="darkGray"/>
              </w:rPr>
            </w:pPr>
            <w:r w:rsidRPr="00F66E51">
              <w:rPr>
                <w:color w:val="000000"/>
                <w:spacing w:val="55"/>
                <w:szCs w:val="20"/>
                <w:shd w:val="solid" w:color="000000" w:fill="000000"/>
                <w:fitText w:val="239" w:id="-1301006065"/>
                <w14:textFill>
                  <w14:solidFill>
                    <w14:srgbClr w14:val="000000">
                      <w14:alpha w14:val="100000"/>
                    </w14:srgbClr>
                  </w14:solidFill>
                </w14:textFill>
              </w:rPr>
              <w:t>||</w:t>
            </w:r>
            <w:r w:rsidRPr="00F66E51">
              <w:rPr>
                <w:color w:val="000000"/>
                <w:spacing w:val="2"/>
                <w:szCs w:val="20"/>
                <w:shd w:val="solid" w:color="000000" w:fill="000000"/>
                <w:fitText w:val="239" w:id="-1301006065"/>
                <w14:textFill>
                  <w14:solidFill>
                    <w14:srgbClr w14:val="000000">
                      <w14:alpha w14:val="100000"/>
                    </w14:srgbClr>
                  </w14:solidFill>
                </w14:textFill>
              </w:rPr>
              <w:t>|</w:t>
            </w:r>
            <w:r w:rsidR="00004CC0">
              <w:rPr>
                <w:szCs w:val="20"/>
                <w:vertAlign w:val="superscript"/>
              </w:rPr>
              <w:t>6</w:t>
            </w:r>
          </w:p>
        </w:tc>
        <w:tc>
          <w:tcPr>
            <w:tcW w:w="611" w:type="pct"/>
            <w:shd w:val="clear" w:color="auto" w:fill="auto"/>
            <w:vAlign w:val="center"/>
          </w:tcPr>
          <w:p w14:paraId="07D87824" w14:textId="724EF840" w:rsidR="00CC2C1B" w:rsidRPr="00D060C7" w:rsidRDefault="00F66E51" w:rsidP="001A4D21">
            <w:pPr>
              <w:pStyle w:val="TableText0"/>
              <w:jc w:val="center"/>
              <w:rPr>
                <w:szCs w:val="20"/>
                <w:highlight w:val="darkGray"/>
              </w:rPr>
            </w:pPr>
            <w:r w:rsidRPr="00F66E51">
              <w:rPr>
                <w:color w:val="000000"/>
                <w:spacing w:val="55"/>
                <w:szCs w:val="20"/>
                <w:shd w:val="solid" w:color="000000" w:fill="000000"/>
                <w:fitText w:val="239" w:id="-1301006064"/>
                <w14:textFill>
                  <w14:solidFill>
                    <w14:srgbClr w14:val="000000">
                      <w14:alpha w14:val="100000"/>
                    </w14:srgbClr>
                  </w14:solidFill>
                </w14:textFill>
              </w:rPr>
              <w:t>||</w:t>
            </w:r>
            <w:r w:rsidRPr="00F66E51">
              <w:rPr>
                <w:color w:val="000000"/>
                <w:spacing w:val="2"/>
                <w:szCs w:val="20"/>
                <w:shd w:val="solid" w:color="000000" w:fill="000000"/>
                <w:fitText w:val="239" w:id="-1301006064"/>
                <w14:textFill>
                  <w14:solidFill>
                    <w14:srgbClr w14:val="000000">
                      <w14:alpha w14:val="100000"/>
                    </w14:srgbClr>
                  </w14:solidFill>
                </w14:textFill>
              </w:rPr>
              <w:t>|</w:t>
            </w:r>
            <w:r w:rsidR="00004CC0">
              <w:rPr>
                <w:szCs w:val="20"/>
                <w:vertAlign w:val="superscript"/>
              </w:rPr>
              <w:t>6</w:t>
            </w:r>
          </w:p>
        </w:tc>
        <w:tc>
          <w:tcPr>
            <w:tcW w:w="611" w:type="pct"/>
            <w:shd w:val="clear" w:color="auto" w:fill="auto"/>
            <w:vAlign w:val="center"/>
          </w:tcPr>
          <w:p w14:paraId="1685B727" w14:textId="7DCCD688" w:rsidR="00CC2C1B" w:rsidRPr="00D060C7" w:rsidRDefault="00F66E51" w:rsidP="001A4D21">
            <w:pPr>
              <w:pStyle w:val="TableText0"/>
              <w:jc w:val="center"/>
              <w:rPr>
                <w:szCs w:val="20"/>
                <w:highlight w:val="darkGray"/>
              </w:rPr>
            </w:pPr>
            <w:r w:rsidRPr="00F66E51">
              <w:rPr>
                <w:color w:val="000000"/>
                <w:spacing w:val="55"/>
                <w:szCs w:val="20"/>
                <w:shd w:val="solid" w:color="000000" w:fill="000000"/>
                <w:fitText w:val="238" w:id="-1301006080"/>
                <w14:textFill>
                  <w14:solidFill>
                    <w14:srgbClr w14:val="000000">
                      <w14:alpha w14:val="100000"/>
                    </w14:srgbClr>
                  </w14:solidFill>
                </w14:textFill>
              </w:rPr>
              <w:t>||</w:t>
            </w:r>
            <w:r w:rsidRPr="00F66E51">
              <w:rPr>
                <w:color w:val="000000"/>
                <w:spacing w:val="1"/>
                <w:szCs w:val="20"/>
                <w:shd w:val="solid" w:color="000000" w:fill="000000"/>
                <w:fitText w:val="238" w:id="-1301006080"/>
                <w14:textFill>
                  <w14:solidFill>
                    <w14:srgbClr w14:val="000000">
                      <w14:alpha w14:val="100000"/>
                    </w14:srgbClr>
                  </w14:solidFill>
                </w14:textFill>
              </w:rPr>
              <w:t>|</w:t>
            </w:r>
            <w:r w:rsidR="00004CC0">
              <w:rPr>
                <w:szCs w:val="20"/>
                <w:vertAlign w:val="superscript"/>
              </w:rPr>
              <w:t>6</w:t>
            </w:r>
          </w:p>
        </w:tc>
        <w:tc>
          <w:tcPr>
            <w:tcW w:w="611" w:type="pct"/>
            <w:shd w:val="clear" w:color="auto" w:fill="auto"/>
            <w:vAlign w:val="center"/>
          </w:tcPr>
          <w:p w14:paraId="22CFFDE1" w14:textId="51B342CA" w:rsidR="00CC2C1B" w:rsidRPr="00D060C7" w:rsidRDefault="00F66E51" w:rsidP="001A4D21">
            <w:pPr>
              <w:pStyle w:val="TableText0"/>
              <w:jc w:val="center"/>
              <w:rPr>
                <w:szCs w:val="20"/>
                <w:highlight w:val="darkGray"/>
              </w:rPr>
            </w:pPr>
            <w:r w:rsidRPr="00F66E51">
              <w:rPr>
                <w:color w:val="000000"/>
                <w:spacing w:val="55"/>
                <w:szCs w:val="20"/>
                <w:shd w:val="solid" w:color="000000" w:fill="000000"/>
                <w:fitText w:val="239" w:id="-1301006079"/>
                <w14:textFill>
                  <w14:solidFill>
                    <w14:srgbClr w14:val="000000">
                      <w14:alpha w14:val="100000"/>
                    </w14:srgbClr>
                  </w14:solidFill>
                </w14:textFill>
              </w:rPr>
              <w:t>||</w:t>
            </w:r>
            <w:r w:rsidRPr="00F66E51">
              <w:rPr>
                <w:color w:val="000000"/>
                <w:spacing w:val="2"/>
                <w:szCs w:val="20"/>
                <w:shd w:val="solid" w:color="000000" w:fill="000000"/>
                <w:fitText w:val="239" w:id="-1301006079"/>
                <w14:textFill>
                  <w14:solidFill>
                    <w14:srgbClr w14:val="000000">
                      <w14:alpha w14:val="100000"/>
                    </w14:srgbClr>
                  </w14:solidFill>
                </w14:textFill>
              </w:rPr>
              <w:t>|</w:t>
            </w:r>
            <w:r w:rsidR="00004CC0">
              <w:rPr>
                <w:szCs w:val="20"/>
                <w:vertAlign w:val="superscript"/>
              </w:rPr>
              <w:t>5</w:t>
            </w:r>
          </w:p>
        </w:tc>
        <w:tc>
          <w:tcPr>
            <w:tcW w:w="611" w:type="pct"/>
            <w:vAlign w:val="center"/>
          </w:tcPr>
          <w:p w14:paraId="204B68BF" w14:textId="7445479E" w:rsidR="00CC2C1B" w:rsidRPr="00D060C7" w:rsidRDefault="00F66E51" w:rsidP="001A4D21">
            <w:pPr>
              <w:pStyle w:val="TableText0"/>
              <w:jc w:val="center"/>
              <w:rPr>
                <w:szCs w:val="20"/>
                <w:highlight w:val="darkGray"/>
              </w:rPr>
            </w:pPr>
            <w:r w:rsidRPr="00F66E51">
              <w:rPr>
                <w:color w:val="000000"/>
                <w:spacing w:val="55"/>
                <w:szCs w:val="20"/>
                <w:shd w:val="solid" w:color="000000" w:fill="000000"/>
                <w:fitText w:val="239" w:id="-1301006078"/>
                <w14:textFill>
                  <w14:solidFill>
                    <w14:srgbClr w14:val="000000">
                      <w14:alpha w14:val="100000"/>
                    </w14:srgbClr>
                  </w14:solidFill>
                </w14:textFill>
              </w:rPr>
              <w:t>||</w:t>
            </w:r>
            <w:r w:rsidRPr="00F66E51">
              <w:rPr>
                <w:color w:val="000000"/>
                <w:spacing w:val="2"/>
                <w:szCs w:val="20"/>
                <w:shd w:val="solid" w:color="000000" w:fill="000000"/>
                <w:fitText w:val="239" w:id="-1301006078"/>
                <w14:textFill>
                  <w14:solidFill>
                    <w14:srgbClr w14:val="000000">
                      <w14:alpha w14:val="100000"/>
                    </w14:srgbClr>
                  </w14:solidFill>
                </w14:textFill>
              </w:rPr>
              <w:t>|</w:t>
            </w:r>
            <w:r w:rsidR="00004CC0">
              <w:rPr>
                <w:szCs w:val="20"/>
                <w:vertAlign w:val="superscript"/>
              </w:rPr>
              <w:t>5</w:t>
            </w:r>
          </w:p>
        </w:tc>
      </w:tr>
      <w:tr w:rsidR="00CC2C1B" w:rsidRPr="003639A6" w14:paraId="7B85B416" w14:textId="77777777" w:rsidTr="001A4D21">
        <w:tc>
          <w:tcPr>
            <w:tcW w:w="1334" w:type="pct"/>
            <w:shd w:val="clear" w:color="auto" w:fill="auto"/>
            <w:vAlign w:val="center"/>
          </w:tcPr>
          <w:p w14:paraId="14C4F5CC" w14:textId="1B6DA0C7" w:rsidR="00CC2C1B" w:rsidRPr="00A45EA8" w:rsidRDefault="00CC2C1B" w:rsidP="00CC2C1B">
            <w:pPr>
              <w:pStyle w:val="TableText0"/>
              <w:rPr>
                <w:szCs w:val="20"/>
              </w:rPr>
            </w:pPr>
            <w:r w:rsidRPr="00A45EA8">
              <w:rPr>
                <w:szCs w:val="20"/>
              </w:rPr>
              <w:t>Net cost to PBS/RPBS/MBS</w:t>
            </w:r>
            <w:r w:rsidR="00D060C7">
              <w:rPr>
                <w:szCs w:val="20"/>
              </w:rPr>
              <w:t xml:space="preserve"> ($)</w:t>
            </w:r>
          </w:p>
        </w:tc>
        <w:tc>
          <w:tcPr>
            <w:tcW w:w="611" w:type="pct"/>
            <w:shd w:val="clear" w:color="auto" w:fill="auto"/>
            <w:vAlign w:val="center"/>
          </w:tcPr>
          <w:p w14:paraId="63165C76" w14:textId="0884F066" w:rsidR="00CC2C1B" w:rsidRPr="00D060C7" w:rsidRDefault="00F66E51" w:rsidP="00CC2C1B">
            <w:pPr>
              <w:pStyle w:val="TableText0"/>
              <w:jc w:val="center"/>
              <w:rPr>
                <w:szCs w:val="20"/>
                <w:highlight w:val="darkGray"/>
              </w:rPr>
            </w:pPr>
            <w:r w:rsidRPr="00F66E51">
              <w:rPr>
                <w:color w:val="000000"/>
                <w:spacing w:val="55"/>
                <w:szCs w:val="20"/>
                <w:shd w:val="solid" w:color="000000" w:fill="000000"/>
                <w:fitText w:val="239" w:id="-1301006077"/>
                <w14:textFill>
                  <w14:solidFill>
                    <w14:srgbClr w14:val="000000">
                      <w14:alpha w14:val="100000"/>
                    </w14:srgbClr>
                  </w14:solidFill>
                </w14:textFill>
              </w:rPr>
              <w:t>||</w:t>
            </w:r>
            <w:r w:rsidRPr="00F66E51">
              <w:rPr>
                <w:color w:val="000000"/>
                <w:spacing w:val="2"/>
                <w:szCs w:val="20"/>
                <w:shd w:val="solid" w:color="000000" w:fill="000000"/>
                <w:fitText w:val="239" w:id="-1301006077"/>
                <w14:textFill>
                  <w14:solidFill>
                    <w14:srgbClr w14:val="000000">
                      <w14:alpha w14:val="100000"/>
                    </w14:srgbClr>
                  </w14:solidFill>
                </w14:textFill>
              </w:rPr>
              <w:t>|</w:t>
            </w:r>
            <w:r w:rsidR="00D060C7">
              <w:rPr>
                <w:szCs w:val="20"/>
                <w:vertAlign w:val="superscript"/>
              </w:rPr>
              <w:t>5</w:t>
            </w:r>
          </w:p>
        </w:tc>
        <w:tc>
          <w:tcPr>
            <w:tcW w:w="611" w:type="pct"/>
            <w:shd w:val="clear" w:color="auto" w:fill="auto"/>
            <w:vAlign w:val="center"/>
          </w:tcPr>
          <w:p w14:paraId="6BE61466" w14:textId="1C486848" w:rsidR="00CC2C1B" w:rsidRPr="00D060C7" w:rsidRDefault="00F66E51" w:rsidP="00CC2C1B">
            <w:pPr>
              <w:pStyle w:val="TableText0"/>
              <w:jc w:val="center"/>
              <w:rPr>
                <w:szCs w:val="20"/>
                <w:highlight w:val="darkGray"/>
              </w:rPr>
            </w:pPr>
            <w:r w:rsidRPr="00F66E51">
              <w:rPr>
                <w:color w:val="000000"/>
                <w:spacing w:val="55"/>
                <w:szCs w:val="20"/>
                <w:shd w:val="solid" w:color="000000" w:fill="000000"/>
                <w:fitText w:val="239" w:id="-1301006076"/>
                <w14:textFill>
                  <w14:solidFill>
                    <w14:srgbClr w14:val="000000">
                      <w14:alpha w14:val="100000"/>
                    </w14:srgbClr>
                  </w14:solidFill>
                </w14:textFill>
              </w:rPr>
              <w:t>||</w:t>
            </w:r>
            <w:r w:rsidRPr="00F66E51">
              <w:rPr>
                <w:color w:val="000000"/>
                <w:spacing w:val="2"/>
                <w:szCs w:val="20"/>
                <w:shd w:val="solid" w:color="000000" w:fill="000000"/>
                <w:fitText w:val="239" w:id="-1301006076"/>
                <w14:textFill>
                  <w14:solidFill>
                    <w14:srgbClr w14:val="000000">
                      <w14:alpha w14:val="100000"/>
                    </w14:srgbClr>
                  </w14:solidFill>
                </w14:textFill>
              </w:rPr>
              <w:t>|</w:t>
            </w:r>
            <w:r w:rsidR="00004CC0">
              <w:rPr>
                <w:szCs w:val="20"/>
                <w:vertAlign w:val="superscript"/>
              </w:rPr>
              <w:t>6</w:t>
            </w:r>
          </w:p>
        </w:tc>
        <w:tc>
          <w:tcPr>
            <w:tcW w:w="611" w:type="pct"/>
            <w:shd w:val="clear" w:color="auto" w:fill="auto"/>
            <w:vAlign w:val="center"/>
          </w:tcPr>
          <w:p w14:paraId="74A97EB8" w14:textId="719D1DFE" w:rsidR="00CC2C1B" w:rsidRPr="00D060C7" w:rsidRDefault="00F66E51" w:rsidP="00CC2C1B">
            <w:pPr>
              <w:pStyle w:val="TableText0"/>
              <w:jc w:val="center"/>
              <w:rPr>
                <w:szCs w:val="20"/>
                <w:highlight w:val="darkGray"/>
              </w:rPr>
            </w:pPr>
            <w:r w:rsidRPr="00F66E51">
              <w:rPr>
                <w:color w:val="000000"/>
                <w:spacing w:val="55"/>
                <w:szCs w:val="20"/>
                <w:shd w:val="solid" w:color="000000" w:fill="000000"/>
                <w:fitText w:val="239" w:id="-1301006075"/>
                <w14:textFill>
                  <w14:solidFill>
                    <w14:srgbClr w14:val="000000">
                      <w14:alpha w14:val="100000"/>
                    </w14:srgbClr>
                  </w14:solidFill>
                </w14:textFill>
              </w:rPr>
              <w:t>||</w:t>
            </w:r>
            <w:r w:rsidRPr="00F66E51">
              <w:rPr>
                <w:color w:val="000000"/>
                <w:spacing w:val="2"/>
                <w:szCs w:val="20"/>
                <w:shd w:val="solid" w:color="000000" w:fill="000000"/>
                <w:fitText w:val="239" w:id="-1301006075"/>
                <w14:textFill>
                  <w14:solidFill>
                    <w14:srgbClr w14:val="000000">
                      <w14:alpha w14:val="100000"/>
                    </w14:srgbClr>
                  </w14:solidFill>
                </w14:textFill>
              </w:rPr>
              <w:t>|</w:t>
            </w:r>
            <w:r w:rsidR="00004CC0">
              <w:rPr>
                <w:szCs w:val="20"/>
                <w:vertAlign w:val="superscript"/>
              </w:rPr>
              <w:t>6</w:t>
            </w:r>
          </w:p>
        </w:tc>
        <w:tc>
          <w:tcPr>
            <w:tcW w:w="611" w:type="pct"/>
            <w:shd w:val="clear" w:color="auto" w:fill="auto"/>
            <w:vAlign w:val="center"/>
          </w:tcPr>
          <w:p w14:paraId="256F47D1" w14:textId="72CAD54F" w:rsidR="00CC2C1B" w:rsidRPr="00D060C7" w:rsidRDefault="00F66E51" w:rsidP="00CC2C1B">
            <w:pPr>
              <w:pStyle w:val="TableText0"/>
              <w:jc w:val="center"/>
              <w:rPr>
                <w:szCs w:val="20"/>
                <w:highlight w:val="darkGray"/>
              </w:rPr>
            </w:pPr>
            <w:r w:rsidRPr="00F66E51">
              <w:rPr>
                <w:color w:val="000000"/>
                <w:spacing w:val="55"/>
                <w:szCs w:val="20"/>
                <w:shd w:val="solid" w:color="000000" w:fill="000000"/>
                <w:fitText w:val="238" w:id="-1301006074"/>
                <w14:textFill>
                  <w14:solidFill>
                    <w14:srgbClr w14:val="000000">
                      <w14:alpha w14:val="100000"/>
                    </w14:srgbClr>
                  </w14:solidFill>
                </w14:textFill>
              </w:rPr>
              <w:t>||</w:t>
            </w:r>
            <w:r w:rsidRPr="00F66E51">
              <w:rPr>
                <w:color w:val="000000"/>
                <w:spacing w:val="1"/>
                <w:szCs w:val="20"/>
                <w:shd w:val="solid" w:color="000000" w:fill="000000"/>
                <w:fitText w:val="238" w:id="-1301006074"/>
                <w14:textFill>
                  <w14:solidFill>
                    <w14:srgbClr w14:val="000000">
                      <w14:alpha w14:val="100000"/>
                    </w14:srgbClr>
                  </w14:solidFill>
                </w14:textFill>
              </w:rPr>
              <w:t>|</w:t>
            </w:r>
            <w:r w:rsidR="00004CC0">
              <w:rPr>
                <w:szCs w:val="20"/>
                <w:vertAlign w:val="superscript"/>
              </w:rPr>
              <w:t>5</w:t>
            </w:r>
          </w:p>
        </w:tc>
        <w:tc>
          <w:tcPr>
            <w:tcW w:w="611" w:type="pct"/>
            <w:shd w:val="clear" w:color="auto" w:fill="auto"/>
            <w:vAlign w:val="center"/>
          </w:tcPr>
          <w:p w14:paraId="3922D0DA" w14:textId="131671FA" w:rsidR="00CC2C1B" w:rsidRPr="00D060C7" w:rsidRDefault="00F66E51" w:rsidP="00CC2C1B">
            <w:pPr>
              <w:pStyle w:val="TableText0"/>
              <w:jc w:val="center"/>
              <w:rPr>
                <w:szCs w:val="20"/>
                <w:highlight w:val="darkGray"/>
              </w:rPr>
            </w:pPr>
            <w:r w:rsidRPr="00F66E51">
              <w:rPr>
                <w:color w:val="000000"/>
                <w:spacing w:val="55"/>
                <w:szCs w:val="20"/>
                <w:shd w:val="solid" w:color="000000" w:fill="000000"/>
                <w:fitText w:val="239" w:id="-1301006073"/>
                <w14:textFill>
                  <w14:solidFill>
                    <w14:srgbClr w14:val="000000">
                      <w14:alpha w14:val="100000"/>
                    </w14:srgbClr>
                  </w14:solidFill>
                </w14:textFill>
              </w:rPr>
              <w:t>||</w:t>
            </w:r>
            <w:r w:rsidRPr="00F66E51">
              <w:rPr>
                <w:color w:val="000000"/>
                <w:spacing w:val="2"/>
                <w:szCs w:val="20"/>
                <w:shd w:val="solid" w:color="000000" w:fill="000000"/>
                <w:fitText w:val="239" w:id="-1301006073"/>
                <w14:textFill>
                  <w14:solidFill>
                    <w14:srgbClr w14:val="000000">
                      <w14:alpha w14:val="100000"/>
                    </w14:srgbClr>
                  </w14:solidFill>
                </w14:textFill>
              </w:rPr>
              <w:t>|</w:t>
            </w:r>
            <w:r w:rsidR="00004CC0">
              <w:rPr>
                <w:szCs w:val="20"/>
                <w:vertAlign w:val="superscript"/>
              </w:rPr>
              <w:t>5</w:t>
            </w:r>
          </w:p>
        </w:tc>
        <w:tc>
          <w:tcPr>
            <w:tcW w:w="611" w:type="pct"/>
            <w:vAlign w:val="center"/>
          </w:tcPr>
          <w:p w14:paraId="07B31051" w14:textId="29FD8DF8" w:rsidR="00CC2C1B" w:rsidRPr="00D060C7" w:rsidRDefault="00F66E51" w:rsidP="00CC2C1B">
            <w:pPr>
              <w:pStyle w:val="TableText0"/>
              <w:jc w:val="center"/>
              <w:rPr>
                <w:szCs w:val="20"/>
                <w:highlight w:val="darkGray"/>
              </w:rPr>
            </w:pPr>
            <w:r w:rsidRPr="00F66E51">
              <w:rPr>
                <w:color w:val="000000"/>
                <w:spacing w:val="55"/>
                <w:szCs w:val="20"/>
                <w:shd w:val="solid" w:color="000000" w:fill="000000"/>
                <w:fitText w:val="239" w:id="-1301006072"/>
                <w14:textFill>
                  <w14:solidFill>
                    <w14:srgbClr w14:val="000000">
                      <w14:alpha w14:val="100000"/>
                    </w14:srgbClr>
                  </w14:solidFill>
                </w14:textFill>
              </w:rPr>
              <w:t>||</w:t>
            </w:r>
            <w:r w:rsidRPr="00F66E51">
              <w:rPr>
                <w:color w:val="000000"/>
                <w:spacing w:val="2"/>
                <w:szCs w:val="20"/>
                <w:shd w:val="solid" w:color="000000" w:fill="000000"/>
                <w:fitText w:val="239" w:id="-1301006072"/>
                <w14:textFill>
                  <w14:solidFill>
                    <w14:srgbClr w14:val="000000">
                      <w14:alpha w14:val="100000"/>
                    </w14:srgbClr>
                  </w14:solidFill>
                </w14:textFill>
              </w:rPr>
              <w:t>|</w:t>
            </w:r>
            <w:r w:rsidR="00004CC0">
              <w:rPr>
                <w:szCs w:val="20"/>
                <w:vertAlign w:val="superscript"/>
              </w:rPr>
              <w:t>5</w:t>
            </w:r>
          </w:p>
        </w:tc>
      </w:tr>
    </w:tbl>
    <w:p w14:paraId="78BC0B8F" w14:textId="2981B72E" w:rsidR="003F5A2D" w:rsidRDefault="003F5A2D" w:rsidP="003F5A2D">
      <w:pPr>
        <w:pStyle w:val="FooterTableFigure"/>
        <w:rPr>
          <w:rStyle w:val="CommentReference"/>
        </w:rPr>
      </w:pPr>
      <w:r>
        <w:t>Source: Source: Table 4.8, p233, Table 4.20, p239, and Table 4.23, p240 of the submission</w:t>
      </w:r>
      <w:r w:rsidR="00CC2C1B">
        <w:t xml:space="preserve"> and Table 1, p3 of the pre-PBAC response</w:t>
      </w:r>
      <w:r>
        <w:t>.</w:t>
      </w:r>
    </w:p>
    <w:p w14:paraId="61145EC3" w14:textId="53F92CFA" w:rsidR="003F5A2D" w:rsidRDefault="003F5A2D" w:rsidP="00D060C7">
      <w:pPr>
        <w:pStyle w:val="FooterTableFigure"/>
        <w:spacing w:after="0"/>
      </w:pPr>
      <w:r w:rsidRPr="003639A6">
        <w:rPr>
          <w:vertAlign w:val="superscript"/>
        </w:rPr>
        <w:t>a</w:t>
      </w:r>
      <w:r>
        <w:t xml:space="preserve"> </w:t>
      </w:r>
      <w:r w:rsidRPr="003639A6">
        <w:t xml:space="preserve">Assuming </w:t>
      </w:r>
      <w:r>
        <w:t>10.35 scripts</w:t>
      </w:r>
      <w:r w:rsidRPr="003639A6">
        <w:t xml:space="preserve"> per year as estimated by the submission.</w:t>
      </w:r>
    </w:p>
    <w:p w14:paraId="2FCB1A45" w14:textId="77777777" w:rsidR="00D060C7" w:rsidRPr="009A6D58" w:rsidRDefault="00D060C7" w:rsidP="00D060C7">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1DBB99C4" w14:textId="3A2E6E78" w:rsidR="00D060C7" w:rsidRPr="009A6D58" w:rsidRDefault="00D060C7" w:rsidP="00D060C7">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D060C7">
        <w:rPr>
          <w:rFonts w:ascii="Arial Narrow" w:hAnsi="Arial Narrow"/>
          <w:i/>
          <w:sz w:val="18"/>
          <w:szCs w:val="18"/>
        </w:rPr>
        <w:t>&lt; 500</w:t>
      </w:r>
    </w:p>
    <w:p w14:paraId="4106BFBB" w14:textId="6566C094" w:rsidR="00D060C7" w:rsidRPr="009A6D58" w:rsidRDefault="00D060C7" w:rsidP="00D060C7">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D060C7">
        <w:rPr>
          <w:rFonts w:ascii="Arial Narrow" w:hAnsi="Arial Narrow"/>
          <w:i/>
          <w:sz w:val="18"/>
          <w:szCs w:val="18"/>
        </w:rPr>
        <w:t>500 to &lt; 5,000</w:t>
      </w:r>
    </w:p>
    <w:p w14:paraId="3AF6465F" w14:textId="228F5A16" w:rsidR="00D060C7" w:rsidRDefault="00D060C7" w:rsidP="00D060C7">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D060C7">
        <w:rPr>
          <w:rFonts w:ascii="Arial Narrow" w:hAnsi="Arial Narrow"/>
          <w:i/>
          <w:sz w:val="18"/>
          <w:szCs w:val="18"/>
        </w:rPr>
        <w:t>$10 million to &lt; $20 million</w:t>
      </w:r>
    </w:p>
    <w:p w14:paraId="14F67166" w14:textId="6DDA6C48" w:rsidR="00D060C7" w:rsidRDefault="00D060C7" w:rsidP="00D060C7">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D060C7">
        <w:rPr>
          <w:rFonts w:ascii="Arial Narrow" w:hAnsi="Arial Narrow"/>
          <w:i/>
          <w:sz w:val="18"/>
          <w:szCs w:val="18"/>
        </w:rPr>
        <w:t>$0 to &lt; $10 million</w:t>
      </w:r>
    </w:p>
    <w:p w14:paraId="4D690316" w14:textId="5FAFEC6F" w:rsidR="00D060C7" w:rsidRDefault="00D060C7" w:rsidP="00D060C7">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D060C7">
        <w:rPr>
          <w:rFonts w:ascii="Arial Narrow" w:hAnsi="Arial Narrow"/>
          <w:i/>
          <w:sz w:val="18"/>
          <w:szCs w:val="18"/>
        </w:rPr>
        <w:t>$20 million to &lt; $30 million</w:t>
      </w:r>
    </w:p>
    <w:p w14:paraId="23E0DF38" w14:textId="06B79E25" w:rsidR="00004CC0" w:rsidRPr="00D060C7" w:rsidRDefault="00D060C7" w:rsidP="00004CC0">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004CC0" w:rsidRPr="00004CC0">
        <w:rPr>
          <w:rFonts w:ascii="Arial Narrow" w:hAnsi="Arial Narrow"/>
          <w:i/>
          <w:sz w:val="18"/>
          <w:szCs w:val="18"/>
        </w:rPr>
        <w:t>$30 million to &lt; $40 million</w:t>
      </w:r>
    </w:p>
    <w:p w14:paraId="2A271DEB" w14:textId="4D58A425" w:rsidR="003F5A2D" w:rsidRPr="00254225" w:rsidRDefault="003F5A2D" w:rsidP="00004CC0">
      <w:pPr>
        <w:pStyle w:val="3-BodyText"/>
      </w:pPr>
      <w:r w:rsidRPr="000902D9">
        <w:lastRenderedPageBreak/>
        <w:t xml:space="preserve">The </w:t>
      </w:r>
      <w:r>
        <w:t xml:space="preserve">net </w:t>
      </w:r>
      <w:r w:rsidRPr="000902D9">
        <w:t>cost to the</w:t>
      </w:r>
      <w:r>
        <w:t xml:space="preserve"> </w:t>
      </w:r>
      <w:r w:rsidR="00892022">
        <w:t>PBS/RPBS</w:t>
      </w:r>
      <w:r w:rsidRPr="000902D9">
        <w:t xml:space="preserve"> of listing </w:t>
      </w:r>
      <w:r>
        <w:t>selumetinib</w:t>
      </w:r>
      <w:r w:rsidRPr="000902D9">
        <w:t xml:space="preserve"> was estimated </w:t>
      </w:r>
      <w:r w:rsidR="00892022">
        <w:t xml:space="preserve">in the submission </w:t>
      </w:r>
      <w:r>
        <w:t>to be</w:t>
      </w:r>
      <w:r w:rsidRPr="000902D9">
        <w:t xml:space="preserve"> </w:t>
      </w:r>
      <w:r w:rsidR="00004CC0" w:rsidRPr="00004CC0">
        <w:t>$20 million to &lt; $30 million</w:t>
      </w:r>
      <w:r w:rsidR="00004CC0">
        <w:t xml:space="preserve"> </w:t>
      </w:r>
      <w:r w:rsidRPr="000902D9">
        <w:t xml:space="preserve">in Year </w:t>
      </w:r>
      <w:r>
        <w:t>6 and</w:t>
      </w:r>
      <w:r w:rsidRPr="00254225">
        <w:t xml:space="preserve"> total of </w:t>
      </w:r>
      <w:bookmarkStart w:id="104" w:name="_Hlk113629257"/>
      <w:r w:rsidR="00004CC0" w:rsidRPr="00004CC0">
        <w:t>$100 million to &lt; $200 million</w:t>
      </w:r>
      <w:bookmarkEnd w:id="104"/>
      <w:r w:rsidR="00004CC0">
        <w:t xml:space="preserve"> </w:t>
      </w:r>
      <w:r w:rsidR="00A45EA8" w:rsidRPr="00254225">
        <w:t xml:space="preserve">over </w:t>
      </w:r>
      <w:r w:rsidRPr="00254225">
        <w:t>the first 6 years.</w:t>
      </w:r>
      <w:r w:rsidR="005B3B5E" w:rsidRPr="00254225">
        <w:t xml:space="preserve"> </w:t>
      </w:r>
      <w:r w:rsidR="00892022" w:rsidRPr="00254225">
        <w:t xml:space="preserve">The net cost to the </w:t>
      </w:r>
      <w:r w:rsidR="00A45EA8" w:rsidRPr="00254225">
        <w:t xml:space="preserve">PBS/RPBS of listing selumetinib was estimated in the pre-PBAC response to be </w:t>
      </w:r>
      <w:r w:rsidR="00004CC0" w:rsidRPr="00004CC0">
        <w:t>$20 million to &lt; $30 million</w:t>
      </w:r>
      <w:r w:rsidR="00004CC0">
        <w:t xml:space="preserve"> </w:t>
      </w:r>
      <w:r w:rsidR="00A45EA8" w:rsidRPr="00254225">
        <w:t xml:space="preserve">in Year 6 and total </w:t>
      </w:r>
      <w:r w:rsidR="00004CC0" w:rsidRPr="00004CC0">
        <w:t>$100 million to &lt; $200 million</w:t>
      </w:r>
      <w:r w:rsidR="00004CC0">
        <w:t xml:space="preserve"> </w:t>
      </w:r>
      <w:r w:rsidR="00A45EA8" w:rsidRPr="00254225">
        <w:t>over the first 6 years.</w:t>
      </w:r>
    </w:p>
    <w:p w14:paraId="42931E83" w14:textId="61E0207B" w:rsidR="00892022" w:rsidRPr="00254225" w:rsidRDefault="00892022" w:rsidP="003F5A2D">
      <w:pPr>
        <w:pStyle w:val="3-BodyText"/>
      </w:pPr>
      <w:r w:rsidRPr="00254225">
        <w:t>The DUSC considered that the estimates presented in the submission were uncertain and likely underestimated as:</w:t>
      </w:r>
    </w:p>
    <w:p w14:paraId="7129234D" w14:textId="11B98B58" w:rsidR="003F5A2D" w:rsidRPr="00F74755" w:rsidRDefault="003F5A2D" w:rsidP="00892022">
      <w:pPr>
        <w:pStyle w:val="ListBullet"/>
        <w:numPr>
          <w:ilvl w:val="0"/>
          <w:numId w:val="29"/>
        </w:numPr>
        <w:ind w:left="1077" w:hanging="357"/>
        <w:rPr>
          <w:rFonts w:eastAsia="SimSun"/>
        </w:rPr>
      </w:pPr>
      <w:r w:rsidRPr="00F74755">
        <w:rPr>
          <w:rFonts w:eastAsia="SimSun"/>
        </w:rPr>
        <w:t xml:space="preserve">the approach used to estimate the dose and number of prescriptions supplied </w:t>
      </w:r>
      <w:r w:rsidR="00892022" w:rsidRPr="00F74755">
        <w:rPr>
          <w:rFonts w:eastAsia="SimSun"/>
        </w:rPr>
        <w:t>was imprecise as</w:t>
      </w:r>
      <w:r w:rsidRPr="00F74755">
        <w:rPr>
          <w:rFonts w:eastAsia="SimSun"/>
        </w:rPr>
        <w:t xml:space="preserve"> the trial based mean BSA was applied to the whole population. </w:t>
      </w:r>
    </w:p>
    <w:p w14:paraId="523C21EE" w14:textId="162374F4" w:rsidR="003F5A2D" w:rsidRPr="00F74755" w:rsidRDefault="00892022" w:rsidP="00892022">
      <w:pPr>
        <w:pStyle w:val="ListParagraph"/>
        <w:numPr>
          <w:ilvl w:val="0"/>
          <w:numId w:val="29"/>
        </w:numPr>
        <w:spacing w:after="0"/>
        <w:ind w:left="1077" w:hanging="357"/>
        <w:contextualSpacing/>
      </w:pPr>
      <w:r w:rsidRPr="00F74755">
        <w:rPr>
          <w:rFonts w:eastAsia="SimSun"/>
        </w:rPr>
        <w:t>t</w:t>
      </w:r>
      <w:r w:rsidR="003F5A2D" w:rsidRPr="00F74755">
        <w:rPr>
          <w:rFonts w:eastAsia="SimSun"/>
        </w:rPr>
        <w:t>here was uncertainty in the estimates of:</w:t>
      </w:r>
    </w:p>
    <w:p w14:paraId="67EE8319" w14:textId="694A8124" w:rsidR="003F5A2D" w:rsidRPr="00F74755" w:rsidRDefault="00892022" w:rsidP="00892022">
      <w:pPr>
        <w:pStyle w:val="ListParagraph"/>
        <w:numPr>
          <w:ilvl w:val="0"/>
          <w:numId w:val="34"/>
        </w:numPr>
        <w:spacing w:after="0"/>
        <w:contextualSpacing/>
        <w:rPr>
          <w:rFonts w:eastAsia="SimSun"/>
        </w:rPr>
      </w:pPr>
      <w:r w:rsidRPr="00F74755">
        <w:rPr>
          <w:rFonts w:eastAsia="SimSun"/>
        </w:rPr>
        <w:t>t</w:t>
      </w:r>
      <w:r w:rsidR="003F5A2D" w:rsidRPr="00F74755">
        <w:rPr>
          <w:rFonts w:eastAsia="SimSun"/>
        </w:rPr>
        <w:t xml:space="preserve">he proportion of patients with PN. The financial estimates were most sensitive to this parameter. </w:t>
      </w:r>
    </w:p>
    <w:p w14:paraId="4428358A" w14:textId="1DB460F4" w:rsidR="003F5A2D" w:rsidRPr="00F74755" w:rsidRDefault="00892022" w:rsidP="00892022">
      <w:pPr>
        <w:pStyle w:val="ListBullet"/>
        <w:numPr>
          <w:ilvl w:val="0"/>
          <w:numId w:val="34"/>
        </w:numPr>
      </w:pPr>
      <w:r w:rsidRPr="00F74755">
        <w:t>t</w:t>
      </w:r>
      <w:r w:rsidR="003F5A2D" w:rsidRPr="00F74755">
        <w:t xml:space="preserve">he </w:t>
      </w:r>
      <w:r w:rsidR="00254225">
        <w:t>proportion of patients with symptomatic, inoperable PN</w:t>
      </w:r>
      <w:r w:rsidR="003F5A2D" w:rsidRPr="00F74755">
        <w:rPr>
          <w:rFonts w:eastAsia="SimSun"/>
        </w:rPr>
        <w:t>.</w:t>
      </w:r>
    </w:p>
    <w:p w14:paraId="559AD8B5" w14:textId="0C4357EA" w:rsidR="003F5A2D" w:rsidRPr="00F74755" w:rsidRDefault="00892022" w:rsidP="00892022">
      <w:pPr>
        <w:pStyle w:val="ListBullet"/>
        <w:numPr>
          <w:ilvl w:val="0"/>
          <w:numId w:val="34"/>
        </w:numPr>
      </w:pPr>
      <w:r w:rsidRPr="00F74755">
        <w:t>t</w:t>
      </w:r>
      <w:r w:rsidR="003F5A2D" w:rsidRPr="00F74755">
        <w:t xml:space="preserve">he off-label use of trametinib in this population. </w:t>
      </w:r>
    </w:p>
    <w:p w14:paraId="30786EF9" w14:textId="578BE29D" w:rsidR="003F5A2D" w:rsidRPr="00F74755" w:rsidRDefault="00892022" w:rsidP="00892022">
      <w:pPr>
        <w:pStyle w:val="ListBullet"/>
        <w:numPr>
          <w:ilvl w:val="0"/>
          <w:numId w:val="29"/>
        </w:numPr>
        <w:ind w:left="1077" w:hanging="357"/>
        <w:rPr>
          <w:rFonts w:eastAsia="SimSun"/>
        </w:rPr>
      </w:pPr>
      <w:r w:rsidRPr="00F74755">
        <w:rPr>
          <w:rFonts w:eastAsia="SimSun"/>
        </w:rPr>
        <w:t>t</w:t>
      </w:r>
      <w:r w:rsidR="003F5A2D" w:rsidRPr="00F74755">
        <w:rPr>
          <w:rFonts w:eastAsia="SimSun"/>
        </w:rPr>
        <w:t xml:space="preserve">here were no stopping, relapse or restart rules in the proposed restriction. </w:t>
      </w:r>
    </w:p>
    <w:p w14:paraId="17460A6B" w14:textId="7D7C1EBE" w:rsidR="003F5A2D" w:rsidRPr="00F74755" w:rsidRDefault="00892022" w:rsidP="00892022">
      <w:pPr>
        <w:pStyle w:val="ListBullet"/>
        <w:numPr>
          <w:ilvl w:val="0"/>
          <w:numId w:val="29"/>
        </w:numPr>
        <w:ind w:left="1077" w:hanging="357"/>
        <w:rPr>
          <w:rFonts w:eastAsia="SimSun"/>
        </w:rPr>
      </w:pPr>
      <w:r w:rsidRPr="00F74755">
        <w:rPr>
          <w:rFonts w:eastAsia="SimSun"/>
        </w:rPr>
        <w:t>t</w:t>
      </w:r>
      <w:r w:rsidR="003F5A2D" w:rsidRPr="00F74755">
        <w:rPr>
          <w:rFonts w:eastAsia="SimSun"/>
        </w:rPr>
        <w:t xml:space="preserve">here </w:t>
      </w:r>
      <w:r w:rsidRPr="00F74755">
        <w:rPr>
          <w:rFonts w:eastAsia="SimSun"/>
        </w:rPr>
        <w:t>wa</w:t>
      </w:r>
      <w:r w:rsidR="003F5A2D" w:rsidRPr="00F74755">
        <w:rPr>
          <w:rFonts w:eastAsia="SimSun"/>
        </w:rPr>
        <w:t>s potential for use outside the restriction into the adult population, particularly in young adults.</w:t>
      </w:r>
    </w:p>
    <w:p w14:paraId="2238DEE9" w14:textId="581404C4" w:rsidR="00576972" w:rsidRPr="00C9624D" w:rsidRDefault="00576972" w:rsidP="003F5A2D">
      <w:pPr>
        <w:pStyle w:val="4-SubsectionHeading"/>
      </w:pPr>
      <w:r w:rsidRPr="00C9624D">
        <w:t>Quality Use of Medicines</w:t>
      </w:r>
      <w:bookmarkEnd w:id="98"/>
      <w:bookmarkEnd w:id="99"/>
    </w:p>
    <w:p w14:paraId="6AD7E7EC" w14:textId="40E6B91E" w:rsidR="00B20EEE" w:rsidRPr="00B20EEE" w:rsidRDefault="00B20EEE" w:rsidP="00B20EEE">
      <w:pPr>
        <w:pStyle w:val="3-BodyText"/>
      </w:pPr>
      <w:r w:rsidRPr="00B20EEE">
        <w:t xml:space="preserve">The submission stated that implementation of TGA approved label wording and consumer medicine information will ensure quality use of medicines. </w:t>
      </w:r>
    </w:p>
    <w:p w14:paraId="4F34C425" w14:textId="5CF48AFC" w:rsidR="00B20EEE" w:rsidRDefault="00B20EEE" w:rsidP="00B20EEE">
      <w:pPr>
        <w:pStyle w:val="3-BodyText"/>
      </w:pPr>
      <w:r w:rsidRPr="00B20EEE">
        <w:t>The submission stated that a post-marketing safety study has been planned to characterise the long-term safety profile of selumetinib among paediatric patients; however, no Australian patients were expected to be enrolled.</w:t>
      </w:r>
    </w:p>
    <w:p w14:paraId="458C7EC1" w14:textId="2EEC971A" w:rsidR="0061114D" w:rsidRPr="0061114D" w:rsidRDefault="0061114D" w:rsidP="0061114D">
      <w:pPr>
        <w:pStyle w:val="3-BodyText"/>
      </w:pPr>
      <w:r>
        <w:t xml:space="preserve">The </w:t>
      </w:r>
      <w:r w:rsidRPr="0061114D">
        <w:t>DUSC considered the</w:t>
      </w:r>
      <w:r>
        <w:t>re was</w:t>
      </w:r>
      <w:r w:rsidRPr="0061114D">
        <w:t xml:space="preserve"> potential for underdosing and wastage due to challenges associated with taking large capsules in a paediatric population. </w:t>
      </w:r>
      <w:r w:rsidR="00AE5303">
        <w:t xml:space="preserve"> </w:t>
      </w:r>
    </w:p>
    <w:p w14:paraId="6015A395" w14:textId="2EDB6A4E" w:rsidR="00576972" w:rsidRPr="00C9624D" w:rsidRDefault="00576972" w:rsidP="00606FBA">
      <w:pPr>
        <w:pStyle w:val="4-SubsectionHeading"/>
      </w:pPr>
      <w:bookmarkStart w:id="105" w:name="_Toc22897649"/>
      <w:bookmarkStart w:id="106" w:name="_Toc114041597"/>
      <w:r w:rsidRPr="00C9624D">
        <w:t>Financial Management – Risk Sharing Arrangements</w:t>
      </w:r>
      <w:bookmarkEnd w:id="105"/>
      <w:bookmarkEnd w:id="106"/>
    </w:p>
    <w:p w14:paraId="0EBC8B54" w14:textId="5015E15F" w:rsidR="00576972" w:rsidRDefault="00BD2C8E" w:rsidP="001C30D8">
      <w:pPr>
        <w:pStyle w:val="3-BodyText"/>
        <w:rPr>
          <w:color w:val="0066FF"/>
        </w:rPr>
      </w:pPr>
      <w:r w:rsidRPr="00BD2C8E">
        <w:t>The sponsor acknowledged the uncertainty in patient estimates and indicated willingness to enter into a Risk Sharing Arrangement (RSA).</w:t>
      </w:r>
      <w:r w:rsidR="008660D4" w:rsidRPr="00BD2C8E">
        <w:rPr>
          <w:color w:val="0066FF"/>
        </w:rPr>
        <w:t xml:space="preserve"> </w:t>
      </w:r>
    </w:p>
    <w:p w14:paraId="7273D4EC" w14:textId="349F6A87" w:rsidR="00E331B7" w:rsidRPr="00E331B7" w:rsidRDefault="00E331B7" w:rsidP="00E331B7">
      <w:pPr>
        <w:pStyle w:val="3-BodyText"/>
        <w:numPr>
          <w:ilvl w:val="0"/>
          <w:numId w:val="0"/>
        </w:numPr>
        <w:ind w:left="720"/>
        <w:rPr>
          <w:i/>
          <w:iCs/>
        </w:rPr>
      </w:pPr>
      <w:r w:rsidRPr="00E331B7">
        <w:rPr>
          <w:i/>
          <w:iCs/>
        </w:rPr>
        <w:t>For more detail on PBAC’s view, see section 7 PBAC outcome.</w:t>
      </w:r>
    </w:p>
    <w:p w14:paraId="7EE7D9F8" w14:textId="77777777" w:rsidR="003F5A2D" w:rsidRPr="0090150D" w:rsidRDefault="003F5A2D" w:rsidP="003F5A2D">
      <w:pPr>
        <w:pStyle w:val="2-SectionHeading"/>
      </w:pPr>
      <w:bookmarkStart w:id="107" w:name="_Hlk76381249"/>
      <w:bookmarkStart w:id="108" w:name="_Hlk76377955"/>
      <w:bookmarkStart w:id="109" w:name="_Toc114041599"/>
      <w:r w:rsidRPr="0090150D">
        <w:t>PBAC Outcome</w:t>
      </w:r>
    </w:p>
    <w:p w14:paraId="7C408AB7" w14:textId="4968116D" w:rsidR="00A45EA8" w:rsidRDefault="00A45EA8" w:rsidP="003F5A2D">
      <w:pPr>
        <w:widowControl w:val="0"/>
        <w:numPr>
          <w:ilvl w:val="1"/>
          <w:numId w:val="1"/>
        </w:numPr>
        <w:spacing w:after="120"/>
        <w:rPr>
          <w:rFonts w:asciiTheme="minorHAnsi" w:hAnsiTheme="minorHAnsi"/>
          <w:snapToGrid w:val="0"/>
          <w:lang w:val="en-GB"/>
        </w:rPr>
      </w:pPr>
      <w:bookmarkStart w:id="110" w:name="_Hlk111543188"/>
      <w:r>
        <w:rPr>
          <w:rFonts w:asciiTheme="minorHAnsi" w:hAnsiTheme="minorHAnsi"/>
          <w:snapToGrid w:val="0"/>
          <w:lang w:val="en-GB"/>
        </w:rPr>
        <w:t>The PBAC did not recommend selumetinib for the treatment of symptomatic, inoperable plexiform neurofibroma(s) (</w:t>
      </w:r>
      <w:r w:rsidR="00DD4364">
        <w:rPr>
          <w:rFonts w:asciiTheme="minorHAnsi" w:hAnsiTheme="minorHAnsi"/>
          <w:snapToGrid w:val="0"/>
          <w:lang w:val="en-GB"/>
        </w:rPr>
        <w:t>PN</w:t>
      </w:r>
      <w:r>
        <w:rPr>
          <w:rFonts w:asciiTheme="minorHAnsi" w:hAnsiTheme="minorHAnsi"/>
          <w:snapToGrid w:val="0"/>
          <w:lang w:val="en-GB"/>
        </w:rPr>
        <w:t xml:space="preserve">) in paediatric patients with neurofibromatosis (NF1). Although the PBAC considered that selumetinib provided a high clinical benefit for patients with </w:t>
      </w:r>
      <w:r w:rsidR="00DD4364">
        <w:rPr>
          <w:rFonts w:asciiTheme="minorHAnsi" w:hAnsiTheme="minorHAnsi"/>
          <w:snapToGrid w:val="0"/>
          <w:lang w:val="en-GB"/>
        </w:rPr>
        <w:t>PN</w:t>
      </w:r>
      <w:r>
        <w:rPr>
          <w:rFonts w:asciiTheme="minorHAnsi" w:hAnsiTheme="minorHAnsi"/>
          <w:snapToGrid w:val="0"/>
          <w:lang w:val="en-GB"/>
        </w:rPr>
        <w:t xml:space="preserve"> associated with NF1 compared to </w:t>
      </w:r>
      <w:r w:rsidR="00BA22E7">
        <w:rPr>
          <w:rFonts w:asciiTheme="minorHAnsi" w:hAnsiTheme="minorHAnsi"/>
          <w:snapToGrid w:val="0"/>
          <w:lang w:val="en-GB"/>
        </w:rPr>
        <w:t>supportive</w:t>
      </w:r>
      <w:r>
        <w:rPr>
          <w:rFonts w:asciiTheme="minorHAnsi" w:hAnsiTheme="minorHAnsi"/>
          <w:snapToGrid w:val="0"/>
          <w:lang w:val="en-GB"/>
        </w:rPr>
        <w:t xml:space="preserve"> care, the PBAC noted that there were significant issues with the proposed restriction, the </w:t>
      </w:r>
      <w:r w:rsidR="00FE7B74">
        <w:rPr>
          <w:rFonts w:asciiTheme="minorHAnsi" w:hAnsiTheme="minorHAnsi"/>
          <w:snapToGrid w:val="0"/>
          <w:lang w:val="en-GB"/>
        </w:rPr>
        <w:t>economic</w:t>
      </w:r>
      <w:r>
        <w:rPr>
          <w:rFonts w:asciiTheme="minorHAnsi" w:hAnsiTheme="minorHAnsi"/>
          <w:snapToGrid w:val="0"/>
          <w:lang w:val="en-GB"/>
        </w:rPr>
        <w:t xml:space="preserve"> model and the utilisation estimates. The PBAC also noted that there were quality use of medicine issues relating to the size of the capsule and the </w:t>
      </w:r>
      <w:r>
        <w:rPr>
          <w:rFonts w:asciiTheme="minorHAnsi" w:hAnsiTheme="minorHAnsi"/>
          <w:snapToGrid w:val="0"/>
          <w:lang w:val="en-GB"/>
        </w:rPr>
        <w:lastRenderedPageBreak/>
        <w:t>proposed use in young children</w:t>
      </w:r>
      <w:r w:rsidR="00B86A93">
        <w:rPr>
          <w:rFonts w:asciiTheme="minorHAnsi" w:hAnsiTheme="minorHAnsi"/>
          <w:snapToGrid w:val="0"/>
          <w:lang w:val="en-GB"/>
        </w:rPr>
        <w:t xml:space="preserve"> (who were the most likely to benefit from treatment)</w:t>
      </w:r>
      <w:r>
        <w:rPr>
          <w:rFonts w:asciiTheme="minorHAnsi" w:hAnsiTheme="minorHAnsi"/>
          <w:snapToGrid w:val="0"/>
          <w:lang w:val="en-GB"/>
        </w:rPr>
        <w:t xml:space="preserve">. </w:t>
      </w:r>
    </w:p>
    <w:p w14:paraId="19B4E8E4" w14:textId="5037B32B" w:rsidR="00DD4364" w:rsidRDefault="00DD4364" w:rsidP="003F5A2D">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acknowledged the consumer comments relating to this submission which </w:t>
      </w:r>
      <w:r w:rsidR="00BA22E7">
        <w:rPr>
          <w:rFonts w:asciiTheme="minorHAnsi" w:hAnsiTheme="minorHAnsi"/>
          <w:snapToGrid w:val="0"/>
          <w:lang w:val="en-GB"/>
        </w:rPr>
        <w:t xml:space="preserve">described the quality of life challenges associated with the disease and </w:t>
      </w:r>
      <w:r>
        <w:rPr>
          <w:rFonts w:asciiTheme="minorHAnsi" w:hAnsiTheme="minorHAnsi"/>
          <w:snapToGrid w:val="0"/>
          <w:lang w:val="en-GB"/>
        </w:rPr>
        <w:t>highlighted the high unmet clinical need for effective treatments</w:t>
      </w:r>
      <w:r w:rsidR="00BA22E7">
        <w:rPr>
          <w:rFonts w:asciiTheme="minorHAnsi" w:hAnsiTheme="minorHAnsi"/>
          <w:snapToGrid w:val="0"/>
          <w:lang w:val="en-GB"/>
        </w:rPr>
        <w:t>.</w:t>
      </w:r>
      <w:r w:rsidR="003A7FB1">
        <w:rPr>
          <w:rFonts w:asciiTheme="minorHAnsi" w:hAnsiTheme="minorHAnsi"/>
          <w:snapToGrid w:val="0"/>
          <w:lang w:val="en-GB"/>
        </w:rPr>
        <w:t xml:space="preserve"> The PBAC noted the significant impact PN associated with NF1 can have on children including pain and disfigurement.  The PBAC noted the comments related to the importance of access to a treatment other than surgery and the high cost of selumetinib. </w:t>
      </w:r>
    </w:p>
    <w:p w14:paraId="16DBD231" w14:textId="1B3AA345" w:rsidR="00BA22E7" w:rsidRDefault="00BA22E7" w:rsidP="003F5A2D">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considered that the proposed place in therapy of selumetinib as an alternative to supportive care in paediatric patients with inoperable PN was reasonable.</w:t>
      </w:r>
    </w:p>
    <w:p w14:paraId="7005FCA7" w14:textId="4022D6EF" w:rsidR="00BA22E7" w:rsidRDefault="00BA22E7" w:rsidP="003F5A2D">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considered that the nominated comparator, supportive care, was appropriate.</w:t>
      </w:r>
    </w:p>
    <w:p w14:paraId="139C5410" w14:textId="404DA6CF" w:rsidR="00BA22E7" w:rsidRDefault="00F004A1" w:rsidP="003F5A2D">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w:t>
      </w:r>
      <w:r w:rsidR="00DF2A1B">
        <w:rPr>
          <w:rFonts w:asciiTheme="minorHAnsi" w:hAnsiTheme="minorHAnsi"/>
          <w:snapToGrid w:val="0"/>
          <w:lang w:val="en-GB"/>
        </w:rPr>
        <w:t xml:space="preserve">to demonstrate effectiveness </w:t>
      </w:r>
      <w:r>
        <w:rPr>
          <w:rFonts w:asciiTheme="minorHAnsi" w:hAnsiTheme="minorHAnsi"/>
          <w:snapToGrid w:val="0"/>
          <w:lang w:val="en-GB"/>
        </w:rPr>
        <w:t xml:space="preserve">the submission presented </w:t>
      </w:r>
      <w:r w:rsidR="00834E67">
        <w:rPr>
          <w:rFonts w:asciiTheme="minorHAnsi" w:hAnsiTheme="minorHAnsi"/>
          <w:snapToGrid w:val="0"/>
          <w:lang w:val="en-GB"/>
        </w:rPr>
        <w:t xml:space="preserve">unanchored </w:t>
      </w:r>
      <w:r>
        <w:rPr>
          <w:rFonts w:asciiTheme="minorHAnsi" w:hAnsiTheme="minorHAnsi"/>
          <w:snapToGrid w:val="0"/>
          <w:lang w:val="en-GB"/>
        </w:rPr>
        <w:t>indirect treatment comparisons between selumetinib and supportive care based on the SPRINT trial (selumetinib)</w:t>
      </w:r>
      <w:r w:rsidR="00E12426">
        <w:rPr>
          <w:rFonts w:asciiTheme="minorHAnsi" w:hAnsiTheme="minorHAnsi"/>
          <w:snapToGrid w:val="0"/>
          <w:lang w:val="en-GB"/>
        </w:rPr>
        <w:t xml:space="preserve">, </w:t>
      </w:r>
      <w:r>
        <w:rPr>
          <w:rFonts w:asciiTheme="minorHAnsi" w:hAnsiTheme="minorHAnsi"/>
          <w:snapToGrid w:val="0"/>
          <w:lang w:val="en-GB"/>
        </w:rPr>
        <w:t xml:space="preserve">the National Cancer </w:t>
      </w:r>
      <w:r w:rsidR="00FE7B74">
        <w:rPr>
          <w:rFonts w:asciiTheme="minorHAnsi" w:hAnsiTheme="minorHAnsi"/>
          <w:snapToGrid w:val="0"/>
          <w:lang w:val="en-GB"/>
        </w:rPr>
        <w:t>I</w:t>
      </w:r>
      <w:r>
        <w:rPr>
          <w:rFonts w:asciiTheme="minorHAnsi" w:hAnsiTheme="minorHAnsi"/>
          <w:snapToGrid w:val="0"/>
          <w:lang w:val="en-GB"/>
        </w:rPr>
        <w:t xml:space="preserve">nstitute Natural History (NCI NH) study and the </w:t>
      </w:r>
      <w:r w:rsidR="008B2DAB">
        <w:rPr>
          <w:rFonts w:asciiTheme="minorHAnsi" w:hAnsiTheme="minorHAnsi"/>
          <w:snapToGrid w:val="0"/>
          <w:lang w:val="en-GB"/>
        </w:rPr>
        <w:t xml:space="preserve">placebo arm of the </w:t>
      </w:r>
      <w:r>
        <w:rPr>
          <w:rFonts w:asciiTheme="minorHAnsi" w:hAnsiTheme="minorHAnsi"/>
          <w:snapToGrid w:val="0"/>
          <w:lang w:val="en-GB"/>
        </w:rPr>
        <w:t>01-C-0222 trial. The PBAC noted that although the eligibility criteria across the studies were similar, there were key difference</w:t>
      </w:r>
      <w:r w:rsidR="00755ABC">
        <w:rPr>
          <w:rFonts w:asciiTheme="minorHAnsi" w:hAnsiTheme="minorHAnsi"/>
          <w:snapToGrid w:val="0"/>
          <w:lang w:val="en-GB"/>
        </w:rPr>
        <w:t>s</w:t>
      </w:r>
      <w:r>
        <w:rPr>
          <w:rFonts w:asciiTheme="minorHAnsi" w:hAnsiTheme="minorHAnsi"/>
          <w:snapToGrid w:val="0"/>
          <w:lang w:val="en-GB"/>
        </w:rPr>
        <w:t xml:space="preserve"> </w:t>
      </w:r>
      <w:r w:rsidR="00E12426">
        <w:rPr>
          <w:rFonts w:asciiTheme="minorHAnsi" w:hAnsiTheme="minorHAnsi"/>
          <w:snapToGrid w:val="0"/>
          <w:lang w:val="en-GB"/>
        </w:rPr>
        <w:t xml:space="preserve">in the patient populations </w:t>
      </w:r>
      <w:r>
        <w:rPr>
          <w:rFonts w:asciiTheme="minorHAnsi" w:hAnsiTheme="minorHAnsi"/>
          <w:snapToGrid w:val="0"/>
          <w:lang w:val="en-GB"/>
        </w:rPr>
        <w:t xml:space="preserve">that may have affected the transitivity (see paragraph </w:t>
      </w:r>
      <w:r w:rsidR="00E12426">
        <w:rPr>
          <w:rFonts w:asciiTheme="minorHAnsi" w:hAnsiTheme="minorHAnsi"/>
          <w:snapToGrid w:val="0"/>
          <w:highlight w:val="yellow"/>
          <w:lang w:val="en-GB"/>
        </w:rPr>
        <w:fldChar w:fldCharType="begin"/>
      </w:r>
      <w:r w:rsidR="00E12426">
        <w:rPr>
          <w:rFonts w:asciiTheme="minorHAnsi" w:hAnsiTheme="minorHAnsi"/>
          <w:snapToGrid w:val="0"/>
          <w:lang w:val="en-GB"/>
        </w:rPr>
        <w:instrText xml:space="preserve"> REF _Ref120870873 \r \h </w:instrText>
      </w:r>
      <w:r w:rsidR="00E12426">
        <w:rPr>
          <w:rFonts w:asciiTheme="minorHAnsi" w:hAnsiTheme="minorHAnsi"/>
          <w:snapToGrid w:val="0"/>
          <w:highlight w:val="yellow"/>
          <w:lang w:val="en-GB"/>
        </w:rPr>
      </w:r>
      <w:r w:rsidR="00E12426">
        <w:rPr>
          <w:rFonts w:asciiTheme="minorHAnsi" w:hAnsiTheme="minorHAnsi"/>
          <w:snapToGrid w:val="0"/>
          <w:highlight w:val="yellow"/>
          <w:lang w:val="en-GB"/>
        </w:rPr>
        <w:fldChar w:fldCharType="separate"/>
      </w:r>
      <w:r w:rsidR="00BE0EE6">
        <w:rPr>
          <w:rFonts w:asciiTheme="minorHAnsi" w:hAnsiTheme="minorHAnsi"/>
          <w:snapToGrid w:val="0"/>
          <w:lang w:val="en-GB"/>
        </w:rPr>
        <w:t>6.11</w:t>
      </w:r>
      <w:r w:rsidR="00E12426">
        <w:rPr>
          <w:rFonts w:asciiTheme="minorHAnsi" w:hAnsiTheme="minorHAnsi"/>
          <w:snapToGrid w:val="0"/>
          <w:highlight w:val="yellow"/>
          <w:lang w:val="en-GB"/>
        </w:rPr>
        <w:fldChar w:fldCharType="end"/>
      </w:r>
      <w:r>
        <w:rPr>
          <w:rFonts w:asciiTheme="minorHAnsi" w:hAnsiTheme="minorHAnsi"/>
          <w:snapToGrid w:val="0"/>
          <w:lang w:val="en-GB"/>
        </w:rPr>
        <w:t>).</w:t>
      </w:r>
    </w:p>
    <w:p w14:paraId="0B142DE2" w14:textId="456D80A9" w:rsidR="00B9124D" w:rsidRDefault="00B9124D" w:rsidP="003F5A2D">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the SPRINT trial </w:t>
      </w:r>
      <w:r w:rsidR="00755ABC">
        <w:rPr>
          <w:rFonts w:asciiTheme="minorHAnsi" w:hAnsiTheme="minorHAnsi"/>
          <w:snapToGrid w:val="0"/>
          <w:lang w:val="en-GB"/>
        </w:rPr>
        <w:t xml:space="preserve">(median follow up of 4 years) </w:t>
      </w:r>
      <w:r>
        <w:rPr>
          <w:rFonts w:asciiTheme="minorHAnsi" w:hAnsiTheme="minorHAnsi"/>
          <w:snapToGrid w:val="0"/>
          <w:lang w:val="en-GB"/>
        </w:rPr>
        <w:t xml:space="preserve">reported that 46 of 48 patients </w:t>
      </w:r>
      <w:r w:rsidR="008B2DAB">
        <w:rPr>
          <w:rFonts w:asciiTheme="minorHAnsi" w:hAnsiTheme="minorHAnsi"/>
          <w:snapToGrid w:val="0"/>
          <w:lang w:val="en-GB"/>
        </w:rPr>
        <w:t xml:space="preserve">(95.8%) </w:t>
      </w:r>
      <w:r>
        <w:rPr>
          <w:rFonts w:asciiTheme="minorHAnsi" w:hAnsiTheme="minorHAnsi"/>
          <w:snapToGrid w:val="0"/>
          <w:lang w:val="en-GB"/>
        </w:rPr>
        <w:t xml:space="preserve">experienced a reduction in PN volume and </w:t>
      </w:r>
      <w:r w:rsidR="00834E67">
        <w:rPr>
          <w:rFonts w:asciiTheme="minorHAnsi" w:hAnsiTheme="minorHAnsi"/>
          <w:snapToGrid w:val="0"/>
          <w:lang w:val="en-GB"/>
        </w:rPr>
        <w:t xml:space="preserve">34 of 50 patients </w:t>
      </w:r>
      <w:r w:rsidR="008B2DAB">
        <w:rPr>
          <w:rFonts w:asciiTheme="minorHAnsi" w:hAnsiTheme="minorHAnsi"/>
          <w:snapToGrid w:val="0"/>
          <w:lang w:val="en-GB"/>
        </w:rPr>
        <w:t xml:space="preserve">(68.0%) </w:t>
      </w:r>
      <w:r w:rsidR="00834E67">
        <w:rPr>
          <w:rFonts w:asciiTheme="minorHAnsi" w:hAnsiTheme="minorHAnsi"/>
          <w:snapToGrid w:val="0"/>
          <w:lang w:val="en-GB"/>
        </w:rPr>
        <w:t>ha</w:t>
      </w:r>
      <w:r w:rsidR="008B2DAB">
        <w:rPr>
          <w:rFonts w:asciiTheme="minorHAnsi" w:hAnsiTheme="minorHAnsi"/>
          <w:snapToGrid w:val="0"/>
          <w:lang w:val="en-GB"/>
        </w:rPr>
        <w:t>d</w:t>
      </w:r>
      <w:r w:rsidR="00834E67">
        <w:rPr>
          <w:rFonts w:asciiTheme="minorHAnsi" w:hAnsiTheme="minorHAnsi"/>
          <w:snapToGrid w:val="0"/>
          <w:lang w:val="en-GB"/>
        </w:rPr>
        <w:t xml:space="preserve"> a confirmed partial response (which was defined as PN volume decrease of </w:t>
      </w:r>
      <w:r w:rsidR="00834E67">
        <w:rPr>
          <w:rFonts w:asciiTheme="minorHAnsi" w:hAnsiTheme="minorHAnsi" w:cstheme="minorHAnsi"/>
          <w:snapToGrid w:val="0"/>
          <w:lang w:val="en-GB"/>
        </w:rPr>
        <w:t>≥</w:t>
      </w:r>
      <w:r w:rsidR="00834E67">
        <w:rPr>
          <w:rFonts w:asciiTheme="minorHAnsi" w:hAnsiTheme="minorHAnsi"/>
          <w:snapToGrid w:val="0"/>
          <w:lang w:val="en-GB"/>
        </w:rPr>
        <w:t xml:space="preserve"> 20% compared to baseline</w:t>
      </w:r>
      <w:r w:rsidR="00FE7B74">
        <w:rPr>
          <w:rFonts w:asciiTheme="minorHAnsi" w:hAnsiTheme="minorHAnsi"/>
          <w:snapToGrid w:val="0"/>
          <w:lang w:val="en-GB"/>
        </w:rPr>
        <w:t xml:space="preserve"> on consecutive examinations at least 3 months apart</w:t>
      </w:r>
      <w:r w:rsidR="00834E67">
        <w:rPr>
          <w:rFonts w:asciiTheme="minorHAnsi" w:hAnsiTheme="minorHAnsi"/>
          <w:snapToGrid w:val="0"/>
          <w:lang w:val="en-GB"/>
        </w:rPr>
        <w:t xml:space="preserve">). </w:t>
      </w:r>
      <w:r w:rsidR="008B2DAB">
        <w:rPr>
          <w:rFonts w:asciiTheme="minorHAnsi" w:hAnsiTheme="minorHAnsi"/>
          <w:snapToGrid w:val="0"/>
          <w:lang w:val="en-GB"/>
        </w:rPr>
        <w:t xml:space="preserve">The PBAC noted that median progression free survival (which was defined as PN volume increase of </w:t>
      </w:r>
      <w:r w:rsidR="008B2DAB">
        <w:rPr>
          <w:rFonts w:asciiTheme="minorHAnsi" w:hAnsiTheme="minorHAnsi" w:cstheme="minorHAnsi"/>
          <w:snapToGrid w:val="0"/>
          <w:lang w:val="en-GB"/>
        </w:rPr>
        <w:t>≥</w:t>
      </w:r>
      <w:r w:rsidR="008B2DAB">
        <w:rPr>
          <w:rFonts w:asciiTheme="minorHAnsi" w:hAnsiTheme="minorHAnsi"/>
          <w:snapToGrid w:val="0"/>
          <w:lang w:val="en-GB"/>
        </w:rPr>
        <w:t xml:space="preserve"> 20% compared to baseline) was not reached in the SPRINT trial</w:t>
      </w:r>
      <w:r w:rsidR="00DA08C8">
        <w:rPr>
          <w:rFonts w:asciiTheme="minorHAnsi" w:hAnsiTheme="minorHAnsi"/>
          <w:snapToGrid w:val="0"/>
          <w:lang w:val="en-GB"/>
        </w:rPr>
        <w:t xml:space="preserve">. </w:t>
      </w:r>
      <w:r w:rsidR="00834E67">
        <w:rPr>
          <w:rFonts w:asciiTheme="minorHAnsi" w:hAnsiTheme="minorHAnsi"/>
          <w:snapToGrid w:val="0"/>
          <w:lang w:val="en-GB"/>
        </w:rPr>
        <w:t xml:space="preserve">The PBAC noted that patients in the SPRINT trial also reported clinically meaningful improvements in a number of functional and patient-reported outcomes.  </w:t>
      </w:r>
    </w:p>
    <w:p w14:paraId="4FCEF8C8" w14:textId="77777777" w:rsidR="008B2DAB" w:rsidRDefault="00834E67" w:rsidP="003F5A2D">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In terms of the indirect treatment comparisons, the PBAC noted that</w:t>
      </w:r>
      <w:r w:rsidR="008B2DAB">
        <w:rPr>
          <w:rFonts w:asciiTheme="minorHAnsi" w:hAnsiTheme="minorHAnsi"/>
          <w:snapToGrid w:val="0"/>
          <w:lang w:val="en-GB"/>
        </w:rPr>
        <w:t>:</w:t>
      </w:r>
      <w:r>
        <w:rPr>
          <w:rFonts w:asciiTheme="minorHAnsi" w:hAnsiTheme="minorHAnsi"/>
          <w:snapToGrid w:val="0"/>
          <w:lang w:val="en-GB"/>
        </w:rPr>
        <w:t xml:space="preserve"> </w:t>
      </w:r>
    </w:p>
    <w:p w14:paraId="67D5C6C2" w14:textId="24B024D1" w:rsidR="00834E67" w:rsidRPr="008B2DAB" w:rsidRDefault="00834E67" w:rsidP="00755ABC">
      <w:pPr>
        <w:widowControl w:val="0"/>
        <w:numPr>
          <w:ilvl w:val="1"/>
          <w:numId w:val="36"/>
        </w:numPr>
        <w:spacing w:after="120"/>
        <w:ind w:left="1077" w:hanging="357"/>
        <w:rPr>
          <w:rFonts w:asciiTheme="minorHAnsi" w:hAnsiTheme="minorHAnsi"/>
          <w:snapToGrid w:val="0"/>
          <w:lang w:val="en-GB"/>
        </w:rPr>
      </w:pPr>
      <w:r>
        <w:rPr>
          <w:rFonts w:asciiTheme="minorHAnsi" w:hAnsiTheme="minorHAnsi"/>
          <w:snapToGrid w:val="0"/>
          <w:lang w:val="en-GB"/>
        </w:rPr>
        <w:t xml:space="preserve">selumetinib was associated with a </w:t>
      </w:r>
      <w:r w:rsidR="000F071B">
        <w:rPr>
          <w:rFonts w:asciiTheme="minorHAnsi" w:hAnsiTheme="minorHAnsi"/>
          <w:snapToGrid w:val="0"/>
          <w:lang w:val="en-GB"/>
        </w:rPr>
        <w:t>-</w:t>
      </w:r>
      <w:r>
        <w:rPr>
          <w:rFonts w:asciiTheme="minorHAnsi" w:hAnsiTheme="minorHAnsi"/>
          <w:snapToGrid w:val="0"/>
          <w:lang w:val="en-GB"/>
        </w:rPr>
        <w:t xml:space="preserve">5.1% (95% CI: -27.3, 19.0) PN volume </w:t>
      </w:r>
      <w:r w:rsidR="000F071B">
        <w:rPr>
          <w:rFonts w:asciiTheme="minorHAnsi" w:hAnsiTheme="minorHAnsi"/>
          <w:snapToGrid w:val="0"/>
          <w:lang w:val="en-GB"/>
        </w:rPr>
        <w:t xml:space="preserve">change (decrease) </w:t>
      </w:r>
      <w:r>
        <w:rPr>
          <w:rFonts w:asciiTheme="minorHAnsi" w:hAnsiTheme="minorHAnsi"/>
          <w:snapToGrid w:val="0"/>
          <w:lang w:val="en-GB"/>
        </w:rPr>
        <w:t xml:space="preserve">per year </w:t>
      </w:r>
      <w:r w:rsidR="008B2DAB">
        <w:rPr>
          <w:rFonts w:asciiTheme="minorHAnsi" w:hAnsiTheme="minorHAnsi"/>
          <w:snapToGrid w:val="0"/>
          <w:lang w:val="en-GB"/>
        </w:rPr>
        <w:t xml:space="preserve">in the SPRINT trial </w:t>
      </w:r>
      <w:r>
        <w:rPr>
          <w:rFonts w:asciiTheme="minorHAnsi" w:hAnsiTheme="minorHAnsi"/>
          <w:snapToGrid w:val="0"/>
          <w:lang w:val="en-GB"/>
        </w:rPr>
        <w:t xml:space="preserve">compared to a 15.1% (95% CI: -3.7, 126.2) volume </w:t>
      </w:r>
      <w:r w:rsidR="000F071B">
        <w:rPr>
          <w:rFonts w:asciiTheme="minorHAnsi" w:hAnsiTheme="minorHAnsi"/>
          <w:snapToGrid w:val="0"/>
          <w:lang w:val="en-GB"/>
        </w:rPr>
        <w:t>change (</w:t>
      </w:r>
      <w:r>
        <w:rPr>
          <w:rFonts w:asciiTheme="minorHAnsi" w:hAnsiTheme="minorHAnsi"/>
          <w:snapToGrid w:val="0"/>
          <w:lang w:val="en-GB"/>
        </w:rPr>
        <w:t>increase</w:t>
      </w:r>
      <w:r w:rsidR="000F071B">
        <w:rPr>
          <w:rFonts w:asciiTheme="minorHAnsi" w:hAnsiTheme="minorHAnsi"/>
          <w:snapToGrid w:val="0"/>
          <w:lang w:val="en-GB"/>
        </w:rPr>
        <w:t>)</w:t>
      </w:r>
      <w:r>
        <w:rPr>
          <w:rFonts w:asciiTheme="minorHAnsi" w:hAnsiTheme="minorHAnsi"/>
          <w:snapToGrid w:val="0"/>
          <w:lang w:val="en-GB"/>
        </w:rPr>
        <w:t xml:space="preserve"> per year</w:t>
      </w:r>
      <w:r w:rsidR="008B2DAB">
        <w:rPr>
          <w:rFonts w:asciiTheme="minorHAnsi" w:hAnsiTheme="minorHAnsi"/>
          <w:snapToGrid w:val="0"/>
          <w:lang w:val="en-GB"/>
        </w:rPr>
        <w:t xml:space="preserve"> for supportive care</w:t>
      </w:r>
      <w:r>
        <w:rPr>
          <w:rFonts w:asciiTheme="minorHAnsi" w:hAnsiTheme="minorHAnsi"/>
          <w:snapToGrid w:val="0"/>
          <w:lang w:val="en-GB"/>
        </w:rPr>
        <w:t xml:space="preserve"> in the </w:t>
      </w:r>
      <w:r w:rsidRPr="008B2DAB">
        <w:rPr>
          <w:rFonts w:asciiTheme="minorHAnsi" w:hAnsiTheme="minorHAnsi"/>
          <w:snapToGrid w:val="0"/>
          <w:lang w:val="en-GB"/>
        </w:rPr>
        <w:t>NH study</w:t>
      </w:r>
      <w:r w:rsidR="00755ABC">
        <w:rPr>
          <w:rFonts w:asciiTheme="minorHAnsi" w:hAnsiTheme="minorHAnsi"/>
          <w:snapToGrid w:val="0"/>
          <w:lang w:val="en-GB"/>
        </w:rPr>
        <w:t>;</w:t>
      </w:r>
    </w:p>
    <w:p w14:paraId="54F40A7A" w14:textId="4F86B9F2" w:rsidR="008B2DAB" w:rsidRDefault="00755ABC" w:rsidP="00755ABC">
      <w:pPr>
        <w:widowControl w:val="0"/>
        <w:numPr>
          <w:ilvl w:val="1"/>
          <w:numId w:val="36"/>
        </w:numPr>
        <w:spacing w:after="120"/>
        <w:ind w:left="1077" w:hanging="357"/>
        <w:rPr>
          <w:rFonts w:asciiTheme="minorHAnsi" w:hAnsiTheme="minorHAnsi"/>
          <w:snapToGrid w:val="0"/>
          <w:lang w:val="en-GB"/>
        </w:rPr>
      </w:pPr>
      <w:r>
        <w:rPr>
          <w:rFonts w:asciiTheme="minorHAnsi" w:hAnsiTheme="minorHAnsi"/>
          <w:snapToGrid w:val="0"/>
          <w:lang w:val="en-GB"/>
        </w:rPr>
        <w:t>t</w:t>
      </w:r>
      <w:r w:rsidR="008B2DAB">
        <w:rPr>
          <w:rFonts w:asciiTheme="minorHAnsi" w:hAnsiTheme="minorHAnsi"/>
          <w:snapToGrid w:val="0"/>
          <w:lang w:val="en-GB"/>
        </w:rPr>
        <w:t xml:space="preserve">he probability of remaining without progression after 5 years was </w:t>
      </w:r>
      <w:r w:rsidR="008B2DAB" w:rsidRPr="0023709A">
        <w:rPr>
          <w:rFonts w:asciiTheme="minorHAnsi" w:hAnsiTheme="minorHAnsi"/>
          <w:snapToGrid w:val="0"/>
          <w:lang w:val="en-GB"/>
        </w:rPr>
        <w:t>69.7% (95% CI: 50.8, 82.5) in the SPRINT trial compared to 18.2% (95% CI: 10.8, 2</w:t>
      </w:r>
      <w:r w:rsidR="008B2DAB">
        <w:rPr>
          <w:rFonts w:asciiTheme="minorHAnsi" w:hAnsiTheme="minorHAnsi"/>
          <w:snapToGrid w:val="0"/>
          <w:lang w:val="en-GB"/>
        </w:rPr>
        <w:t xml:space="preserve">7.1) in the NH study; and </w:t>
      </w:r>
    </w:p>
    <w:p w14:paraId="531602D4" w14:textId="31C09C6F" w:rsidR="008B2DAB" w:rsidRDefault="00755ABC" w:rsidP="00755ABC">
      <w:pPr>
        <w:widowControl w:val="0"/>
        <w:numPr>
          <w:ilvl w:val="1"/>
          <w:numId w:val="36"/>
        </w:numPr>
        <w:spacing w:after="120"/>
        <w:ind w:left="1077" w:hanging="357"/>
        <w:rPr>
          <w:rFonts w:asciiTheme="minorHAnsi" w:hAnsiTheme="minorHAnsi"/>
          <w:snapToGrid w:val="0"/>
          <w:lang w:val="en-GB"/>
        </w:rPr>
      </w:pPr>
      <w:r>
        <w:rPr>
          <w:rFonts w:asciiTheme="minorHAnsi" w:hAnsiTheme="minorHAnsi"/>
          <w:snapToGrid w:val="0"/>
          <w:lang w:val="en-GB"/>
        </w:rPr>
        <w:t>t</w:t>
      </w:r>
      <w:r w:rsidR="008B2DAB">
        <w:rPr>
          <w:rFonts w:asciiTheme="minorHAnsi" w:hAnsiTheme="minorHAnsi"/>
          <w:snapToGrid w:val="0"/>
          <w:lang w:val="en-GB"/>
        </w:rPr>
        <w:t>he probability of remaining without progression after 2 years was 94.7% (95% CI: 80.6, 98.7) in the SPRINT trial compared to 20.6% (95% CI: 7.7, 37.8) in the placebo arm of the 01-C-0222 trial.</w:t>
      </w:r>
    </w:p>
    <w:p w14:paraId="4DB5018A" w14:textId="26B1F4E9" w:rsidR="00755ABC" w:rsidRDefault="00755ABC" w:rsidP="003F5A2D">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Overall, the PBAC </w:t>
      </w:r>
      <w:r w:rsidR="00BF1323">
        <w:rPr>
          <w:rFonts w:asciiTheme="minorHAnsi" w:hAnsiTheme="minorHAnsi"/>
          <w:snapToGrid w:val="0"/>
          <w:lang w:val="en-GB"/>
        </w:rPr>
        <w:t xml:space="preserve">was </w:t>
      </w:r>
      <w:r w:rsidR="00C26542">
        <w:rPr>
          <w:rFonts w:asciiTheme="minorHAnsi" w:hAnsiTheme="minorHAnsi"/>
          <w:snapToGrid w:val="0"/>
          <w:lang w:val="en-GB"/>
        </w:rPr>
        <w:t>moderately certain</w:t>
      </w:r>
      <w:r>
        <w:rPr>
          <w:rFonts w:asciiTheme="minorHAnsi" w:hAnsiTheme="minorHAnsi"/>
          <w:snapToGrid w:val="0"/>
          <w:lang w:val="en-GB"/>
        </w:rPr>
        <w:t xml:space="preserve"> that selumetinib demonstrated superior efficacy compared to supportive </w:t>
      </w:r>
      <w:r w:rsidR="00C25753">
        <w:rPr>
          <w:rFonts w:asciiTheme="minorHAnsi" w:hAnsiTheme="minorHAnsi"/>
          <w:snapToGrid w:val="0"/>
          <w:lang w:val="en-GB"/>
        </w:rPr>
        <w:t>car</w:t>
      </w:r>
      <w:r w:rsidR="00C25753" w:rsidRPr="00AC3F0A">
        <w:rPr>
          <w:rFonts w:asciiTheme="minorHAnsi" w:hAnsiTheme="minorHAnsi"/>
          <w:snapToGrid w:val="0"/>
          <w:lang w:val="en-GB"/>
        </w:rPr>
        <w:t>e but</w:t>
      </w:r>
      <w:r w:rsidRPr="00AC3F0A">
        <w:rPr>
          <w:rFonts w:asciiTheme="minorHAnsi" w:hAnsiTheme="minorHAnsi"/>
          <w:snapToGrid w:val="0"/>
          <w:lang w:val="en-GB"/>
        </w:rPr>
        <w:t xml:space="preserve"> </w:t>
      </w:r>
      <w:r w:rsidR="00AC3F0A" w:rsidRPr="00AC3F0A">
        <w:rPr>
          <w:rFonts w:asciiTheme="minorHAnsi" w:hAnsiTheme="minorHAnsi"/>
          <w:snapToGrid w:val="0"/>
          <w:lang w:val="en-GB"/>
        </w:rPr>
        <w:t xml:space="preserve">noted a number of uncertainties remained </w:t>
      </w:r>
      <w:r w:rsidR="00DF2A1B" w:rsidRPr="00AC3F0A">
        <w:rPr>
          <w:rFonts w:asciiTheme="minorHAnsi" w:hAnsiTheme="minorHAnsi"/>
          <w:snapToGrid w:val="0"/>
          <w:lang w:val="en-GB"/>
        </w:rPr>
        <w:lastRenderedPageBreak/>
        <w:t xml:space="preserve">due to the reasons outlined in paragraph </w:t>
      </w:r>
      <w:r w:rsidR="0071293A">
        <w:rPr>
          <w:rFonts w:asciiTheme="minorHAnsi" w:hAnsiTheme="minorHAnsi"/>
          <w:snapToGrid w:val="0"/>
          <w:lang w:val="en-GB"/>
        </w:rPr>
        <w:fldChar w:fldCharType="begin"/>
      </w:r>
      <w:r w:rsidR="0071293A">
        <w:rPr>
          <w:rFonts w:asciiTheme="minorHAnsi" w:hAnsiTheme="minorHAnsi"/>
          <w:snapToGrid w:val="0"/>
          <w:lang w:val="en-GB"/>
        </w:rPr>
        <w:instrText xml:space="preserve"> REF _Ref120871280 \r \h </w:instrText>
      </w:r>
      <w:r w:rsidR="0071293A">
        <w:rPr>
          <w:rFonts w:asciiTheme="minorHAnsi" w:hAnsiTheme="minorHAnsi"/>
          <w:snapToGrid w:val="0"/>
          <w:lang w:val="en-GB"/>
        </w:rPr>
      </w:r>
      <w:r w:rsidR="0071293A">
        <w:rPr>
          <w:rFonts w:asciiTheme="minorHAnsi" w:hAnsiTheme="minorHAnsi"/>
          <w:snapToGrid w:val="0"/>
          <w:lang w:val="en-GB"/>
        </w:rPr>
        <w:fldChar w:fldCharType="separate"/>
      </w:r>
      <w:r w:rsidR="00BE0EE6">
        <w:rPr>
          <w:rFonts w:asciiTheme="minorHAnsi" w:hAnsiTheme="minorHAnsi"/>
          <w:snapToGrid w:val="0"/>
          <w:lang w:val="en-GB"/>
        </w:rPr>
        <w:t>6.48</w:t>
      </w:r>
      <w:r w:rsidR="0071293A">
        <w:rPr>
          <w:rFonts w:asciiTheme="minorHAnsi" w:hAnsiTheme="minorHAnsi"/>
          <w:snapToGrid w:val="0"/>
          <w:lang w:val="en-GB"/>
        </w:rPr>
        <w:fldChar w:fldCharType="end"/>
      </w:r>
      <w:r w:rsidRPr="00AC3F0A">
        <w:rPr>
          <w:rFonts w:asciiTheme="minorHAnsi" w:hAnsiTheme="minorHAnsi"/>
          <w:snapToGrid w:val="0"/>
          <w:lang w:val="en-GB"/>
        </w:rPr>
        <w:t>.</w:t>
      </w:r>
    </w:p>
    <w:p w14:paraId="6921A645" w14:textId="0A90BD5D" w:rsidR="00755ABC" w:rsidRDefault="00DF2A1B" w:rsidP="008527A2">
      <w:pPr>
        <w:widowControl w:val="0"/>
        <w:numPr>
          <w:ilvl w:val="1"/>
          <w:numId w:val="1"/>
        </w:numPr>
        <w:spacing w:after="120"/>
        <w:rPr>
          <w:rFonts w:asciiTheme="minorHAnsi" w:hAnsiTheme="minorHAnsi"/>
          <w:snapToGrid w:val="0"/>
          <w:lang w:val="en-GB"/>
        </w:rPr>
      </w:pPr>
      <w:r w:rsidRPr="00AF20AC">
        <w:rPr>
          <w:rFonts w:asciiTheme="minorHAnsi" w:hAnsiTheme="minorHAnsi"/>
          <w:snapToGrid w:val="0"/>
          <w:lang w:val="en-GB"/>
        </w:rPr>
        <w:t xml:space="preserve">The PBAC noted that the submission did not provide any comparative safety data for selumetinib versus supportive care. The PBAC noted that 68% of patients in the SPRINT trial experienced a severe adverse event (Grade </w:t>
      </w:r>
      <w:r w:rsidRPr="00AF20AC">
        <w:rPr>
          <w:rFonts w:asciiTheme="minorHAnsi" w:hAnsiTheme="minorHAnsi" w:cstheme="minorHAnsi"/>
          <w:snapToGrid w:val="0"/>
          <w:lang w:val="en-GB"/>
        </w:rPr>
        <w:t>≥</w:t>
      </w:r>
      <w:r w:rsidRPr="00AF20AC">
        <w:rPr>
          <w:rFonts w:asciiTheme="minorHAnsi" w:hAnsiTheme="minorHAnsi"/>
          <w:snapToGrid w:val="0"/>
          <w:lang w:val="en-GB"/>
        </w:rPr>
        <w:t xml:space="preserve"> 3) and 52% of patients had discontinued treatment at the median follow up of 4 years.</w:t>
      </w:r>
    </w:p>
    <w:p w14:paraId="125B195F" w14:textId="42AC6BA0" w:rsidR="00DF2A1B" w:rsidRDefault="00B463FB" w:rsidP="008527A2">
      <w:pPr>
        <w:widowControl w:val="0"/>
        <w:numPr>
          <w:ilvl w:val="1"/>
          <w:numId w:val="1"/>
        </w:numPr>
        <w:spacing w:after="120"/>
        <w:rPr>
          <w:rFonts w:asciiTheme="minorHAnsi" w:hAnsiTheme="minorHAnsi"/>
          <w:snapToGrid w:val="0"/>
          <w:lang w:val="en-GB"/>
        </w:rPr>
      </w:pPr>
      <w:r w:rsidRPr="00AF20AC">
        <w:rPr>
          <w:rFonts w:asciiTheme="minorHAnsi" w:hAnsiTheme="minorHAnsi"/>
          <w:snapToGrid w:val="0"/>
          <w:lang w:val="en-GB"/>
        </w:rPr>
        <w:t>Overall, t</w:t>
      </w:r>
      <w:r w:rsidR="00DF2A1B" w:rsidRPr="00AF20AC">
        <w:rPr>
          <w:rFonts w:asciiTheme="minorHAnsi" w:hAnsiTheme="minorHAnsi"/>
          <w:snapToGrid w:val="0"/>
          <w:lang w:val="en-GB"/>
        </w:rPr>
        <w:t xml:space="preserve">he PBAC considered the claim that selumetinib was non-inferior in terms of safety compared to supportive care </w:t>
      </w:r>
      <w:r w:rsidRPr="00AF20AC">
        <w:rPr>
          <w:rFonts w:asciiTheme="minorHAnsi" w:hAnsiTheme="minorHAnsi"/>
          <w:snapToGrid w:val="0"/>
          <w:lang w:val="en-GB"/>
        </w:rPr>
        <w:t>could not be supported given the lack of comparative data.</w:t>
      </w:r>
    </w:p>
    <w:p w14:paraId="6BA99E5B" w14:textId="51C274C3" w:rsidR="00362C07" w:rsidRDefault="00362C07" w:rsidP="008527A2">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considered there were a number of issues with the economic model </w:t>
      </w:r>
      <w:r w:rsidR="003B7DB6">
        <w:rPr>
          <w:rFonts w:asciiTheme="minorHAnsi" w:hAnsiTheme="minorHAnsi"/>
          <w:snapToGrid w:val="0"/>
          <w:lang w:val="en-GB"/>
        </w:rPr>
        <w:t xml:space="preserve">that </w:t>
      </w:r>
      <w:r w:rsidR="004D7318">
        <w:rPr>
          <w:rFonts w:asciiTheme="minorHAnsi" w:hAnsiTheme="minorHAnsi"/>
          <w:snapToGrid w:val="0"/>
          <w:lang w:val="en-GB"/>
        </w:rPr>
        <w:t xml:space="preserve">reduced </w:t>
      </w:r>
      <w:r w:rsidR="003B7DB6">
        <w:rPr>
          <w:rFonts w:asciiTheme="minorHAnsi" w:hAnsiTheme="minorHAnsi"/>
          <w:snapToGrid w:val="0"/>
          <w:lang w:val="en-GB"/>
        </w:rPr>
        <w:t>its reliability for decision-making</w:t>
      </w:r>
      <w:r w:rsidR="00BF1323">
        <w:rPr>
          <w:rFonts w:asciiTheme="minorHAnsi" w:hAnsiTheme="minorHAnsi"/>
          <w:snapToGrid w:val="0"/>
          <w:lang w:val="en-GB"/>
        </w:rPr>
        <w:t>, including</w:t>
      </w:r>
      <w:r>
        <w:rPr>
          <w:rFonts w:asciiTheme="minorHAnsi" w:hAnsiTheme="minorHAnsi"/>
          <w:snapToGrid w:val="0"/>
          <w:lang w:val="en-GB"/>
        </w:rPr>
        <w:t>:</w:t>
      </w:r>
    </w:p>
    <w:p w14:paraId="687E946A" w14:textId="60433C2B" w:rsidR="00362C07" w:rsidRDefault="00362C07" w:rsidP="00362C07">
      <w:pPr>
        <w:pStyle w:val="3-BodyText"/>
        <w:numPr>
          <w:ilvl w:val="1"/>
          <w:numId w:val="43"/>
        </w:numPr>
        <w:ind w:left="1134" w:hanging="425"/>
        <w:rPr>
          <w:lang w:val="en-GB"/>
        </w:rPr>
      </w:pPr>
      <w:r>
        <w:rPr>
          <w:lang w:val="en-GB"/>
        </w:rPr>
        <w:t>time horiz</w:t>
      </w:r>
      <w:r w:rsidRPr="00B86A93">
        <w:rPr>
          <w:lang w:val="en-GB"/>
        </w:rPr>
        <w:t>on</w:t>
      </w:r>
      <w:r w:rsidR="004C3244">
        <w:rPr>
          <w:lang w:val="en-GB"/>
        </w:rPr>
        <w:t xml:space="preserve"> (paragraph </w:t>
      </w:r>
      <w:r w:rsidR="006B1212">
        <w:rPr>
          <w:lang w:val="en-GB"/>
        </w:rPr>
        <w:fldChar w:fldCharType="begin"/>
      </w:r>
      <w:r w:rsidR="006B1212">
        <w:rPr>
          <w:lang w:val="en-GB"/>
        </w:rPr>
        <w:instrText xml:space="preserve"> REF _Ref120872994 \r \h </w:instrText>
      </w:r>
      <w:r w:rsidR="006B1212">
        <w:rPr>
          <w:lang w:val="en-GB"/>
        </w:rPr>
      </w:r>
      <w:r w:rsidR="006B1212">
        <w:rPr>
          <w:lang w:val="en-GB"/>
        </w:rPr>
        <w:fldChar w:fldCharType="separate"/>
      </w:r>
      <w:r w:rsidR="00BE0EE6">
        <w:rPr>
          <w:lang w:val="en-GB"/>
        </w:rPr>
        <w:t>6.55</w:t>
      </w:r>
      <w:r w:rsidR="006B1212">
        <w:rPr>
          <w:lang w:val="en-GB"/>
        </w:rPr>
        <w:fldChar w:fldCharType="end"/>
      </w:r>
      <w:r w:rsidR="006B1212">
        <w:rPr>
          <w:lang w:val="en-GB"/>
        </w:rPr>
        <w:t>)</w:t>
      </w:r>
      <w:r w:rsidRPr="00B86A93">
        <w:rPr>
          <w:lang w:val="en-GB"/>
        </w:rPr>
        <w:t xml:space="preserve">. </w:t>
      </w:r>
    </w:p>
    <w:p w14:paraId="5B109E8B" w14:textId="5D3D9188" w:rsidR="00362C07" w:rsidRDefault="00362C07" w:rsidP="00362C07">
      <w:pPr>
        <w:pStyle w:val="3-BodyText"/>
        <w:numPr>
          <w:ilvl w:val="1"/>
          <w:numId w:val="43"/>
        </w:numPr>
        <w:ind w:left="1134" w:hanging="425"/>
        <w:rPr>
          <w:lang w:val="en-GB"/>
        </w:rPr>
      </w:pPr>
      <w:r>
        <w:rPr>
          <w:lang w:val="en-GB"/>
        </w:rPr>
        <w:t>application of the differential discount rate</w:t>
      </w:r>
      <w:r w:rsidR="006B1212">
        <w:rPr>
          <w:lang w:val="en-GB"/>
        </w:rPr>
        <w:t xml:space="preserve"> (paragraphs </w:t>
      </w:r>
      <w:r w:rsidR="006B1212">
        <w:rPr>
          <w:lang w:val="en-GB"/>
        </w:rPr>
        <w:fldChar w:fldCharType="begin"/>
      </w:r>
      <w:r w:rsidR="006B1212">
        <w:rPr>
          <w:lang w:val="en-GB"/>
        </w:rPr>
        <w:instrText xml:space="preserve"> REF _Ref120873144 \r \h </w:instrText>
      </w:r>
      <w:r w:rsidR="006B1212">
        <w:rPr>
          <w:lang w:val="en-GB"/>
        </w:rPr>
      </w:r>
      <w:r w:rsidR="006B1212">
        <w:rPr>
          <w:lang w:val="en-GB"/>
        </w:rPr>
        <w:fldChar w:fldCharType="separate"/>
      </w:r>
      <w:r w:rsidR="00BE0EE6">
        <w:rPr>
          <w:lang w:val="en-GB"/>
        </w:rPr>
        <w:t>6.56</w:t>
      </w:r>
      <w:r w:rsidR="006B1212">
        <w:rPr>
          <w:lang w:val="en-GB"/>
        </w:rPr>
        <w:fldChar w:fldCharType="end"/>
      </w:r>
      <w:r w:rsidR="006B1212">
        <w:rPr>
          <w:lang w:val="en-GB"/>
        </w:rPr>
        <w:t xml:space="preserve"> to </w:t>
      </w:r>
      <w:r w:rsidR="006B1212">
        <w:rPr>
          <w:lang w:val="en-GB"/>
        </w:rPr>
        <w:fldChar w:fldCharType="begin"/>
      </w:r>
      <w:r w:rsidR="006B1212">
        <w:rPr>
          <w:lang w:val="en-GB"/>
        </w:rPr>
        <w:instrText xml:space="preserve"> REF _Ref120873187 \r \h </w:instrText>
      </w:r>
      <w:r w:rsidR="006B1212">
        <w:rPr>
          <w:lang w:val="en-GB"/>
        </w:rPr>
      </w:r>
      <w:r w:rsidR="006B1212">
        <w:rPr>
          <w:lang w:val="en-GB"/>
        </w:rPr>
        <w:fldChar w:fldCharType="separate"/>
      </w:r>
      <w:r w:rsidR="00BE0EE6">
        <w:rPr>
          <w:lang w:val="en-GB"/>
        </w:rPr>
        <w:t>6.59</w:t>
      </w:r>
      <w:r w:rsidR="006B1212">
        <w:rPr>
          <w:lang w:val="en-GB"/>
        </w:rPr>
        <w:fldChar w:fldCharType="end"/>
      </w:r>
      <w:r w:rsidR="001206BD">
        <w:rPr>
          <w:lang w:val="en-GB"/>
        </w:rPr>
        <w:t>)</w:t>
      </w:r>
      <w:r>
        <w:rPr>
          <w:lang w:val="en-GB"/>
        </w:rPr>
        <w:t xml:space="preserve">. </w:t>
      </w:r>
    </w:p>
    <w:p w14:paraId="279F13E3" w14:textId="3DE9C393" w:rsidR="00362C07" w:rsidRDefault="00362C07" w:rsidP="00362C07">
      <w:pPr>
        <w:pStyle w:val="3-BodyText"/>
        <w:numPr>
          <w:ilvl w:val="1"/>
          <w:numId w:val="43"/>
        </w:numPr>
        <w:ind w:left="1134" w:hanging="425"/>
        <w:rPr>
          <w:lang w:val="en-GB"/>
        </w:rPr>
      </w:pPr>
      <w:r>
        <w:rPr>
          <w:lang w:val="en-GB"/>
        </w:rPr>
        <w:t>costs of monitoring for selumetinib toxicity and the costs associated with AEs due to selumetinib were omitted</w:t>
      </w:r>
      <w:r w:rsidR="006B1212">
        <w:rPr>
          <w:lang w:val="en-GB"/>
        </w:rPr>
        <w:t xml:space="preserve"> (paragraph </w:t>
      </w:r>
      <w:r w:rsidR="006B1212">
        <w:rPr>
          <w:lang w:val="en-GB"/>
        </w:rPr>
        <w:fldChar w:fldCharType="begin"/>
      </w:r>
      <w:r w:rsidR="006B1212">
        <w:rPr>
          <w:lang w:val="en-GB"/>
        </w:rPr>
        <w:instrText xml:space="preserve"> REF _Ref120873213 \r \h </w:instrText>
      </w:r>
      <w:r w:rsidR="006B1212">
        <w:rPr>
          <w:lang w:val="en-GB"/>
        </w:rPr>
      </w:r>
      <w:r w:rsidR="006B1212">
        <w:rPr>
          <w:lang w:val="en-GB"/>
        </w:rPr>
        <w:fldChar w:fldCharType="separate"/>
      </w:r>
      <w:r w:rsidR="00BE0EE6">
        <w:rPr>
          <w:lang w:val="en-GB"/>
        </w:rPr>
        <w:t>6.67</w:t>
      </w:r>
      <w:r w:rsidR="006B1212">
        <w:rPr>
          <w:lang w:val="en-GB"/>
        </w:rPr>
        <w:fldChar w:fldCharType="end"/>
      </w:r>
      <w:r w:rsidR="006B1212">
        <w:rPr>
          <w:lang w:val="en-GB"/>
        </w:rPr>
        <w:t>)</w:t>
      </w:r>
      <w:r>
        <w:rPr>
          <w:lang w:val="en-GB"/>
        </w:rPr>
        <w:t xml:space="preserve">. </w:t>
      </w:r>
    </w:p>
    <w:p w14:paraId="1CCAB9B1" w14:textId="61D95846" w:rsidR="00362C07" w:rsidRDefault="006B1212" w:rsidP="00362C07">
      <w:pPr>
        <w:pStyle w:val="3-BodyText"/>
        <w:numPr>
          <w:ilvl w:val="1"/>
          <w:numId w:val="43"/>
        </w:numPr>
        <w:ind w:left="1134" w:hanging="425"/>
        <w:rPr>
          <w:lang w:val="en-GB"/>
        </w:rPr>
      </w:pPr>
      <w:r>
        <w:rPr>
          <w:lang w:val="en-GB"/>
        </w:rPr>
        <w:t xml:space="preserve">source of utilities and </w:t>
      </w:r>
      <w:r w:rsidR="00362C07">
        <w:rPr>
          <w:lang w:val="en-GB"/>
        </w:rPr>
        <w:t>application of differential utilities for the progression free health state</w:t>
      </w:r>
      <w:r>
        <w:rPr>
          <w:lang w:val="en-GB"/>
        </w:rPr>
        <w:t xml:space="preserve"> (paragraphs </w:t>
      </w:r>
      <w:r>
        <w:rPr>
          <w:lang w:val="en-GB"/>
        </w:rPr>
        <w:fldChar w:fldCharType="begin"/>
      </w:r>
      <w:r>
        <w:rPr>
          <w:lang w:val="en-GB"/>
        </w:rPr>
        <w:instrText xml:space="preserve"> REF _Ref120873273 \r \h </w:instrText>
      </w:r>
      <w:r>
        <w:rPr>
          <w:lang w:val="en-GB"/>
        </w:rPr>
      </w:r>
      <w:r>
        <w:rPr>
          <w:lang w:val="en-GB"/>
        </w:rPr>
        <w:fldChar w:fldCharType="separate"/>
      </w:r>
      <w:r w:rsidR="00BE0EE6">
        <w:rPr>
          <w:lang w:val="en-GB"/>
        </w:rPr>
        <w:t>6.60</w:t>
      </w:r>
      <w:r>
        <w:rPr>
          <w:lang w:val="en-GB"/>
        </w:rPr>
        <w:fldChar w:fldCharType="end"/>
      </w:r>
      <w:r>
        <w:rPr>
          <w:lang w:val="en-GB"/>
        </w:rPr>
        <w:t xml:space="preserve"> to </w:t>
      </w:r>
      <w:r>
        <w:rPr>
          <w:lang w:val="en-GB"/>
        </w:rPr>
        <w:fldChar w:fldCharType="begin"/>
      </w:r>
      <w:r>
        <w:rPr>
          <w:lang w:val="en-GB"/>
        </w:rPr>
        <w:instrText xml:space="preserve"> REF _Ref120873316 \r \h </w:instrText>
      </w:r>
      <w:r>
        <w:rPr>
          <w:lang w:val="en-GB"/>
        </w:rPr>
      </w:r>
      <w:r>
        <w:rPr>
          <w:lang w:val="en-GB"/>
        </w:rPr>
        <w:fldChar w:fldCharType="separate"/>
      </w:r>
      <w:r w:rsidR="00BE0EE6">
        <w:rPr>
          <w:lang w:val="en-GB"/>
        </w:rPr>
        <w:t>6.62</w:t>
      </w:r>
      <w:r>
        <w:rPr>
          <w:lang w:val="en-GB"/>
        </w:rPr>
        <w:fldChar w:fldCharType="end"/>
      </w:r>
      <w:r>
        <w:rPr>
          <w:lang w:val="en-GB"/>
        </w:rPr>
        <w:t>)</w:t>
      </w:r>
      <w:r w:rsidR="00362C07">
        <w:rPr>
          <w:lang w:val="en-GB"/>
        </w:rPr>
        <w:t xml:space="preserve">. </w:t>
      </w:r>
    </w:p>
    <w:p w14:paraId="2842870E" w14:textId="5FD1256B" w:rsidR="00362C07" w:rsidRDefault="003B7DB6" w:rsidP="00362C07">
      <w:pPr>
        <w:pStyle w:val="3-BodyText"/>
        <w:numPr>
          <w:ilvl w:val="1"/>
          <w:numId w:val="43"/>
        </w:numPr>
        <w:ind w:left="1134" w:hanging="425"/>
        <w:rPr>
          <w:lang w:val="en-GB"/>
        </w:rPr>
      </w:pPr>
      <w:r>
        <w:rPr>
          <w:lang w:val="en-GB"/>
        </w:rPr>
        <w:t>e</w:t>
      </w:r>
      <w:r w:rsidR="00362C07">
        <w:rPr>
          <w:lang w:val="en-GB"/>
        </w:rPr>
        <w:t>xtrapolation</w:t>
      </w:r>
      <w:r w:rsidR="006B1212">
        <w:rPr>
          <w:lang w:val="en-GB"/>
        </w:rPr>
        <w:t xml:space="preserve"> function</w:t>
      </w:r>
      <w:r>
        <w:rPr>
          <w:lang w:val="en-GB"/>
        </w:rPr>
        <w:t xml:space="preserve"> </w:t>
      </w:r>
      <w:r w:rsidR="000F071B">
        <w:rPr>
          <w:lang w:val="en-GB"/>
        </w:rPr>
        <w:t xml:space="preserve">applied to selumetinib for </w:t>
      </w:r>
      <w:r>
        <w:rPr>
          <w:lang w:val="en-GB"/>
        </w:rPr>
        <w:t xml:space="preserve">PFS </w:t>
      </w:r>
      <w:r w:rsidR="006B1212">
        <w:rPr>
          <w:lang w:val="en-GB"/>
        </w:rPr>
        <w:t xml:space="preserve">(paragraph </w:t>
      </w:r>
      <w:r w:rsidR="006B1212">
        <w:rPr>
          <w:lang w:val="en-GB"/>
        </w:rPr>
        <w:fldChar w:fldCharType="begin"/>
      </w:r>
      <w:r w:rsidR="006B1212">
        <w:rPr>
          <w:lang w:val="en-GB"/>
        </w:rPr>
        <w:instrText xml:space="preserve"> REF _Ref120873374 \r \h </w:instrText>
      </w:r>
      <w:r w:rsidR="006B1212">
        <w:rPr>
          <w:lang w:val="en-GB"/>
        </w:rPr>
      </w:r>
      <w:r w:rsidR="006B1212">
        <w:rPr>
          <w:lang w:val="en-GB"/>
        </w:rPr>
        <w:fldChar w:fldCharType="separate"/>
      </w:r>
      <w:r w:rsidR="00BE0EE6">
        <w:rPr>
          <w:lang w:val="en-GB"/>
        </w:rPr>
        <w:t>6.70</w:t>
      </w:r>
      <w:r w:rsidR="006B1212">
        <w:rPr>
          <w:lang w:val="en-GB"/>
        </w:rPr>
        <w:fldChar w:fldCharType="end"/>
      </w:r>
      <w:r w:rsidR="006B1212">
        <w:rPr>
          <w:lang w:val="en-GB"/>
        </w:rPr>
        <w:t>)</w:t>
      </w:r>
      <w:r w:rsidR="00362C07">
        <w:rPr>
          <w:lang w:val="en-GB"/>
        </w:rPr>
        <w:t xml:space="preserve">. </w:t>
      </w:r>
    </w:p>
    <w:p w14:paraId="1B43F011" w14:textId="01BB451D" w:rsidR="00362C07" w:rsidRDefault="001206BD" w:rsidP="00362C07">
      <w:pPr>
        <w:pStyle w:val="3-BodyText"/>
        <w:numPr>
          <w:ilvl w:val="1"/>
          <w:numId w:val="43"/>
        </w:numPr>
        <w:ind w:left="1134" w:hanging="425"/>
        <w:rPr>
          <w:lang w:val="en-GB"/>
        </w:rPr>
      </w:pPr>
      <w:r>
        <w:rPr>
          <w:lang w:val="en-GB"/>
        </w:rPr>
        <w:t xml:space="preserve">extrapolation function for </w:t>
      </w:r>
      <w:r w:rsidR="00362C07">
        <w:rPr>
          <w:lang w:val="en-GB"/>
        </w:rPr>
        <w:t xml:space="preserve">time to treatment discontinuation </w:t>
      </w:r>
      <w:r w:rsidR="006B1212">
        <w:rPr>
          <w:lang w:val="en-GB"/>
        </w:rPr>
        <w:t xml:space="preserve">(paragraph </w:t>
      </w:r>
      <w:r w:rsidR="006B1212">
        <w:rPr>
          <w:lang w:val="en-GB"/>
        </w:rPr>
        <w:fldChar w:fldCharType="begin"/>
      </w:r>
      <w:r w:rsidR="006B1212">
        <w:rPr>
          <w:lang w:val="en-GB"/>
        </w:rPr>
        <w:instrText xml:space="preserve"> REF _Ref120873406 \r \h </w:instrText>
      </w:r>
      <w:r w:rsidR="006B1212">
        <w:rPr>
          <w:lang w:val="en-GB"/>
        </w:rPr>
      </w:r>
      <w:r w:rsidR="006B1212">
        <w:rPr>
          <w:lang w:val="en-GB"/>
        </w:rPr>
        <w:fldChar w:fldCharType="separate"/>
      </w:r>
      <w:r w:rsidR="00BE0EE6">
        <w:rPr>
          <w:lang w:val="en-GB"/>
        </w:rPr>
        <w:t>6.71</w:t>
      </w:r>
      <w:r w:rsidR="006B1212">
        <w:rPr>
          <w:lang w:val="en-GB"/>
        </w:rPr>
        <w:fldChar w:fldCharType="end"/>
      </w:r>
      <w:r w:rsidR="006B1212">
        <w:rPr>
          <w:lang w:val="en-GB"/>
        </w:rPr>
        <w:t>)</w:t>
      </w:r>
      <w:r w:rsidR="00362C07">
        <w:rPr>
          <w:lang w:val="en-GB"/>
        </w:rPr>
        <w:t xml:space="preserve">.  </w:t>
      </w:r>
    </w:p>
    <w:p w14:paraId="185D76B3" w14:textId="1FC96517" w:rsidR="00362C07" w:rsidRDefault="00362C07" w:rsidP="00362C07">
      <w:pPr>
        <w:pStyle w:val="3-BodyText"/>
        <w:numPr>
          <w:ilvl w:val="1"/>
          <w:numId w:val="43"/>
        </w:numPr>
        <w:ind w:left="1134" w:hanging="425"/>
        <w:rPr>
          <w:lang w:val="en-GB"/>
        </w:rPr>
      </w:pPr>
      <w:r>
        <w:rPr>
          <w:lang w:val="en-GB"/>
        </w:rPr>
        <w:t>standard mortality ratio applied</w:t>
      </w:r>
      <w:r w:rsidR="001206BD">
        <w:rPr>
          <w:lang w:val="en-GB"/>
        </w:rPr>
        <w:t xml:space="preserve"> (</w:t>
      </w:r>
      <w:r w:rsidR="001206BD">
        <w:rPr>
          <w:lang w:val="en-GB"/>
        </w:rPr>
        <w:fldChar w:fldCharType="begin"/>
      </w:r>
      <w:r w:rsidR="001206BD">
        <w:rPr>
          <w:lang w:val="en-GB"/>
        </w:rPr>
        <w:instrText xml:space="preserve"> REF _Ref104805122 \h </w:instrText>
      </w:r>
      <w:r w:rsidR="001206BD">
        <w:rPr>
          <w:lang w:val="en-GB"/>
        </w:rPr>
      </w:r>
      <w:r w:rsidR="001206BD">
        <w:rPr>
          <w:lang w:val="en-GB"/>
        </w:rPr>
        <w:fldChar w:fldCharType="separate"/>
      </w:r>
      <w:r w:rsidR="00BE0EE6">
        <w:t xml:space="preserve">Table </w:t>
      </w:r>
      <w:r w:rsidR="00BE0EE6">
        <w:rPr>
          <w:noProof/>
        </w:rPr>
        <w:t>9</w:t>
      </w:r>
      <w:r w:rsidR="001206BD">
        <w:rPr>
          <w:lang w:val="en-GB"/>
        </w:rPr>
        <w:fldChar w:fldCharType="end"/>
      </w:r>
      <w:r w:rsidR="001206BD">
        <w:rPr>
          <w:lang w:val="en-GB"/>
        </w:rPr>
        <w:t>)</w:t>
      </w:r>
      <w:r>
        <w:rPr>
          <w:lang w:val="en-GB"/>
        </w:rPr>
        <w:t xml:space="preserve">. </w:t>
      </w:r>
    </w:p>
    <w:p w14:paraId="41B17227" w14:textId="582C091A" w:rsidR="003B7DB6" w:rsidRPr="00004CC0" w:rsidRDefault="00795173" w:rsidP="00004CC0">
      <w:pPr>
        <w:pStyle w:val="3-BodyText"/>
      </w:pPr>
      <w:bookmarkStart w:id="111" w:name="_Ref120877342"/>
      <w:r>
        <w:rPr>
          <w:lang w:val="en-GB"/>
        </w:rPr>
        <w:t xml:space="preserve">Notwithstanding the concerns regarding the economic model outlined above, the PBAC considered the ESC revised base case (as outlined in paragraph </w:t>
      </w:r>
      <w:r>
        <w:rPr>
          <w:lang w:val="en-GB"/>
        </w:rPr>
        <w:fldChar w:fldCharType="begin"/>
      </w:r>
      <w:r>
        <w:rPr>
          <w:lang w:val="en-GB"/>
        </w:rPr>
        <w:instrText xml:space="preserve"> REF _Ref120874393 \r \h </w:instrText>
      </w:r>
      <w:r>
        <w:rPr>
          <w:lang w:val="en-GB"/>
        </w:rPr>
      </w:r>
      <w:r>
        <w:rPr>
          <w:lang w:val="en-GB"/>
        </w:rPr>
        <w:fldChar w:fldCharType="separate"/>
      </w:r>
      <w:r w:rsidR="00BE0EE6">
        <w:rPr>
          <w:lang w:val="en-GB"/>
        </w:rPr>
        <w:t>6.80</w:t>
      </w:r>
      <w:r>
        <w:rPr>
          <w:lang w:val="en-GB"/>
        </w:rPr>
        <w:fldChar w:fldCharType="end"/>
      </w:r>
      <w:r>
        <w:rPr>
          <w:lang w:val="en-GB"/>
        </w:rPr>
        <w:t xml:space="preserve">) addressed the minimum changes required to improve the reliability of the model. The PBAC noted </w:t>
      </w:r>
      <w:r w:rsidR="00152A86">
        <w:rPr>
          <w:lang w:val="en-GB"/>
        </w:rPr>
        <w:t xml:space="preserve">the ICER using the revised base case was </w:t>
      </w:r>
      <w:r w:rsidR="00004CC0" w:rsidRPr="00004CC0">
        <w:t>$155,000 to &lt; $255,000</w:t>
      </w:r>
      <w:r w:rsidR="00004CC0">
        <w:t xml:space="preserve"> </w:t>
      </w:r>
      <w:r w:rsidR="00152A86" w:rsidRPr="00004CC0">
        <w:rPr>
          <w:lang w:val="en-GB"/>
        </w:rPr>
        <w:t xml:space="preserve">per QALY gained to </w:t>
      </w:r>
      <w:r w:rsidR="00004CC0" w:rsidRPr="00004CC0">
        <w:t>$255,000 to &lt; $355,000</w:t>
      </w:r>
      <w:r w:rsidR="00004CC0">
        <w:t xml:space="preserve"> </w:t>
      </w:r>
      <w:r w:rsidR="00152A86" w:rsidRPr="00004CC0">
        <w:rPr>
          <w:lang w:val="en-GB"/>
        </w:rPr>
        <w:t xml:space="preserve">per QALY gained, depending on the extrapolation function applied for time to treatment discontinuation. </w:t>
      </w:r>
      <w:r w:rsidR="00DC5700" w:rsidRPr="00004CC0">
        <w:rPr>
          <w:lang w:val="en-GB"/>
        </w:rPr>
        <w:t>The PBAC considered that</w:t>
      </w:r>
      <w:r w:rsidR="009E1352" w:rsidRPr="00004CC0">
        <w:rPr>
          <w:lang w:val="en-GB"/>
        </w:rPr>
        <w:t xml:space="preserve">, based on the economic model respecified by the ESC, it was moderately confident </w:t>
      </w:r>
      <w:r w:rsidR="003B7DB6" w:rsidRPr="00004CC0">
        <w:rPr>
          <w:lang w:val="en-GB"/>
        </w:rPr>
        <w:t>selumetinib w</w:t>
      </w:r>
      <w:r w:rsidR="009E1352" w:rsidRPr="00004CC0">
        <w:rPr>
          <w:lang w:val="en-GB"/>
        </w:rPr>
        <w:t xml:space="preserve">as likely to </w:t>
      </w:r>
      <w:r w:rsidR="003B7DB6" w:rsidRPr="00004CC0">
        <w:rPr>
          <w:lang w:val="en-GB"/>
        </w:rPr>
        <w:t>be cost effective at an ICER</w:t>
      </w:r>
      <w:r w:rsidR="00152A86" w:rsidRPr="00004CC0">
        <w:rPr>
          <w:lang w:val="en-GB"/>
        </w:rPr>
        <w:t xml:space="preserve"> </w:t>
      </w:r>
      <w:r w:rsidR="003B7DB6" w:rsidRPr="00004CC0">
        <w:rPr>
          <w:lang w:val="en-GB"/>
        </w:rPr>
        <w:t xml:space="preserve">of less than </w:t>
      </w:r>
      <w:r w:rsidR="00004CC0" w:rsidRPr="00004CC0">
        <w:t>$75,000 to &lt; $95,000</w:t>
      </w:r>
      <w:r w:rsidR="00004CC0">
        <w:t xml:space="preserve">  </w:t>
      </w:r>
      <w:r w:rsidR="003B7DB6" w:rsidRPr="00004CC0">
        <w:rPr>
          <w:lang w:val="en-GB"/>
        </w:rPr>
        <w:t>per</w:t>
      </w:r>
      <w:r w:rsidR="00152A86" w:rsidRPr="00004CC0">
        <w:rPr>
          <w:lang w:val="en-GB"/>
        </w:rPr>
        <w:t xml:space="preserve"> QALY gained</w:t>
      </w:r>
      <w:r w:rsidR="003B7DB6" w:rsidRPr="00004CC0">
        <w:rPr>
          <w:lang w:val="en-GB"/>
        </w:rPr>
        <w:t>.</w:t>
      </w:r>
      <w:bookmarkEnd w:id="111"/>
      <w:r w:rsidR="003B7DB6" w:rsidRPr="00004CC0">
        <w:rPr>
          <w:lang w:val="en-GB"/>
        </w:rPr>
        <w:t xml:space="preserve"> </w:t>
      </w:r>
    </w:p>
    <w:p w14:paraId="2E9E3459" w14:textId="66114364" w:rsidR="00362C07" w:rsidRDefault="00152A86" w:rsidP="00314063">
      <w:pPr>
        <w:pStyle w:val="3-BodyText"/>
        <w:rPr>
          <w:lang w:val="en-GB"/>
        </w:rPr>
      </w:pPr>
      <w:bookmarkStart w:id="112" w:name="_Ref120897093"/>
      <w:r>
        <w:rPr>
          <w:lang w:val="en-GB"/>
        </w:rPr>
        <w:t>The PBAC noted that the cost of selumetinib per patient per year was high and varied considerably from approximately $</w:t>
      </w:r>
      <w:r w:rsidR="00F66E51" w:rsidRPr="00BE0EE6">
        <w:rPr>
          <w:color w:val="000000"/>
          <w:w w:val="15"/>
          <w:shd w:val="solid" w:color="000000" w:fill="000000"/>
          <w:fitText w:val="-20" w:id="-1301006071"/>
          <w:lang w:val="en-GB"/>
          <w14:textFill>
            <w14:solidFill>
              <w14:srgbClr w14:val="000000">
                <w14:alpha w14:val="100000"/>
              </w14:srgbClr>
            </w14:solidFill>
          </w14:textFill>
        </w:rPr>
        <w:t xml:space="preserve">|  </w:t>
      </w:r>
      <w:r w:rsidR="00F66E51" w:rsidRPr="00BE0EE6">
        <w:rPr>
          <w:color w:val="000000"/>
          <w:spacing w:val="-69"/>
          <w:w w:val="15"/>
          <w:shd w:val="solid" w:color="000000" w:fill="000000"/>
          <w:fitText w:val="-20" w:id="-1301006071"/>
          <w:lang w:val="en-GB"/>
          <w14:textFill>
            <w14:solidFill>
              <w14:srgbClr w14:val="000000">
                <w14:alpha w14:val="100000"/>
              </w14:srgbClr>
            </w14:solidFill>
          </w14:textFill>
        </w:rPr>
        <w:t>|</w:t>
      </w:r>
      <w:r>
        <w:rPr>
          <w:lang w:val="en-GB"/>
        </w:rPr>
        <w:t xml:space="preserve"> per year to approximately $</w:t>
      </w:r>
      <w:r w:rsidR="00F66E51" w:rsidRPr="00BE0EE6">
        <w:rPr>
          <w:color w:val="000000"/>
          <w:w w:val="15"/>
          <w:shd w:val="solid" w:color="000000" w:fill="000000"/>
          <w:fitText w:val="-20" w:id="-1301006070"/>
          <w:lang w:val="en-GB"/>
          <w14:textFill>
            <w14:solidFill>
              <w14:srgbClr w14:val="000000">
                <w14:alpha w14:val="100000"/>
              </w14:srgbClr>
            </w14:solidFill>
          </w14:textFill>
        </w:rPr>
        <w:t xml:space="preserve">|  </w:t>
      </w:r>
      <w:r w:rsidR="00F66E51" w:rsidRPr="00BE0EE6">
        <w:rPr>
          <w:color w:val="000000"/>
          <w:spacing w:val="-69"/>
          <w:w w:val="15"/>
          <w:shd w:val="solid" w:color="000000" w:fill="000000"/>
          <w:fitText w:val="-20" w:id="-1301006070"/>
          <w:lang w:val="en-GB"/>
          <w14:textFill>
            <w14:solidFill>
              <w14:srgbClr w14:val="000000">
                <w14:alpha w14:val="100000"/>
              </w14:srgbClr>
            </w14:solidFill>
          </w14:textFill>
        </w:rPr>
        <w:t>|</w:t>
      </w:r>
      <w:r>
        <w:rPr>
          <w:lang w:val="en-GB"/>
        </w:rPr>
        <w:t xml:space="preserve"> per year depending on the patient’s body surface area (BSA).</w:t>
      </w:r>
      <w:r w:rsidR="00E95D50">
        <w:rPr>
          <w:lang w:val="en-GB"/>
        </w:rPr>
        <w:t xml:space="preserve"> The PBAC noted the benefit of treatment with selumetinib was likely to be greatest in younger patients as PN growth rate </w:t>
      </w:r>
      <w:r w:rsidR="000F071B">
        <w:rPr>
          <w:lang w:val="en-GB"/>
        </w:rPr>
        <w:t>i</w:t>
      </w:r>
      <w:r w:rsidR="00E95D50">
        <w:rPr>
          <w:lang w:val="en-GB"/>
        </w:rPr>
        <w:t xml:space="preserve">s highest in these patients; however, the cost per patient was higher for older patients </w:t>
      </w:r>
      <w:r w:rsidR="00742E2A">
        <w:rPr>
          <w:lang w:val="en-GB"/>
        </w:rPr>
        <w:t xml:space="preserve">in whom </w:t>
      </w:r>
      <w:r w:rsidR="00E95D50">
        <w:rPr>
          <w:lang w:val="en-GB"/>
        </w:rPr>
        <w:t>benefit</w:t>
      </w:r>
      <w:r w:rsidR="00742E2A">
        <w:rPr>
          <w:lang w:val="en-GB"/>
        </w:rPr>
        <w:t xml:space="preserve"> is less certain</w:t>
      </w:r>
      <w:r w:rsidR="00E95D50">
        <w:rPr>
          <w:lang w:val="en-GB"/>
        </w:rPr>
        <w:t xml:space="preserve">. </w:t>
      </w:r>
      <w:r w:rsidR="00742E2A">
        <w:rPr>
          <w:lang w:val="en-GB"/>
        </w:rPr>
        <w:t xml:space="preserve">The PBAC considered that a fixed cost per patient per year would be preferrable for selumetinib as it would reduce the cost effectiveness concerns relating to use in </w:t>
      </w:r>
      <w:r w:rsidR="006B3651">
        <w:rPr>
          <w:lang w:val="en-GB"/>
        </w:rPr>
        <w:t>older</w:t>
      </w:r>
      <w:r w:rsidR="00742E2A">
        <w:rPr>
          <w:lang w:val="en-GB"/>
        </w:rPr>
        <w:t xml:space="preserve"> patients </w:t>
      </w:r>
      <w:r w:rsidR="006B3651">
        <w:rPr>
          <w:lang w:val="en-GB"/>
        </w:rPr>
        <w:t xml:space="preserve">(including adults) </w:t>
      </w:r>
      <w:r w:rsidR="00742E2A">
        <w:rPr>
          <w:lang w:val="en-GB"/>
        </w:rPr>
        <w:t>and any changes in the average BSA over time.</w:t>
      </w:r>
      <w:bookmarkEnd w:id="112"/>
    </w:p>
    <w:p w14:paraId="6523B213" w14:textId="424E2812" w:rsidR="00FB7C35" w:rsidRDefault="001A4D21" w:rsidP="003F5A2D">
      <w:pPr>
        <w:widowControl w:val="0"/>
        <w:numPr>
          <w:ilvl w:val="1"/>
          <w:numId w:val="1"/>
        </w:numPr>
        <w:spacing w:after="120"/>
        <w:rPr>
          <w:rFonts w:asciiTheme="minorHAnsi" w:hAnsiTheme="minorHAnsi"/>
          <w:snapToGrid w:val="0"/>
          <w:lang w:val="en-GB"/>
        </w:rPr>
      </w:pPr>
      <w:bookmarkStart w:id="113" w:name="_Ref120894595"/>
      <w:r>
        <w:rPr>
          <w:rFonts w:asciiTheme="minorHAnsi" w:hAnsiTheme="minorHAnsi"/>
          <w:snapToGrid w:val="0"/>
          <w:lang w:val="en-GB"/>
        </w:rPr>
        <w:t xml:space="preserve">The PBAC </w:t>
      </w:r>
      <w:r w:rsidR="008344CA">
        <w:rPr>
          <w:rFonts w:asciiTheme="minorHAnsi" w:hAnsiTheme="minorHAnsi"/>
          <w:snapToGrid w:val="0"/>
          <w:lang w:val="en-GB"/>
        </w:rPr>
        <w:t>noted</w:t>
      </w:r>
      <w:r>
        <w:rPr>
          <w:rFonts w:asciiTheme="minorHAnsi" w:hAnsiTheme="minorHAnsi"/>
          <w:snapToGrid w:val="0"/>
          <w:lang w:val="en-GB"/>
        </w:rPr>
        <w:t xml:space="preserve"> </w:t>
      </w:r>
      <w:r w:rsidR="00036439">
        <w:rPr>
          <w:rFonts w:asciiTheme="minorHAnsi" w:hAnsiTheme="minorHAnsi"/>
          <w:snapToGrid w:val="0"/>
          <w:lang w:val="en-GB"/>
        </w:rPr>
        <w:t xml:space="preserve">the </w:t>
      </w:r>
      <w:r w:rsidR="00514E58">
        <w:rPr>
          <w:rFonts w:asciiTheme="minorHAnsi" w:hAnsiTheme="minorHAnsi"/>
          <w:snapToGrid w:val="0"/>
          <w:lang w:val="en-GB"/>
        </w:rPr>
        <w:t>following</w:t>
      </w:r>
      <w:r w:rsidR="00BF048A">
        <w:rPr>
          <w:rFonts w:asciiTheme="minorHAnsi" w:hAnsiTheme="minorHAnsi"/>
          <w:snapToGrid w:val="0"/>
          <w:lang w:val="en-GB"/>
        </w:rPr>
        <w:t xml:space="preserve"> issues </w:t>
      </w:r>
      <w:r w:rsidR="00514E58">
        <w:rPr>
          <w:rFonts w:asciiTheme="minorHAnsi" w:hAnsiTheme="minorHAnsi"/>
          <w:snapToGrid w:val="0"/>
          <w:lang w:val="en-GB"/>
        </w:rPr>
        <w:t xml:space="preserve">regarding the </w:t>
      </w:r>
      <w:r>
        <w:rPr>
          <w:rFonts w:asciiTheme="minorHAnsi" w:hAnsiTheme="minorHAnsi"/>
          <w:snapToGrid w:val="0"/>
          <w:lang w:val="en-GB"/>
        </w:rPr>
        <w:t xml:space="preserve">estimated number of patients who </w:t>
      </w:r>
      <w:r>
        <w:rPr>
          <w:rFonts w:asciiTheme="minorHAnsi" w:hAnsiTheme="minorHAnsi"/>
          <w:snapToGrid w:val="0"/>
          <w:lang w:val="en-GB"/>
        </w:rPr>
        <w:lastRenderedPageBreak/>
        <w:t xml:space="preserve">would </w:t>
      </w:r>
      <w:r w:rsidR="000F071B">
        <w:rPr>
          <w:rFonts w:asciiTheme="minorHAnsi" w:hAnsiTheme="minorHAnsi"/>
          <w:snapToGrid w:val="0"/>
          <w:lang w:val="en-GB"/>
        </w:rPr>
        <w:t xml:space="preserve">be treated with </w:t>
      </w:r>
      <w:r>
        <w:rPr>
          <w:rFonts w:asciiTheme="minorHAnsi" w:hAnsiTheme="minorHAnsi"/>
          <w:snapToGrid w:val="0"/>
          <w:lang w:val="en-GB"/>
        </w:rPr>
        <w:t>selumetinib</w:t>
      </w:r>
      <w:r w:rsidR="00953D2A">
        <w:rPr>
          <w:rFonts w:asciiTheme="minorHAnsi" w:hAnsiTheme="minorHAnsi"/>
          <w:snapToGrid w:val="0"/>
          <w:lang w:val="en-GB"/>
        </w:rPr>
        <w:t xml:space="preserve"> </w:t>
      </w:r>
      <w:r w:rsidR="00BF048A">
        <w:rPr>
          <w:rFonts w:asciiTheme="minorHAnsi" w:hAnsiTheme="minorHAnsi"/>
          <w:snapToGrid w:val="0"/>
          <w:lang w:val="en-GB"/>
        </w:rPr>
        <w:t xml:space="preserve">and the financial impact of listing selumetinib </w:t>
      </w:r>
      <w:r w:rsidR="00953D2A">
        <w:rPr>
          <w:rFonts w:asciiTheme="minorHAnsi" w:hAnsiTheme="minorHAnsi"/>
          <w:snapToGrid w:val="0"/>
          <w:lang w:val="en-GB"/>
        </w:rPr>
        <w:t>would need to be addressed in a resubmission</w:t>
      </w:r>
      <w:r w:rsidR="000F071B">
        <w:rPr>
          <w:rFonts w:asciiTheme="minorHAnsi" w:hAnsiTheme="minorHAnsi"/>
          <w:snapToGrid w:val="0"/>
          <w:lang w:val="en-GB"/>
        </w:rPr>
        <w:t>:</w:t>
      </w:r>
      <w:bookmarkEnd w:id="113"/>
    </w:p>
    <w:p w14:paraId="412C891C" w14:textId="1A5ED0B9" w:rsidR="00CB0DCD" w:rsidRDefault="00CB0DCD" w:rsidP="00FB7C35">
      <w:pPr>
        <w:widowControl w:val="0"/>
        <w:numPr>
          <w:ilvl w:val="1"/>
          <w:numId w:val="39"/>
        </w:numPr>
        <w:spacing w:after="120"/>
        <w:ind w:left="1077" w:hanging="357"/>
        <w:rPr>
          <w:rFonts w:asciiTheme="minorHAnsi" w:hAnsiTheme="minorHAnsi"/>
          <w:snapToGrid w:val="0"/>
          <w:lang w:val="en-GB"/>
        </w:rPr>
      </w:pPr>
      <w:r>
        <w:rPr>
          <w:rFonts w:asciiTheme="minorHAnsi" w:hAnsiTheme="minorHAnsi"/>
          <w:snapToGrid w:val="0"/>
          <w:lang w:val="en-GB"/>
        </w:rPr>
        <w:t>the uncertainty regarding the proportion of patients with symptomatic, inoperable PN;</w:t>
      </w:r>
    </w:p>
    <w:p w14:paraId="30FC0CC3" w14:textId="0BC289C9" w:rsidR="00776985" w:rsidRDefault="00FB7C35" w:rsidP="00FB7C35">
      <w:pPr>
        <w:widowControl w:val="0"/>
        <w:numPr>
          <w:ilvl w:val="1"/>
          <w:numId w:val="39"/>
        </w:numPr>
        <w:spacing w:after="120"/>
        <w:ind w:left="1077" w:hanging="357"/>
        <w:rPr>
          <w:rFonts w:asciiTheme="minorHAnsi" w:hAnsiTheme="minorHAnsi"/>
          <w:snapToGrid w:val="0"/>
          <w:lang w:val="en-GB"/>
        </w:rPr>
      </w:pPr>
      <w:r>
        <w:rPr>
          <w:rFonts w:asciiTheme="minorHAnsi" w:hAnsiTheme="minorHAnsi"/>
          <w:snapToGrid w:val="0"/>
          <w:lang w:val="en-GB"/>
        </w:rPr>
        <w:t xml:space="preserve">the </w:t>
      </w:r>
      <w:r w:rsidR="001A4D21">
        <w:rPr>
          <w:rFonts w:asciiTheme="minorHAnsi" w:hAnsiTheme="minorHAnsi"/>
          <w:snapToGrid w:val="0"/>
          <w:lang w:val="en-GB"/>
        </w:rPr>
        <w:t xml:space="preserve">assumed </w:t>
      </w:r>
      <w:r w:rsidR="005D57A8">
        <w:rPr>
          <w:rFonts w:asciiTheme="minorHAnsi" w:hAnsiTheme="minorHAnsi"/>
          <w:snapToGrid w:val="0"/>
          <w:lang w:val="en-GB"/>
        </w:rPr>
        <w:t xml:space="preserve">maximum </w:t>
      </w:r>
      <w:r w:rsidR="001A4D21">
        <w:rPr>
          <w:rFonts w:asciiTheme="minorHAnsi" w:hAnsiTheme="minorHAnsi"/>
          <w:snapToGrid w:val="0"/>
          <w:lang w:val="en-GB"/>
        </w:rPr>
        <w:t xml:space="preserve">uptake rate of </w:t>
      </w:r>
      <w:r w:rsidR="005D57A8">
        <w:rPr>
          <w:rFonts w:asciiTheme="minorHAnsi" w:hAnsiTheme="minorHAnsi"/>
          <w:snapToGrid w:val="0"/>
          <w:lang w:val="en-GB"/>
        </w:rPr>
        <w:t>95</w:t>
      </w:r>
      <w:r w:rsidR="001A4D21">
        <w:rPr>
          <w:rFonts w:asciiTheme="minorHAnsi" w:hAnsiTheme="minorHAnsi"/>
          <w:snapToGrid w:val="0"/>
          <w:lang w:val="en-GB"/>
        </w:rPr>
        <w:t>%</w:t>
      </w:r>
      <w:r w:rsidR="00BF048A">
        <w:rPr>
          <w:rFonts w:asciiTheme="minorHAnsi" w:hAnsiTheme="minorHAnsi"/>
          <w:snapToGrid w:val="0"/>
          <w:lang w:val="en-GB"/>
        </w:rPr>
        <w:t xml:space="preserve"> is likely overestimated </w:t>
      </w:r>
      <w:r w:rsidR="001A4D21">
        <w:rPr>
          <w:rFonts w:asciiTheme="minorHAnsi" w:hAnsiTheme="minorHAnsi"/>
          <w:snapToGrid w:val="0"/>
          <w:lang w:val="en-GB"/>
        </w:rPr>
        <w:t xml:space="preserve">as </w:t>
      </w:r>
      <w:r>
        <w:rPr>
          <w:rFonts w:asciiTheme="minorHAnsi" w:hAnsiTheme="minorHAnsi"/>
          <w:snapToGrid w:val="0"/>
          <w:lang w:val="en-GB"/>
        </w:rPr>
        <w:t xml:space="preserve">a proportion of </w:t>
      </w:r>
      <w:r w:rsidR="001A4D21">
        <w:rPr>
          <w:rFonts w:asciiTheme="minorHAnsi" w:hAnsiTheme="minorHAnsi"/>
          <w:snapToGrid w:val="0"/>
          <w:lang w:val="en-GB"/>
        </w:rPr>
        <w:t>younger</w:t>
      </w:r>
      <w:r>
        <w:rPr>
          <w:rFonts w:asciiTheme="minorHAnsi" w:hAnsiTheme="minorHAnsi"/>
          <w:snapToGrid w:val="0"/>
          <w:lang w:val="en-GB"/>
        </w:rPr>
        <w:t>, eligible</w:t>
      </w:r>
      <w:r w:rsidR="001A4D21">
        <w:rPr>
          <w:rFonts w:asciiTheme="minorHAnsi" w:hAnsiTheme="minorHAnsi"/>
          <w:snapToGrid w:val="0"/>
          <w:lang w:val="en-GB"/>
        </w:rPr>
        <w:t xml:space="preserve"> children would be unable to swallow capsules</w:t>
      </w:r>
      <w:r>
        <w:rPr>
          <w:rFonts w:asciiTheme="minorHAnsi" w:hAnsiTheme="minorHAnsi"/>
          <w:snapToGrid w:val="0"/>
          <w:lang w:val="en-GB"/>
        </w:rPr>
        <w:t xml:space="preserve">; </w:t>
      </w:r>
    </w:p>
    <w:p w14:paraId="35375226" w14:textId="4E50AA31" w:rsidR="0017609C" w:rsidRDefault="00BF048A" w:rsidP="0017609C">
      <w:pPr>
        <w:widowControl w:val="0"/>
        <w:numPr>
          <w:ilvl w:val="1"/>
          <w:numId w:val="39"/>
        </w:numPr>
        <w:spacing w:after="120"/>
        <w:ind w:left="1077" w:hanging="357"/>
        <w:rPr>
          <w:rFonts w:asciiTheme="minorHAnsi" w:hAnsiTheme="minorHAnsi"/>
          <w:snapToGrid w:val="0"/>
          <w:lang w:val="en-GB"/>
        </w:rPr>
      </w:pPr>
      <w:r>
        <w:rPr>
          <w:rFonts w:asciiTheme="minorHAnsi" w:hAnsiTheme="minorHAnsi"/>
          <w:snapToGrid w:val="0"/>
          <w:lang w:val="en-GB"/>
        </w:rPr>
        <w:t xml:space="preserve">any impact of the </w:t>
      </w:r>
      <w:r w:rsidR="00FB7C35">
        <w:rPr>
          <w:rFonts w:asciiTheme="minorHAnsi" w:hAnsiTheme="minorHAnsi"/>
          <w:snapToGrid w:val="0"/>
          <w:lang w:val="en-GB"/>
        </w:rPr>
        <w:t xml:space="preserve">suggested changes to the proposed restrictions outlined in </w:t>
      </w:r>
      <w:r w:rsidR="00FB7C35" w:rsidRPr="00AE5303">
        <w:rPr>
          <w:rFonts w:asciiTheme="minorHAnsi" w:hAnsiTheme="minorHAnsi"/>
          <w:snapToGrid w:val="0"/>
          <w:lang w:val="en-GB"/>
        </w:rPr>
        <w:t xml:space="preserve">paragraphs </w:t>
      </w:r>
      <w:r w:rsidRPr="00AE5303">
        <w:rPr>
          <w:rFonts w:asciiTheme="minorHAnsi" w:hAnsiTheme="minorHAnsi"/>
          <w:snapToGrid w:val="0"/>
          <w:lang w:val="en-GB"/>
        </w:rPr>
        <w:fldChar w:fldCharType="begin"/>
      </w:r>
      <w:r w:rsidRPr="00AE5303">
        <w:rPr>
          <w:rFonts w:asciiTheme="minorHAnsi" w:hAnsiTheme="minorHAnsi"/>
          <w:snapToGrid w:val="0"/>
          <w:lang w:val="en-GB"/>
        </w:rPr>
        <w:instrText xml:space="preserve"> REF _Ref120894652 \r \h  \* MERGEFORMAT </w:instrText>
      </w:r>
      <w:r w:rsidRPr="00AE5303">
        <w:rPr>
          <w:rFonts w:asciiTheme="minorHAnsi" w:hAnsiTheme="minorHAnsi"/>
          <w:snapToGrid w:val="0"/>
          <w:lang w:val="en-GB"/>
        </w:rPr>
      </w:r>
      <w:r w:rsidRPr="00AE5303">
        <w:rPr>
          <w:rFonts w:asciiTheme="minorHAnsi" w:hAnsiTheme="minorHAnsi"/>
          <w:snapToGrid w:val="0"/>
          <w:lang w:val="en-GB"/>
        </w:rPr>
        <w:fldChar w:fldCharType="separate"/>
      </w:r>
      <w:r w:rsidR="00BE0EE6">
        <w:rPr>
          <w:rFonts w:asciiTheme="minorHAnsi" w:hAnsiTheme="minorHAnsi"/>
          <w:snapToGrid w:val="0"/>
          <w:lang w:val="en-GB"/>
        </w:rPr>
        <w:t>7.16</w:t>
      </w:r>
      <w:r w:rsidRPr="00AE5303">
        <w:rPr>
          <w:rFonts w:asciiTheme="minorHAnsi" w:hAnsiTheme="minorHAnsi"/>
          <w:snapToGrid w:val="0"/>
          <w:lang w:val="en-GB"/>
        </w:rPr>
        <w:fldChar w:fldCharType="end"/>
      </w:r>
      <w:r w:rsidRPr="00AE5303">
        <w:rPr>
          <w:rFonts w:asciiTheme="minorHAnsi" w:hAnsiTheme="minorHAnsi"/>
          <w:snapToGrid w:val="0"/>
          <w:lang w:val="en-GB"/>
        </w:rPr>
        <w:t xml:space="preserve"> and </w:t>
      </w:r>
      <w:r w:rsidRPr="00AE5303">
        <w:rPr>
          <w:rFonts w:asciiTheme="minorHAnsi" w:hAnsiTheme="minorHAnsi"/>
          <w:snapToGrid w:val="0"/>
          <w:lang w:val="en-GB"/>
        </w:rPr>
        <w:fldChar w:fldCharType="begin"/>
      </w:r>
      <w:r w:rsidRPr="00AE5303">
        <w:rPr>
          <w:rFonts w:asciiTheme="minorHAnsi" w:hAnsiTheme="minorHAnsi"/>
          <w:snapToGrid w:val="0"/>
          <w:lang w:val="en-GB"/>
        </w:rPr>
        <w:instrText xml:space="preserve"> REF _Ref120894674 \r \h  \* MERGEFORMAT </w:instrText>
      </w:r>
      <w:r w:rsidRPr="00AE5303">
        <w:rPr>
          <w:rFonts w:asciiTheme="minorHAnsi" w:hAnsiTheme="minorHAnsi"/>
          <w:snapToGrid w:val="0"/>
          <w:lang w:val="en-GB"/>
        </w:rPr>
      </w:r>
      <w:r w:rsidRPr="00AE5303">
        <w:rPr>
          <w:rFonts w:asciiTheme="minorHAnsi" w:hAnsiTheme="minorHAnsi"/>
          <w:snapToGrid w:val="0"/>
          <w:lang w:val="en-GB"/>
        </w:rPr>
        <w:fldChar w:fldCharType="separate"/>
      </w:r>
      <w:r w:rsidR="00BE0EE6">
        <w:rPr>
          <w:rFonts w:asciiTheme="minorHAnsi" w:hAnsiTheme="minorHAnsi"/>
          <w:snapToGrid w:val="0"/>
          <w:lang w:val="en-GB"/>
        </w:rPr>
        <w:t>7.17</w:t>
      </w:r>
      <w:r w:rsidRPr="00AE5303">
        <w:rPr>
          <w:rFonts w:asciiTheme="minorHAnsi" w:hAnsiTheme="minorHAnsi"/>
          <w:snapToGrid w:val="0"/>
          <w:lang w:val="en-GB"/>
        </w:rPr>
        <w:fldChar w:fldCharType="end"/>
      </w:r>
      <w:r w:rsidRPr="00AE5303">
        <w:rPr>
          <w:rFonts w:asciiTheme="minorHAnsi" w:hAnsiTheme="minorHAnsi"/>
          <w:snapToGrid w:val="0"/>
          <w:lang w:val="en-GB"/>
        </w:rPr>
        <w:t>;</w:t>
      </w:r>
    </w:p>
    <w:p w14:paraId="60223BFE" w14:textId="78A2F459" w:rsidR="0017609C" w:rsidRPr="0017609C" w:rsidRDefault="0017609C" w:rsidP="00FB7C35">
      <w:pPr>
        <w:widowControl w:val="0"/>
        <w:numPr>
          <w:ilvl w:val="1"/>
          <w:numId w:val="39"/>
        </w:numPr>
        <w:spacing w:after="120"/>
        <w:ind w:left="1077" w:hanging="357"/>
        <w:rPr>
          <w:rFonts w:asciiTheme="minorHAnsi" w:hAnsiTheme="minorHAnsi"/>
          <w:snapToGrid w:val="0"/>
          <w:lang w:val="en-GB"/>
        </w:rPr>
      </w:pPr>
      <w:r w:rsidRPr="0017609C">
        <w:rPr>
          <w:rFonts w:eastAsia="SimSun"/>
        </w:rPr>
        <w:t xml:space="preserve">the </w:t>
      </w:r>
      <w:r>
        <w:rPr>
          <w:rFonts w:eastAsia="SimSun"/>
        </w:rPr>
        <w:t xml:space="preserve">imprecise </w:t>
      </w:r>
      <w:r w:rsidRPr="0017609C">
        <w:rPr>
          <w:rFonts w:eastAsia="SimSun"/>
        </w:rPr>
        <w:t>approach used to estimate the dose and number of prescriptions supplied as the trial based mean BSA was applied to the whole population</w:t>
      </w:r>
      <w:r>
        <w:rPr>
          <w:rFonts w:eastAsia="SimSun"/>
        </w:rPr>
        <w:t>; and</w:t>
      </w:r>
      <w:r w:rsidRPr="0017609C">
        <w:rPr>
          <w:rFonts w:eastAsia="SimSun"/>
        </w:rPr>
        <w:t xml:space="preserve"> </w:t>
      </w:r>
    </w:p>
    <w:p w14:paraId="7D88A9BA" w14:textId="162E6E06" w:rsidR="00BF048A" w:rsidRPr="00AE5303" w:rsidRDefault="00BF048A" w:rsidP="00FB7C35">
      <w:pPr>
        <w:widowControl w:val="0"/>
        <w:numPr>
          <w:ilvl w:val="1"/>
          <w:numId w:val="39"/>
        </w:numPr>
        <w:spacing w:after="120"/>
        <w:ind w:left="1077" w:hanging="357"/>
        <w:rPr>
          <w:rFonts w:asciiTheme="minorHAnsi" w:hAnsiTheme="minorHAnsi"/>
          <w:snapToGrid w:val="0"/>
          <w:lang w:val="en-GB"/>
        </w:rPr>
      </w:pPr>
      <w:r w:rsidRPr="00AE5303">
        <w:rPr>
          <w:rFonts w:asciiTheme="minorHAnsi" w:hAnsiTheme="minorHAnsi"/>
          <w:snapToGrid w:val="0"/>
          <w:lang w:val="en-GB"/>
        </w:rPr>
        <w:t>the</w:t>
      </w:r>
      <w:r w:rsidR="00AE5303" w:rsidRPr="00AE5303">
        <w:rPr>
          <w:rFonts w:asciiTheme="minorHAnsi" w:hAnsiTheme="minorHAnsi"/>
          <w:snapToGrid w:val="0"/>
          <w:lang w:val="en-GB"/>
        </w:rPr>
        <w:t xml:space="preserve"> inappropriate </w:t>
      </w:r>
      <w:r w:rsidRPr="00AE5303">
        <w:rPr>
          <w:rFonts w:asciiTheme="minorHAnsi" w:hAnsiTheme="minorHAnsi"/>
          <w:snapToGrid w:val="0"/>
          <w:lang w:val="en-GB"/>
        </w:rPr>
        <w:t>application of treatment duration to a prevalent patient population</w:t>
      </w:r>
      <w:r w:rsidR="00AE5303" w:rsidRPr="00AE5303">
        <w:rPr>
          <w:rFonts w:asciiTheme="minorHAnsi" w:hAnsiTheme="minorHAnsi"/>
          <w:snapToGrid w:val="0"/>
          <w:lang w:val="en-GB"/>
        </w:rPr>
        <w:t xml:space="preserve"> by using the extrapolated TTD survival curve (as discussed in </w:t>
      </w:r>
      <w:r w:rsidR="00AE5303" w:rsidRPr="00AE5303">
        <w:fldChar w:fldCharType="begin"/>
      </w:r>
      <w:r w:rsidR="00AE5303" w:rsidRPr="00AE5303">
        <w:instrText xml:space="preserve"> REF _Ref104805262 \h  \* MERGEFORMAT </w:instrText>
      </w:r>
      <w:r w:rsidR="00AE5303" w:rsidRPr="00AE5303">
        <w:fldChar w:fldCharType="separate"/>
      </w:r>
      <w:r w:rsidR="00BE0EE6">
        <w:t xml:space="preserve">Table </w:t>
      </w:r>
      <w:r w:rsidR="00BE0EE6">
        <w:rPr>
          <w:noProof/>
        </w:rPr>
        <w:t>13</w:t>
      </w:r>
      <w:r w:rsidR="00AE5303" w:rsidRPr="00AE5303">
        <w:fldChar w:fldCharType="end"/>
      </w:r>
      <w:r w:rsidR="00AE5303" w:rsidRPr="00AE5303">
        <w:t>)</w:t>
      </w:r>
      <w:r w:rsidRPr="00AE5303">
        <w:rPr>
          <w:rFonts w:asciiTheme="minorHAnsi" w:hAnsiTheme="minorHAnsi"/>
          <w:snapToGrid w:val="0"/>
          <w:lang w:val="en-GB"/>
        </w:rPr>
        <w:t xml:space="preserve">. </w:t>
      </w:r>
    </w:p>
    <w:p w14:paraId="3441F8E3" w14:textId="37F56C03" w:rsidR="00776985" w:rsidRDefault="001A4D21" w:rsidP="003F5A2D">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considered that a risk sharing arrangement would be required</w:t>
      </w:r>
      <w:r w:rsidR="00FB7C35">
        <w:rPr>
          <w:rFonts w:asciiTheme="minorHAnsi" w:hAnsiTheme="minorHAnsi"/>
          <w:snapToGrid w:val="0"/>
          <w:lang w:val="en-GB"/>
        </w:rPr>
        <w:t xml:space="preserve"> given the potential for use in adults patients in which the efficacy and cost-effectiveness of treatment was uncertain. The PBAC </w:t>
      </w:r>
      <w:r w:rsidR="00E85C52">
        <w:rPr>
          <w:rFonts w:asciiTheme="minorHAnsi" w:hAnsiTheme="minorHAnsi"/>
          <w:snapToGrid w:val="0"/>
          <w:lang w:val="en-GB"/>
        </w:rPr>
        <w:t xml:space="preserve">considered </w:t>
      </w:r>
      <w:r>
        <w:rPr>
          <w:rFonts w:asciiTheme="minorHAnsi" w:hAnsiTheme="minorHAnsi"/>
          <w:snapToGrid w:val="0"/>
          <w:lang w:val="en-GB"/>
        </w:rPr>
        <w:t xml:space="preserve">that </w:t>
      </w:r>
      <w:r w:rsidR="00FB7C35">
        <w:rPr>
          <w:rFonts w:asciiTheme="minorHAnsi" w:hAnsiTheme="minorHAnsi"/>
          <w:snapToGrid w:val="0"/>
          <w:lang w:val="en-GB"/>
        </w:rPr>
        <w:t xml:space="preserve">an RSA </w:t>
      </w:r>
      <w:r w:rsidR="00E85C52">
        <w:rPr>
          <w:rFonts w:asciiTheme="minorHAnsi" w:hAnsiTheme="minorHAnsi"/>
          <w:snapToGrid w:val="0"/>
          <w:lang w:val="en-GB"/>
        </w:rPr>
        <w:t xml:space="preserve">with </w:t>
      </w:r>
      <w:r>
        <w:rPr>
          <w:rFonts w:asciiTheme="minorHAnsi" w:hAnsiTheme="minorHAnsi"/>
          <w:snapToGrid w:val="0"/>
          <w:lang w:val="en-GB"/>
        </w:rPr>
        <w:t xml:space="preserve">expenditure caps based on </w:t>
      </w:r>
      <w:r w:rsidR="00953D2A">
        <w:rPr>
          <w:rFonts w:asciiTheme="minorHAnsi" w:hAnsiTheme="minorHAnsi"/>
          <w:snapToGrid w:val="0"/>
          <w:lang w:val="en-GB"/>
        </w:rPr>
        <w:t>the estimated</w:t>
      </w:r>
      <w:r w:rsidR="00BF048A">
        <w:rPr>
          <w:rFonts w:asciiTheme="minorHAnsi" w:hAnsiTheme="minorHAnsi"/>
          <w:snapToGrid w:val="0"/>
          <w:lang w:val="en-GB"/>
        </w:rPr>
        <w:t xml:space="preserve"> financial impact of listing selumetinib</w:t>
      </w:r>
      <w:r w:rsidR="00953D2A">
        <w:rPr>
          <w:rFonts w:asciiTheme="minorHAnsi" w:hAnsiTheme="minorHAnsi"/>
          <w:snapToGrid w:val="0"/>
          <w:lang w:val="en-GB"/>
        </w:rPr>
        <w:t xml:space="preserve"> as revised in paragraph</w:t>
      </w:r>
      <w:r w:rsidR="00BF048A">
        <w:rPr>
          <w:rFonts w:asciiTheme="minorHAnsi" w:hAnsiTheme="minorHAnsi"/>
          <w:snapToGrid w:val="0"/>
          <w:lang w:val="en-GB"/>
        </w:rPr>
        <w:t xml:space="preserve"> </w:t>
      </w:r>
      <w:r w:rsidR="00953D2A">
        <w:rPr>
          <w:rFonts w:asciiTheme="minorHAnsi" w:hAnsiTheme="minorHAnsi"/>
          <w:snapToGrid w:val="0"/>
          <w:lang w:val="en-GB"/>
        </w:rPr>
        <w:fldChar w:fldCharType="begin"/>
      </w:r>
      <w:r w:rsidR="00953D2A">
        <w:rPr>
          <w:rFonts w:asciiTheme="minorHAnsi" w:hAnsiTheme="minorHAnsi"/>
          <w:snapToGrid w:val="0"/>
          <w:lang w:val="en-GB"/>
        </w:rPr>
        <w:instrText xml:space="preserve"> REF _Ref120894595 \r \h </w:instrText>
      </w:r>
      <w:r w:rsidR="00953D2A">
        <w:rPr>
          <w:rFonts w:asciiTheme="minorHAnsi" w:hAnsiTheme="minorHAnsi"/>
          <w:snapToGrid w:val="0"/>
          <w:lang w:val="en-GB"/>
        </w:rPr>
      </w:r>
      <w:r w:rsidR="00953D2A">
        <w:rPr>
          <w:rFonts w:asciiTheme="minorHAnsi" w:hAnsiTheme="minorHAnsi"/>
          <w:snapToGrid w:val="0"/>
          <w:lang w:val="en-GB"/>
        </w:rPr>
        <w:fldChar w:fldCharType="separate"/>
      </w:r>
      <w:r w:rsidR="00BE0EE6">
        <w:rPr>
          <w:rFonts w:asciiTheme="minorHAnsi" w:hAnsiTheme="minorHAnsi"/>
          <w:snapToGrid w:val="0"/>
          <w:lang w:val="en-GB"/>
        </w:rPr>
        <w:t>7.14</w:t>
      </w:r>
      <w:r w:rsidR="00953D2A">
        <w:rPr>
          <w:rFonts w:asciiTheme="minorHAnsi" w:hAnsiTheme="minorHAnsi"/>
          <w:snapToGrid w:val="0"/>
          <w:lang w:val="en-GB"/>
        </w:rPr>
        <w:fldChar w:fldCharType="end"/>
      </w:r>
      <w:r w:rsidR="00953D2A">
        <w:rPr>
          <w:rFonts w:asciiTheme="minorHAnsi" w:hAnsiTheme="minorHAnsi"/>
          <w:snapToGrid w:val="0"/>
          <w:lang w:val="en-GB"/>
        </w:rPr>
        <w:t xml:space="preserve"> </w:t>
      </w:r>
      <w:r>
        <w:rPr>
          <w:rFonts w:asciiTheme="minorHAnsi" w:hAnsiTheme="minorHAnsi"/>
          <w:snapToGrid w:val="0"/>
          <w:lang w:val="en-GB"/>
        </w:rPr>
        <w:t xml:space="preserve"> </w:t>
      </w:r>
      <w:r w:rsidR="00E85C52">
        <w:rPr>
          <w:rFonts w:asciiTheme="minorHAnsi" w:hAnsiTheme="minorHAnsi"/>
          <w:snapToGrid w:val="0"/>
          <w:lang w:val="en-GB"/>
        </w:rPr>
        <w:t>and</w:t>
      </w:r>
      <w:r>
        <w:rPr>
          <w:rFonts w:asciiTheme="minorHAnsi" w:hAnsiTheme="minorHAnsi"/>
          <w:snapToGrid w:val="0"/>
          <w:lang w:val="en-GB"/>
        </w:rPr>
        <w:t xml:space="preserve"> a rebate </w:t>
      </w:r>
      <w:r w:rsidRPr="00D726FA">
        <w:rPr>
          <w:rFonts w:asciiTheme="minorHAnsi" w:hAnsiTheme="minorHAnsi"/>
          <w:snapToGrid w:val="0"/>
          <w:lang w:val="en-GB"/>
        </w:rPr>
        <w:t xml:space="preserve">of 100% </w:t>
      </w:r>
      <w:r w:rsidR="00E85C52" w:rsidRPr="00D726FA">
        <w:rPr>
          <w:rFonts w:asciiTheme="minorHAnsi" w:hAnsiTheme="minorHAnsi"/>
          <w:snapToGrid w:val="0"/>
          <w:lang w:val="en-GB"/>
        </w:rPr>
        <w:t>for use</w:t>
      </w:r>
      <w:r w:rsidR="00E85C52">
        <w:rPr>
          <w:rFonts w:asciiTheme="minorHAnsi" w:hAnsiTheme="minorHAnsi"/>
          <w:snapToGrid w:val="0"/>
          <w:lang w:val="en-GB"/>
        </w:rPr>
        <w:t xml:space="preserve"> exceeding the caps, would likely be appropriate</w:t>
      </w:r>
      <w:r w:rsidR="00FB7C35">
        <w:rPr>
          <w:rFonts w:asciiTheme="minorHAnsi" w:hAnsiTheme="minorHAnsi"/>
          <w:snapToGrid w:val="0"/>
          <w:lang w:val="en-GB"/>
        </w:rPr>
        <w:t>.</w:t>
      </w:r>
      <w:r>
        <w:rPr>
          <w:rFonts w:asciiTheme="minorHAnsi" w:hAnsiTheme="minorHAnsi"/>
          <w:snapToGrid w:val="0"/>
          <w:lang w:val="en-GB"/>
        </w:rPr>
        <w:t xml:space="preserve"> </w:t>
      </w:r>
    </w:p>
    <w:p w14:paraId="7C076E55" w14:textId="552EF753" w:rsidR="000D325C" w:rsidRDefault="0052377F" w:rsidP="003F5A2D">
      <w:pPr>
        <w:widowControl w:val="0"/>
        <w:numPr>
          <w:ilvl w:val="1"/>
          <w:numId w:val="1"/>
        </w:numPr>
        <w:spacing w:after="120"/>
        <w:rPr>
          <w:rFonts w:asciiTheme="minorHAnsi" w:hAnsiTheme="minorHAnsi"/>
          <w:snapToGrid w:val="0"/>
          <w:lang w:val="en-GB"/>
        </w:rPr>
      </w:pPr>
      <w:bookmarkStart w:id="114" w:name="_Ref120894652"/>
      <w:r>
        <w:rPr>
          <w:rFonts w:asciiTheme="minorHAnsi" w:hAnsiTheme="minorHAnsi"/>
          <w:snapToGrid w:val="0"/>
          <w:lang w:val="en-GB"/>
        </w:rPr>
        <w:t xml:space="preserve">In terms of the proposed restriction, the PBAC considered that the initial supply restriction should align </w:t>
      </w:r>
      <w:r w:rsidR="00064CC5">
        <w:rPr>
          <w:rFonts w:asciiTheme="minorHAnsi" w:hAnsiTheme="minorHAnsi"/>
          <w:snapToGrid w:val="0"/>
          <w:lang w:val="en-GB"/>
        </w:rPr>
        <w:t xml:space="preserve">more closely </w:t>
      </w:r>
      <w:r>
        <w:rPr>
          <w:rFonts w:asciiTheme="minorHAnsi" w:hAnsiTheme="minorHAnsi"/>
          <w:snapToGrid w:val="0"/>
          <w:lang w:val="en-GB"/>
        </w:rPr>
        <w:t xml:space="preserve">with the SPRINT trial </w:t>
      </w:r>
      <w:r w:rsidR="00C26542">
        <w:rPr>
          <w:rFonts w:asciiTheme="minorHAnsi" w:hAnsiTheme="minorHAnsi"/>
          <w:snapToGrid w:val="0"/>
          <w:lang w:val="en-GB"/>
        </w:rPr>
        <w:t xml:space="preserve">and specify that patients have: (i) the ability to </w:t>
      </w:r>
      <w:r>
        <w:rPr>
          <w:rFonts w:asciiTheme="minorHAnsi" w:hAnsiTheme="minorHAnsi"/>
          <w:snapToGrid w:val="0"/>
          <w:lang w:val="en-GB"/>
        </w:rPr>
        <w:t>swallow a whole capsule</w:t>
      </w:r>
      <w:r w:rsidR="00C26542">
        <w:rPr>
          <w:rFonts w:asciiTheme="minorHAnsi" w:hAnsiTheme="minorHAnsi"/>
          <w:snapToGrid w:val="0"/>
          <w:lang w:val="en-GB"/>
        </w:rPr>
        <w:t>, and (ii) a Karnofs</w:t>
      </w:r>
      <w:r w:rsidR="005A1367">
        <w:rPr>
          <w:rFonts w:asciiTheme="minorHAnsi" w:hAnsiTheme="minorHAnsi"/>
          <w:snapToGrid w:val="0"/>
          <w:lang w:val="en-GB"/>
        </w:rPr>
        <w:t>k</w:t>
      </w:r>
      <w:r w:rsidR="00C26542">
        <w:rPr>
          <w:rFonts w:asciiTheme="minorHAnsi" w:hAnsiTheme="minorHAnsi"/>
          <w:snapToGrid w:val="0"/>
          <w:lang w:val="en-GB"/>
        </w:rPr>
        <w:t xml:space="preserve">y or Lansky Performance score of </w:t>
      </w:r>
      <w:r w:rsidR="00C26542">
        <w:rPr>
          <w:rFonts w:asciiTheme="minorHAnsi" w:hAnsiTheme="minorHAnsi" w:cstheme="minorHAnsi"/>
          <w:snapToGrid w:val="0"/>
          <w:lang w:val="en-GB"/>
        </w:rPr>
        <w:t>≥</w:t>
      </w:r>
      <w:r w:rsidR="00C26542">
        <w:rPr>
          <w:rFonts w:asciiTheme="minorHAnsi" w:hAnsiTheme="minorHAnsi"/>
          <w:snapToGrid w:val="0"/>
          <w:lang w:val="en-GB"/>
        </w:rPr>
        <w:t xml:space="preserve"> 70%.</w:t>
      </w:r>
      <w:r w:rsidR="00064CC5">
        <w:rPr>
          <w:rFonts w:asciiTheme="minorHAnsi" w:hAnsiTheme="minorHAnsi"/>
          <w:snapToGrid w:val="0"/>
          <w:lang w:val="en-GB"/>
        </w:rPr>
        <w:t xml:space="preserve">  The source/version of such scoring systems should be clearly stated in the listing.</w:t>
      </w:r>
      <w:bookmarkEnd w:id="114"/>
      <w:r w:rsidR="00C26542">
        <w:rPr>
          <w:rFonts w:asciiTheme="minorHAnsi" w:hAnsiTheme="minorHAnsi"/>
          <w:snapToGrid w:val="0"/>
          <w:lang w:val="en-GB"/>
        </w:rPr>
        <w:t xml:space="preserve"> </w:t>
      </w:r>
    </w:p>
    <w:p w14:paraId="1226B826" w14:textId="05E482BC" w:rsidR="0052377F" w:rsidRDefault="0052377F" w:rsidP="003F5A2D">
      <w:pPr>
        <w:widowControl w:val="0"/>
        <w:numPr>
          <w:ilvl w:val="1"/>
          <w:numId w:val="1"/>
        </w:numPr>
        <w:spacing w:after="120"/>
        <w:rPr>
          <w:rFonts w:asciiTheme="minorHAnsi" w:hAnsiTheme="minorHAnsi"/>
          <w:snapToGrid w:val="0"/>
          <w:lang w:val="en-GB"/>
        </w:rPr>
      </w:pPr>
      <w:bookmarkStart w:id="115" w:name="_Ref120894674"/>
      <w:r>
        <w:rPr>
          <w:rFonts w:asciiTheme="minorHAnsi" w:hAnsiTheme="minorHAnsi"/>
          <w:snapToGrid w:val="0"/>
          <w:lang w:val="en-GB"/>
        </w:rPr>
        <w:t>T</w:t>
      </w:r>
      <w:r w:rsidR="000D325C">
        <w:rPr>
          <w:rFonts w:asciiTheme="minorHAnsi" w:hAnsiTheme="minorHAnsi"/>
          <w:snapToGrid w:val="0"/>
          <w:lang w:val="en-GB"/>
        </w:rPr>
        <w:t>he PBAC noted that the</w:t>
      </w:r>
      <w:r>
        <w:rPr>
          <w:rFonts w:asciiTheme="minorHAnsi" w:hAnsiTheme="minorHAnsi"/>
          <w:snapToGrid w:val="0"/>
          <w:lang w:val="en-GB"/>
        </w:rPr>
        <w:t xml:space="preserve"> proposed restriction</w:t>
      </w:r>
      <w:r w:rsidR="00EE1851">
        <w:rPr>
          <w:rFonts w:asciiTheme="minorHAnsi" w:hAnsiTheme="minorHAnsi"/>
          <w:snapToGrid w:val="0"/>
          <w:lang w:val="en-GB"/>
        </w:rPr>
        <w:t>s</w:t>
      </w:r>
      <w:r>
        <w:rPr>
          <w:rFonts w:asciiTheme="minorHAnsi" w:hAnsiTheme="minorHAnsi"/>
          <w:snapToGrid w:val="0"/>
          <w:lang w:val="en-GB"/>
        </w:rPr>
        <w:t xml:space="preserve"> did not include a clear definition of disease progression. The PBAC noted that in the SPRINT trial progression was based on volumetric MRI assessments which is not part of routine MRI reporting. The PBAC considered that any future restriction required the addition of a definition for progression and a clear </w:t>
      </w:r>
      <w:r w:rsidR="000D325C">
        <w:rPr>
          <w:rFonts w:asciiTheme="minorHAnsi" w:hAnsiTheme="minorHAnsi"/>
          <w:snapToGrid w:val="0"/>
          <w:lang w:val="en-GB"/>
        </w:rPr>
        <w:t>stopping rule</w:t>
      </w:r>
      <w:r>
        <w:rPr>
          <w:rFonts w:asciiTheme="minorHAnsi" w:hAnsiTheme="minorHAnsi"/>
          <w:snapToGrid w:val="0"/>
          <w:lang w:val="en-GB"/>
        </w:rPr>
        <w:t>.</w:t>
      </w:r>
      <w:bookmarkEnd w:id="115"/>
    </w:p>
    <w:p w14:paraId="3817C9AC" w14:textId="325CFC25" w:rsidR="000D325C" w:rsidRPr="00FF060C" w:rsidRDefault="0052377F" w:rsidP="00360DCB">
      <w:pPr>
        <w:pStyle w:val="3-BodyText"/>
        <w:rPr>
          <w:lang w:val="en-GB"/>
        </w:rPr>
      </w:pPr>
      <w:bookmarkStart w:id="116" w:name="_Ref120897137"/>
      <w:r w:rsidRPr="00FF060C">
        <w:rPr>
          <w:lang w:val="en-GB"/>
        </w:rPr>
        <w:t>The PBAC considered that it would likely be reasonable for patients who were less than 18 years at commencement of selumetinib treatment to continue to receive selum</w:t>
      </w:r>
      <w:r w:rsidR="001700E1" w:rsidRPr="00FF060C">
        <w:rPr>
          <w:lang w:val="en-GB"/>
        </w:rPr>
        <w:t>et</w:t>
      </w:r>
      <w:r w:rsidRPr="00FF060C">
        <w:rPr>
          <w:lang w:val="en-GB"/>
        </w:rPr>
        <w:t xml:space="preserve">inib </w:t>
      </w:r>
      <w:r w:rsidR="00317678">
        <w:rPr>
          <w:lang w:val="en-GB"/>
        </w:rPr>
        <w:t xml:space="preserve">as an adult. The PBAC </w:t>
      </w:r>
      <w:r w:rsidRPr="00FF060C">
        <w:rPr>
          <w:lang w:val="en-GB"/>
        </w:rPr>
        <w:t>requested that</w:t>
      </w:r>
      <w:r w:rsidR="00503366">
        <w:rPr>
          <w:lang w:val="en-GB"/>
        </w:rPr>
        <w:t xml:space="preserve"> a resubmission should present </w:t>
      </w:r>
      <w:r w:rsidR="00C26542" w:rsidRPr="00FF060C">
        <w:rPr>
          <w:lang w:val="en-GB"/>
        </w:rPr>
        <w:t>any available</w:t>
      </w:r>
      <w:r w:rsidRPr="00FF060C">
        <w:rPr>
          <w:lang w:val="en-GB"/>
        </w:rPr>
        <w:t xml:space="preserve"> data for adult patients.</w:t>
      </w:r>
      <w:bookmarkEnd w:id="116"/>
      <w:r w:rsidRPr="00FF060C">
        <w:rPr>
          <w:lang w:val="en-GB"/>
        </w:rPr>
        <w:t xml:space="preserve"> </w:t>
      </w:r>
    </w:p>
    <w:p w14:paraId="5185FECC" w14:textId="15FC512B" w:rsidR="00CB0DCD" w:rsidRPr="00CB0DCD" w:rsidRDefault="005A1367" w:rsidP="00CB0DCD">
      <w:pPr>
        <w:pStyle w:val="3-BodyText"/>
        <w:rPr>
          <w:u w:val="single"/>
          <w:lang w:val="en-GB"/>
        </w:rPr>
      </w:pPr>
      <w:bookmarkStart w:id="117" w:name="_Ref120897185"/>
      <w:r w:rsidRPr="00171A42">
        <w:rPr>
          <w:lang w:val="en-GB"/>
        </w:rPr>
        <w:t>The PBAC noted that selumetinib was only available as a capsule which was considered by the TGA to be relatively large and which could not be chewed, dissolved or opened. The PBAC considered that this posed quality use of medicine issues, particularly considering that treatment would likely be initiated in young children</w:t>
      </w:r>
      <w:r w:rsidR="008A5E16">
        <w:rPr>
          <w:lang w:val="en-GB"/>
        </w:rPr>
        <w:t xml:space="preserve"> in whom PN growth is the most rapid</w:t>
      </w:r>
      <w:r w:rsidRPr="00CB0DCD">
        <w:rPr>
          <w:lang w:val="en-GB"/>
        </w:rPr>
        <w:t>.</w:t>
      </w:r>
      <w:r w:rsidR="00171A42" w:rsidRPr="00CB0DCD">
        <w:rPr>
          <w:lang w:val="en-GB"/>
        </w:rPr>
        <w:t xml:space="preserve"> </w:t>
      </w:r>
      <w:bookmarkEnd w:id="110"/>
      <w:r w:rsidR="00CB0DCD" w:rsidRPr="00CB0DCD">
        <w:rPr>
          <w:lang w:val="en-GB"/>
        </w:rPr>
        <w:t>The PBAC noted the average age of patients</w:t>
      </w:r>
      <w:r w:rsidR="00CB0DCD">
        <w:rPr>
          <w:lang w:val="en-GB"/>
        </w:rPr>
        <w:t xml:space="preserve"> enrolled</w:t>
      </w:r>
      <w:r w:rsidR="00CB0DCD" w:rsidRPr="00CB0DCD">
        <w:rPr>
          <w:lang w:val="en-GB"/>
        </w:rPr>
        <w:t xml:space="preserve"> in the SPRINT trial was 10.3 years and the youngest was 3.5 years.</w:t>
      </w:r>
      <w:bookmarkEnd w:id="117"/>
    </w:p>
    <w:p w14:paraId="60F82A3E" w14:textId="1E3C12CE" w:rsidR="003F5A2D" w:rsidRDefault="003F5A2D" w:rsidP="00F5003D">
      <w:pPr>
        <w:widowControl w:val="0"/>
        <w:numPr>
          <w:ilvl w:val="1"/>
          <w:numId w:val="1"/>
        </w:numPr>
        <w:spacing w:after="120"/>
        <w:rPr>
          <w:rFonts w:asciiTheme="minorHAnsi" w:hAnsiTheme="minorHAnsi"/>
          <w:snapToGrid w:val="0"/>
          <w:lang w:val="en-GB"/>
        </w:rPr>
      </w:pPr>
      <w:r w:rsidRPr="00171A42">
        <w:rPr>
          <w:rFonts w:asciiTheme="minorHAnsi" w:hAnsiTheme="minorHAnsi"/>
          <w:snapToGrid w:val="0"/>
          <w:lang w:val="en-GB"/>
        </w:rPr>
        <w:t xml:space="preserve">The PBAC considered </w:t>
      </w:r>
      <w:r w:rsidR="00171A42">
        <w:rPr>
          <w:rFonts w:asciiTheme="minorHAnsi" w:hAnsiTheme="minorHAnsi"/>
          <w:snapToGrid w:val="0"/>
          <w:lang w:val="en-GB"/>
        </w:rPr>
        <w:t>selumetinib</w:t>
      </w:r>
      <w:r w:rsidRPr="00171A42">
        <w:rPr>
          <w:rFonts w:asciiTheme="minorHAnsi" w:hAnsiTheme="minorHAnsi"/>
          <w:snapToGrid w:val="0"/>
          <w:lang w:val="en-GB"/>
        </w:rPr>
        <w:t xml:space="preserve"> addresses a high and urgent unmet clinical need and </w:t>
      </w:r>
      <w:r w:rsidRPr="00171A42">
        <w:rPr>
          <w:rFonts w:asciiTheme="minorHAnsi" w:hAnsiTheme="minorHAnsi"/>
          <w:snapToGrid w:val="0"/>
          <w:lang w:val="en-GB"/>
        </w:rPr>
        <w:lastRenderedPageBreak/>
        <w:t xml:space="preserve">was expected to provide a substantial and clinically relevant improvement in efficacy over any alternative therapies. </w:t>
      </w:r>
      <w:r w:rsidR="004F528D">
        <w:rPr>
          <w:rFonts w:asciiTheme="minorHAnsi" w:hAnsiTheme="minorHAnsi"/>
          <w:snapToGrid w:val="0"/>
          <w:lang w:val="en-GB"/>
        </w:rPr>
        <w:t xml:space="preserve">The </w:t>
      </w:r>
      <w:r w:rsidR="004F528D">
        <w:t xml:space="preserve">PBAC noted that a significant price reduction will be required for selumetinib to be cost-effective (as outlined in paragraph </w:t>
      </w:r>
      <w:r w:rsidR="004F528D">
        <w:fldChar w:fldCharType="begin"/>
      </w:r>
      <w:r w:rsidR="004F528D">
        <w:instrText xml:space="preserve"> REF _Ref120877342 \r \h </w:instrText>
      </w:r>
      <w:r w:rsidR="004F528D">
        <w:fldChar w:fldCharType="separate"/>
      </w:r>
      <w:r w:rsidR="00BE0EE6">
        <w:t>7.12</w:t>
      </w:r>
      <w:r w:rsidR="004F528D">
        <w:fldChar w:fldCharType="end"/>
      </w:r>
      <w:r w:rsidR="00242BFC">
        <w:t>)</w:t>
      </w:r>
      <w:r w:rsidR="004F528D">
        <w:t xml:space="preserve">, but if the sponsor is able to proceed on this basis </w:t>
      </w:r>
      <w:r w:rsidR="00242BFC">
        <w:t xml:space="preserve">then </w:t>
      </w:r>
      <w:r w:rsidR="00242BFC" w:rsidRPr="00242BFC">
        <w:rPr>
          <w:rFonts w:asciiTheme="minorHAnsi" w:hAnsiTheme="minorHAnsi"/>
          <w:snapToGrid w:val="0"/>
          <w:lang w:val="en-GB"/>
        </w:rPr>
        <w:t xml:space="preserve">a facilitated resolution pathway may be acceptable for </w:t>
      </w:r>
      <w:r w:rsidR="00242BFC">
        <w:rPr>
          <w:rFonts w:asciiTheme="minorHAnsi" w:hAnsiTheme="minorHAnsi"/>
          <w:snapToGrid w:val="0"/>
          <w:lang w:val="en-GB"/>
        </w:rPr>
        <w:t>a</w:t>
      </w:r>
      <w:r w:rsidR="00242BFC" w:rsidRPr="00242BFC">
        <w:rPr>
          <w:rFonts w:asciiTheme="minorHAnsi" w:hAnsiTheme="minorHAnsi"/>
          <w:snapToGrid w:val="0"/>
          <w:lang w:val="en-GB"/>
        </w:rPr>
        <w:t xml:space="preserve"> resubmission (as defined in the Procedure </w:t>
      </w:r>
      <w:r w:rsidR="001E46AD">
        <w:rPr>
          <w:rFonts w:asciiTheme="minorHAnsi" w:hAnsiTheme="minorHAnsi"/>
          <w:snapToGrid w:val="0"/>
          <w:lang w:val="en-GB"/>
        </w:rPr>
        <w:t>G</w:t>
      </w:r>
      <w:r w:rsidR="00242BFC" w:rsidRPr="00242BFC">
        <w:rPr>
          <w:rFonts w:asciiTheme="minorHAnsi" w:hAnsiTheme="minorHAnsi"/>
          <w:snapToGrid w:val="0"/>
          <w:lang w:val="en-GB"/>
        </w:rPr>
        <w:t xml:space="preserve">uidance for listing medicines on the Pharmaceutical Benefits Scheme). </w:t>
      </w:r>
      <w:r w:rsidR="001E46AD">
        <w:rPr>
          <w:rFonts w:asciiTheme="minorHAnsi" w:hAnsiTheme="minorHAnsi"/>
          <w:snapToGrid w:val="0"/>
          <w:lang w:val="en-GB"/>
        </w:rPr>
        <w:t>As part of this pathway, prior to</w:t>
      </w:r>
      <w:r w:rsidRPr="00171A42">
        <w:rPr>
          <w:rFonts w:asciiTheme="minorHAnsi" w:hAnsiTheme="minorHAnsi"/>
          <w:snapToGrid w:val="0"/>
          <w:lang w:val="en-GB"/>
        </w:rPr>
        <w:t xml:space="preserve"> a resubmission for </w:t>
      </w:r>
      <w:r w:rsidR="00171A42">
        <w:rPr>
          <w:rFonts w:asciiTheme="minorHAnsi" w:hAnsiTheme="minorHAnsi"/>
          <w:snapToGrid w:val="0"/>
          <w:lang w:val="en-GB"/>
        </w:rPr>
        <w:t>selumetinib</w:t>
      </w:r>
      <w:r w:rsidRPr="00171A42">
        <w:rPr>
          <w:rFonts w:asciiTheme="minorHAnsi" w:hAnsiTheme="minorHAnsi"/>
          <w:snapToGrid w:val="0"/>
          <w:lang w:val="en-GB"/>
        </w:rPr>
        <w:t xml:space="preserve"> </w:t>
      </w:r>
      <w:r w:rsidR="001E46AD">
        <w:rPr>
          <w:rFonts w:asciiTheme="minorHAnsi" w:hAnsiTheme="minorHAnsi"/>
          <w:snapToGrid w:val="0"/>
          <w:lang w:val="en-GB"/>
        </w:rPr>
        <w:t>being</w:t>
      </w:r>
      <w:r w:rsidRPr="00171A42">
        <w:rPr>
          <w:rFonts w:asciiTheme="minorHAnsi" w:hAnsiTheme="minorHAnsi"/>
          <w:snapToGrid w:val="0"/>
          <w:lang w:val="en-GB"/>
        </w:rPr>
        <w:t xml:space="preserve"> made, the PBAC would like to offer the sponsor a solution-focussed workshop with one or more members of the PBAC, to explore feasible options to address the following issues: </w:t>
      </w:r>
    </w:p>
    <w:p w14:paraId="43499336" w14:textId="7976D36B" w:rsidR="00171A42" w:rsidRDefault="00171A42" w:rsidP="00FF060C">
      <w:pPr>
        <w:widowControl w:val="0"/>
        <w:numPr>
          <w:ilvl w:val="1"/>
          <w:numId w:val="38"/>
        </w:numPr>
        <w:spacing w:after="120"/>
        <w:ind w:left="1077" w:hanging="357"/>
        <w:rPr>
          <w:rFonts w:asciiTheme="minorHAnsi" w:hAnsiTheme="minorHAnsi"/>
          <w:snapToGrid w:val="0"/>
          <w:lang w:val="en-GB"/>
        </w:rPr>
      </w:pPr>
      <w:r>
        <w:rPr>
          <w:rFonts w:asciiTheme="minorHAnsi" w:hAnsiTheme="minorHAnsi"/>
          <w:snapToGrid w:val="0"/>
          <w:lang w:val="en-GB"/>
        </w:rPr>
        <w:t xml:space="preserve">The </w:t>
      </w:r>
      <w:r w:rsidR="00B86A93">
        <w:rPr>
          <w:rFonts w:asciiTheme="minorHAnsi" w:hAnsiTheme="minorHAnsi"/>
          <w:snapToGrid w:val="0"/>
          <w:lang w:val="en-GB"/>
        </w:rPr>
        <w:t xml:space="preserve">high and variable </w:t>
      </w:r>
      <w:r>
        <w:rPr>
          <w:rFonts w:asciiTheme="minorHAnsi" w:hAnsiTheme="minorHAnsi"/>
          <w:snapToGrid w:val="0"/>
          <w:lang w:val="en-GB"/>
        </w:rPr>
        <w:t xml:space="preserve">cost per patient per year, as outlined in paragraph </w:t>
      </w:r>
      <w:r w:rsidR="00EC7ABD">
        <w:rPr>
          <w:rFonts w:asciiTheme="minorHAnsi" w:hAnsiTheme="minorHAnsi"/>
          <w:snapToGrid w:val="0"/>
          <w:highlight w:val="yellow"/>
          <w:lang w:val="en-GB"/>
        </w:rPr>
        <w:fldChar w:fldCharType="begin"/>
      </w:r>
      <w:r w:rsidR="00EC7ABD">
        <w:rPr>
          <w:rFonts w:asciiTheme="minorHAnsi" w:hAnsiTheme="minorHAnsi"/>
          <w:snapToGrid w:val="0"/>
          <w:lang w:val="en-GB"/>
        </w:rPr>
        <w:instrText xml:space="preserve"> REF _Ref120897093 \r \h </w:instrText>
      </w:r>
      <w:r w:rsidR="00EC7ABD">
        <w:rPr>
          <w:rFonts w:asciiTheme="minorHAnsi" w:hAnsiTheme="minorHAnsi"/>
          <w:snapToGrid w:val="0"/>
          <w:highlight w:val="yellow"/>
          <w:lang w:val="en-GB"/>
        </w:rPr>
      </w:r>
      <w:r w:rsidR="00EC7ABD">
        <w:rPr>
          <w:rFonts w:asciiTheme="minorHAnsi" w:hAnsiTheme="minorHAnsi"/>
          <w:snapToGrid w:val="0"/>
          <w:highlight w:val="yellow"/>
          <w:lang w:val="en-GB"/>
        </w:rPr>
        <w:fldChar w:fldCharType="separate"/>
      </w:r>
      <w:r w:rsidR="00BE0EE6">
        <w:rPr>
          <w:rFonts w:asciiTheme="minorHAnsi" w:hAnsiTheme="minorHAnsi"/>
          <w:snapToGrid w:val="0"/>
          <w:lang w:val="en-GB"/>
        </w:rPr>
        <w:t>7.13</w:t>
      </w:r>
      <w:r w:rsidR="00EC7ABD">
        <w:rPr>
          <w:rFonts w:asciiTheme="minorHAnsi" w:hAnsiTheme="minorHAnsi"/>
          <w:snapToGrid w:val="0"/>
          <w:highlight w:val="yellow"/>
          <w:lang w:val="en-GB"/>
        </w:rPr>
        <w:fldChar w:fldCharType="end"/>
      </w:r>
      <w:r w:rsidR="00CC32FC">
        <w:rPr>
          <w:rFonts w:asciiTheme="minorHAnsi" w:hAnsiTheme="minorHAnsi"/>
          <w:snapToGrid w:val="0"/>
          <w:lang w:val="en-GB"/>
        </w:rPr>
        <w:t>;</w:t>
      </w:r>
    </w:p>
    <w:p w14:paraId="7EAD17AC" w14:textId="21147BAE" w:rsidR="00171A42" w:rsidRPr="00317678" w:rsidRDefault="00171A42" w:rsidP="00317678">
      <w:pPr>
        <w:widowControl w:val="0"/>
        <w:numPr>
          <w:ilvl w:val="1"/>
          <w:numId w:val="38"/>
        </w:numPr>
        <w:spacing w:after="120"/>
        <w:ind w:left="1077" w:hanging="357"/>
        <w:rPr>
          <w:rFonts w:asciiTheme="minorHAnsi" w:hAnsiTheme="minorHAnsi"/>
          <w:snapToGrid w:val="0"/>
          <w:lang w:val="en-GB"/>
        </w:rPr>
      </w:pPr>
      <w:r>
        <w:rPr>
          <w:rFonts w:asciiTheme="minorHAnsi" w:hAnsiTheme="minorHAnsi"/>
          <w:snapToGrid w:val="0"/>
          <w:lang w:val="en-GB"/>
        </w:rPr>
        <w:t xml:space="preserve">The restriction issues, as outlined in paragraphs </w:t>
      </w:r>
      <w:r w:rsidR="00EC7ABD" w:rsidRPr="00EC7ABD">
        <w:rPr>
          <w:rFonts w:asciiTheme="minorHAnsi" w:hAnsiTheme="minorHAnsi"/>
          <w:snapToGrid w:val="0"/>
          <w:lang w:val="en-GB"/>
        </w:rPr>
        <w:fldChar w:fldCharType="begin"/>
      </w:r>
      <w:r w:rsidR="00EC7ABD" w:rsidRPr="00EC7ABD">
        <w:rPr>
          <w:rFonts w:asciiTheme="minorHAnsi" w:hAnsiTheme="minorHAnsi"/>
          <w:snapToGrid w:val="0"/>
          <w:lang w:val="en-GB"/>
        </w:rPr>
        <w:instrText xml:space="preserve"> REF _Ref120894652 \r \h  \* MERGEFORMAT </w:instrText>
      </w:r>
      <w:r w:rsidR="00EC7ABD" w:rsidRPr="00EC7ABD">
        <w:rPr>
          <w:rFonts w:asciiTheme="minorHAnsi" w:hAnsiTheme="minorHAnsi"/>
          <w:snapToGrid w:val="0"/>
          <w:lang w:val="en-GB"/>
        </w:rPr>
      </w:r>
      <w:r w:rsidR="00EC7ABD" w:rsidRPr="00EC7ABD">
        <w:rPr>
          <w:rFonts w:asciiTheme="minorHAnsi" w:hAnsiTheme="minorHAnsi"/>
          <w:snapToGrid w:val="0"/>
          <w:lang w:val="en-GB"/>
        </w:rPr>
        <w:fldChar w:fldCharType="separate"/>
      </w:r>
      <w:r w:rsidR="00BE0EE6">
        <w:rPr>
          <w:rFonts w:asciiTheme="minorHAnsi" w:hAnsiTheme="minorHAnsi"/>
          <w:snapToGrid w:val="0"/>
          <w:lang w:val="en-GB"/>
        </w:rPr>
        <w:t>7.16</w:t>
      </w:r>
      <w:r w:rsidR="00EC7ABD" w:rsidRPr="00EC7ABD">
        <w:rPr>
          <w:rFonts w:asciiTheme="minorHAnsi" w:hAnsiTheme="minorHAnsi"/>
          <w:snapToGrid w:val="0"/>
          <w:lang w:val="en-GB"/>
        </w:rPr>
        <w:fldChar w:fldCharType="end"/>
      </w:r>
      <w:r w:rsidRPr="00EC7ABD">
        <w:rPr>
          <w:rFonts w:asciiTheme="minorHAnsi" w:hAnsiTheme="minorHAnsi"/>
          <w:snapToGrid w:val="0"/>
          <w:lang w:val="en-GB"/>
        </w:rPr>
        <w:t xml:space="preserve"> </w:t>
      </w:r>
      <w:r w:rsidR="00D77FC6">
        <w:rPr>
          <w:rFonts w:asciiTheme="minorHAnsi" w:hAnsiTheme="minorHAnsi"/>
          <w:snapToGrid w:val="0"/>
          <w:lang w:val="en-GB"/>
        </w:rPr>
        <w:t xml:space="preserve">and </w:t>
      </w:r>
      <w:r w:rsidR="00D77FC6">
        <w:rPr>
          <w:rFonts w:asciiTheme="minorHAnsi" w:hAnsiTheme="minorHAnsi"/>
          <w:snapToGrid w:val="0"/>
          <w:lang w:val="en-GB"/>
        </w:rPr>
        <w:fldChar w:fldCharType="begin"/>
      </w:r>
      <w:r w:rsidR="00D77FC6">
        <w:rPr>
          <w:rFonts w:asciiTheme="minorHAnsi" w:hAnsiTheme="minorHAnsi"/>
          <w:snapToGrid w:val="0"/>
          <w:lang w:val="en-GB"/>
        </w:rPr>
        <w:instrText xml:space="preserve"> REF _Ref120894674 \r \h </w:instrText>
      </w:r>
      <w:r w:rsidR="00D77FC6">
        <w:rPr>
          <w:rFonts w:asciiTheme="minorHAnsi" w:hAnsiTheme="minorHAnsi"/>
          <w:snapToGrid w:val="0"/>
          <w:lang w:val="en-GB"/>
        </w:rPr>
      </w:r>
      <w:r w:rsidR="00D77FC6">
        <w:rPr>
          <w:rFonts w:asciiTheme="minorHAnsi" w:hAnsiTheme="minorHAnsi"/>
          <w:snapToGrid w:val="0"/>
          <w:lang w:val="en-GB"/>
        </w:rPr>
        <w:fldChar w:fldCharType="separate"/>
      </w:r>
      <w:r w:rsidR="00BE0EE6">
        <w:rPr>
          <w:rFonts w:asciiTheme="minorHAnsi" w:hAnsiTheme="minorHAnsi"/>
          <w:snapToGrid w:val="0"/>
          <w:lang w:val="en-GB"/>
        </w:rPr>
        <w:t>7.17</w:t>
      </w:r>
      <w:r w:rsidR="00D77FC6">
        <w:rPr>
          <w:rFonts w:asciiTheme="minorHAnsi" w:hAnsiTheme="minorHAnsi"/>
          <w:snapToGrid w:val="0"/>
          <w:lang w:val="en-GB"/>
        </w:rPr>
        <w:fldChar w:fldCharType="end"/>
      </w:r>
      <w:r>
        <w:rPr>
          <w:rFonts w:asciiTheme="minorHAnsi" w:hAnsiTheme="minorHAnsi"/>
          <w:snapToGrid w:val="0"/>
          <w:lang w:val="en-GB"/>
        </w:rPr>
        <w:t xml:space="preserve">, in particular concerning the definition of progressed disease; </w:t>
      </w:r>
    </w:p>
    <w:p w14:paraId="03BF97C8" w14:textId="19A0FD2D" w:rsidR="00171A42" w:rsidRDefault="00171A42" w:rsidP="00FF060C">
      <w:pPr>
        <w:widowControl w:val="0"/>
        <w:numPr>
          <w:ilvl w:val="1"/>
          <w:numId w:val="38"/>
        </w:numPr>
        <w:spacing w:after="120"/>
        <w:ind w:left="1077" w:hanging="357"/>
        <w:rPr>
          <w:rFonts w:asciiTheme="minorHAnsi" w:hAnsiTheme="minorHAnsi"/>
          <w:snapToGrid w:val="0"/>
          <w:lang w:val="en-GB"/>
        </w:rPr>
      </w:pPr>
      <w:r>
        <w:rPr>
          <w:rFonts w:asciiTheme="minorHAnsi" w:hAnsiTheme="minorHAnsi"/>
          <w:snapToGrid w:val="0"/>
          <w:lang w:val="en-GB"/>
        </w:rPr>
        <w:t xml:space="preserve">The quality use of medicine issues associated with the large capsule size, as outlined in paragraph </w:t>
      </w:r>
      <w:r w:rsidR="00EC7ABD">
        <w:rPr>
          <w:rFonts w:asciiTheme="minorHAnsi" w:hAnsiTheme="minorHAnsi"/>
          <w:snapToGrid w:val="0"/>
          <w:highlight w:val="yellow"/>
          <w:lang w:val="en-GB"/>
        </w:rPr>
        <w:fldChar w:fldCharType="begin"/>
      </w:r>
      <w:r w:rsidR="00EC7ABD">
        <w:rPr>
          <w:rFonts w:asciiTheme="minorHAnsi" w:hAnsiTheme="minorHAnsi"/>
          <w:snapToGrid w:val="0"/>
          <w:lang w:val="en-GB"/>
        </w:rPr>
        <w:instrText xml:space="preserve"> REF _Ref120897185 \r \h </w:instrText>
      </w:r>
      <w:r w:rsidR="00EC7ABD">
        <w:rPr>
          <w:rFonts w:asciiTheme="minorHAnsi" w:hAnsiTheme="minorHAnsi"/>
          <w:snapToGrid w:val="0"/>
          <w:highlight w:val="yellow"/>
          <w:lang w:val="en-GB"/>
        </w:rPr>
      </w:r>
      <w:r w:rsidR="00EC7ABD">
        <w:rPr>
          <w:rFonts w:asciiTheme="minorHAnsi" w:hAnsiTheme="minorHAnsi"/>
          <w:snapToGrid w:val="0"/>
          <w:highlight w:val="yellow"/>
          <w:lang w:val="en-GB"/>
        </w:rPr>
        <w:fldChar w:fldCharType="separate"/>
      </w:r>
      <w:r w:rsidR="00BE0EE6">
        <w:rPr>
          <w:rFonts w:asciiTheme="minorHAnsi" w:hAnsiTheme="minorHAnsi"/>
          <w:snapToGrid w:val="0"/>
          <w:lang w:val="en-GB"/>
        </w:rPr>
        <w:t>7.19</w:t>
      </w:r>
      <w:r w:rsidR="00EC7ABD">
        <w:rPr>
          <w:rFonts w:asciiTheme="minorHAnsi" w:hAnsiTheme="minorHAnsi"/>
          <w:snapToGrid w:val="0"/>
          <w:highlight w:val="yellow"/>
          <w:lang w:val="en-GB"/>
        </w:rPr>
        <w:fldChar w:fldCharType="end"/>
      </w:r>
      <w:r w:rsidR="00DC5700">
        <w:rPr>
          <w:rFonts w:asciiTheme="minorHAnsi" w:hAnsiTheme="minorHAnsi"/>
          <w:snapToGrid w:val="0"/>
          <w:lang w:val="en-GB"/>
        </w:rPr>
        <w:t>; and</w:t>
      </w:r>
      <w:r>
        <w:rPr>
          <w:rFonts w:asciiTheme="minorHAnsi" w:hAnsiTheme="minorHAnsi"/>
          <w:snapToGrid w:val="0"/>
          <w:lang w:val="en-GB"/>
        </w:rPr>
        <w:t>.</w:t>
      </w:r>
    </w:p>
    <w:p w14:paraId="762156A9" w14:textId="11D03B37" w:rsidR="008344CA" w:rsidRDefault="00BF048A" w:rsidP="008344CA">
      <w:pPr>
        <w:widowControl w:val="0"/>
        <w:numPr>
          <w:ilvl w:val="1"/>
          <w:numId w:val="38"/>
        </w:numPr>
        <w:spacing w:after="120"/>
        <w:ind w:left="1077" w:hanging="357"/>
        <w:rPr>
          <w:rFonts w:asciiTheme="minorHAnsi" w:hAnsiTheme="minorHAnsi"/>
          <w:snapToGrid w:val="0"/>
          <w:lang w:val="en-GB"/>
        </w:rPr>
      </w:pPr>
      <w:r>
        <w:rPr>
          <w:rFonts w:asciiTheme="minorHAnsi" w:hAnsiTheme="minorHAnsi"/>
          <w:snapToGrid w:val="0"/>
          <w:lang w:val="en-GB"/>
        </w:rPr>
        <w:t>The estimated number of patients who would be treated with selumetinib and the financial impact of listing selumetinib</w:t>
      </w:r>
      <w:r w:rsidR="008344CA">
        <w:rPr>
          <w:rFonts w:asciiTheme="minorHAnsi" w:hAnsiTheme="minorHAnsi"/>
          <w:snapToGrid w:val="0"/>
          <w:lang w:val="en-GB"/>
        </w:rPr>
        <w:t xml:space="preserve">, as outlined in paragraph </w:t>
      </w:r>
      <w:r w:rsidR="00EC7ABD">
        <w:rPr>
          <w:rFonts w:asciiTheme="minorHAnsi" w:hAnsiTheme="minorHAnsi"/>
          <w:snapToGrid w:val="0"/>
          <w:highlight w:val="yellow"/>
          <w:lang w:val="en-GB"/>
        </w:rPr>
        <w:fldChar w:fldCharType="begin"/>
      </w:r>
      <w:r w:rsidR="00EC7ABD">
        <w:rPr>
          <w:rFonts w:asciiTheme="minorHAnsi" w:hAnsiTheme="minorHAnsi"/>
          <w:snapToGrid w:val="0"/>
          <w:lang w:val="en-GB"/>
        </w:rPr>
        <w:instrText xml:space="preserve"> REF _Ref120894595 \r \h </w:instrText>
      </w:r>
      <w:r w:rsidR="00EC7ABD">
        <w:rPr>
          <w:rFonts w:asciiTheme="minorHAnsi" w:hAnsiTheme="minorHAnsi"/>
          <w:snapToGrid w:val="0"/>
          <w:highlight w:val="yellow"/>
          <w:lang w:val="en-GB"/>
        </w:rPr>
      </w:r>
      <w:r w:rsidR="00EC7ABD">
        <w:rPr>
          <w:rFonts w:asciiTheme="minorHAnsi" w:hAnsiTheme="minorHAnsi"/>
          <w:snapToGrid w:val="0"/>
          <w:highlight w:val="yellow"/>
          <w:lang w:val="en-GB"/>
        </w:rPr>
        <w:fldChar w:fldCharType="separate"/>
      </w:r>
      <w:r w:rsidR="00BE0EE6">
        <w:rPr>
          <w:rFonts w:asciiTheme="minorHAnsi" w:hAnsiTheme="minorHAnsi"/>
          <w:snapToGrid w:val="0"/>
          <w:lang w:val="en-GB"/>
        </w:rPr>
        <w:t>7.14</w:t>
      </w:r>
      <w:r w:rsidR="00EC7ABD">
        <w:rPr>
          <w:rFonts w:asciiTheme="minorHAnsi" w:hAnsiTheme="minorHAnsi"/>
          <w:snapToGrid w:val="0"/>
          <w:highlight w:val="yellow"/>
          <w:lang w:val="en-GB"/>
        </w:rPr>
        <w:fldChar w:fldCharType="end"/>
      </w:r>
      <w:r w:rsidR="00EC7ABD">
        <w:rPr>
          <w:rFonts w:asciiTheme="minorHAnsi" w:hAnsiTheme="minorHAnsi"/>
          <w:snapToGrid w:val="0"/>
          <w:lang w:val="en-GB"/>
        </w:rPr>
        <w:t>.</w:t>
      </w:r>
    </w:p>
    <w:p w14:paraId="6B44B05C" w14:textId="2892F64D" w:rsidR="003F5A2D" w:rsidRPr="00CE42B4" w:rsidRDefault="003F5A2D" w:rsidP="00171A42">
      <w:pPr>
        <w:widowControl w:val="0"/>
        <w:spacing w:after="120"/>
        <w:ind w:left="720"/>
        <w:rPr>
          <w:rFonts w:asciiTheme="minorHAnsi" w:hAnsiTheme="minorHAnsi"/>
          <w:snapToGrid w:val="0"/>
          <w:lang w:val="en-GB"/>
        </w:rPr>
      </w:pPr>
      <w:r w:rsidRPr="00CE42B4">
        <w:rPr>
          <w:rFonts w:asciiTheme="minorHAnsi" w:hAnsiTheme="minorHAnsi"/>
          <w:snapToGrid w:val="0"/>
          <w:lang w:val="en-GB"/>
        </w:rPr>
        <w:t>The workshop agenda would be based on the issues for resolution outlined above. It should be noted that any advice provided by members of the PBAC, the sponsor or the department in a workshop is in no way binding on the PBAC, the department, sponsor, evaluation groups or sub-committees of the PBAC. If this option is not acceptable to the sponsor</w:t>
      </w:r>
      <w:r w:rsidR="006B3678">
        <w:rPr>
          <w:rFonts w:asciiTheme="minorHAnsi" w:hAnsiTheme="minorHAnsi"/>
          <w:snapToGrid w:val="0"/>
          <w:lang w:val="en-GB"/>
        </w:rPr>
        <w:t xml:space="preserve"> </w:t>
      </w:r>
      <w:r w:rsidRPr="00CE42B4">
        <w:rPr>
          <w:rFonts w:asciiTheme="minorHAnsi" w:hAnsiTheme="minorHAnsi"/>
          <w:snapToGrid w:val="0"/>
          <w:lang w:val="en-GB"/>
        </w:rPr>
        <w:t xml:space="preserve">a standard re-entry pathway is available.   </w:t>
      </w:r>
    </w:p>
    <w:p w14:paraId="4FC3F3CB" w14:textId="77777777" w:rsidR="00171A42" w:rsidRDefault="003F5A2D" w:rsidP="003F5A2D">
      <w:pPr>
        <w:widowControl w:val="0"/>
        <w:numPr>
          <w:ilvl w:val="1"/>
          <w:numId w:val="1"/>
        </w:numPr>
        <w:spacing w:after="120"/>
        <w:rPr>
          <w:rFonts w:asciiTheme="minorHAnsi" w:hAnsiTheme="minorHAnsi"/>
          <w:bCs/>
          <w:snapToGrid w:val="0"/>
          <w:lang w:val="en-GB"/>
        </w:rPr>
      </w:pPr>
      <w:r w:rsidRPr="00525B39">
        <w:rPr>
          <w:rFonts w:asciiTheme="minorHAnsi" w:hAnsiTheme="minorHAnsi"/>
          <w:bCs/>
          <w:snapToGrid w:val="0"/>
          <w:lang w:val="en-GB"/>
        </w:rPr>
        <w:t xml:space="preserve">The PBAC noted that this submission is eligible for an Independent Review. </w:t>
      </w:r>
    </w:p>
    <w:p w14:paraId="47FEF06C" w14:textId="77777777" w:rsidR="003F5A2D" w:rsidRPr="00525B39" w:rsidRDefault="003F5A2D" w:rsidP="003F5A2D">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1A5A32DB" w14:textId="774637BB" w:rsidR="003F5A2D" w:rsidRDefault="003F5A2D" w:rsidP="003F5A2D">
      <w:pPr>
        <w:rPr>
          <w:rFonts w:asciiTheme="minorHAnsi" w:hAnsiTheme="minorHAnsi"/>
          <w:bCs/>
          <w:snapToGrid w:val="0"/>
          <w:lang w:val="en-GB"/>
        </w:rPr>
      </w:pPr>
      <w:r>
        <w:rPr>
          <w:rFonts w:asciiTheme="minorHAnsi" w:hAnsiTheme="minorHAnsi"/>
          <w:bCs/>
          <w:snapToGrid w:val="0"/>
          <w:lang w:val="en-GB"/>
        </w:rPr>
        <w:t>Not recommended</w:t>
      </w:r>
      <w:r w:rsidRPr="00525B39">
        <w:rPr>
          <w:rFonts w:asciiTheme="minorHAnsi" w:hAnsiTheme="minorHAnsi"/>
          <w:bCs/>
          <w:snapToGrid w:val="0"/>
          <w:lang w:val="en-GB"/>
        </w:rPr>
        <w:t xml:space="preserve"> </w:t>
      </w:r>
    </w:p>
    <w:p w14:paraId="0096418F" w14:textId="3D559307" w:rsidR="003A41AA" w:rsidRDefault="003A41AA" w:rsidP="003A41AA">
      <w:pPr>
        <w:pStyle w:val="2-SectionHeading"/>
        <w:rPr>
          <w:bCs/>
          <w:lang w:val="en-GB"/>
        </w:rPr>
      </w:pPr>
      <w:r w:rsidRPr="00C07617">
        <w:t>Context for Decision</w:t>
      </w:r>
    </w:p>
    <w:p w14:paraId="1F5DADDE" w14:textId="77777777" w:rsidR="003A41AA" w:rsidRPr="007129F2" w:rsidRDefault="003A41AA" w:rsidP="003A41AA">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7E3E9D9" w14:textId="41E12ADB" w:rsidR="003A41AA" w:rsidRPr="00C07617" w:rsidRDefault="003A41AA" w:rsidP="003A41AA">
      <w:pPr>
        <w:pStyle w:val="2-SectionHeading"/>
        <w:rPr>
          <w:b w:val="0"/>
        </w:rPr>
      </w:pPr>
      <w:r>
        <w:t>Sponsor’s Comment</w:t>
      </w:r>
    </w:p>
    <w:p w14:paraId="7732E7E0" w14:textId="514103F1" w:rsidR="003A41AA" w:rsidRPr="00EF1E8F" w:rsidRDefault="00260FB7" w:rsidP="00EF1E8F">
      <w:pPr>
        <w:spacing w:after="120"/>
        <w:ind w:left="720"/>
        <w:rPr>
          <w:rFonts w:asciiTheme="minorHAnsi" w:hAnsiTheme="minorHAnsi"/>
          <w:bCs/>
          <w:lang w:val="en-GB"/>
        </w:rPr>
      </w:pPr>
      <w:r w:rsidRPr="00EF1E8F">
        <w:rPr>
          <w:rFonts w:asciiTheme="minorHAnsi" w:hAnsiTheme="minorHAnsi"/>
          <w:bCs/>
          <w:lang w:val="en-GB"/>
        </w:rPr>
        <w:t xml:space="preserve">Alexion welcomes the PBAC’s acknowledgment that selumetinib provides a high clinical benefit for paediatric patients with rare plexiform neurofibroma(s) (PN) with neurofibromatosis type 1 (NF1). We look forward to continuing to work with the PBAC </w:t>
      </w:r>
      <w:r w:rsidRPr="00EF1E8F">
        <w:rPr>
          <w:rFonts w:asciiTheme="minorHAnsi" w:hAnsiTheme="minorHAnsi"/>
          <w:bCs/>
          <w:lang w:val="en-GB"/>
        </w:rPr>
        <w:lastRenderedPageBreak/>
        <w:t>and the Department to secure access to selumetinib for children with this rare condition, where there are no alternative therapies available</w:t>
      </w:r>
    </w:p>
    <w:bookmarkEnd w:id="107"/>
    <w:bookmarkEnd w:id="108"/>
    <w:bookmarkEnd w:id="109"/>
    <w:sectPr w:rsidR="003A41AA" w:rsidRPr="00EF1E8F" w:rsidSect="00251006">
      <w:headerReference w:type="even" r:id="rId25"/>
      <w:headerReference w:type="default" r:id="rId26"/>
      <w:footerReference w:type="even" r:id="rId27"/>
      <w:footerReference w:type="default" r:id="rId28"/>
      <w:headerReference w:type="first" r:id="rId29"/>
      <w:footerReference w:type="first" r:id="rId30"/>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C9023" w14:textId="77777777" w:rsidR="00D97C2B" w:rsidRDefault="00D97C2B" w:rsidP="00124A51">
      <w:r>
        <w:separator/>
      </w:r>
    </w:p>
    <w:p w14:paraId="1F725560" w14:textId="77777777" w:rsidR="00D97C2B" w:rsidRDefault="00D97C2B"/>
  </w:endnote>
  <w:endnote w:type="continuationSeparator" w:id="0">
    <w:p w14:paraId="7F61965A" w14:textId="77777777" w:rsidR="00D97C2B" w:rsidRDefault="00D97C2B" w:rsidP="00124A51">
      <w:r>
        <w:continuationSeparator/>
      </w:r>
    </w:p>
    <w:p w14:paraId="5DD20277" w14:textId="77777777" w:rsidR="00D97C2B" w:rsidRDefault="00D97C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ED934" w14:textId="77777777" w:rsidR="00F66E51" w:rsidRDefault="00F66E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77777777" w:rsidR="00050AA7" w:rsidRDefault="00050AA7" w:rsidP="00753B29">
    <w:pPr>
      <w:pStyle w:val="Footer"/>
      <w:jc w:val="center"/>
    </w:pPr>
  </w:p>
  <w:p w14:paraId="37484CD3" w14:textId="0793A1C7" w:rsidR="00050AA7" w:rsidRPr="004235CC" w:rsidRDefault="00BE0EE6" w:rsidP="00753B29">
    <w:pPr>
      <w:pStyle w:val="Footer"/>
      <w:jc w:val="center"/>
      <w:rPr>
        <w:b/>
        <w:bCs/>
      </w:rPr>
    </w:pPr>
    <w:sdt>
      <w:sdtPr>
        <w:id w:val="1036156457"/>
        <w:docPartObj>
          <w:docPartGallery w:val="Page Numbers (Bottom of Page)"/>
          <w:docPartUnique/>
        </w:docPartObj>
      </w:sdtPr>
      <w:sdtEndPr>
        <w:rPr>
          <w:b/>
          <w:bCs/>
          <w:noProof/>
        </w:rPr>
      </w:sdtEndPr>
      <w:sdtContent>
        <w:r w:rsidR="00050AA7" w:rsidRPr="004235CC">
          <w:rPr>
            <w:b/>
            <w:bCs/>
          </w:rPr>
          <w:fldChar w:fldCharType="begin"/>
        </w:r>
        <w:r w:rsidR="00050AA7" w:rsidRPr="004235CC">
          <w:rPr>
            <w:b/>
            <w:bCs/>
          </w:rPr>
          <w:instrText xml:space="preserve"> PAGE   \* MERGEFORMAT </w:instrText>
        </w:r>
        <w:r w:rsidR="00050AA7" w:rsidRPr="004235CC">
          <w:rPr>
            <w:b/>
            <w:bCs/>
          </w:rPr>
          <w:fldChar w:fldCharType="separate"/>
        </w:r>
        <w:r w:rsidR="00050AA7" w:rsidRPr="004235CC">
          <w:rPr>
            <w:b/>
            <w:bCs/>
            <w:noProof/>
          </w:rPr>
          <w:t>2</w:t>
        </w:r>
        <w:r w:rsidR="00050AA7" w:rsidRPr="004235CC">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AE0C5" w14:textId="77777777" w:rsidR="00F66E51" w:rsidRDefault="00F66E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F9EDF" w14:textId="77777777" w:rsidR="00D97C2B" w:rsidRDefault="00D97C2B" w:rsidP="00124A51">
      <w:r>
        <w:separator/>
      </w:r>
    </w:p>
    <w:p w14:paraId="694EA9CD" w14:textId="77777777" w:rsidR="00D97C2B" w:rsidRDefault="00D97C2B"/>
  </w:footnote>
  <w:footnote w:type="continuationSeparator" w:id="0">
    <w:p w14:paraId="4B87D991" w14:textId="77777777" w:rsidR="00D97C2B" w:rsidRDefault="00D97C2B" w:rsidP="00124A51">
      <w:r>
        <w:continuationSeparator/>
      </w:r>
    </w:p>
    <w:p w14:paraId="35B27F05" w14:textId="77777777" w:rsidR="00D97C2B" w:rsidRDefault="00D97C2B"/>
  </w:footnote>
  <w:footnote w:id="1">
    <w:p w14:paraId="2F9BBF9E" w14:textId="7D3EC0D3" w:rsidR="00C442EF" w:rsidRDefault="00C442EF">
      <w:pPr>
        <w:pStyle w:val="FootnoteText"/>
      </w:pPr>
      <w:r>
        <w:rPr>
          <w:rStyle w:val="FootnoteReference"/>
        </w:rPr>
        <w:footnoteRef/>
      </w:r>
      <w:r>
        <w:t xml:space="preserve"> Sharawat IK, et al. Efficacy and safety profile of selumetinib in symptomatic inoperable plexiform neurofibromas: A systematic review and meta-analysis. Journal of Neurosurgical Sciences. 2022. DOI: 10.23736/S0390-5616.21.05528-4</w:t>
      </w:r>
    </w:p>
  </w:footnote>
  <w:footnote w:id="2">
    <w:p w14:paraId="5F3D0E85" w14:textId="55289FF3" w:rsidR="00D4622B" w:rsidRDefault="00D4622B">
      <w:pPr>
        <w:pStyle w:val="FootnoteText"/>
      </w:pPr>
      <w:r>
        <w:rPr>
          <w:rStyle w:val="FootnoteReference"/>
        </w:rPr>
        <w:footnoteRef/>
      </w:r>
      <w:r>
        <w:t xml:space="preserve"> </w:t>
      </w:r>
      <w:r w:rsidRPr="00D4622B">
        <w:t>Trametinib in Neurofibromatosis Type 1 associated tumours (TiNT)</w:t>
      </w:r>
      <w:r>
        <w:t xml:space="preserve"> </w:t>
      </w:r>
      <w:r w:rsidRPr="00D4622B">
        <w:t>(ACTRN12620001229965</w:t>
      </w:r>
      <w:r>
        <w:t xml:space="preserve">). </w:t>
      </w:r>
      <w:hyperlink r:id="rId1" w:history="1">
        <w:r w:rsidR="001F4831" w:rsidRPr="00E72431">
          <w:rPr>
            <w:rStyle w:val="Hyperlink"/>
          </w:rPr>
          <w:t>https://www.anzctr.org.au/Trial/Registration/TrialReview.aspx?id=379244</w:t>
        </w:r>
      </w:hyperlink>
      <w:r w:rsidR="001F4831">
        <w:t xml:space="preserve"> </w:t>
      </w:r>
    </w:p>
  </w:footnote>
  <w:footnote w:id="3">
    <w:p w14:paraId="0F72F7E8" w14:textId="77777777" w:rsidR="00050AA7" w:rsidRDefault="00050AA7" w:rsidP="00F07B57">
      <w:pPr>
        <w:pStyle w:val="pf0"/>
        <w:rPr>
          <w:rFonts w:ascii="Arial" w:hAnsi="Arial" w:cs="Arial"/>
          <w:sz w:val="20"/>
          <w:szCs w:val="20"/>
        </w:rPr>
      </w:pPr>
      <w:r>
        <w:rPr>
          <w:rStyle w:val="FootnoteReference"/>
        </w:rPr>
        <w:footnoteRef/>
      </w:r>
      <w:r w:rsidRPr="00A76B24">
        <w:rPr>
          <w:rStyle w:val="cf01"/>
        </w:rPr>
        <w:t xml:space="preserve"> N</w:t>
      </w:r>
      <w:r>
        <w:rPr>
          <w:rStyle w:val="cf01"/>
        </w:rPr>
        <w:t>eedle M, Cnaan A, et al., (1997), ‘Prognostic signs in the surgical management of plexiform neurofibroma: the Children’s Hospital of Philadelphia experience, 1974-1994’. </w:t>
      </w:r>
      <w:r>
        <w:rPr>
          <w:rStyle w:val="cf11"/>
        </w:rPr>
        <w:t>Journal of Pediatrics, 131(5):678–682.</w:t>
      </w:r>
    </w:p>
    <w:p w14:paraId="489D2F9C" w14:textId="77777777" w:rsidR="00050AA7" w:rsidRDefault="00050AA7" w:rsidP="00F07B57">
      <w:pPr>
        <w:pStyle w:val="FootnoteText"/>
      </w:pPr>
    </w:p>
  </w:footnote>
  <w:footnote w:id="4">
    <w:p w14:paraId="1B71759B" w14:textId="10571458" w:rsidR="00F907A4" w:rsidRDefault="00F907A4">
      <w:pPr>
        <w:pStyle w:val="FootnoteText"/>
      </w:pPr>
      <w:r>
        <w:rPr>
          <w:rStyle w:val="FootnoteReference"/>
        </w:rPr>
        <w:footnoteRef/>
      </w:r>
      <w:r>
        <w:t xml:space="preserve"> </w:t>
      </w:r>
      <w:r w:rsidRPr="005A5856">
        <w:t>Table 7, page 40, SPRINT CSR 2002.</w:t>
      </w:r>
      <w:r w:rsidRPr="00F907A4">
        <w:rPr>
          <w:i/>
          <w:iCs/>
        </w:rPr>
        <w:t xml:space="preserve"> </w:t>
      </w:r>
    </w:p>
  </w:footnote>
  <w:footnote w:id="5">
    <w:p w14:paraId="2EF359A0" w14:textId="77777777" w:rsidR="00050AA7" w:rsidRDefault="00050AA7" w:rsidP="0071130B">
      <w:pPr>
        <w:pStyle w:val="FootnoteText"/>
      </w:pPr>
      <w:r>
        <w:rPr>
          <w:rStyle w:val="FootnoteReference"/>
          <w:rFonts w:eastAsia="Verdana"/>
        </w:rPr>
        <w:footnoteRef/>
      </w:r>
      <w:r>
        <w:t xml:space="preserve"> Prada C, Rangwala F et al., (2012), ‘Pediatric Plexiform Neurofibromas: Impact on Morbidity and Mortality in</w:t>
      </w:r>
    </w:p>
    <w:p w14:paraId="48C2145C" w14:textId="77777777" w:rsidR="00050AA7" w:rsidRDefault="00050AA7" w:rsidP="0071130B">
      <w:pPr>
        <w:pStyle w:val="FootnoteText"/>
      </w:pPr>
      <w:r>
        <w:t>Neurofibromatosis Type 1’, The Journal of Paediatrics, 160.</w:t>
      </w:r>
    </w:p>
  </w:footnote>
  <w:footnote w:id="6">
    <w:p w14:paraId="044064DC" w14:textId="5EAD1CCE" w:rsidR="00C442EF" w:rsidRDefault="00C442EF">
      <w:pPr>
        <w:pStyle w:val="FootnoteText"/>
      </w:pPr>
      <w:r>
        <w:rPr>
          <w:rStyle w:val="FootnoteReference"/>
        </w:rPr>
        <w:footnoteRef/>
      </w:r>
      <w:r>
        <w:t xml:space="preserve"> Evans DGR, et al. Mortality in neurofibromatosis 1: in north west England: an assessment of actuarial survival in a region of the UK since 1989. European Journal of Human Genetics. 2011;19:1187-1191.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28587" w14:textId="77777777" w:rsidR="00F66E51" w:rsidRDefault="00F66E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5E204" w14:textId="7043BDAE" w:rsidR="00050AA7" w:rsidRPr="00195452" w:rsidRDefault="00095FB5" w:rsidP="00D822E2">
    <w:pPr>
      <w:pStyle w:val="Header"/>
      <w:rPr>
        <w:rFonts w:asciiTheme="minorHAnsi" w:hAnsiTheme="minorHAnsi"/>
        <w:i/>
        <w:color w:val="808080"/>
      </w:rPr>
    </w:pPr>
    <w:r>
      <w:rPr>
        <w:rFonts w:asciiTheme="minorHAnsi" w:hAnsiTheme="minorHAnsi" w:cstheme="minorHAnsi"/>
        <w:i/>
        <w:color w:val="808080"/>
      </w:rPr>
      <w:t>Public Summary Document</w:t>
    </w:r>
    <w:r w:rsidR="00E331B7">
      <w:rPr>
        <w:rFonts w:asciiTheme="minorHAnsi" w:hAnsiTheme="minorHAnsi"/>
        <w:i/>
        <w:color w:val="808080"/>
      </w:rPr>
      <w:t xml:space="preserve"> - </w:t>
    </w:r>
    <w:r w:rsidR="00050AA7">
      <w:rPr>
        <w:rFonts w:asciiTheme="minorHAnsi" w:hAnsiTheme="minorHAnsi"/>
        <w:i/>
        <w:color w:val="808080"/>
      </w:rPr>
      <w:t xml:space="preserve">November 2022 </w:t>
    </w:r>
    <w:r w:rsidR="00050AA7" w:rsidRPr="00195452">
      <w:rPr>
        <w:rFonts w:asciiTheme="minorHAnsi" w:hAnsiTheme="minorHAnsi"/>
        <w:i/>
        <w:color w:val="808080"/>
      </w:rPr>
      <w:t>PBAC Meeting</w:t>
    </w:r>
  </w:p>
  <w:p w14:paraId="03AF943B" w14:textId="77777777" w:rsidR="00050AA7" w:rsidRPr="008C7ECB" w:rsidRDefault="00050A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6C33C" w14:textId="77777777" w:rsidR="00F66E51" w:rsidRDefault="00F66E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5F604C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127120"/>
    <w:multiLevelType w:val="hybridMultilevel"/>
    <w:tmpl w:val="41804C7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FE73309"/>
    <w:multiLevelType w:val="multilevel"/>
    <w:tmpl w:val="61C428C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8FB0030"/>
    <w:multiLevelType w:val="multilevel"/>
    <w:tmpl w:val="A9D4C17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F0820F3"/>
    <w:multiLevelType w:val="hybridMultilevel"/>
    <w:tmpl w:val="8EBA0CB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21B00F4C"/>
    <w:multiLevelType w:val="multilevel"/>
    <w:tmpl w:val="21483CE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B6274A"/>
    <w:multiLevelType w:val="hybridMultilevel"/>
    <w:tmpl w:val="E07A47CC"/>
    <w:lvl w:ilvl="0" w:tplc="E1B6BF4A">
      <w:start w:val="1"/>
      <w:numFmt w:val="decimal"/>
      <w:lvlText w:val="%1."/>
      <w:lvlJc w:val="left"/>
      <w:pPr>
        <w:ind w:left="1778"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B75B5E"/>
    <w:multiLevelType w:val="multilevel"/>
    <w:tmpl w:val="D3143B0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2A7DFC"/>
    <w:multiLevelType w:val="multilevel"/>
    <w:tmpl w:val="21483CE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E55D0D"/>
    <w:multiLevelType w:val="hybridMultilevel"/>
    <w:tmpl w:val="EEA2567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BA46C28"/>
    <w:multiLevelType w:val="hybridMultilevel"/>
    <w:tmpl w:val="1DA4A01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05153FD"/>
    <w:multiLevelType w:val="multilevel"/>
    <w:tmpl w:val="D3143B0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165D24"/>
    <w:multiLevelType w:val="hybridMultilevel"/>
    <w:tmpl w:val="F894DC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3252665"/>
    <w:multiLevelType w:val="hybridMultilevel"/>
    <w:tmpl w:val="60D06384"/>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0A54D3"/>
    <w:multiLevelType w:val="hybridMultilevel"/>
    <w:tmpl w:val="7268942E"/>
    <w:lvl w:ilvl="0" w:tplc="348C3970">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2C228D"/>
    <w:multiLevelType w:val="hybridMultilevel"/>
    <w:tmpl w:val="61F8D0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09813BC"/>
    <w:multiLevelType w:val="multilevel"/>
    <w:tmpl w:val="B49E96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96F3588"/>
    <w:multiLevelType w:val="multilevel"/>
    <w:tmpl w:val="BB86A922"/>
    <w:lvl w:ilvl="0">
      <w:start w:val="1"/>
      <w:numFmt w:val="bullet"/>
      <w:lvlText w:val=""/>
      <w:lvlJc w:val="left"/>
      <w:pPr>
        <w:ind w:left="720" w:hanging="720"/>
      </w:pPr>
      <w:rPr>
        <w:rFonts w:ascii="Symbol" w:hAnsi="Symbol"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FC837E7"/>
    <w:multiLevelType w:val="hybridMultilevel"/>
    <w:tmpl w:val="55E0D20A"/>
    <w:lvl w:ilvl="0" w:tplc="73D05918">
      <w:start w:val="2"/>
      <w:numFmt w:val="decimal"/>
      <w:lvlText w:val="%1."/>
      <w:lvlJc w:val="left"/>
      <w:pPr>
        <w:ind w:left="720" w:hanging="360"/>
      </w:pPr>
      <w:rPr>
        <w:rFonts w:eastAsiaTheme="minorHAns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0" w15:restartNumberingAfterBreak="0">
    <w:nsid w:val="61F94975"/>
    <w:multiLevelType w:val="multilevel"/>
    <w:tmpl w:val="C8DC1AF4"/>
    <w:lvl w:ilvl="0">
      <w:start w:val="1"/>
      <w:numFmt w:val="decimal"/>
      <w:lvlText w:val="%1"/>
      <w:lvlJc w:val="left"/>
      <w:pPr>
        <w:ind w:left="720" w:hanging="720"/>
      </w:pPr>
      <w:rPr>
        <w:rFonts w:hint="default"/>
        <w:b/>
      </w:rPr>
    </w:lvl>
    <w:lvl w:ilvl="1">
      <w:start w:val="1"/>
      <w:numFmt w:val="bullet"/>
      <w:lvlText w:val="o"/>
      <w:lvlJc w:val="left"/>
      <w:pPr>
        <w:ind w:left="720" w:hanging="720"/>
      </w:pPr>
      <w:rPr>
        <w:rFonts w:ascii="Courier New" w:hAnsi="Courier New" w:cs="Courier New"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2" w15:restartNumberingAfterBreak="0">
    <w:nsid w:val="64DA39C9"/>
    <w:multiLevelType w:val="hybridMultilevel"/>
    <w:tmpl w:val="4322EA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5901340"/>
    <w:multiLevelType w:val="multilevel"/>
    <w:tmpl w:val="47F4B58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B170D4B"/>
    <w:multiLevelType w:val="hybridMultilevel"/>
    <w:tmpl w:val="F404FDA2"/>
    <w:lvl w:ilvl="0" w:tplc="0C090003">
      <w:start w:val="1"/>
      <w:numFmt w:val="bullet"/>
      <w:lvlText w:val="o"/>
      <w:lvlJc w:val="left"/>
      <w:pPr>
        <w:ind w:left="360" w:hanging="360"/>
      </w:pPr>
      <w:rPr>
        <w:rFonts w:ascii="Courier New" w:hAnsi="Courier New" w:cs="Courier New"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DB45CF3"/>
    <w:multiLevelType w:val="hybridMultilevel"/>
    <w:tmpl w:val="5854141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15:restartNumberingAfterBreak="0">
    <w:nsid w:val="733B63F4"/>
    <w:multiLevelType w:val="hybridMultilevel"/>
    <w:tmpl w:val="A78C49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6E86CED"/>
    <w:multiLevelType w:val="hybridMultilevel"/>
    <w:tmpl w:val="C8CCEDB0"/>
    <w:lvl w:ilvl="0" w:tplc="FABEF0F8">
      <w:numFmt w:val="bullet"/>
      <w:lvlText w:val="-"/>
      <w:lvlJc w:val="left"/>
      <w:pPr>
        <w:ind w:left="1440" w:hanging="360"/>
      </w:pPr>
      <w:rPr>
        <w:rFonts w:ascii="Calibri" w:eastAsiaTheme="minorHAnsi"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9" w15:restartNumberingAfterBreak="0">
    <w:nsid w:val="781462DD"/>
    <w:multiLevelType w:val="hybridMultilevel"/>
    <w:tmpl w:val="22FA4B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A223D4E"/>
    <w:multiLevelType w:val="multilevel"/>
    <w:tmpl w:val="47F4B58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F53672A"/>
    <w:multiLevelType w:val="hybridMultilevel"/>
    <w:tmpl w:val="F342ECDA"/>
    <w:lvl w:ilvl="0" w:tplc="0722DF3C">
      <w:start w:val="1"/>
      <w:numFmt w:val="lowerLetter"/>
      <w:lvlText w:val="%1)"/>
      <w:lvlJc w:val="left"/>
      <w:pPr>
        <w:ind w:left="829" w:hanging="360"/>
      </w:pPr>
      <w:rPr>
        <w:i w:val="0"/>
        <w:iCs w:val="0"/>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40"/>
  </w:num>
  <w:num w:numId="2">
    <w:abstractNumId w:val="20"/>
  </w:num>
  <w:num w:numId="3">
    <w:abstractNumId w:val="22"/>
  </w:num>
  <w:num w:numId="4">
    <w:abstractNumId w:val="0"/>
  </w:num>
  <w:num w:numId="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num>
  <w:num w:numId="7">
    <w:abstractNumId w:val="21"/>
  </w:num>
  <w:num w:numId="8">
    <w:abstractNumId w:val="10"/>
  </w:num>
  <w:num w:numId="9">
    <w:abstractNumId w:val="42"/>
  </w:num>
  <w:num w:numId="10">
    <w:abstractNumId w:val="36"/>
  </w:num>
  <w:num w:numId="11">
    <w:abstractNumId w:val="4"/>
  </w:num>
  <w:num w:numId="12">
    <w:abstractNumId w:val="23"/>
  </w:num>
  <w:num w:numId="13">
    <w:abstractNumId w:val="34"/>
  </w:num>
  <w:num w:numId="14">
    <w:abstractNumId w:val="14"/>
  </w:num>
  <w:num w:numId="15">
    <w:abstractNumId w:val="39"/>
  </w:num>
  <w:num w:numId="16">
    <w:abstractNumId w:val="32"/>
  </w:num>
  <w:num w:numId="17">
    <w:abstractNumId w:val="6"/>
  </w:num>
  <w:num w:numId="18">
    <w:abstractNumId w:val="18"/>
  </w:num>
  <w:num w:numId="19">
    <w:abstractNumId w:val="2"/>
  </w:num>
  <w:num w:numId="20">
    <w:abstractNumId w:val="25"/>
  </w:num>
  <w:num w:numId="21">
    <w:abstractNumId w:val="26"/>
  </w:num>
  <w:num w:numId="22">
    <w:abstractNumId w:val="3"/>
  </w:num>
  <w:num w:numId="23">
    <w:abstractNumId w:val="1"/>
  </w:num>
  <w:num w:numId="24">
    <w:abstractNumId w:val="11"/>
  </w:num>
  <w:num w:numId="25">
    <w:abstractNumId w:val="16"/>
  </w:num>
  <w:num w:numId="26">
    <w:abstractNumId w:val="9"/>
  </w:num>
  <w:num w:numId="27">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num>
  <w:num w:numId="29">
    <w:abstractNumId w:val="37"/>
  </w:num>
  <w:num w:numId="30">
    <w:abstractNumId w:val="38"/>
  </w:num>
  <w:num w:numId="31">
    <w:abstractNumId w:val="33"/>
  </w:num>
  <w:num w:numId="32">
    <w:abstractNumId w:val="41"/>
  </w:num>
  <w:num w:numId="33">
    <w:abstractNumId w:val="27"/>
  </w:num>
  <w:num w:numId="34">
    <w:abstractNumId w:val="19"/>
  </w:num>
  <w:num w:numId="35">
    <w:abstractNumId w:val="30"/>
  </w:num>
  <w:num w:numId="36">
    <w:abstractNumId w:val="8"/>
  </w:num>
  <w:num w:numId="37">
    <w:abstractNumId w:val="13"/>
  </w:num>
  <w:num w:numId="38">
    <w:abstractNumId w:val="17"/>
  </w:num>
  <w:num w:numId="39">
    <w:abstractNumId w:val="12"/>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8"/>
  </w:num>
  <w:num w:numId="42">
    <w:abstractNumId w:val="15"/>
  </w:num>
  <w:num w:numId="43">
    <w:abstractNumId w:val="5"/>
  </w:num>
  <w:num w:numId="44">
    <w:abstractNumId w:val="40"/>
  </w:num>
  <w:num w:numId="45">
    <w:abstractNumId w:val="40"/>
  </w:num>
  <w:num w:numId="4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058"/>
    <w:rsid w:val="00000790"/>
    <w:rsid w:val="00000AE8"/>
    <w:rsid w:val="0000110B"/>
    <w:rsid w:val="0000232B"/>
    <w:rsid w:val="00003499"/>
    <w:rsid w:val="000039B7"/>
    <w:rsid w:val="00003C1E"/>
    <w:rsid w:val="00004CC0"/>
    <w:rsid w:val="00005292"/>
    <w:rsid w:val="000056B9"/>
    <w:rsid w:val="0000639A"/>
    <w:rsid w:val="000101BD"/>
    <w:rsid w:val="00010B3A"/>
    <w:rsid w:val="0001274D"/>
    <w:rsid w:val="00013247"/>
    <w:rsid w:val="0001349F"/>
    <w:rsid w:val="00014370"/>
    <w:rsid w:val="0001460E"/>
    <w:rsid w:val="00015886"/>
    <w:rsid w:val="0001596F"/>
    <w:rsid w:val="000162EF"/>
    <w:rsid w:val="000207C9"/>
    <w:rsid w:val="0002225F"/>
    <w:rsid w:val="00023763"/>
    <w:rsid w:val="00023E29"/>
    <w:rsid w:val="00024EB5"/>
    <w:rsid w:val="0002735F"/>
    <w:rsid w:val="000274B8"/>
    <w:rsid w:val="00027B4B"/>
    <w:rsid w:val="00030F17"/>
    <w:rsid w:val="00030FCA"/>
    <w:rsid w:val="000323EE"/>
    <w:rsid w:val="0003305A"/>
    <w:rsid w:val="00033863"/>
    <w:rsid w:val="00034324"/>
    <w:rsid w:val="00034C1E"/>
    <w:rsid w:val="000355B6"/>
    <w:rsid w:val="00035DC0"/>
    <w:rsid w:val="00036439"/>
    <w:rsid w:val="00036829"/>
    <w:rsid w:val="00036B24"/>
    <w:rsid w:val="00037CC2"/>
    <w:rsid w:val="000404C2"/>
    <w:rsid w:val="00040895"/>
    <w:rsid w:val="000410A0"/>
    <w:rsid w:val="000418F2"/>
    <w:rsid w:val="00042189"/>
    <w:rsid w:val="00042423"/>
    <w:rsid w:val="000435EE"/>
    <w:rsid w:val="00043C37"/>
    <w:rsid w:val="00045017"/>
    <w:rsid w:val="00045A2B"/>
    <w:rsid w:val="000466F9"/>
    <w:rsid w:val="0004698F"/>
    <w:rsid w:val="00046D64"/>
    <w:rsid w:val="000505A9"/>
    <w:rsid w:val="000508C2"/>
    <w:rsid w:val="00050AA7"/>
    <w:rsid w:val="00052278"/>
    <w:rsid w:val="000528BF"/>
    <w:rsid w:val="000539D0"/>
    <w:rsid w:val="00054621"/>
    <w:rsid w:val="000546D7"/>
    <w:rsid w:val="00054A8D"/>
    <w:rsid w:val="00055046"/>
    <w:rsid w:val="00056ECF"/>
    <w:rsid w:val="000575A5"/>
    <w:rsid w:val="000604DF"/>
    <w:rsid w:val="00062324"/>
    <w:rsid w:val="00062840"/>
    <w:rsid w:val="00064CC5"/>
    <w:rsid w:val="000653B5"/>
    <w:rsid w:val="00065828"/>
    <w:rsid w:val="00065B7E"/>
    <w:rsid w:val="00066360"/>
    <w:rsid w:val="00066AF8"/>
    <w:rsid w:val="00066BFD"/>
    <w:rsid w:val="00067878"/>
    <w:rsid w:val="00071248"/>
    <w:rsid w:val="000720B9"/>
    <w:rsid w:val="00072B81"/>
    <w:rsid w:val="000737F7"/>
    <w:rsid w:val="0007672F"/>
    <w:rsid w:val="00076AA8"/>
    <w:rsid w:val="00076B54"/>
    <w:rsid w:val="000774F0"/>
    <w:rsid w:val="00077F67"/>
    <w:rsid w:val="00080873"/>
    <w:rsid w:val="00080909"/>
    <w:rsid w:val="00080E66"/>
    <w:rsid w:val="00080FC0"/>
    <w:rsid w:val="000812CA"/>
    <w:rsid w:val="00081E63"/>
    <w:rsid w:val="00082580"/>
    <w:rsid w:val="0008258D"/>
    <w:rsid w:val="00083E99"/>
    <w:rsid w:val="00084862"/>
    <w:rsid w:val="00084FA8"/>
    <w:rsid w:val="00085482"/>
    <w:rsid w:val="000856C5"/>
    <w:rsid w:val="00085C31"/>
    <w:rsid w:val="00087833"/>
    <w:rsid w:val="00087DCA"/>
    <w:rsid w:val="000902D9"/>
    <w:rsid w:val="00090C7E"/>
    <w:rsid w:val="000911AC"/>
    <w:rsid w:val="00092600"/>
    <w:rsid w:val="0009262B"/>
    <w:rsid w:val="00093310"/>
    <w:rsid w:val="00093557"/>
    <w:rsid w:val="000939B0"/>
    <w:rsid w:val="00094100"/>
    <w:rsid w:val="0009445A"/>
    <w:rsid w:val="0009445C"/>
    <w:rsid w:val="00095200"/>
    <w:rsid w:val="0009541A"/>
    <w:rsid w:val="00095844"/>
    <w:rsid w:val="00095FB5"/>
    <w:rsid w:val="00095FE5"/>
    <w:rsid w:val="00096284"/>
    <w:rsid w:val="0009651F"/>
    <w:rsid w:val="000A1799"/>
    <w:rsid w:val="000A1BC0"/>
    <w:rsid w:val="000A1BD7"/>
    <w:rsid w:val="000A2C6A"/>
    <w:rsid w:val="000A2F9E"/>
    <w:rsid w:val="000A3E47"/>
    <w:rsid w:val="000A5005"/>
    <w:rsid w:val="000A522B"/>
    <w:rsid w:val="000A5852"/>
    <w:rsid w:val="000A6039"/>
    <w:rsid w:val="000A7453"/>
    <w:rsid w:val="000A7718"/>
    <w:rsid w:val="000A7D08"/>
    <w:rsid w:val="000B0121"/>
    <w:rsid w:val="000B0670"/>
    <w:rsid w:val="000B0E75"/>
    <w:rsid w:val="000B2DCB"/>
    <w:rsid w:val="000B2E7B"/>
    <w:rsid w:val="000B323F"/>
    <w:rsid w:val="000B32DA"/>
    <w:rsid w:val="000B416E"/>
    <w:rsid w:val="000B4440"/>
    <w:rsid w:val="000B5CE0"/>
    <w:rsid w:val="000B6CAC"/>
    <w:rsid w:val="000B7612"/>
    <w:rsid w:val="000B78AE"/>
    <w:rsid w:val="000C0868"/>
    <w:rsid w:val="000C1758"/>
    <w:rsid w:val="000C20A2"/>
    <w:rsid w:val="000C24C9"/>
    <w:rsid w:val="000C37C6"/>
    <w:rsid w:val="000C3DF9"/>
    <w:rsid w:val="000C47D6"/>
    <w:rsid w:val="000C4CF2"/>
    <w:rsid w:val="000C5044"/>
    <w:rsid w:val="000C5C37"/>
    <w:rsid w:val="000C6713"/>
    <w:rsid w:val="000D1BFC"/>
    <w:rsid w:val="000D1D5D"/>
    <w:rsid w:val="000D2352"/>
    <w:rsid w:val="000D23C9"/>
    <w:rsid w:val="000D281A"/>
    <w:rsid w:val="000D2848"/>
    <w:rsid w:val="000D325C"/>
    <w:rsid w:val="000D326A"/>
    <w:rsid w:val="000D47F6"/>
    <w:rsid w:val="000D51FB"/>
    <w:rsid w:val="000D531B"/>
    <w:rsid w:val="000D5849"/>
    <w:rsid w:val="000D6C41"/>
    <w:rsid w:val="000D7096"/>
    <w:rsid w:val="000E0640"/>
    <w:rsid w:val="000E135D"/>
    <w:rsid w:val="000E33C5"/>
    <w:rsid w:val="000E3B6C"/>
    <w:rsid w:val="000E4644"/>
    <w:rsid w:val="000E51D1"/>
    <w:rsid w:val="000E5F8A"/>
    <w:rsid w:val="000E6532"/>
    <w:rsid w:val="000E6592"/>
    <w:rsid w:val="000E76DF"/>
    <w:rsid w:val="000F00BA"/>
    <w:rsid w:val="000F0382"/>
    <w:rsid w:val="000F071B"/>
    <w:rsid w:val="000F316A"/>
    <w:rsid w:val="000F3500"/>
    <w:rsid w:val="000F38E6"/>
    <w:rsid w:val="000F3C74"/>
    <w:rsid w:val="000F4BB8"/>
    <w:rsid w:val="000F4FA9"/>
    <w:rsid w:val="000F53FB"/>
    <w:rsid w:val="000F65D6"/>
    <w:rsid w:val="000F7127"/>
    <w:rsid w:val="000F7A1A"/>
    <w:rsid w:val="000F7B54"/>
    <w:rsid w:val="000F7E58"/>
    <w:rsid w:val="001000B3"/>
    <w:rsid w:val="00100654"/>
    <w:rsid w:val="0010076C"/>
    <w:rsid w:val="0010094F"/>
    <w:rsid w:val="00100F8A"/>
    <w:rsid w:val="00101D07"/>
    <w:rsid w:val="00102179"/>
    <w:rsid w:val="00102190"/>
    <w:rsid w:val="0010452E"/>
    <w:rsid w:val="0010481D"/>
    <w:rsid w:val="00105AE2"/>
    <w:rsid w:val="001060C6"/>
    <w:rsid w:val="00106B80"/>
    <w:rsid w:val="00107049"/>
    <w:rsid w:val="00107CFE"/>
    <w:rsid w:val="00107E18"/>
    <w:rsid w:val="0011032E"/>
    <w:rsid w:val="00111357"/>
    <w:rsid w:val="0011267A"/>
    <w:rsid w:val="0011348B"/>
    <w:rsid w:val="0011450D"/>
    <w:rsid w:val="0011459D"/>
    <w:rsid w:val="00115904"/>
    <w:rsid w:val="00115982"/>
    <w:rsid w:val="00116980"/>
    <w:rsid w:val="00116C53"/>
    <w:rsid w:val="00117F01"/>
    <w:rsid w:val="00120174"/>
    <w:rsid w:val="001206BD"/>
    <w:rsid w:val="00121756"/>
    <w:rsid w:val="00121799"/>
    <w:rsid w:val="001222FC"/>
    <w:rsid w:val="00123902"/>
    <w:rsid w:val="00124A51"/>
    <w:rsid w:val="00124CE5"/>
    <w:rsid w:val="00125BAD"/>
    <w:rsid w:val="00125F0A"/>
    <w:rsid w:val="0012657C"/>
    <w:rsid w:val="00126621"/>
    <w:rsid w:val="00126B1D"/>
    <w:rsid w:val="00126B89"/>
    <w:rsid w:val="00127691"/>
    <w:rsid w:val="001301E9"/>
    <w:rsid w:val="001301F4"/>
    <w:rsid w:val="00130D78"/>
    <w:rsid w:val="00131D82"/>
    <w:rsid w:val="00131E78"/>
    <w:rsid w:val="00132B22"/>
    <w:rsid w:val="00133D36"/>
    <w:rsid w:val="001363EB"/>
    <w:rsid w:val="001365EE"/>
    <w:rsid w:val="00136772"/>
    <w:rsid w:val="00136974"/>
    <w:rsid w:val="00137132"/>
    <w:rsid w:val="00137645"/>
    <w:rsid w:val="00137E45"/>
    <w:rsid w:val="0014015A"/>
    <w:rsid w:val="00140E99"/>
    <w:rsid w:val="00141E99"/>
    <w:rsid w:val="00141FA6"/>
    <w:rsid w:val="00143BE8"/>
    <w:rsid w:val="00143F67"/>
    <w:rsid w:val="001449DD"/>
    <w:rsid w:val="00144F24"/>
    <w:rsid w:val="001451B8"/>
    <w:rsid w:val="00145234"/>
    <w:rsid w:val="00145540"/>
    <w:rsid w:val="001456B0"/>
    <w:rsid w:val="0015049C"/>
    <w:rsid w:val="00151A17"/>
    <w:rsid w:val="0015239E"/>
    <w:rsid w:val="00152A86"/>
    <w:rsid w:val="00153AB9"/>
    <w:rsid w:val="001547AB"/>
    <w:rsid w:val="00154E13"/>
    <w:rsid w:val="00156B87"/>
    <w:rsid w:val="00156F8F"/>
    <w:rsid w:val="00157130"/>
    <w:rsid w:val="001576B1"/>
    <w:rsid w:val="0016047B"/>
    <w:rsid w:val="00160A4C"/>
    <w:rsid w:val="00161522"/>
    <w:rsid w:val="00162387"/>
    <w:rsid w:val="00162913"/>
    <w:rsid w:val="00163EFF"/>
    <w:rsid w:val="00163F66"/>
    <w:rsid w:val="0016478E"/>
    <w:rsid w:val="00165EC4"/>
    <w:rsid w:val="001661FB"/>
    <w:rsid w:val="001662FD"/>
    <w:rsid w:val="001664FE"/>
    <w:rsid w:val="001671A0"/>
    <w:rsid w:val="0016767F"/>
    <w:rsid w:val="001700E1"/>
    <w:rsid w:val="001704DF"/>
    <w:rsid w:val="00171A42"/>
    <w:rsid w:val="00172F51"/>
    <w:rsid w:val="00173565"/>
    <w:rsid w:val="00173B07"/>
    <w:rsid w:val="00174168"/>
    <w:rsid w:val="001751FA"/>
    <w:rsid w:val="00175370"/>
    <w:rsid w:val="00175C5E"/>
    <w:rsid w:val="0017609C"/>
    <w:rsid w:val="001768EB"/>
    <w:rsid w:val="00177150"/>
    <w:rsid w:val="00181C10"/>
    <w:rsid w:val="00181D9C"/>
    <w:rsid w:val="00182751"/>
    <w:rsid w:val="001831AA"/>
    <w:rsid w:val="0018320C"/>
    <w:rsid w:val="001837FF"/>
    <w:rsid w:val="00183EBB"/>
    <w:rsid w:val="00184B0E"/>
    <w:rsid w:val="0018574B"/>
    <w:rsid w:val="0018752F"/>
    <w:rsid w:val="00187A81"/>
    <w:rsid w:val="001902E6"/>
    <w:rsid w:val="00190F47"/>
    <w:rsid w:val="001932AE"/>
    <w:rsid w:val="00193838"/>
    <w:rsid w:val="00194AD8"/>
    <w:rsid w:val="00195222"/>
    <w:rsid w:val="00195452"/>
    <w:rsid w:val="001975D8"/>
    <w:rsid w:val="001A1498"/>
    <w:rsid w:val="001A178E"/>
    <w:rsid w:val="001A1804"/>
    <w:rsid w:val="001A3840"/>
    <w:rsid w:val="001A43FA"/>
    <w:rsid w:val="001A4680"/>
    <w:rsid w:val="001A47C5"/>
    <w:rsid w:val="001A4D21"/>
    <w:rsid w:val="001A59FB"/>
    <w:rsid w:val="001A5E9E"/>
    <w:rsid w:val="001A6354"/>
    <w:rsid w:val="001A6366"/>
    <w:rsid w:val="001A7AE8"/>
    <w:rsid w:val="001B0184"/>
    <w:rsid w:val="001B204E"/>
    <w:rsid w:val="001B2372"/>
    <w:rsid w:val="001B23C1"/>
    <w:rsid w:val="001B3443"/>
    <w:rsid w:val="001B4D20"/>
    <w:rsid w:val="001B6B1D"/>
    <w:rsid w:val="001B7F84"/>
    <w:rsid w:val="001C0C7B"/>
    <w:rsid w:val="001C2A9B"/>
    <w:rsid w:val="001C30D8"/>
    <w:rsid w:val="001C335C"/>
    <w:rsid w:val="001C3DD6"/>
    <w:rsid w:val="001C4299"/>
    <w:rsid w:val="001C4345"/>
    <w:rsid w:val="001C4874"/>
    <w:rsid w:val="001C4B2C"/>
    <w:rsid w:val="001C5F94"/>
    <w:rsid w:val="001C6E66"/>
    <w:rsid w:val="001C788E"/>
    <w:rsid w:val="001D03C9"/>
    <w:rsid w:val="001D1100"/>
    <w:rsid w:val="001D1391"/>
    <w:rsid w:val="001D20D1"/>
    <w:rsid w:val="001D2464"/>
    <w:rsid w:val="001D25D7"/>
    <w:rsid w:val="001D2E46"/>
    <w:rsid w:val="001D3FCE"/>
    <w:rsid w:val="001D5001"/>
    <w:rsid w:val="001D50B2"/>
    <w:rsid w:val="001D583C"/>
    <w:rsid w:val="001D71F4"/>
    <w:rsid w:val="001D7645"/>
    <w:rsid w:val="001D79D9"/>
    <w:rsid w:val="001D7A3B"/>
    <w:rsid w:val="001E0038"/>
    <w:rsid w:val="001E083D"/>
    <w:rsid w:val="001E09F5"/>
    <w:rsid w:val="001E1E86"/>
    <w:rsid w:val="001E1F5E"/>
    <w:rsid w:val="001E238E"/>
    <w:rsid w:val="001E23FE"/>
    <w:rsid w:val="001E2483"/>
    <w:rsid w:val="001E2B1E"/>
    <w:rsid w:val="001E2CFF"/>
    <w:rsid w:val="001E2F24"/>
    <w:rsid w:val="001E30D4"/>
    <w:rsid w:val="001E34DF"/>
    <w:rsid w:val="001E4593"/>
    <w:rsid w:val="001E46AD"/>
    <w:rsid w:val="001E46F9"/>
    <w:rsid w:val="001E4DC9"/>
    <w:rsid w:val="001E52EB"/>
    <w:rsid w:val="001E5385"/>
    <w:rsid w:val="001E59AC"/>
    <w:rsid w:val="001E61D2"/>
    <w:rsid w:val="001E740C"/>
    <w:rsid w:val="001F1235"/>
    <w:rsid w:val="001F1CB3"/>
    <w:rsid w:val="001F1D9A"/>
    <w:rsid w:val="001F38B5"/>
    <w:rsid w:val="001F4081"/>
    <w:rsid w:val="001F4831"/>
    <w:rsid w:val="001F4F3B"/>
    <w:rsid w:val="001F5207"/>
    <w:rsid w:val="001F67A4"/>
    <w:rsid w:val="001F7361"/>
    <w:rsid w:val="001F74B0"/>
    <w:rsid w:val="00200CAD"/>
    <w:rsid w:val="00200FC4"/>
    <w:rsid w:val="002011B0"/>
    <w:rsid w:val="002023CC"/>
    <w:rsid w:val="002025B5"/>
    <w:rsid w:val="00203181"/>
    <w:rsid w:val="00203783"/>
    <w:rsid w:val="0020385F"/>
    <w:rsid w:val="00204C50"/>
    <w:rsid w:val="002059A1"/>
    <w:rsid w:val="00206119"/>
    <w:rsid w:val="002068A0"/>
    <w:rsid w:val="00207021"/>
    <w:rsid w:val="0020732F"/>
    <w:rsid w:val="00207D00"/>
    <w:rsid w:val="00207DAA"/>
    <w:rsid w:val="002105C1"/>
    <w:rsid w:val="002116FD"/>
    <w:rsid w:val="00211F42"/>
    <w:rsid w:val="00213EF5"/>
    <w:rsid w:val="002159C3"/>
    <w:rsid w:val="00216BF5"/>
    <w:rsid w:val="0022276F"/>
    <w:rsid w:val="00223B49"/>
    <w:rsid w:val="00223D5A"/>
    <w:rsid w:val="00224DD4"/>
    <w:rsid w:val="00224ED0"/>
    <w:rsid w:val="002250E4"/>
    <w:rsid w:val="00225FD6"/>
    <w:rsid w:val="002278A0"/>
    <w:rsid w:val="00227E8F"/>
    <w:rsid w:val="002309CC"/>
    <w:rsid w:val="00231026"/>
    <w:rsid w:val="00231446"/>
    <w:rsid w:val="00231BA9"/>
    <w:rsid w:val="0023209F"/>
    <w:rsid w:val="00233C01"/>
    <w:rsid w:val="0023413C"/>
    <w:rsid w:val="002346F0"/>
    <w:rsid w:val="0023629D"/>
    <w:rsid w:val="002365A5"/>
    <w:rsid w:val="0023709A"/>
    <w:rsid w:val="00237255"/>
    <w:rsid w:val="00237718"/>
    <w:rsid w:val="002405A3"/>
    <w:rsid w:val="002424AF"/>
    <w:rsid w:val="00242BFC"/>
    <w:rsid w:val="002439DC"/>
    <w:rsid w:val="00243A18"/>
    <w:rsid w:val="002441D2"/>
    <w:rsid w:val="00244DC8"/>
    <w:rsid w:val="002455DF"/>
    <w:rsid w:val="002458BA"/>
    <w:rsid w:val="00245CE9"/>
    <w:rsid w:val="0024636C"/>
    <w:rsid w:val="00247925"/>
    <w:rsid w:val="00250C0F"/>
    <w:rsid w:val="00251006"/>
    <w:rsid w:val="002519AA"/>
    <w:rsid w:val="002524D5"/>
    <w:rsid w:val="00253B1D"/>
    <w:rsid w:val="00254225"/>
    <w:rsid w:val="002544AF"/>
    <w:rsid w:val="00254DCF"/>
    <w:rsid w:val="0025534B"/>
    <w:rsid w:val="00255968"/>
    <w:rsid w:val="00255BB7"/>
    <w:rsid w:val="00257541"/>
    <w:rsid w:val="00257A39"/>
    <w:rsid w:val="00257AC4"/>
    <w:rsid w:val="00257BBE"/>
    <w:rsid w:val="00260FB7"/>
    <w:rsid w:val="0026138B"/>
    <w:rsid w:val="00261EEF"/>
    <w:rsid w:val="00262A1A"/>
    <w:rsid w:val="00262A87"/>
    <w:rsid w:val="002632B1"/>
    <w:rsid w:val="00263D7E"/>
    <w:rsid w:val="00264D26"/>
    <w:rsid w:val="00264EE6"/>
    <w:rsid w:val="002650DD"/>
    <w:rsid w:val="00265AE2"/>
    <w:rsid w:val="00267642"/>
    <w:rsid w:val="00267AEA"/>
    <w:rsid w:val="00270011"/>
    <w:rsid w:val="002700E6"/>
    <w:rsid w:val="002712EE"/>
    <w:rsid w:val="0027294B"/>
    <w:rsid w:val="00273CBB"/>
    <w:rsid w:val="00273E02"/>
    <w:rsid w:val="00273EB4"/>
    <w:rsid w:val="00274682"/>
    <w:rsid w:val="002748E3"/>
    <w:rsid w:val="00274DA5"/>
    <w:rsid w:val="00275158"/>
    <w:rsid w:val="00275C5A"/>
    <w:rsid w:val="00276211"/>
    <w:rsid w:val="00277018"/>
    <w:rsid w:val="002800E1"/>
    <w:rsid w:val="00281014"/>
    <w:rsid w:val="00281D0E"/>
    <w:rsid w:val="002832F9"/>
    <w:rsid w:val="00283667"/>
    <w:rsid w:val="00283B0F"/>
    <w:rsid w:val="00285BCE"/>
    <w:rsid w:val="00285FF8"/>
    <w:rsid w:val="002864A1"/>
    <w:rsid w:val="0028665D"/>
    <w:rsid w:val="00290F3D"/>
    <w:rsid w:val="0029200A"/>
    <w:rsid w:val="002923D5"/>
    <w:rsid w:val="00292416"/>
    <w:rsid w:val="00292731"/>
    <w:rsid w:val="00292B50"/>
    <w:rsid w:val="0029386A"/>
    <w:rsid w:val="00296304"/>
    <w:rsid w:val="00297789"/>
    <w:rsid w:val="002A11D6"/>
    <w:rsid w:val="002A14AB"/>
    <w:rsid w:val="002A1B7E"/>
    <w:rsid w:val="002A2ADE"/>
    <w:rsid w:val="002A2F50"/>
    <w:rsid w:val="002A3D24"/>
    <w:rsid w:val="002A7832"/>
    <w:rsid w:val="002A7943"/>
    <w:rsid w:val="002B05A1"/>
    <w:rsid w:val="002B09A4"/>
    <w:rsid w:val="002B1C1F"/>
    <w:rsid w:val="002B3957"/>
    <w:rsid w:val="002B40C3"/>
    <w:rsid w:val="002B432F"/>
    <w:rsid w:val="002B4F91"/>
    <w:rsid w:val="002B57EE"/>
    <w:rsid w:val="002B61BE"/>
    <w:rsid w:val="002B62B3"/>
    <w:rsid w:val="002B6754"/>
    <w:rsid w:val="002B6CCE"/>
    <w:rsid w:val="002C04AE"/>
    <w:rsid w:val="002C1016"/>
    <w:rsid w:val="002C2510"/>
    <w:rsid w:val="002C2775"/>
    <w:rsid w:val="002C27C1"/>
    <w:rsid w:val="002C287A"/>
    <w:rsid w:val="002C2E5E"/>
    <w:rsid w:val="002C36E3"/>
    <w:rsid w:val="002C5099"/>
    <w:rsid w:val="002C5889"/>
    <w:rsid w:val="002C6116"/>
    <w:rsid w:val="002C71CE"/>
    <w:rsid w:val="002C75BA"/>
    <w:rsid w:val="002C7E50"/>
    <w:rsid w:val="002D040A"/>
    <w:rsid w:val="002D08F8"/>
    <w:rsid w:val="002D1858"/>
    <w:rsid w:val="002D1DC3"/>
    <w:rsid w:val="002D22C5"/>
    <w:rsid w:val="002D2382"/>
    <w:rsid w:val="002D2BDD"/>
    <w:rsid w:val="002D577C"/>
    <w:rsid w:val="002D5BD9"/>
    <w:rsid w:val="002D7832"/>
    <w:rsid w:val="002D7F0F"/>
    <w:rsid w:val="002E1071"/>
    <w:rsid w:val="002E15B9"/>
    <w:rsid w:val="002E2158"/>
    <w:rsid w:val="002E2EEE"/>
    <w:rsid w:val="002E356C"/>
    <w:rsid w:val="002E3BB0"/>
    <w:rsid w:val="002E464B"/>
    <w:rsid w:val="002E4F02"/>
    <w:rsid w:val="002E5095"/>
    <w:rsid w:val="002E5467"/>
    <w:rsid w:val="002E7722"/>
    <w:rsid w:val="002F07BA"/>
    <w:rsid w:val="002F0DA9"/>
    <w:rsid w:val="002F0F7E"/>
    <w:rsid w:val="002F1014"/>
    <w:rsid w:val="002F1E3B"/>
    <w:rsid w:val="002F2AB4"/>
    <w:rsid w:val="002F643C"/>
    <w:rsid w:val="002F6472"/>
    <w:rsid w:val="002F7132"/>
    <w:rsid w:val="002F71C0"/>
    <w:rsid w:val="002F7231"/>
    <w:rsid w:val="002F74F1"/>
    <w:rsid w:val="00300D55"/>
    <w:rsid w:val="00301017"/>
    <w:rsid w:val="003014F0"/>
    <w:rsid w:val="0030155F"/>
    <w:rsid w:val="00305542"/>
    <w:rsid w:val="0030587B"/>
    <w:rsid w:val="00306849"/>
    <w:rsid w:val="00306D98"/>
    <w:rsid w:val="003077B0"/>
    <w:rsid w:val="0030786C"/>
    <w:rsid w:val="0031031A"/>
    <w:rsid w:val="00310444"/>
    <w:rsid w:val="00310981"/>
    <w:rsid w:val="00311D9B"/>
    <w:rsid w:val="003124D9"/>
    <w:rsid w:val="00312594"/>
    <w:rsid w:val="00314063"/>
    <w:rsid w:val="00314B65"/>
    <w:rsid w:val="00315498"/>
    <w:rsid w:val="00315636"/>
    <w:rsid w:val="00315A6D"/>
    <w:rsid w:val="00316474"/>
    <w:rsid w:val="00317678"/>
    <w:rsid w:val="00320FCB"/>
    <w:rsid w:val="00322107"/>
    <w:rsid w:val="00322355"/>
    <w:rsid w:val="00322846"/>
    <w:rsid w:val="0032435F"/>
    <w:rsid w:val="003256B4"/>
    <w:rsid w:val="003266D5"/>
    <w:rsid w:val="00326DA7"/>
    <w:rsid w:val="003270E4"/>
    <w:rsid w:val="0033001C"/>
    <w:rsid w:val="00330246"/>
    <w:rsid w:val="00330DAA"/>
    <w:rsid w:val="00330E21"/>
    <w:rsid w:val="00330F5C"/>
    <w:rsid w:val="00334D98"/>
    <w:rsid w:val="003359C6"/>
    <w:rsid w:val="003366C9"/>
    <w:rsid w:val="00336CC7"/>
    <w:rsid w:val="003371B0"/>
    <w:rsid w:val="003404F1"/>
    <w:rsid w:val="00340AE3"/>
    <w:rsid w:val="00340DF1"/>
    <w:rsid w:val="003418AB"/>
    <w:rsid w:val="00342485"/>
    <w:rsid w:val="00344909"/>
    <w:rsid w:val="0034681B"/>
    <w:rsid w:val="00346D0B"/>
    <w:rsid w:val="0034764B"/>
    <w:rsid w:val="003517F9"/>
    <w:rsid w:val="00351BA9"/>
    <w:rsid w:val="00351CAD"/>
    <w:rsid w:val="0035283C"/>
    <w:rsid w:val="0035377E"/>
    <w:rsid w:val="00354F64"/>
    <w:rsid w:val="00355C15"/>
    <w:rsid w:val="0035620E"/>
    <w:rsid w:val="00356920"/>
    <w:rsid w:val="003575BE"/>
    <w:rsid w:val="00360345"/>
    <w:rsid w:val="00360CA9"/>
    <w:rsid w:val="00360DCB"/>
    <w:rsid w:val="00361A05"/>
    <w:rsid w:val="003624C4"/>
    <w:rsid w:val="003626C9"/>
    <w:rsid w:val="00362C07"/>
    <w:rsid w:val="003632A2"/>
    <w:rsid w:val="00363B00"/>
    <w:rsid w:val="003640FA"/>
    <w:rsid w:val="00364CC5"/>
    <w:rsid w:val="0036527B"/>
    <w:rsid w:val="003654AC"/>
    <w:rsid w:val="003710CF"/>
    <w:rsid w:val="003725F4"/>
    <w:rsid w:val="0037358A"/>
    <w:rsid w:val="00373EF6"/>
    <w:rsid w:val="003750F6"/>
    <w:rsid w:val="003760FC"/>
    <w:rsid w:val="0038044B"/>
    <w:rsid w:val="00381C10"/>
    <w:rsid w:val="00382C49"/>
    <w:rsid w:val="003830E6"/>
    <w:rsid w:val="0038365C"/>
    <w:rsid w:val="0038369B"/>
    <w:rsid w:val="00383B78"/>
    <w:rsid w:val="0038405F"/>
    <w:rsid w:val="00385A9D"/>
    <w:rsid w:val="00387121"/>
    <w:rsid w:val="003877C7"/>
    <w:rsid w:val="003902B1"/>
    <w:rsid w:val="003909A3"/>
    <w:rsid w:val="00390EF6"/>
    <w:rsid w:val="0039179C"/>
    <w:rsid w:val="00391E58"/>
    <w:rsid w:val="00391FAC"/>
    <w:rsid w:val="00392AB7"/>
    <w:rsid w:val="00393001"/>
    <w:rsid w:val="003931FE"/>
    <w:rsid w:val="003938AA"/>
    <w:rsid w:val="00394005"/>
    <w:rsid w:val="003941A4"/>
    <w:rsid w:val="003944A5"/>
    <w:rsid w:val="0039564D"/>
    <w:rsid w:val="0039641F"/>
    <w:rsid w:val="00396896"/>
    <w:rsid w:val="00396FD0"/>
    <w:rsid w:val="00397774"/>
    <w:rsid w:val="003A0907"/>
    <w:rsid w:val="003A0D82"/>
    <w:rsid w:val="003A108F"/>
    <w:rsid w:val="003A1A7A"/>
    <w:rsid w:val="003A2392"/>
    <w:rsid w:val="003A2831"/>
    <w:rsid w:val="003A3CB6"/>
    <w:rsid w:val="003A3ED1"/>
    <w:rsid w:val="003A41AA"/>
    <w:rsid w:val="003A44DB"/>
    <w:rsid w:val="003A4C14"/>
    <w:rsid w:val="003A5E87"/>
    <w:rsid w:val="003A6AD3"/>
    <w:rsid w:val="003A7141"/>
    <w:rsid w:val="003A7339"/>
    <w:rsid w:val="003A7BA9"/>
    <w:rsid w:val="003A7FB1"/>
    <w:rsid w:val="003B0297"/>
    <w:rsid w:val="003B1501"/>
    <w:rsid w:val="003B2011"/>
    <w:rsid w:val="003B2243"/>
    <w:rsid w:val="003B226D"/>
    <w:rsid w:val="003B25B0"/>
    <w:rsid w:val="003B2F7A"/>
    <w:rsid w:val="003B2FF1"/>
    <w:rsid w:val="003B3501"/>
    <w:rsid w:val="003B395F"/>
    <w:rsid w:val="003B3971"/>
    <w:rsid w:val="003B409A"/>
    <w:rsid w:val="003B5336"/>
    <w:rsid w:val="003B55D1"/>
    <w:rsid w:val="003B5B61"/>
    <w:rsid w:val="003B6C9C"/>
    <w:rsid w:val="003B7DB6"/>
    <w:rsid w:val="003C1300"/>
    <w:rsid w:val="003C1654"/>
    <w:rsid w:val="003C2580"/>
    <w:rsid w:val="003C266B"/>
    <w:rsid w:val="003C2870"/>
    <w:rsid w:val="003C40D8"/>
    <w:rsid w:val="003C458D"/>
    <w:rsid w:val="003C4B1E"/>
    <w:rsid w:val="003C5542"/>
    <w:rsid w:val="003C7C15"/>
    <w:rsid w:val="003C7D19"/>
    <w:rsid w:val="003C7D2F"/>
    <w:rsid w:val="003D0C5A"/>
    <w:rsid w:val="003D10D4"/>
    <w:rsid w:val="003D1828"/>
    <w:rsid w:val="003D1DE4"/>
    <w:rsid w:val="003D1E9A"/>
    <w:rsid w:val="003D2422"/>
    <w:rsid w:val="003D39A1"/>
    <w:rsid w:val="003D3FBF"/>
    <w:rsid w:val="003D427D"/>
    <w:rsid w:val="003D45EE"/>
    <w:rsid w:val="003D4828"/>
    <w:rsid w:val="003D4A30"/>
    <w:rsid w:val="003D7333"/>
    <w:rsid w:val="003D7452"/>
    <w:rsid w:val="003D79BB"/>
    <w:rsid w:val="003D7C98"/>
    <w:rsid w:val="003D7D9D"/>
    <w:rsid w:val="003E0543"/>
    <w:rsid w:val="003E1A82"/>
    <w:rsid w:val="003E230E"/>
    <w:rsid w:val="003E4262"/>
    <w:rsid w:val="003E5603"/>
    <w:rsid w:val="003E5A7B"/>
    <w:rsid w:val="003E6D7C"/>
    <w:rsid w:val="003E749E"/>
    <w:rsid w:val="003E74FC"/>
    <w:rsid w:val="003E75BE"/>
    <w:rsid w:val="003F0929"/>
    <w:rsid w:val="003F0F65"/>
    <w:rsid w:val="003F1702"/>
    <w:rsid w:val="003F17AF"/>
    <w:rsid w:val="003F17BF"/>
    <w:rsid w:val="003F32DE"/>
    <w:rsid w:val="003F4156"/>
    <w:rsid w:val="003F5A2D"/>
    <w:rsid w:val="003F5ADF"/>
    <w:rsid w:val="003F5CC4"/>
    <w:rsid w:val="003F64C0"/>
    <w:rsid w:val="00400B29"/>
    <w:rsid w:val="00401517"/>
    <w:rsid w:val="00402080"/>
    <w:rsid w:val="00402812"/>
    <w:rsid w:val="0040504B"/>
    <w:rsid w:val="004050E8"/>
    <w:rsid w:val="00405793"/>
    <w:rsid w:val="004059F4"/>
    <w:rsid w:val="00407B35"/>
    <w:rsid w:val="00407F66"/>
    <w:rsid w:val="00407FE5"/>
    <w:rsid w:val="004101B0"/>
    <w:rsid w:val="00410326"/>
    <w:rsid w:val="00410708"/>
    <w:rsid w:val="00410EC7"/>
    <w:rsid w:val="00411B39"/>
    <w:rsid w:val="004127A7"/>
    <w:rsid w:val="00413A1E"/>
    <w:rsid w:val="00414476"/>
    <w:rsid w:val="00414C2E"/>
    <w:rsid w:val="00414E90"/>
    <w:rsid w:val="00414F7C"/>
    <w:rsid w:val="004151CF"/>
    <w:rsid w:val="00416364"/>
    <w:rsid w:val="00416F56"/>
    <w:rsid w:val="0042047F"/>
    <w:rsid w:val="00420AA6"/>
    <w:rsid w:val="00420B9F"/>
    <w:rsid w:val="0042192C"/>
    <w:rsid w:val="00422260"/>
    <w:rsid w:val="004235CC"/>
    <w:rsid w:val="0042413F"/>
    <w:rsid w:val="00426EF3"/>
    <w:rsid w:val="00427991"/>
    <w:rsid w:val="004279AC"/>
    <w:rsid w:val="00427D18"/>
    <w:rsid w:val="00430D98"/>
    <w:rsid w:val="004319F8"/>
    <w:rsid w:val="00431E55"/>
    <w:rsid w:val="004321F6"/>
    <w:rsid w:val="00433044"/>
    <w:rsid w:val="00434088"/>
    <w:rsid w:val="0043506F"/>
    <w:rsid w:val="00435269"/>
    <w:rsid w:val="00436A6A"/>
    <w:rsid w:val="00436B7F"/>
    <w:rsid w:val="00437329"/>
    <w:rsid w:val="004375B9"/>
    <w:rsid w:val="0044212E"/>
    <w:rsid w:val="00442397"/>
    <w:rsid w:val="00442441"/>
    <w:rsid w:val="004428D0"/>
    <w:rsid w:val="00443853"/>
    <w:rsid w:val="00444185"/>
    <w:rsid w:val="004443A7"/>
    <w:rsid w:val="0044442C"/>
    <w:rsid w:val="00445941"/>
    <w:rsid w:val="004464EB"/>
    <w:rsid w:val="00446CBB"/>
    <w:rsid w:val="00447D26"/>
    <w:rsid w:val="00447DFC"/>
    <w:rsid w:val="00450241"/>
    <w:rsid w:val="00455AB6"/>
    <w:rsid w:val="00455C43"/>
    <w:rsid w:val="00455D45"/>
    <w:rsid w:val="004611A2"/>
    <w:rsid w:val="00464595"/>
    <w:rsid w:val="0046474C"/>
    <w:rsid w:val="00464818"/>
    <w:rsid w:val="004658B5"/>
    <w:rsid w:val="00465B07"/>
    <w:rsid w:val="00466367"/>
    <w:rsid w:val="00467E2E"/>
    <w:rsid w:val="00471EA5"/>
    <w:rsid w:val="00472A79"/>
    <w:rsid w:val="00473B31"/>
    <w:rsid w:val="00473F19"/>
    <w:rsid w:val="00474D09"/>
    <w:rsid w:val="004754F4"/>
    <w:rsid w:val="00475E22"/>
    <w:rsid w:val="004768A7"/>
    <w:rsid w:val="00476B8A"/>
    <w:rsid w:val="00476C8F"/>
    <w:rsid w:val="0048088E"/>
    <w:rsid w:val="00480955"/>
    <w:rsid w:val="00480F2B"/>
    <w:rsid w:val="00481B1F"/>
    <w:rsid w:val="00481BD7"/>
    <w:rsid w:val="00481D7D"/>
    <w:rsid w:val="00482720"/>
    <w:rsid w:val="004835E7"/>
    <w:rsid w:val="00484FDE"/>
    <w:rsid w:val="004859E1"/>
    <w:rsid w:val="004867E2"/>
    <w:rsid w:val="00486EAA"/>
    <w:rsid w:val="00490B17"/>
    <w:rsid w:val="00490E9A"/>
    <w:rsid w:val="00491B3A"/>
    <w:rsid w:val="00492821"/>
    <w:rsid w:val="00492CFD"/>
    <w:rsid w:val="00494207"/>
    <w:rsid w:val="00494491"/>
    <w:rsid w:val="00494DD5"/>
    <w:rsid w:val="00495000"/>
    <w:rsid w:val="00495332"/>
    <w:rsid w:val="004962D2"/>
    <w:rsid w:val="004966FA"/>
    <w:rsid w:val="004A0DA1"/>
    <w:rsid w:val="004A0F84"/>
    <w:rsid w:val="004A13D6"/>
    <w:rsid w:val="004A1583"/>
    <w:rsid w:val="004A27F8"/>
    <w:rsid w:val="004A4CCD"/>
    <w:rsid w:val="004A50DB"/>
    <w:rsid w:val="004A52E9"/>
    <w:rsid w:val="004A5A7E"/>
    <w:rsid w:val="004A6040"/>
    <w:rsid w:val="004A6597"/>
    <w:rsid w:val="004A7848"/>
    <w:rsid w:val="004A7861"/>
    <w:rsid w:val="004A793B"/>
    <w:rsid w:val="004B0A3E"/>
    <w:rsid w:val="004B1CB4"/>
    <w:rsid w:val="004B2F18"/>
    <w:rsid w:val="004B3DDB"/>
    <w:rsid w:val="004B44FD"/>
    <w:rsid w:val="004B49EC"/>
    <w:rsid w:val="004B4A1E"/>
    <w:rsid w:val="004B4B1D"/>
    <w:rsid w:val="004B575C"/>
    <w:rsid w:val="004B5BA3"/>
    <w:rsid w:val="004B5CFC"/>
    <w:rsid w:val="004B5FCB"/>
    <w:rsid w:val="004B6F79"/>
    <w:rsid w:val="004B7071"/>
    <w:rsid w:val="004B724A"/>
    <w:rsid w:val="004B7406"/>
    <w:rsid w:val="004B774D"/>
    <w:rsid w:val="004C007A"/>
    <w:rsid w:val="004C11F6"/>
    <w:rsid w:val="004C1D4A"/>
    <w:rsid w:val="004C2AC2"/>
    <w:rsid w:val="004C2BEF"/>
    <w:rsid w:val="004C3244"/>
    <w:rsid w:val="004C3EF4"/>
    <w:rsid w:val="004C434D"/>
    <w:rsid w:val="004C4AED"/>
    <w:rsid w:val="004C7D27"/>
    <w:rsid w:val="004D0AC9"/>
    <w:rsid w:val="004D12A3"/>
    <w:rsid w:val="004D1B47"/>
    <w:rsid w:val="004D2C2D"/>
    <w:rsid w:val="004D48C5"/>
    <w:rsid w:val="004D69B5"/>
    <w:rsid w:val="004D6E3C"/>
    <w:rsid w:val="004D6F4C"/>
    <w:rsid w:val="004D7227"/>
    <w:rsid w:val="004D7318"/>
    <w:rsid w:val="004D7B5E"/>
    <w:rsid w:val="004E0E7F"/>
    <w:rsid w:val="004E0EB8"/>
    <w:rsid w:val="004E18E9"/>
    <w:rsid w:val="004E2ADC"/>
    <w:rsid w:val="004E2FD6"/>
    <w:rsid w:val="004E43B2"/>
    <w:rsid w:val="004E4594"/>
    <w:rsid w:val="004F1459"/>
    <w:rsid w:val="004F1D02"/>
    <w:rsid w:val="004F2679"/>
    <w:rsid w:val="004F2F21"/>
    <w:rsid w:val="004F3329"/>
    <w:rsid w:val="004F3DE5"/>
    <w:rsid w:val="004F43CD"/>
    <w:rsid w:val="004F528D"/>
    <w:rsid w:val="004F52EF"/>
    <w:rsid w:val="004F689F"/>
    <w:rsid w:val="004F6913"/>
    <w:rsid w:val="004F7865"/>
    <w:rsid w:val="0050174E"/>
    <w:rsid w:val="00501854"/>
    <w:rsid w:val="00501F3F"/>
    <w:rsid w:val="0050219B"/>
    <w:rsid w:val="00502231"/>
    <w:rsid w:val="00503366"/>
    <w:rsid w:val="00503F17"/>
    <w:rsid w:val="00503F3A"/>
    <w:rsid w:val="00505DB2"/>
    <w:rsid w:val="00506928"/>
    <w:rsid w:val="00507399"/>
    <w:rsid w:val="005077EF"/>
    <w:rsid w:val="00510508"/>
    <w:rsid w:val="00511434"/>
    <w:rsid w:val="00511AD5"/>
    <w:rsid w:val="00511DC7"/>
    <w:rsid w:val="00512112"/>
    <w:rsid w:val="005142C5"/>
    <w:rsid w:val="00514E58"/>
    <w:rsid w:val="0051501B"/>
    <w:rsid w:val="005152B5"/>
    <w:rsid w:val="00515886"/>
    <w:rsid w:val="00516276"/>
    <w:rsid w:val="00517BB2"/>
    <w:rsid w:val="005208BD"/>
    <w:rsid w:val="0052123C"/>
    <w:rsid w:val="00521319"/>
    <w:rsid w:val="0052221C"/>
    <w:rsid w:val="00522990"/>
    <w:rsid w:val="00522BC8"/>
    <w:rsid w:val="00523685"/>
    <w:rsid w:val="0052377F"/>
    <w:rsid w:val="00523C28"/>
    <w:rsid w:val="005245B6"/>
    <w:rsid w:val="00525F5A"/>
    <w:rsid w:val="0053141A"/>
    <w:rsid w:val="0053176B"/>
    <w:rsid w:val="00531CA2"/>
    <w:rsid w:val="0053288C"/>
    <w:rsid w:val="00532C3F"/>
    <w:rsid w:val="00533F1C"/>
    <w:rsid w:val="005341B3"/>
    <w:rsid w:val="005346E5"/>
    <w:rsid w:val="00534AE3"/>
    <w:rsid w:val="005352DE"/>
    <w:rsid w:val="00535756"/>
    <w:rsid w:val="00536F42"/>
    <w:rsid w:val="00537182"/>
    <w:rsid w:val="00541EDD"/>
    <w:rsid w:val="00542743"/>
    <w:rsid w:val="00542B08"/>
    <w:rsid w:val="00542C2D"/>
    <w:rsid w:val="005478BD"/>
    <w:rsid w:val="005479E3"/>
    <w:rsid w:val="00550DD1"/>
    <w:rsid w:val="005518BD"/>
    <w:rsid w:val="00551985"/>
    <w:rsid w:val="00552BD3"/>
    <w:rsid w:val="00553151"/>
    <w:rsid w:val="005532A0"/>
    <w:rsid w:val="00553748"/>
    <w:rsid w:val="00555109"/>
    <w:rsid w:val="0055594A"/>
    <w:rsid w:val="0055670F"/>
    <w:rsid w:val="00556B35"/>
    <w:rsid w:val="0055741A"/>
    <w:rsid w:val="00557620"/>
    <w:rsid w:val="00560256"/>
    <w:rsid w:val="005611B7"/>
    <w:rsid w:val="005618D4"/>
    <w:rsid w:val="00564867"/>
    <w:rsid w:val="0056573D"/>
    <w:rsid w:val="00565C79"/>
    <w:rsid w:val="00565DF0"/>
    <w:rsid w:val="00565EA7"/>
    <w:rsid w:val="0056696F"/>
    <w:rsid w:val="0056715D"/>
    <w:rsid w:val="0057031F"/>
    <w:rsid w:val="00571C7B"/>
    <w:rsid w:val="00572269"/>
    <w:rsid w:val="0057244A"/>
    <w:rsid w:val="0057295E"/>
    <w:rsid w:val="00572B46"/>
    <w:rsid w:val="00572F26"/>
    <w:rsid w:val="005748E4"/>
    <w:rsid w:val="005750C5"/>
    <w:rsid w:val="005752DE"/>
    <w:rsid w:val="00575D60"/>
    <w:rsid w:val="00575D8D"/>
    <w:rsid w:val="005763AA"/>
    <w:rsid w:val="0057676F"/>
    <w:rsid w:val="00576972"/>
    <w:rsid w:val="0057718D"/>
    <w:rsid w:val="00577248"/>
    <w:rsid w:val="00577374"/>
    <w:rsid w:val="00580209"/>
    <w:rsid w:val="005802AE"/>
    <w:rsid w:val="00580CD7"/>
    <w:rsid w:val="0058106E"/>
    <w:rsid w:val="0058202A"/>
    <w:rsid w:val="0058250B"/>
    <w:rsid w:val="00582F2C"/>
    <w:rsid w:val="00583008"/>
    <w:rsid w:val="0058309F"/>
    <w:rsid w:val="00583699"/>
    <w:rsid w:val="0058513A"/>
    <w:rsid w:val="00585CDD"/>
    <w:rsid w:val="00586DBE"/>
    <w:rsid w:val="00587058"/>
    <w:rsid w:val="00590DD7"/>
    <w:rsid w:val="00591957"/>
    <w:rsid w:val="00591D85"/>
    <w:rsid w:val="00593962"/>
    <w:rsid w:val="00596721"/>
    <w:rsid w:val="00597BF9"/>
    <w:rsid w:val="005A08BB"/>
    <w:rsid w:val="005A0A13"/>
    <w:rsid w:val="005A0C11"/>
    <w:rsid w:val="005A1367"/>
    <w:rsid w:val="005A221D"/>
    <w:rsid w:val="005A309A"/>
    <w:rsid w:val="005A373D"/>
    <w:rsid w:val="005A3926"/>
    <w:rsid w:val="005A3991"/>
    <w:rsid w:val="005A3BDB"/>
    <w:rsid w:val="005A5258"/>
    <w:rsid w:val="005A5856"/>
    <w:rsid w:val="005A6820"/>
    <w:rsid w:val="005A694E"/>
    <w:rsid w:val="005B0158"/>
    <w:rsid w:val="005B0B58"/>
    <w:rsid w:val="005B219B"/>
    <w:rsid w:val="005B3B5E"/>
    <w:rsid w:val="005B4A84"/>
    <w:rsid w:val="005B4E53"/>
    <w:rsid w:val="005B5339"/>
    <w:rsid w:val="005B5857"/>
    <w:rsid w:val="005B68AB"/>
    <w:rsid w:val="005C19C4"/>
    <w:rsid w:val="005C1B83"/>
    <w:rsid w:val="005C25FF"/>
    <w:rsid w:val="005C26FA"/>
    <w:rsid w:val="005C2C0F"/>
    <w:rsid w:val="005C2D55"/>
    <w:rsid w:val="005C346B"/>
    <w:rsid w:val="005C4D9C"/>
    <w:rsid w:val="005C5ABC"/>
    <w:rsid w:val="005D044D"/>
    <w:rsid w:val="005D0ABD"/>
    <w:rsid w:val="005D18AD"/>
    <w:rsid w:val="005D26B4"/>
    <w:rsid w:val="005D32D0"/>
    <w:rsid w:val="005D4240"/>
    <w:rsid w:val="005D486E"/>
    <w:rsid w:val="005D57A8"/>
    <w:rsid w:val="005D7C3F"/>
    <w:rsid w:val="005E1995"/>
    <w:rsid w:val="005E37D8"/>
    <w:rsid w:val="005E534C"/>
    <w:rsid w:val="005E6BCD"/>
    <w:rsid w:val="005E6CBC"/>
    <w:rsid w:val="005E72FF"/>
    <w:rsid w:val="005E73C0"/>
    <w:rsid w:val="005F07ED"/>
    <w:rsid w:val="005F2706"/>
    <w:rsid w:val="005F3907"/>
    <w:rsid w:val="005F6A8F"/>
    <w:rsid w:val="005F6ACE"/>
    <w:rsid w:val="005F6BB7"/>
    <w:rsid w:val="005F6EF0"/>
    <w:rsid w:val="005F7588"/>
    <w:rsid w:val="005F7CB4"/>
    <w:rsid w:val="00603DB9"/>
    <w:rsid w:val="00606FBA"/>
    <w:rsid w:val="00607316"/>
    <w:rsid w:val="00607669"/>
    <w:rsid w:val="006076F4"/>
    <w:rsid w:val="00607AFD"/>
    <w:rsid w:val="0061114D"/>
    <w:rsid w:val="00611A1B"/>
    <w:rsid w:val="00611B12"/>
    <w:rsid w:val="00611FB1"/>
    <w:rsid w:val="00612F97"/>
    <w:rsid w:val="0061345D"/>
    <w:rsid w:val="0061388F"/>
    <w:rsid w:val="00613B8A"/>
    <w:rsid w:val="0061451A"/>
    <w:rsid w:val="0061549B"/>
    <w:rsid w:val="00616802"/>
    <w:rsid w:val="00616ED6"/>
    <w:rsid w:val="00616F99"/>
    <w:rsid w:val="00617E12"/>
    <w:rsid w:val="00620C25"/>
    <w:rsid w:val="00620F14"/>
    <w:rsid w:val="00621477"/>
    <w:rsid w:val="00621ADA"/>
    <w:rsid w:val="00621D5C"/>
    <w:rsid w:val="00622053"/>
    <w:rsid w:val="00623F7B"/>
    <w:rsid w:val="00624BD4"/>
    <w:rsid w:val="00624DA1"/>
    <w:rsid w:val="00625742"/>
    <w:rsid w:val="00626A1F"/>
    <w:rsid w:val="006273AD"/>
    <w:rsid w:val="0063158F"/>
    <w:rsid w:val="00631D6B"/>
    <w:rsid w:val="00632183"/>
    <w:rsid w:val="00632277"/>
    <w:rsid w:val="006330A1"/>
    <w:rsid w:val="0063479F"/>
    <w:rsid w:val="0063516C"/>
    <w:rsid w:val="006353F0"/>
    <w:rsid w:val="006357B5"/>
    <w:rsid w:val="00636381"/>
    <w:rsid w:val="006364A1"/>
    <w:rsid w:val="0063678E"/>
    <w:rsid w:val="00637BFD"/>
    <w:rsid w:val="00637C5C"/>
    <w:rsid w:val="00640C3F"/>
    <w:rsid w:val="00641C4E"/>
    <w:rsid w:val="00641FB3"/>
    <w:rsid w:val="006434E3"/>
    <w:rsid w:val="0064434C"/>
    <w:rsid w:val="00646750"/>
    <w:rsid w:val="006471CC"/>
    <w:rsid w:val="006472FE"/>
    <w:rsid w:val="00647A29"/>
    <w:rsid w:val="00647E8D"/>
    <w:rsid w:val="0065079F"/>
    <w:rsid w:val="00651B36"/>
    <w:rsid w:val="00651B62"/>
    <w:rsid w:val="00651C8C"/>
    <w:rsid w:val="00652A28"/>
    <w:rsid w:val="0065379F"/>
    <w:rsid w:val="00653FF4"/>
    <w:rsid w:val="00656188"/>
    <w:rsid w:val="0065715A"/>
    <w:rsid w:val="006610F1"/>
    <w:rsid w:val="00661558"/>
    <w:rsid w:val="00661850"/>
    <w:rsid w:val="00661C6B"/>
    <w:rsid w:val="00662D3E"/>
    <w:rsid w:val="00663F30"/>
    <w:rsid w:val="006666D8"/>
    <w:rsid w:val="00667BE3"/>
    <w:rsid w:val="00671004"/>
    <w:rsid w:val="00671EC6"/>
    <w:rsid w:val="00672646"/>
    <w:rsid w:val="00674E42"/>
    <w:rsid w:val="0067621F"/>
    <w:rsid w:val="00676563"/>
    <w:rsid w:val="006802FC"/>
    <w:rsid w:val="006813F8"/>
    <w:rsid w:val="00682112"/>
    <w:rsid w:val="0068261B"/>
    <w:rsid w:val="00682BA6"/>
    <w:rsid w:val="00684B75"/>
    <w:rsid w:val="00684CE4"/>
    <w:rsid w:val="006858FD"/>
    <w:rsid w:val="00686110"/>
    <w:rsid w:val="00686399"/>
    <w:rsid w:val="00686957"/>
    <w:rsid w:val="00686A78"/>
    <w:rsid w:val="006872BA"/>
    <w:rsid w:val="00690795"/>
    <w:rsid w:val="00690D99"/>
    <w:rsid w:val="006912E6"/>
    <w:rsid w:val="00691648"/>
    <w:rsid w:val="006917D7"/>
    <w:rsid w:val="00692DEB"/>
    <w:rsid w:val="0069434C"/>
    <w:rsid w:val="00694802"/>
    <w:rsid w:val="00694F44"/>
    <w:rsid w:val="00696E64"/>
    <w:rsid w:val="00696EF9"/>
    <w:rsid w:val="00696F51"/>
    <w:rsid w:val="006979A5"/>
    <w:rsid w:val="00697D6F"/>
    <w:rsid w:val="00697DC0"/>
    <w:rsid w:val="006A016F"/>
    <w:rsid w:val="006A0DF7"/>
    <w:rsid w:val="006A1BF7"/>
    <w:rsid w:val="006A3173"/>
    <w:rsid w:val="006A3B50"/>
    <w:rsid w:val="006A3B5E"/>
    <w:rsid w:val="006A4321"/>
    <w:rsid w:val="006A43D9"/>
    <w:rsid w:val="006A4A84"/>
    <w:rsid w:val="006A51BB"/>
    <w:rsid w:val="006A6B99"/>
    <w:rsid w:val="006A7683"/>
    <w:rsid w:val="006A7E5F"/>
    <w:rsid w:val="006B1212"/>
    <w:rsid w:val="006B261B"/>
    <w:rsid w:val="006B2C90"/>
    <w:rsid w:val="006B316E"/>
    <w:rsid w:val="006B35E6"/>
    <w:rsid w:val="006B3651"/>
    <w:rsid w:val="006B3678"/>
    <w:rsid w:val="006B3BD2"/>
    <w:rsid w:val="006B4257"/>
    <w:rsid w:val="006B465A"/>
    <w:rsid w:val="006B6DD0"/>
    <w:rsid w:val="006B72E1"/>
    <w:rsid w:val="006C020A"/>
    <w:rsid w:val="006C0399"/>
    <w:rsid w:val="006C0D5A"/>
    <w:rsid w:val="006C2A8E"/>
    <w:rsid w:val="006C2E93"/>
    <w:rsid w:val="006C3255"/>
    <w:rsid w:val="006C34E3"/>
    <w:rsid w:val="006C3F26"/>
    <w:rsid w:val="006C3FC5"/>
    <w:rsid w:val="006C4808"/>
    <w:rsid w:val="006D0D17"/>
    <w:rsid w:val="006D108C"/>
    <w:rsid w:val="006D1DDF"/>
    <w:rsid w:val="006D3C7D"/>
    <w:rsid w:val="006D3D15"/>
    <w:rsid w:val="006D4659"/>
    <w:rsid w:val="006D5D5F"/>
    <w:rsid w:val="006D68FB"/>
    <w:rsid w:val="006D6928"/>
    <w:rsid w:val="006E0B8E"/>
    <w:rsid w:val="006E1749"/>
    <w:rsid w:val="006E1FF1"/>
    <w:rsid w:val="006E2868"/>
    <w:rsid w:val="006E30A9"/>
    <w:rsid w:val="006E3E46"/>
    <w:rsid w:val="006E48D8"/>
    <w:rsid w:val="006E6D9D"/>
    <w:rsid w:val="006E740E"/>
    <w:rsid w:val="006E7DF3"/>
    <w:rsid w:val="006F19AF"/>
    <w:rsid w:val="006F2133"/>
    <w:rsid w:val="006F297B"/>
    <w:rsid w:val="006F306C"/>
    <w:rsid w:val="006F55FF"/>
    <w:rsid w:val="006F5663"/>
    <w:rsid w:val="006F5808"/>
    <w:rsid w:val="006F61D1"/>
    <w:rsid w:val="006F63A5"/>
    <w:rsid w:val="006F6ACA"/>
    <w:rsid w:val="006F6EA0"/>
    <w:rsid w:val="00700CC0"/>
    <w:rsid w:val="0070142B"/>
    <w:rsid w:val="0070244E"/>
    <w:rsid w:val="0070276E"/>
    <w:rsid w:val="00702F8F"/>
    <w:rsid w:val="00704859"/>
    <w:rsid w:val="00705C97"/>
    <w:rsid w:val="007066ED"/>
    <w:rsid w:val="00706E5D"/>
    <w:rsid w:val="007079FC"/>
    <w:rsid w:val="00710C97"/>
    <w:rsid w:val="0071130B"/>
    <w:rsid w:val="007116BD"/>
    <w:rsid w:val="00711A36"/>
    <w:rsid w:val="007125D3"/>
    <w:rsid w:val="0071293A"/>
    <w:rsid w:val="0071383E"/>
    <w:rsid w:val="00714C26"/>
    <w:rsid w:val="00714C65"/>
    <w:rsid w:val="00714D05"/>
    <w:rsid w:val="00715012"/>
    <w:rsid w:val="0071529C"/>
    <w:rsid w:val="007170DA"/>
    <w:rsid w:val="007172AD"/>
    <w:rsid w:val="00717546"/>
    <w:rsid w:val="00717B89"/>
    <w:rsid w:val="00720801"/>
    <w:rsid w:val="00721A66"/>
    <w:rsid w:val="00721D9D"/>
    <w:rsid w:val="007220B8"/>
    <w:rsid w:val="00722B1B"/>
    <w:rsid w:val="0072338F"/>
    <w:rsid w:val="0072416F"/>
    <w:rsid w:val="007246EF"/>
    <w:rsid w:val="007254EE"/>
    <w:rsid w:val="00727C94"/>
    <w:rsid w:val="007300A2"/>
    <w:rsid w:val="00731202"/>
    <w:rsid w:val="00731B0A"/>
    <w:rsid w:val="00731EAE"/>
    <w:rsid w:val="00733073"/>
    <w:rsid w:val="007347D4"/>
    <w:rsid w:val="00734895"/>
    <w:rsid w:val="00735033"/>
    <w:rsid w:val="00735328"/>
    <w:rsid w:val="007358B8"/>
    <w:rsid w:val="00735A24"/>
    <w:rsid w:val="0073685B"/>
    <w:rsid w:val="00737EE6"/>
    <w:rsid w:val="00740B54"/>
    <w:rsid w:val="00741ABC"/>
    <w:rsid w:val="00742E2A"/>
    <w:rsid w:val="007438E6"/>
    <w:rsid w:val="007449BF"/>
    <w:rsid w:val="007455C1"/>
    <w:rsid w:val="007460A2"/>
    <w:rsid w:val="007463FE"/>
    <w:rsid w:val="00746BC0"/>
    <w:rsid w:val="00746F7C"/>
    <w:rsid w:val="007510B4"/>
    <w:rsid w:val="00751B47"/>
    <w:rsid w:val="00752142"/>
    <w:rsid w:val="007523F9"/>
    <w:rsid w:val="007525AA"/>
    <w:rsid w:val="0075357E"/>
    <w:rsid w:val="00753B29"/>
    <w:rsid w:val="00755ABC"/>
    <w:rsid w:val="007566CB"/>
    <w:rsid w:val="007569AD"/>
    <w:rsid w:val="007573E8"/>
    <w:rsid w:val="00760C4E"/>
    <w:rsid w:val="00760F9E"/>
    <w:rsid w:val="007616E6"/>
    <w:rsid w:val="00761BC4"/>
    <w:rsid w:val="007627BE"/>
    <w:rsid w:val="007630E1"/>
    <w:rsid w:val="00764F03"/>
    <w:rsid w:val="00765B1A"/>
    <w:rsid w:val="00765DC1"/>
    <w:rsid w:val="00765FF6"/>
    <w:rsid w:val="00766346"/>
    <w:rsid w:val="00766533"/>
    <w:rsid w:val="00766AFC"/>
    <w:rsid w:val="00767B6F"/>
    <w:rsid w:val="007707BE"/>
    <w:rsid w:val="00770A9B"/>
    <w:rsid w:val="00772131"/>
    <w:rsid w:val="00772F4D"/>
    <w:rsid w:val="007747B8"/>
    <w:rsid w:val="00775A5E"/>
    <w:rsid w:val="00776985"/>
    <w:rsid w:val="00776B3D"/>
    <w:rsid w:val="00776DB2"/>
    <w:rsid w:val="00777335"/>
    <w:rsid w:val="00780506"/>
    <w:rsid w:val="00780901"/>
    <w:rsid w:val="00780A63"/>
    <w:rsid w:val="007827C6"/>
    <w:rsid w:val="007839F8"/>
    <w:rsid w:val="007843F2"/>
    <w:rsid w:val="007846FA"/>
    <w:rsid w:val="00785A9F"/>
    <w:rsid w:val="0078601D"/>
    <w:rsid w:val="0078664B"/>
    <w:rsid w:val="007878C3"/>
    <w:rsid w:val="00787B3E"/>
    <w:rsid w:val="007908F3"/>
    <w:rsid w:val="00791399"/>
    <w:rsid w:val="007925DF"/>
    <w:rsid w:val="00793582"/>
    <w:rsid w:val="00794742"/>
    <w:rsid w:val="00795173"/>
    <w:rsid w:val="007969D1"/>
    <w:rsid w:val="007A08AA"/>
    <w:rsid w:val="007A0A12"/>
    <w:rsid w:val="007A132D"/>
    <w:rsid w:val="007A1345"/>
    <w:rsid w:val="007A2DDB"/>
    <w:rsid w:val="007A5883"/>
    <w:rsid w:val="007A6065"/>
    <w:rsid w:val="007A6340"/>
    <w:rsid w:val="007A70BA"/>
    <w:rsid w:val="007B04BD"/>
    <w:rsid w:val="007B0C0C"/>
    <w:rsid w:val="007B0D68"/>
    <w:rsid w:val="007B0EAE"/>
    <w:rsid w:val="007B1BFA"/>
    <w:rsid w:val="007B251D"/>
    <w:rsid w:val="007B2ECD"/>
    <w:rsid w:val="007B2EF4"/>
    <w:rsid w:val="007B3533"/>
    <w:rsid w:val="007B4F58"/>
    <w:rsid w:val="007B528D"/>
    <w:rsid w:val="007B634D"/>
    <w:rsid w:val="007B63CA"/>
    <w:rsid w:val="007B6732"/>
    <w:rsid w:val="007B7160"/>
    <w:rsid w:val="007B7372"/>
    <w:rsid w:val="007B77D1"/>
    <w:rsid w:val="007B7DFF"/>
    <w:rsid w:val="007C053D"/>
    <w:rsid w:val="007C07C7"/>
    <w:rsid w:val="007C1CD9"/>
    <w:rsid w:val="007C2268"/>
    <w:rsid w:val="007C3260"/>
    <w:rsid w:val="007C32EF"/>
    <w:rsid w:val="007C361D"/>
    <w:rsid w:val="007C3682"/>
    <w:rsid w:val="007C4B84"/>
    <w:rsid w:val="007C5FA1"/>
    <w:rsid w:val="007C6637"/>
    <w:rsid w:val="007C70FF"/>
    <w:rsid w:val="007C7C25"/>
    <w:rsid w:val="007D004F"/>
    <w:rsid w:val="007D010B"/>
    <w:rsid w:val="007D035F"/>
    <w:rsid w:val="007D06B2"/>
    <w:rsid w:val="007D0B38"/>
    <w:rsid w:val="007D0C78"/>
    <w:rsid w:val="007D2281"/>
    <w:rsid w:val="007D2C18"/>
    <w:rsid w:val="007D3057"/>
    <w:rsid w:val="007D5440"/>
    <w:rsid w:val="007D5577"/>
    <w:rsid w:val="007D5B66"/>
    <w:rsid w:val="007D5E4B"/>
    <w:rsid w:val="007D5E60"/>
    <w:rsid w:val="007D69EB"/>
    <w:rsid w:val="007D6D50"/>
    <w:rsid w:val="007E1105"/>
    <w:rsid w:val="007E128F"/>
    <w:rsid w:val="007E16B5"/>
    <w:rsid w:val="007E2784"/>
    <w:rsid w:val="007E28D5"/>
    <w:rsid w:val="007E3056"/>
    <w:rsid w:val="007E7F07"/>
    <w:rsid w:val="007F1017"/>
    <w:rsid w:val="007F11BB"/>
    <w:rsid w:val="007F1DA8"/>
    <w:rsid w:val="007F3071"/>
    <w:rsid w:val="007F4A3F"/>
    <w:rsid w:val="007F4A61"/>
    <w:rsid w:val="007F5255"/>
    <w:rsid w:val="007F56CC"/>
    <w:rsid w:val="007F61C2"/>
    <w:rsid w:val="007F6285"/>
    <w:rsid w:val="0080000F"/>
    <w:rsid w:val="00802667"/>
    <w:rsid w:val="00805142"/>
    <w:rsid w:val="008051A9"/>
    <w:rsid w:val="00805FCE"/>
    <w:rsid w:val="00807A8B"/>
    <w:rsid w:val="00810D9B"/>
    <w:rsid w:val="00811383"/>
    <w:rsid w:val="008119F0"/>
    <w:rsid w:val="00811BAF"/>
    <w:rsid w:val="00811DB7"/>
    <w:rsid w:val="00812149"/>
    <w:rsid w:val="00812CAC"/>
    <w:rsid w:val="0081494F"/>
    <w:rsid w:val="00814A93"/>
    <w:rsid w:val="008159E6"/>
    <w:rsid w:val="00816361"/>
    <w:rsid w:val="008166EF"/>
    <w:rsid w:val="00816FEF"/>
    <w:rsid w:val="00820200"/>
    <w:rsid w:val="00820781"/>
    <w:rsid w:val="00820A8C"/>
    <w:rsid w:val="008215FB"/>
    <w:rsid w:val="008220CC"/>
    <w:rsid w:val="00822804"/>
    <w:rsid w:val="00823174"/>
    <w:rsid w:val="00824495"/>
    <w:rsid w:val="00825751"/>
    <w:rsid w:val="008264EB"/>
    <w:rsid w:val="008268CE"/>
    <w:rsid w:val="008272D2"/>
    <w:rsid w:val="008273A3"/>
    <w:rsid w:val="0082773D"/>
    <w:rsid w:val="00827C23"/>
    <w:rsid w:val="00827E03"/>
    <w:rsid w:val="00832EA7"/>
    <w:rsid w:val="00833B05"/>
    <w:rsid w:val="008344CA"/>
    <w:rsid w:val="008346EC"/>
    <w:rsid w:val="00834E67"/>
    <w:rsid w:val="00835B44"/>
    <w:rsid w:val="008362B4"/>
    <w:rsid w:val="00836B02"/>
    <w:rsid w:val="00840524"/>
    <w:rsid w:val="00840CA2"/>
    <w:rsid w:val="0084374F"/>
    <w:rsid w:val="0084432F"/>
    <w:rsid w:val="00844A22"/>
    <w:rsid w:val="00846B48"/>
    <w:rsid w:val="00847703"/>
    <w:rsid w:val="00847DF5"/>
    <w:rsid w:val="0085051C"/>
    <w:rsid w:val="008518E8"/>
    <w:rsid w:val="0085309D"/>
    <w:rsid w:val="0085426B"/>
    <w:rsid w:val="00856897"/>
    <w:rsid w:val="00856E9A"/>
    <w:rsid w:val="008570B3"/>
    <w:rsid w:val="00857968"/>
    <w:rsid w:val="0086075D"/>
    <w:rsid w:val="00860930"/>
    <w:rsid w:val="00862502"/>
    <w:rsid w:val="0086299C"/>
    <w:rsid w:val="00862CC1"/>
    <w:rsid w:val="008642A7"/>
    <w:rsid w:val="008660D4"/>
    <w:rsid w:val="0087005D"/>
    <w:rsid w:val="00871FA9"/>
    <w:rsid w:val="008728E9"/>
    <w:rsid w:val="008742BE"/>
    <w:rsid w:val="0087482F"/>
    <w:rsid w:val="00875DE2"/>
    <w:rsid w:val="00876568"/>
    <w:rsid w:val="0087668F"/>
    <w:rsid w:val="0088160B"/>
    <w:rsid w:val="00882874"/>
    <w:rsid w:val="00882E3C"/>
    <w:rsid w:val="0088308A"/>
    <w:rsid w:val="00883787"/>
    <w:rsid w:val="008843AE"/>
    <w:rsid w:val="008855E4"/>
    <w:rsid w:val="00886485"/>
    <w:rsid w:val="00886CD2"/>
    <w:rsid w:val="008877FF"/>
    <w:rsid w:val="0088794F"/>
    <w:rsid w:val="00891E6F"/>
    <w:rsid w:val="00892022"/>
    <w:rsid w:val="00892650"/>
    <w:rsid w:val="0089275D"/>
    <w:rsid w:val="00892A36"/>
    <w:rsid w:val="008930AA"/>
    <w:rsid w:val="00893239"/>
    <w:rsid w:val="00894489"/>
    <w:rsid w:val="008944D4"/>
    <w:rsid w:val="0089460A"/>
    <w:rsid w:val="00894CD6"/>
    <w:rsid w:val="008963A5"/>
    <w:rsid w:val="00896D5D"/>
    <w:rsid w:val="008977B8"/>
    <w:rsid w:val="008A087F"/>
    <w:rsid w:val="008A1D0B"/>
    <w:rsid w:val="008A3158"/>
    <w:rsid w:val="008A3363"/>
    <w:rsid w:val="008A3371"/>
    <w:rsid w:val="008A3C3E"/>
    <w:rsid w:val="008A5E16"/>
    <w:rsid w:val="008A79DE"/>
    <w:rsid w:val="008B0149"/>
    <w:rsid w:val="008B01AB"/>
    <w:rsid w:val="008B1757"/>
    <w:rsid w:val="008B1C33"/>
    <w:rsid w:val="008B2DAB"/>
    <w:rsid w:val="008B3103"/>
    <w:rsid w:val="008B3609"/>
    <w:rsid w:val="008B3B5A"/>
    <w:rsid w:val="008B3FA5"/>
    <w:rsid w:val="008B4B6F"/>
    <w:rsid w:val="008B5282"/>
    <w:rsid w:val="008B6093"/>
    <w:rsid w:val="008B7992"/>
    <w:rsid w:val="008B7D7E"/>
    <w:rsid w:val="008C1867"/>
    <w:rsid w:val="008C1EE2"/>
    <w:rsid w:val="008C2285"/>
    <w:rsid w:val="008C2584"/>
    <w:rsid w:val="008C3CB1"/>
    <w:rsid w:val="008C5610"/>
    <w:rsid w:val="008C5739"/>
    <w:rsid w:val="008C597B"/>
    <w:rsid w:val="008C7282"/>
    <w:rsid w:val="008C7ECB"/>
    <w:rsid w:val="008D1ACA"/>
    <w:rsid w:val="008D247E"/>
    <w:rsid w:val="008D35DF"/>
    <w:rsid w:val="008D39FD"/>
    <w:rsid w:val="008D3B86"/>
    <w:rsid w:val="008D43FD"/>
    <w:rsid w:val="008D4755"/>
    <w:rsid w:val="008D4C3D"/>
    <w:rsid w:val="008D4D35"/>
    <w:rsid w:val="008D5056"/>
    <w:rsid w:val="008D743C"/>
    <w:rsid w:val="008D7B55"/>
    <w:rsid w:val="008E0D3C"/>
    <w:rsid w:val="008E0EF8"/>
    <w:rsid w:val="008E1B9E"/>
    <w:rsid w:val="008E1FF5"/>
    <w:rsid w:val="008E2BA3"/>
    <w:rsid w:val="008E55AB"/>
    <w:rsid w:val="008E6D9B"/>
    <w:rsid w:val="008F0206"/>
    <w:rsid w:val="008F0957"/>
    <w:rsid w:val="008F120A"/>
    <w:rsid w:val="008F15B5"/>
    <w:rsid w:val="008F27E0"/>
    <w:rsid w:val="008F48EB"/>
    <w:rsid w:val="008F4F0B"/>
    <w:rsid w:val="008F7F62"/>
    <w:rsid w:val="009006B9"/>
    <w:rsid w:val="009046C4"/>
    <w:rsid w:val="009062A5"/>
    <w:rsid w:val="0090761A"/>
    <w:rsid w:val="00907699"/>
    <w:rsid w:val="00910AE7"/>
    <w:rsid w:val="00910FA7"/>
    <w:rsid w:val="00911272"/>
    <w:rsid w:val="00911339"/>
    <w:rsid w:val="0091232E"/>
    <w:rsid w:val="009135D6"/>
    <w:rsid w:val="00913DD4"/>
    <w:rsid w:val="00914159"/>
    <w:rsid w:val="00914C77"/>
    <w:rsid w:val="0091638F"/>
    <w:rsid w:val="00916928"/>
    <w:rsid w:val="00920454"/>
    <w:rsid w:val="00920C25"/>
    <w:rsid w:val="0092119E"/>
    <w:rsid w:val="0092138F"/>
    <w:rsid w:val="00921ACB"/>
    <w:rsid w:val="00922B37"/>
    <w:rsid w:val="0092369B"/>
    <w:rsid w:val="00924938"/>
    <w:rsid w:val="009274E2"/>
    <w:rsid w:val="009319A6"/>
    <w:rsid w:val="00934988"/>
    <w:rsid w:val="009367EE"/>
    <w:rsid w:val="00937089"/>
    <w:rsid w:val="00937756"/>
    <w:rsid w:val="0094486C"/>
    <w:rsid w:val="00944AE2"/>
    <w:rsid w:val="00944F8A"/>
    <w:rsid w:val="00945101"/>
    <w:rsid w:val="00947EF3"/>
    <w:rsid w:val="009502C9"/>
    <w:rsid w:val="009510A2"/>
    <w:rsid w:val="00951135"/>
    <w:rsid w:val="0095126F"/>
    <w:rsid w:val="0095301D"/>
    <w:rsid w:val="00953257"/>
    <w:rsid w:val="00953BDC"/>
    <w:rsid w:val="00953D2A"/>
    <w:rsid w:val="00953F00"/>
    <w:rsid w:val="0095474C"/>
    <w:rsid w:val="00956132"/>
    <w:rsid w:val="00957D92"/>
    <w:rsid w:val="00962CB9"/>
    <w:rsid w:val="00963378"/>
    <w:rsid w:val="00964312"/>
    <w:rsid w:val="00965B8A"/>
    <w:rsid w:val="00967A44"/>
    <w:rsid w:val="0097071F"/>
    <w:rsid w:val="009717AC"/>
    <w:rsid w:val="0097351A"/>
    <w:rsid w:val="009751C1"/>
    <w:rsid w:val="00975297"/>
    <w:rsid w:val="00975C48"/>
    <w:rsid w:val="0097712C"/>
    <w:rsid w:val="00977F5F"/>
    <w:rsid w:val="009803DA"/>
    <w:rsid w:val="009811F1"/>
    <w:rsid w:val="00983451"/>
    <w:rsid w:val="009836DB"/>
    <w:rsid w:val="00983E57"/>
    <w:rsid w:val="00984CF9"/>
    <w:rsid w:val="00984F67"/>
    <w:rsid w:val="0098574E"/>
    <w:rsid w:val="00985DE2"/>
    <w:rsid w:val="0098622F"/>
    <w:rsid w:val="009862B4"/>
    <w:rsid w:val="0098675D"/>
    <w:rsid w:val="00986D44"/>
    <w:rsid w:val="00987BA4"/>
    <w:rsid w:val="0099023A"/>
    <w:rsid w:val="009902F7"/>
    <w:rsid w:val="00991B18"/>
    <w:rsid w:val="009926E0"/>
    <w:rsid w:val="00992C64"/>
    <w:rsid w:val="00992E46"/>
    <w:rsid w:val="0099451E"/>
    <w:rsid w:val="009945DF"/>
    <w:rsid w:val="00994A88"/>
    <w:rsid w:val="00994F24"/>
    <w:rsid w:val="00996B1A"/>
    <w:rsid w:val="009A08F3"/>
    <w:rsid w:val="009A18F6"/>
    <w:rsid w:val="009A2DCC"/>
    <w:rsid w:val="009A3E0B"/>
    <w:rsid w:val="009A4AE2"/>
    <w:rsid w:val="009A5ABC"/>
    <w:rsid w:val="009A5CDC"/>
    <w:rsid w:val="009A7F10"/>
    <w:rsid w:val="009B081F"/>
    <w:rsid w:val="009B29DC"/>
    <w:rsid w:val="009B2A6C"/>
    <w:rsid w:val="009B3E26"/>
    <w:rsid w:val="009C069E"/>
    <w:rsid w:val="009C1271"/>
    <w:rsid w:val="009C3706"/>
    <w:rsid w:val="009C3A3A"/>
    <w:rsid w:val="009C3CA4"/>
    <w:rsid w:val="009C47B4"/>
    <w:rsid w:val="009C5673"/>
    <w:rsid w:val="009C6CEA"/>
    <w:rsid w:val="009C6CF8"/>
    <w:rsid w:val="009C7B85"/>
    <w:rsid w:val="009C7D2F"/>
    <w:rsid w:val="009D0254"/>
    <w:rsid w:val="009D0E1F"/>
    <w:rsid w:val="009D1A64"/>
    <w:rsid w:val="009D5538"/>
    <w:rsid w:val="009D5B91"/>
    <w:rsid w:val="009D792E"/>
    <w:rsid w:val="009E025A"/>
    <w:rsid w:val="009E0323"/>
    <w:rsid w:val="009E0DD4"/>
    <w:rsid w:val="009E0DFE"/>
    <w:rsid w:val="009E1352"/>
    <w:rsid w:val="009E24A7"/>
    <w:rsid w:val="009E31F6"/>
    <w:rsid w:val="009E392D"/>
    <w:rsid w:val="009E4083"/>
    <w:rsid w:val="009E4C07"/>
    <w:rsid w:val="009E5747"/>
    <w:rsid w:val="009E63FA"/>
    <w:rsid w:val="009E777F"/>
    <w:rsid w:val="009E78F2"/>
    <w:rsid w:val="009E7A9F"/>
    <w:rsid w:val="009F0F6F"/>
    <w:rsid w:val="009F2BFF"/>
    <w:rsid w:val="009F4235"/>
    <w:rsid w:val="009F4E47"/>
    <w:rsid w:val="009F542A"/>
    <w:rsid w:val="009F6120"/>
    <w:rsid w:val="009F651F"/>
    <w:rsid w:val="009F7987"/>
    <w:rsid w:val="00A00783"/>
    <w:rsid w:val="00A00D76"/>
    <w:rsid w:val="00A01184"/>
    <w:rsid w:val="00A01449"/>
    <w:rsid w:val="00A02552"/>
    <w:rsid w:val="00A037C2"/>
    <w:rsid w:val="00A03C11"/>
    <w:rsid w:val="00A03D43"/>
    <w:rsid w:val="00A04380"/>
    <w:rsid w:val="00A04786"/>
    <w:rsid w:val="00A05472"/>
    <w:rsid w:val="00A05C32"/>
    <w:rsid w:val="00A06402"/>
    <w:rsid w:val="00A0653F"/>
    <w:rsid w:val="00A1137E"/>
    <w:rsid w:val="00A11CD0"/>
    <w:rsid w:val="00A12E08"/>
    <w:rsid w:val="00A13948"/>
    <w:rsid w:val="00A145BE"/>
    <w:rsid w:val="00A1555B"/>
    <w:rsid w:val="00A155C5"/>
    <w:rsid w:val="00A16AD8"/>
    <w:rsid w:val="00A2021E"/>
    <w:rsid w:val="00A21C95"/>
    <w:rsid w:val="00A21CF3"/>
    <w:rsid w:val="00A2349A"/>
    <w:rsid w:val="00A23B4C"/>
    <w:rsid w:val="00A2426D"/>
    <w:rsid w:val="00A24813"/>
    <w:rsid w:val="00A27AEC"/>
    <w:rsid w:val="00A320DB"/>
    <w:rsid w:val="00A32429"/>
    <w:rsid w:val="00A34A31"/>
    <w:rsid w:val="00A352C3"/>
    <w:rsid w:val="00A35D16"/>
    <w:rsid w:val="00A370BC"/>
    <w:rsid w:val="00A373E5"/>
    <w:rsid w:val="00A37BCD"/>
    <w:rsid w:val="00A40829"/>
    <w:rsid w:val="00A41689"/>
    <w:rsid w:val="00A41BAC"/>
    <w:rsid w:val="00A42592"/>
    <w:rsid w:val="00A43457"/>
    <w:rsid w:val="00A43C59"/>
    <w:rsid w:val="00A44219"/>
    <w:rsid w:val="00A45EA8"/>
    <w:rsid w:val="00A46086"/>
    <w:rsid w:val="00A4671D"/>
    <w:rsid w:val="00A50ECD"/>
    <w:rsid w:val="00A518F3"/>
    <w:rsid w:val="00A52729"/>
    <w:rsid w:val="00A53675"/>
    <w:rsid w:val="00A55013"/>
    <w:rsid w:val="00A56402"/>
    <w:rsid w:val="00A564D7"/>
    <w:rsid w:val="00A56B6A"/>
    <w:rsid w:val="00A578DC"/>
    <w:rsid w:val="00A612C9"/>
    <w:rsid w:val="00A61BD6"/>
    <w:rsid w:val="00A640E2"/>
    <w:rsid w:val="00A64D65"/>
    <w:rsid w:val="00A65F85"/>
    <w:rsid w:val="00A6725B"/>
    <w:rsid w:val="00A67C77"/>
    <w:rsid w:val="00A70605"/>
    <w:rsid w:val="00A706CE"/>
    <w:rsid w:val="00A73134"/>
    <w:rsid w:val="00A7365A"/>
    <w:rsid w:val="00A76001"/>
    <w:rsid w:val="00A76B24"/>
    <w:rsid w:val="00A76C6D"/>
    <w:rsid w:val="00A777B2"/>
    <w:rsid w:val="00A825D4"/>
    <w:rsid w:val="00A828F6"/>
    <w:rsid w:val="00A82B73"/>
    <w:rsid w:val="00A82F5E"/>
    <w:rsid w:val="00A837C4"/>
    <w:rsid w:val="00A83A75"/>
    <w:rsid w:val="00A85CF1"/>
    <w:rsid w:val="00A85F7F"/>
    <w:rsid w:val="00A8675A"/>
    <w:rsid w:val="00A86B39"/>
    <w:rsid w:val="00A86E8B"/>
    <w:rsid w:val="00A87164"/>
    <w:rsid w:val="00A871A9"/>
    <w:rsid w:val="00A87FE4"/>
    <w:rsid w:val="00A906DD"/>
    <w:rsid w:val="00A92D2B"/>
    <w:rsid w:val="00A93072"/>
    <w:rsid w:val="00A938BD"/>
    <w:rsid w:val="00A93953"/>
    <w:rsid w:val="00A959D8"/>
    <w:rsid w:val="00A9743B"/>
    <w:rsid w:val="00A9770D"/>
    <w:rsid w:val="00A97C6F"/>
    <w:rsid w:val="00AA0F7E"/>
    <w:rsid w:val="00AA113D"/>
    <w:rsid w:val="00AA240B"/>
    <w:rsid w:val="00AA29E0"/>
    <w:rsid w:val="00AA310E"/>
    <w:rsid w:val="00AA33EC"/>
    <w:rsid w:val="00AA551E"/>
    <w:rsid w:val="00AA5527"/>
    <w:rsid w:val="00AA6BD5"/>
    <w:rsid w:val="00AA6BD8"/>
    <w:rsid w:val="00AA6C7D"/>
    <w:rsid w:val="00AA7FD6"/>
    <w:rsid w:val="00AB0122"/>
    <w:rsid w:val="00AB042A"/>
    <w:rsid w:val="00AB08ED"/>
    <w:rsid w:val="00AB11AD"/>
    <w:rsid w:val="00AB179C"/>
    <w:rsid w:val="00AB19EF"/>
    <w:rsid w:val="00AB2007"/>
    <w:rsid w:val="00AB2495"/>
    <w:rsid w:val="00AB2651"/>
    <w:rsid w:val="00AB2D34"/>
    <w:rsid w:val="00AB3258"/>
    <w:rsid w:val="00AB3430"/>
    <w:rsid w:val="00AB37B9"/>
    <w:rsid w:val="00AB459B"/>
    <w:rsid w:val="00AB4AD1"/>
    <w:rsid w:val="00AB5E07"/>
    <w:rsid w:val="00AB60F6"/>
    <w:rsid w:val="00AB6327"/>
    <w:rsid w:val="00AB7510"/>
    <w:rsid w:val="00AB7CCD"/>
    <w:rsid w:val="00AB7CFA"/>
    <w:rsid w:val="00AC12ED"/>
    <w:rsid w:val="00AC3DF5"/>
    <w:rsid w:val="00AC3F0A"/>
    <w:rsid w:val="00AC5B42"/>
    <w:rsid w:val="00AC5B48"/>
    <w:rsid w:val="00AC697B"/>
    <w:rsid w:val="00AD039F"/>
    <w:rsid w:val="00AD1450"/>
    <w:rsid w:val="00AD15E8"/>
    <w:rsid w:val="00AD1FF8"/>
    <w:rsid w:val="00AD2960"/>
    <w:rsid w:val="00AD2A66"/>
    <w:rsid w:val="00AD356D"/>
    <w:rsid w:val="00AD397D"/>
    <w:rsid w:val="00AD606A"/>
    <w:rsid w:val="00AD6502"/>
    <w:rsid w:val="00AD7D05"/>
    <w:rsid w:val="00AE0695"/>
    <w:rsid w:val="00AE23AE"/>
    <w:rsid w:val="00AE2765"/>
    <w:rsid w:val="00AE3E7E"/>
    <w:rsid w:val="00AE464F"/>
    <w:rsid w:val="00AE4FC3"/>
    <w:rsid w:val="00AE5303"/>
    <w:rsid w:val="00AE6B1F"/>
    <w:rsid w:val="00AE7E53"/>
    <w:rsid w:val="00AF01F9"/>
    <w:rsid w:val="00AF0475"/>
    <w:rsid w:val="00AF1315"/>
    <w:rsid w:val="00AF19BF"/>
    <w:rsid w:val="00AF20AC"/>
    <w:rsid w:val="00AF237B"/>
    <w:rsid w:val="00AF2DC3"/>
    <w:rsid w:val="00AF44B9"/>
    <w:rsid w:val="00AF53BE"/>
    <w:rsid w:val="00AF5420"/>
    <w:rsid w:val="00AF69DA"/>
    <w:rsid w:val="00AF6BB6"/>
    <w:rsid w:val="00AF6E6D"/>
    <w:rsid w:val="00AF75EE"/>
    <w:rsid w:val="00B001A0"/>
    <w:rsid w:val="00B016BC"/>
    <w:rsid w:val="00B017A2"/>
    <w:rsid w:val="00B0247D"/>
    <w:rsid w:val="00B033E5"/>
    <w:rsid w:val="00B03A63"/>
    <w:rsid w:val="00B073E2"/>
    <w:rsid w:val="00B129A4"/>
    <w:rsid w:val="00B14BC8"/>
    <w:rsid w:val="00B169F9"/>
    <w:rsid w:val="00B201A4"/>
    <w:rsid w:val="00B201D1"/>
    <w:rsid w:val="00B20EEE"/>
    <w:rsid w:val="00B213A6"/>
    <w:rsid w:val="00B22632"/>
    <w:rsid w:val="00B235B0"/>
    <w:rsid w:val="00B237F9"/>
    <w:rsid w:val="00B24364"/>
    <w:rsid w:val="00B24DF6"/>
    <w:rsid w:val="00B279CC"/>
    <w:rsid w:val="00B27A47"/>
    <w:rsid w:val="00B27A61"/>
    <w:rsid w:val="00B302DD"/>
    <w:rsid w:val="00B30E2B"/>
    <w:rsid w:val="00B3105E"/>
    <w:rsid w:val="00B31E36"/>
    <w:rsid w:val="00B33390"/>
    <w:rsid w:val="00B34699"/>
    <w:rsid w:val="00B34FE2"/>
    <w:rsid w:val="00B35166"/>
    <w:rsid w:val="00B357D8"/>
    <w:rsid w:val="00B360F4"/>
    <w:rsid w:val="00B36A00"/>
    <w:rsid w:val="00B3743F"/>
    <w:rsid w:val="00B3792B"/>
    <w:rsid w:val="00B37BFC"/>
    <w:rsid w:val="00B40358"/>
    <w:rsid w:val="00B41614"/>
    <w:rsid w:val="00B41AF6"/>
    <w:rsid w:val="00B42851"/>
    <w:rsid w:val="00B42B0C"/>
    <w:rsid w:val="00B42E69"/>
    <w:rsid w:val="00B42F80"/>
    <w:rsid w:val="00B435CB"/>
    <w:rsid w:val="00B43DA4"/>
    <w:rsid w:val="00B45475"/>
    <w:rsid w:val="00B462F6"/>
    <w:rsid w:val="00B463FB"/>
    <w:rsid w:val="00B465EC"/>
    <w:rsid w:val="00B50155"/>
    <w:rsid w:val="00B505C8"/>
    <w:rsid w:val="00B50DB8"/>
    <w:rsid w:val="00B53654"/>
    <w:rsid w:val="00B53905"/>
    <w:rsid w:val="00B539D7"/>
    <w:rsid w:val="00B546DB"/>
    <w:rsid w:val="00B54B5B"/>
    <w:rsid w:val="00B5562E"/>
    <w:rsid w:val="00B55862"/>
    <w:rsid w:val="00B55D65"/>
    <w:rsid w:val="00B56305"/>
    <w:rsid w:val="00B56CAB"/>
    <w:rsid w:val="00B57000"/>
    <w:rsid w:val="00B60939"/>
    <w:rsid w:val="00B60AFD"/>
    <w:rsid w:val="00B62715"/>
    <w:rsid w:val="00B631B2"/>
    <w:rsid w:val="00B63212"/>
    <w:rsid w:val="00B63EC9"/>
    <w:rsid w:val="00B643DB"/>
    <w:rsid w:val="00B650AC"/>
    <w:rsid w:val="00B65611"/>
    <w:rsid w:val="00B65F10"/>
    <w:rsid w:val="00B6611D"/>
    <w:rsid w:val="00B708AA"/>
    <w:rsid w:val="00B70E8E"/>
    <w:rsid w:val="00B7166D"/>
    <w:rsid w:val="00B718FF"/>
    <w:rsid w:val="00B738AD"/>
    <w:rsid w:val="00B758A8"/>
    <w:rsid w:val="00B76628"/>
    <w:rsid w:val="00B76C92"/>
    <w:rsid w:val="00B77143"/>
    <w:rsid w:val="00B77C74"/>
    <w:rsid w:val="00B77F51"/>
    <w:rsid w:val="00B80201"/>
    <w:rsid w:val="00B80EFD"/>
    <w:rsid w:val="00B818A4"/>
    <w:rsid w:val="00B83739"/>
    <w:rsid w:val="00B84117"/>
    <w:rsid w:val="00B858F0"/>
    <w:rsid w:val="00B85AA2"/>
    <w:rsid w:val="00B8649C"/>
    <w:rsid w:val="00B8695D"/>
    <w:rsid w:val="00B86A93"/>
    <w:rsid w:val="00B87F0A"/>
    <w:rsid w:val="00B9124D"/>
    <w:rsid w:val="00B92381"/>
    <w:rsid w:val="00B92D0B"/>
    <w:rsid w:val="00B94945"/>
    <w:rsid w:val="00B94DD6"/>
    <w:rsid w:val="00B95B87"/>
    <w:rsid w:val="00B9702B"/>
    <w:rsid w:val="00B97B6A"/>
    <w:rsid w:val="00BA0AB7"/>
    <w:rsid w:val="00BA0E31"/>
    <w:rsid w:val="00BA22E7"/>
    <w:rsid w:val="00BA322D"/>
    <w:rsid w:val="00BA3458"/>
    <w:rsid w:val="00BA4F8B"/>
    <w:rsid w:val="00BA613C"/>
    <w:rsid w:val="00BA6366"/>
    <w:rsid w:val="00BA63FA"/>
    <w:rsid w:val="00BA7BCE"/>
    <w:rsid w:val="00BB00B3"/>
    <w:rsid w:val="00BB05C7"/>
    <w:rsid w:val="00BB0BDD"/>
    <w:rsid w:val="00BB176C"/>
    <w:rsid w:val="00BB1A80"/>
    <w:rsid w:val="00BB246E"/>
    <w:rsid w:val="00BB2A73"/>
    <w:rsid w:val="00BB2B86"/>
    <w:rsid w:val="00BB3A45"/>
    <w:rsid w:val="00BB3DEC"/>
    <w:rsid w:val="00BB4ACC"/>
    <w:rsid w:val="00BB4B11"/>
    <w:rsid w:val="00BB703E"/>
    <w:rsid w:val="00BB732D"/>
    <w:rsid w:val="00BB7405"/>
    <w:rsid w:val="00BB7644"/>
    <w:rsid w:val="00BC138F"/>
    <w:rsid w:val="00BC3631"/>
    <w:rsid w:val="00BC591F"/>
    <w:rsid w:val="00BC5EFA"/>
    <w:rsid w:val="00BC635C"/>
    <w:rsid w:val="00BC6424"/>
    <w:rsid w:val="00BC6897"/>
    <w:rsid w:val="00BC7199"/>
    <w:rsid w:val="00BC7A7B"/>
    <w:rsid w:val="00BC7D6D"/>
    <w:rsid w:val="00BD1EDF"/>
    <w:rsid w:val="00BD2108"/>
    <w:rsid w:val="00BD274C"/>
    <w:rsid w:val="00BD2C8E"/>
    <w:rsid w:val="00BD33DB"/>
    <w:rsid w:val="00BD668B"/>
    <w:rsid w:val="00BD68A3"/>
    <w:rsid w:val="00BD6938"/>
    <w:rsid w:val="00BD6CF3"/>
    <w:rsid w:val="00BD7394"/>
    <w:rsid w:val="00BD7E8D"/>
    <w:rsid w:val="00BD7F72"/>
    <w:rsid w:val="00BE0908"/>
    <w:rsid w:val="00BE0ECA"/>
    <w:rsid w:val="00BE0EE6"/>
    <w:rsid w:val="00BE2180"/>
    <w:rsid w:val="00BE21F2"/>
    <w:rsid w:val="00BE35FF"/>
    <w:rsid w:val="00BE3F85"/>
    <w:rsid w:val="00BE4275"/>
    <w:rsid w:val="00BF0198"/>
    <w:rsid w:val="00BF048A"/>
    <w:rsid w:val="00BF06AE"/>
    <w:rsid w:val="00BF0F95"/>
    <w:rsid w:val="00BF1323"/>
    <w:rsid w:val="00BF2018"/>
    <w:rsid w:val="00BF2433"/>
    <w:rsid w:val="00BF27B0"/>
    <w:rsid w:val="00BF2E6E"/>
    <w:rsid w:val="00BF4500"/>
    <w:rsid w:val="00BF4DCB"/>
    <w:rsid w:val="00BF5944"/>
    <w:rsid w:val="00BF61C9"/>
    <w:rsid w:val="00BF6C94"/>
    <w:rsid w:val="00BF75F5"/>
    <w:rsid w:val="00BF7A00"/>
    <w:rsid w:val="00BF7ECB"/>
    <w:rsid w:val="00C00424"/>
    <w:rsid w:val="00C00BB0"/>
    <w:rsid w:val="00C01016"/>
    <w:rsid w:val="00C1179F"/>
    <w:rsid w:val="00C127B9"/>
    <w:rsid w:val="00C128FA"/>
    <w:rsid w:val="00C12C14"/>
    <w:rsid w:val="00C13A03"/>
    <w:rsid w:val="00C15F04"/>
    <w:rsid w:val="00C179B3"/>
    <w:rsid w:val="00C17DBC"/>
    <w:rsid w:val="00C17E3F"/>
    <w:rsid w:val="00C200AA"/>
    <w:rsid w:val="00C206AA"/>
    <w:rsid w:val="00C222AD"/>
    <w:rsid w:val="00C237ED"/>
    <w:rsid w:val="00C2433F"/>
    <w:rsid w:val="00C2461C"/>
    <w:rsid w:val="00C24632"/>
    <w:rsid w:val="00C24932"/>
    <w:rsid w:val="00C25418"/>
    <w:rsid w:val="00C25753"/>
    <w:rsid w:val="00C258C9"/>
    <w:rsid w:val="00C25D9C"/>
    <w:rsid w:val="00C25F63"/>
    <w:rsid w:val="00C26542"/>
    <w:rsid w:val="00C2778B"/>
    <w:rsid w:val="00C300CE"/>
    <w:rsid w:val="00C301AE"/>
    <w:rsid w:val="00C3077E"/>
    <w:rsid w:val="00C31649"/>
    <w:rsid w:val="00C3434C"/>
    <w:rsid w:val="00C34557"/>
    <w:rsid w:val="00C350ED"/>
    <w:rsid w:val="00C366A4"/>
    <w:rsid w:val="00C40385"/>
    <w:rsid w:val="00C40EE5"/>
    <w:rsid w:val="00C41768"/>
    <w:rsid w:val="00C436C7"/>
    <w:rsid w:val="00C442EF"/>
    <w:rsid w:val="00C44864"/>
    <w:rsid w:val="00C465D7"/>
    <w:rsid w:val="00C46688"/>
    <w:rsid w:val="00C475AA"/>
    <w:rsid w:val="00C47D48"/>
    <w:rsid w:val="00C47FA6"/>
    <w:rsid w:val="00C51098"/>
    <w:rsid w:val="00C51126"/>
    <w:rsid w:val="00C52577"/>
    <w:rsid w:val="00C527C7"/>
    <w:rsid w:val="00C53775"/>
    <w:rsid w:val="00C53C98"/>
    <w:rsid w:val="00C56FCF"/>
    <w:rsid w:val="00C57B6C"/>
    <w:rsid w:val="00C60E7A"/>
    <w:rsid w:val="00C612D5"/>
    <w:rsid w:val="00C61984"/>
    <w:rsid w:val="00C61A59"/>
    <w:rsid w:val="00C627E8"/>
    <w:rsid w:val="00C628A6"/>
    <w:rsid w:val="00C6332F"/>
    <w:rsid w:val="00C64344"/>
    <w:rsid w:val="00C64F9C"/>
    <w:rsid w:val="00C6502B"/>
    <w:rsid w:val="00C65108"/>
    <w:rsid w:val="00C65576"/>
    <w:rsid w:val="00C65B8E"/>
    <w:rsid w:val="00C65C13"/>
    <w:rsid w:val="00C65DF6"/>
    <w:rsid w:val="00C66165"/>
    <w:rsid w:val="00C669AC"/>
    <w:rsid w:val="00C678A3"/>
    <w:rsid w:val="00C70341"/>
    <w:rsid w:val="00C7060A"/>
    <w:rsid w:val="00C7110E"/>
    <w:rsid w:val="00C71318"/>
    <w:rsid w:val="00C7151A"/>
    <w:rsid w:val="00C717E3"/>
    <w:rsid w:val="00C71DAF"/>
    <w:rsid w:val="00C71F60"/>
    <w:rsid w:val="00C72241"/>
    <w:rsid w:val="00C733D7"/>
    <w:rsid w:val="00C73AF3"/>
    <w:rsid w:val="00C7491A"/>
    <w:rsid w:val="00C750C8"/>
    <w:rsid w:val="00C7560F"/>
    <w:rsid w:val="00C80A0E"/>
    <w:rsid w:val="00C80B3A"/>
    <w:rsid w:val="00C81455"/>
    <w:rsid w:val="00C81BDF"/>
    <w:rsid w:val="00C8213F"/>
    <w:rsid w:val="00C826E2"/>
    <w:rsid w:val="00C82C64"/>
    <w:rsid w:val="00C82DF8"/>
    <w:rsid w:val="00C8303F"/>
    <w:rsid w:val="00C84D82"/>
    <w:rsid w:val="00C85154"/>
    <w:rsid w:val="00C85A70"/>
    <w:rsid w:val="00C8797A"/>
    <w:rsid w:val="00C900B8"/>
    <w:rsid w:val="00C9015A"/>
    <w:rsid w:val="00C90197"/>
    <w:rsid w:val="00C90C71"/>
    <w:rsid w:val="00C91035"/>
    <w:rsid w:val="00C91867"/>
    <w:rsid w:val="00C91D51"/>
    <w:rsid w:val="00C91FD1"/>
    <w:rsid w:val="00C92792"/>
    <w:rsid w:val="00C92A32"/>
    <w:rsid w:val="00C931CF"/>
    <w:rsid w:val="00C9340F"/>
    <w:rsid w:val="00C938CF"/>
    <w:rsid w:val="00C93BE4"/>
    <w:rsid w:val="00C94053"/>
    <w:rsid w:val="00C9624D"/>
    <w:rsid w:val="00C969DA"/>
    <w:rsid w:val="00C97093"/>
    <w:rsid w:val="00CA00D3"/>
    <w:rsid w:val="00CA06E4"/>
    <w:rsid w:val="00CA2260"/>
    <w:rsid w:val="00CA2C77"/>
    <w:rsid w:val="00CA382A"/>
    <w:rsid w:val="00CA38EE"/>
    <w:rsid w:val="00CA444F"/>
    <w:rsid w:val="00CA472E"/>
    <w:rsid w:val="00CA4F5A"/>
    <w:rsid w:val="00CA5245"/>
    <w:rsid w:val="00CA5401"/>
    <w:rsid w:val="00CA71F4"/>
    <w:rsid w:val="00CA7B09"/>
    <w:rsid w:val="00CB0DCD"/>
    <w:rsid w:val="00CB12A5"/>
    <w:rsid w:val="00CB13F5"/>
    <w:rsid w:val="00CB1CAC"/>
    <w:rsid w:val="00CB2F08"/>
    <w:rsid w:val="00CB2F2A"/>
    <w:rsid w:val="00CB3E87"/>
    <w:rsid w:val="00CB5B1A"/>
    <w:rsid w:val="00CB6B22"/>
    <w:rsid w:val="00CB7F5F"/>
    <w:rsid w:val="00CC1B39"/>
    <w:rsid w:val="00CC1BFA"/>
    <w:rsid w:val="00CC2C1B"/>
    <w:rsid w:val="00CC2E9F"/>
    <w:rsid w:val="00CC32FC"/>
    <w:rsid w:val="00CC34EA"/>
    <w:rsid w:val="00CC35EA"/>
    <w:rsid w:val="00CC3848"/>
    <w:rsid w:val="00CC59B0"/>
    <w:rsid w:val="00CC6D5E"/>
    <w:rsid w:val="00CD0200"/>
    <w:rsid w:val="00CD0D3C"/>
    <w:rsid w:val="00CD1598"/>
    <w:rsid w:val="00CD1816"/>
    <w:rsid w:val="00CD1D35"/>
    <w:rsid w:val="00CD292B"/>
    <w:rsid w:val="00CD3F77"/>
    <w:rsid w:val="00CD4873"/>
    <w:rsid w:val="00CD6ADC"/>
    <w:rsid w:val="00CD7193"/>
    <w:rsid w:val="00CD7516"/>
    <w:rsid w:val="00CE0446"/>
    <w:rsid w:val="00CE3807"/>
    <w:rsid w:val="00CE38C8"/>
    <w:rsid w:val="00CE4D08"/>
    <w:rsid w:val="00CE524F"/>
    <w:rsid w:val="00CE52F6"/>
    <w:rsid w:val="00CE58CC"/>
    <w:rsid w:val="00CE6220"/>
    <w:rsid w:val="00CE6274"/>
    <w:rsid w:val="00CE77B6"/>
    <w:rsid w:val="00CF1502"/>
    <w:rsid w:val="00CF16A6"/>
    <w:rsid w:val="00CF16C6"/>
    <w:rsid w:val="00CF2B8D"/>
    <w:rsid w:val="00CF3962"/>
    <w:rsid w:val="00CF3A1B"/>
    <w:rsid w:val="00CF456B"/>
    <w:rsid w:val="00CF5A22"/>
    <w:rsid w:val="00CF7BF7"/>
    <w:rsid w:val="00D0173C"/>
    <w:rsid w:val="00D0262E"/>
    <w:rsid w:val="00D029DC"/>
    <w:rsid w:val="00D03679"/>
    <w:rsid w:val="00D05BBE"/>
    <w:rsid w:val="00D05E3D"/>
    <w:rsid w:val="00D060C7"/>
    <w:rsid w:val="00D06139"/>
    <w:rsid w:val="00D061F2"/>
    <w:rsid w:val="00D06853"/>
    <w:rsid w:val="00D07607"/>
    <w:rsid w:val="00D107D8"/>
    <w:rsid w:val="00D110BD"/>
    <w:rsid w:val="00D13675"/>
    <w:rsid w:val="00D141E1"/>
    <w:rsid w:val="00D15314"/>
    <w:rsid w:val="00D15B48"/>
    <w:rsid w:val="00D1634C"/>
    <w:rsid w:val="00D17D6C"/>
    <w:rsid w:val="00D2155B"/>
    <w:rsid w:val="00D21EBF"/>
    <w:rsid w:val="00D23330"/>
    <w:rsid w:val="00D23D11"/>
    <w:rsid w:val="00D244B6"/>
    <w:rsid w:val="00D25352"/>
    <w:rsid w:val="00D25786"/>
    <w:rsid w:val="00D25CDB"/>
    <w:rsid w:val="00D2754D"/>
    <w:rsid w:val="00D27B27"/>
    <w:rsid w:val="00D30D5B"/>
    <w:rsid w:val="00D31B53"/>
    <w:rsid w:val="00D33BE9"/>
    <w:rsid w:val="00D33F93"/>
    <w:rsid w:val="00D342FE"/>
    <w:rsid w:val="00D348E6"/>
    <w:rsid w:val="00D34905"/>
    <w:rsid w:val="00D34B6C"/>
    <w:rsid w:val="00D357FF"/>
    <w:rsid w:val="00D40EC4"/>
    <w:rsid w:val="00D41C94"/>
    <w:rsid w:val="00D424C7"/>
    <w:rsid w:val="00D42749"/>
    <w:rsid w:val="00D430EA"/>
    <w:rsid w:val="00D43814"/>
    <w:rsid w:val="00D43B2A"/>
    <w:rsid w:val="00D43CF1"/>
    <w:rsid w:val="00D43D83"/>
    <w:rsid w:val="00D46122"/>
    <w:rsid w:val="00D4622B"/>
    <w:rsid w:val="00D47575"/>
    <w:rsid w:val="00D5243B"/>
    <w:rsid w:val="00D533EC"/>
    <w:rsid w:val="00D54173"/>
    <w:rsid w:val="00D543AF"/>
    <w:rsid w:val="00D55DCB"/>
    <w:rsid w:val="00D56A95"/>
    <w:rsid w:val="00D56F65"/>
    <w:rsid w:val="00D572FC"/>
    <w:rsid w:val="00D6076E"/>
    <w:rsid w:val="00D60F76"/>
    <w:rsid w:val="00D60FA3"/>
    <w:rsid w:val="00D625BE"/>
    <w:rsid w:val="00D62C2B"/>
    <w:rsid w:val="00D643DF"/>
    <w:rsid w:val="00D6470C"/>
    <w:rsid w:val="00D654F3"/>
    <w:rsid w:val="00D67152"/>
    <w:rsid w:val="00D70F16"/>
    <w:rsid w:val="00D72617"/>
    <w:rsid w:val="00D726F8"/>
    <w:rsid w:val="00D726FA"/>
    <w:rsid w:val="00D72F57"/>
    <w:rsid w:val="00D73221"/>
    <w:rsid w:val="00D737DA"/>
    <w:rsid w:val="00D74C31"/>
    <w:rsid w:val="00D74DDE"/>
    <w:rsid w:val="00D76A44"/>
    <w:rsid w:val="00D77E74"/>
    <w:rsid w:val="00D77FC6"/>
    <w:rsid w:val="00D80A4A"/>
    <w:rsid w:val="00D815EF"/>
    <w:rsid w:val="00D81949"/>
    <w:rsid w:val="00D81F26"/>
    <w:rsid w:val="00D822E2"/>
    <w:rsid w:val="00D823E3"/>
    <w:rsid w:val="00D843F2"/>
    <w:rsid w:val="00D84FF0"/>
    <w:rsid w:val="00D85A9D"/>
    <w:rsid w:val="00D86231"/>
    <w:rsid w:val="00D86415"/>
    <w:rsid w:val="00D87E5E"/>
    <w:rsid w:val="00D90AEF"/>
    <w:rsid w:val="00D90CC0"/>
    <w:rsid w:val="00D912AB"/>
    <w:rsid w:val="00D91923"/>
    <w:rsid w:val="00D91F4E"/>
    <w:rsid w:val="00D92034"/>
    <w:rsid w:val="00D9271B"/>
    <w:rsid w:val="00D93753"/>
    <w:rsid w:val="00D93BB2"/>
    <w:rsid w:val="00D94B7C"/>
    <w:rsid w:val="00D95342"/>
    <w:rsid w:val="00D96929"/>
    <w:rsid w:val="00D96BB8"/>
    <w:rsid w:val="00D975D7"/>
    <w:rsid w:val="00D97C2B"/>
    <w:rsid w:val="00DA08C8"/>
    <w:rsid w:val="00DA12EA"/>
    <w:rsid w:val="00DA1831"/>
    <w:rsid w:val="00DA3158"/>
    <w:rsid w:val="00DA3167"/>
    <w:rsid w:val="00DA3CEF"/>
    <w:rsid w:val="00DA47E1"/>
    <w:rsid w:val="00DA4DC3"/>
    <w:rsid w:val="00DA74AF"/>
    <w:rsid w:val="00DA77A5"/>
    <w:rsid w:val="00DB00AE"/>
    <w:rsid w:val="00DB0E36"/>
    <w:rsid w:val="00DB1EE3"/>
    <w:rsid w:val="00DB32AC"/>
    <w:rsid w:val="00DB38C7"/>
    <w:rsid w:val="00DB3C33"/>
    <w:rsid w:val="00DB3DBF"/>
    <w:rsid w:val="00DB484F"/>
    <w:rsid w:val="00DB5A72"/>
    <w:rsid w:val="00DB6884"/>
    <w:rsid w:val="00DB7BF0"/>
    <w:rsid w:val="00DB7C35"/>
    <w:rsid w:val="00DC04F6"/>
    <w:rsid w:val="00DC0690"/>
    <w:rsid w:val="00DC0984"/>
    <w:rsid w:val="00DC141C"/>
    <w:rsid w:val="00DC1D65"/>
    <w:rsid w:val="00DC2E08"/>
    <w:rsid w:val="00DC3C57"/>
    <w:rsid w:val="00DC3CAF"/>
    <w:rsid w:val="00DC467E"/>
    <w:rsid w:val="00DC54D8"/>
    <w:rsid w:val="00DC5501"/>
    <w:rsid w:val="00DC5700"/>
    <w:rsid w:val="00DC5DE4"/>
    <w:rsid w:val="00DC7154"/>
    <w:rsid w:val="00DC7E8A"/>
    <w:rsid w:val="00DD0246"/>
    <w:rsid w:val="00DD0F78"/>
    <w:rsid w:val="00DD273C"/>
    <w:rsid w:val="00DD3926"/>
    <w:rsid w:val="00DD3D6F"/>
    <w:rsid w:val="00DD3F28"/>
    <w:rsid w:val="00DD4364"/>
    <w:rsid w:val="00DD4446"/>
    <w:rsid w:val="00DD4537"/>
    <w:rsid w:val="00DD4E15"/>
    <w:rsid w:val="00DD5F5D"/>
    <w:rsid w:val="00DD72C6"/>
    <w:rsid w:val="00DE020C"/>
    <w:rsid w:val="00DE092C"/>
    <w:rsid w:val="00DE1C36"/>
    <w:rsid w:val="00DE2304"/>
    <w:rsid w:val="00DE28E5"/>
    <w:rsid w:val="00DE29DC"/>
    <w:rsid w:val="00DE3138"/>
    <w:rsid w:val="00DE37F8"/>
    <w:rsid w:val="00DE4273"/>
    <w:rsid w:val="00DE4FCB"/>
    <w:rsid w:val="00DE5D07"/>
    <w:rsid w:val="00DE5F83"/>
    <w:rsid w:val="00DE63CE"/>
    <w:rsid w:val="00DE6994"/>
    <w:rsid w:val="00DE725A"/>
    <w:rsid w:val="00DE72A7"/>
    <w:rsid w:val="00DE7832"/>
    <w:rsid w:val="00DF0BC5"/>
    <w:rsid w:val="00DF11A1"/>
    <w:rsid w:val="00DF11B9"/>
    <w:rsid w:val="00DF18FC"/>
    <w:rsid w:val="00DF228E"/>
    <w:rsid w:val="00DF2A1B"/>
    <w:rsid w:val="00DF3143"/>
    <w:rsid w:val="00DF360F"/>
    <w:rsid w:val="00DF5D2B"/>
    <w:rsid w:val="00DF6341"/>
    <w:rsid w:val="00DF733F"/>
    <w:rsid w:val="00E00B1F"/>
    <w:rsid w:val="00E00E8E"/>
    <w:rsid w:val="00E01FB4"/>
    <w:rsid w:val="00E027AD"/>
    <w:rsid w:val="00E02E40"/>
    <w:rsid w:val="00E03296"/>
    <w:rsid w:val="00E03750"/>
    <w:rsid w:val="00E03C77"/>
    <w:rsid w:val="00E05630"/>
    <w:rsid w:val="00E06DBB"/>
    <w:rsid w:val="00E10149"/>
    <w:rsid w:val="00E11340"/>
    <w:rsid w:val="00E11BAB"/>
    <w:rsid w:val="00E122A1"/>
    <w:rsid w:val="00E12426"/>
    <w:rsid w:val="00E13008"/>
    <w:rsid w:val="00E13340"/>
    <w:rsid w:val="00E15E14"/>
    <w:rsid w:val="00E16372"/>
    <w:rsid w:val="00E16AD8"/>
    <w:rsid w:val="00E17512"/>
    <w:rsid w:val="00E17FFA"/>
    <w:rsid w:val="00E20854"/>
    <w:rsid w:val="00E20E4D"/>
    <w:rsid w:val="00E20ED6"/>
    <w:rsid w:val="00E21358"/>
    <w:rsid w:val="00E2249B"/>
    <w:rsid w:val="00E225C5"/>
    <w:rsid w:val="00E22A0D"/>
    <w:rsid w:val="00E22CA4"/>
    <w:rsid w:val="00E244F6"/>
    <w:rsid w:val="00E258DB"/>
    <w:rsid w:val="00E2622C"/>
    <w:rsid w:val="00E27130"/>
    <w:rsid w:val="00E2771E"/>
    <w:rsid w:val="00E27CA5"/>
    <w:rsid w:val="00E30D3E"/>
    <w:rsid w:val="00E311EF"/>
    <w:rsid w:val="00E32180"/>
    <w:rsid w:val="00E331B7"/>
    <w:rsid w:val="00E34948"/>
    <w:rsid w:val="00E37569"/>
    <w:rsid w:val="00E378B0"/>
    <w:rsid w:val="00E401B2"/>
    <w:rsid w:val="00E4066C"/>
    <w:rsid w:val="00E411A2"/>
    <w:rsid w:val="00E41E30"/>
    <w:rsid w:val="00E420E5"/>
    <w:rsid w:val="00E422A8"/>
    <w:rsid w:val="00E42D36"/>
    <w:rsid w:val="00E42F73"/>
    <w:rsid w:val="00E430E3"/>
    <w:rsid w:val="00E43D70"/>
    <w:rsid w:val="00E45126"/>
    <w:rsid w:val="00E454AA"/>
    <w:rsid w:val="00E466F3"/>
    <w:rsid w:val="00E46C49"/>
    <w:rsid w:val="00E47B2C"/>
    <w:rsid w:val="00E501AC"/>
    <w:rsid w:val="00E51476"/>
    <w:rsid w:val="00E5155D"/>
    <w:rsid w:val="00E51560"/>
    <w:rsid w:val="00E51821"/>
    <w:rsid w:val="00E53FC8"/>
    <w:rsid w:val="00E54347"/>
    <w:rsid w:val="00E545C5"/>
    <w:rsid w:val="00E55424"/>
    <w:rsid w:val="00E55915"/>
    <w:rsid w:val="00E55BB5"/>
    <w:rsid w:val="00E56AB7"/>
    <w:rsid w:val="00E5798C"/>
    <w:rsid w:val="00E57C99"/>
    <w:rsid w:val="00E611DF"/>
    <w:rsid w:val="00E62AD2"/>
    <w:rsid w:val="00E65E79"/>
    <w:rsid w:val="00E66BA2"/>
    <w:rsid w:val="00E67416"/>
    <w:rsid w:val="00E701EE"/>
    <w:rsid w:val="00E718B6"/>
    <w:rsid w:val="00E72096"/>
    <w:rsid w:val="00E723BA"/>
    <w:rsid w:val="00E73581"/>
    <w:rsid w:val="00E73F8B"/>
    <w:rsid w:val="00E74043"/>
    <w:rsid w:val="00E74869"/>
    <w:rsid w:val="00E7487C"/>
    <w:rsid w:val="00E76AB0"/>
    <w:rsid w:val="00E803A9"/>
    <w:rsid w:val="00E82806"/>
    <w:rsid w:val="00E833F7"/>
    <w:rsid w:val="00E83BDF"/>
    <w:rsid w:val="00E84225"/>
    <w:rsid w:val="00E843E4"/>
    <w:rsid w:val="00E8541D"/>
    <w:rsid w:val="00E85B4D"/>
    <w:rsid w:val="00E85C52"/>
    <w:rsid w:val="00E868DE"/>
    <w:rsid w:val="00E86FCC"/>
    <w:rsid w:val="00E87A1D"/>
    <w:rsid w:val="00E9080B"/>
    <w:rsid w:val="00E9094A"/>
    <w:rsid w:val="00E91D35"/>
    <w:rsid w:val="00E92134"/>
    <w:rsid w:val="00E926A5"/>
    <w:rsid w:val="00E94B0E"/>
    <w:rsid w:val="00E95500"/>
    <w:rsid w:val="00E95D50"/>
    <w:rsid w:val="00E962CC"/>
    <w:rsid w:val="00E97217"/>
    <w:rsid w:val="00EA1462"/>
    <w:rsid w:val="00EA17C3"/>
    <w:rsid w:val="00EA2045"/>
    <w:rsid w:val="00EA2CAA"/>
    <w:rsid w:val="00EA3864"/>
    <w:rsid w:val="00EA4189"/>
    <w:rsid w:val="00EA56FC"/>
    <w:rsid w:val="00EA61EB"/>
    <w:rsid w:val="00EA6B7D"/>
    <w:rsid w:val="00EA7B3E"/>
    <w:rsid w:val="00EA7F1C"/>
    <w:rsid w:val="00EB096C"/>
    <w:rsid w:val="00EB13CD"/>
    <w:rsid w:val="00EB15B6"/>
    <w:rsid w:val="00EB2434"/>
    <w:rsid w:val="00EB3D06"/>
    <w:rsid w:val="00EB421F"/>
    <w:rsid w:val="00EB4916"/>
    <w:rsid w:val="00EB64AD"/>
    <w:rsid w:val="00EC00C9"/>
    <w:rsid w:val="00EC023C"/>
    <w:rsid w:val="00EC0DD9"/>
    <w:rsid w:val="00EC0FBA"/>
    <w:rsid w:val="00EC2649"/>
    <w:rsid w:val="00EC31ED"/>
    <w:rsid w:val="00EC41B9"/>
    <w:rsid w:val="00EC46F8"/>
    <w:rsid w:val="00EC4A96"/>
    <w:rsid w:val="00EC5836"/>
    <w:rsid w:val="00EC688C"/>
    <w:rsid w:val="00EC6A1A"/>
    <w:rsid w:val="00EC7ABD"/>
    <w:rsid w:val="00EC7B6C"/>
    <w:rsid w:val="00EC7EEE"/>
    <w:rsid w:val="00ED08EB"/>
    <w:rsid w:val="00ED12E3"/>
    <w:rsid w:val="00ED27C7"/>
    <w:rsid w:val="00ED3111"/>
    <w:rsid w:val="00ED4B04"/>
    <w:rsid w:val="00ED57EA"/>
    <w:rsid w:val="00ED5BD4"/>
    <w:rsid w:val="00EE07D3"/>
    <w:rsid w:val="00EE1851"/>
    <w:rsid w:val="00EE1996"/>
    <w:rsid w:val="00EE1C01"/>
    <w:rsid w:val="00EE22AF"/>
    <w:rsid w:val="00EE2A90"/>
    <w:rsid w:val="00EE44F8"/>
    <w:rsid w:val="00EF0171"/>
    <w:rsid w:val="00EF0D44"/>
    <w:rsid w:val="00EF1B25"/>
    <w:rsid w:val="00EF1DA0"/>
    <w:rsid w:val="00EF1E8F"/>
    <w:rsid w:val="00EF3A6E"/>
    <w:rsid w:val="00EF4747"/>
    <w:rsid w:val="00EF4BF8"/>
    <w:rsid w:val="00EF54CA"/>
    <w:rsid w:val="00EF5546"/>
    <w:rsid w:val="00EF5B12"/>
    <w:rsid w:val="00EF692E"/>
    <w:rsid w:val="00F004A1"/>
    <w:rsid w:val="00F02253"/>
    <w:rsid w:val="00F02703"/>
    <w:rsid w:val="00F032E3"/>
    <w:rsid w:val="00F03C2E"/>
    <w:rsid w:val="00F03C4F"/>
    <w:rsid w:val="00F04A66"/>
    <w:rsid w:val="00F04B4B"/>
    <w:rsid w:val="00F0516C"/>
    <w:rsid w:val="00F067A2"/>
    <w:rsid w:val="00F0790E"/>
    <w:rsid w:val="00F07B57"/>
    <w:rsid w:val="00F07B9E"/>
    <w:rsid w:val="00F10821"/>
    <w:rsid w:val="00F10B71"/>
    <w:rsid w:val="00F10CD8"/>
    <w:rsid w:val="00F1116F"/>
    <w:rsid w:val="00F11565"/>
    <w:rsid w:val="00F11838"/>
    <w:rsid w:val="00F11F31"/>
    <w:rsid w:val="00F1263A"/>
    <w:rsid w:val="00F12855"/>
    <w:rsid w:val="00F13039"/>
    <w:rsid w:val="00F139C5"/>
    <w:rsid w:val="00F14569"/>
    <w:rsid w:val="00F15B77"/>
    <w:rsid w:val="00F17153"/>
    <w:rsid w:val="00F21236"/>
    <w:rsid w:val="00F222B7"/>
    <w:rsid w:val="00F22B6C"/>
    <w:rsid w:val="00F2344A"/>
    <w:rsid w:val="00F239DF"/>
    <w:rsid w:val="00F24837"/>
    <w:rsid w:val="00F24FA1"/>
    <w:rsid w:val="00F2575F"/>
    <w:rsid w:val="00F26288"/>
    <w:rsid w:val="00F27565"/>
    <w:rsid w:val="00F3065C"/>
    <w:rsid w:val="00F310D4"/>
    <w:rsid w:val="00F31A37"/>
    <w:rsid w:val="00F31D5A"/>
    <w:rsid w:val="00F33975"/>
    <w:rsid w:val="00F33DE9"/>
    <w:rsid w:val="00F33FF0"/>
    <w:rsid w:val="00F3496B"/>
    <w:rsid w:val="00F35E6D"/>
    <w:rsid w:val="00F3619A"/>
    <w:rsid w:val="00F37C46"/>
    <w:rsid w:val="00F40AAA"/>
    <w:rsid w:val="00F40BA7"/>
    <w:rsid w:val="00F40F9D"/>
    <w:rsid w:val="00F41ACD"/>
    <w:rsid w:val="00F42F19"/>
    <w:rsid w:val="00F45FAD"/>
    <w:rsid w:val="00F46CB6"/>
    <w:rsid w:val="00F4756D"/>
    <w:rsid w:val="00F47A29"/>
    <w:rsid w:val="00F47BC6"/>
    <w:rsid w:val="00F47DE8"/>
    <w:rsid w:val="00F47F58"/>
    <w:rsid w:val="00F505C2"/>
    <w:rsid w:val="00F50DF9"/>
    <w:rsid w:val="00F540AA"/>
    <w:rsid w:val="00F54298"/>
    <w:rsid w:val="00F542C1"/>
    <w:rsid w:val="00F550E3"/>
    <w:rsid w:val="00F55A18"/>
    <w:rsid w:val="00F55AF9"/>
    <w:rsid w:val="00F55DB4"/>
    <w:rsid w:val="00F55E73"/>
    <w:rsid w:val="00F55EDA"/>
    <w:rsid w:val="00F5612A"/>
    <w:rsid w:val="00F56C80"/>
    <w:rsid w:val="00F575C0"/>
    <w:rsid w:val="00F60092"/>
    <w:rsid w:val="00F608C2"/>
    <w:rsid w:val="00F61C18"/>
    <w:rsid w:val="00F63472"/>
    <w:rsid w:val="00F65F4B"/>
    <w:rsid w:val="00F66E51"/>
    <w:rsid w:val="00F67A69"/>
    <w:rsid w:val="00F70BFF"/>
    <w:rsid w:val="00F70C9D"/>
    <w:rsid w:val="00F70F2C"/>
    <w:rsid w:val="00F70FCC"/>
    <w:rsid w:val="00F73E08"/>
    <w:rsid w:val="00F74755"/>
    <w:rsid w:val="00F74924"/>
    <w:rsid w:val="00F74CD9"/>
    <w:rsid w:val="00F765D6"/>
    <w:rsid w:val="00F76CED"/>
    <w:rsid w:val="00F77632"/>
    <w:rsid w:val="00F805D5"/>
    <w:rsid w:val="00F80A7B"/>
    <w:rsid w:val="00F80A8A"/>
    <w:rsid w:val="00F80E5D"/>
    <w:rsid w:val="00F81205"/>
    <w:rsid w:val="00F81E78"/>
    <w:rsid w:val="00F82166"/>
    <w:rsid w:val="00F8243C"/>
    <w:rsid w:val="00F83916"/>
    <w:rsid w:val="00F83B5C"/>
    <w:rsid w:val="00F851CE"/>
    <w:rsid w:val="00F871C8"/>
    <w:rsid w:val="00F907A4"/>
    <w:rsid w:val="00F91219"/>
    <w:rsid w:val="00F92444"/>
    <w:rsid w:val="00F92731"/>
    <w:rsid w:val="00F928A2"/>
    <w:rsid w:val="00F9393E"/>
    <w:rsid w:val="00F94D24"/>
    <w:rsid w:val="00F94DB8"/>
    <w:rsid w:val="00F94F19"/>
    <w:rsid w:val="00F966BD"/>
    <w:rsid w:val="00F96FD0"/>
    <w:rsid w:val="00F97679"/>
    <w:rsid w:val="00F97A78"/>
    <w:rsid w:val="00FA0B20"/>
    <w:rsid w:val="00FA0CE3"/>
    <w:rsid w:val="00FA2370"/>
    <w:rsid w:val="00FA24E7"/>
    <w:rsid w:val="00FA4ED1"/>
    <w:rsid w:val="00FA5EE6"/>
    <w:rsid w:val="00FA6B7A"/>
    <w:rsid w:val="00FA7956"/>
    <w:rsid w:val="00FB0824"/>
    <w:rsid w:val="00FB18A8"/>
    <w:rsid w:val="00FB2EC0"/>
    <w:rsid w:val="00FB2FCB"/>
    <w:rsid w:val="00FB41E1"/>
    <w:rsid w:val="00FB4C9C"/>
    <w:rsid w:val="00FB53A2"/>
    <w:rsid w:val="00FB6AED"/>
    <w:rsid w:val="00FB6C61"/>
    <w:rsid w:val="00FB7B68"/>
    <w:rsid w:val="00FB7C35"/>
    <w:rsid w:val="00FB7C55"/>
    <w:rsid w:val="00FC1074"/>
    <w:rsid w:val="00FC15BF"/>
    <w:rsid w:val="00FC1884"/>
    <w:rsid w:val="00FC1C8A"/>
    <w:rsid w:val="00FC3703"/>
    <w:rsid w:val="00FC371D"/>
    <w:rsid w:val="00FC3D32"/>
    <w:rsid w:val="00FC5CF2"/>
    <w:rsid w:val="00FC5F0B"/>
    <w:rsid w:val="00FD2100"/>
    <w:rsid w:val="00FD2539"/>
    <w:rsid w:val="00FD3A21"/>
    <w:rsid w:val="00FD436C"/>
    <w:rsid w:val="00FD446D"/>
    <w:rsid w:val="00FD4F2C"/>
    <w:rsid w:val="00FD5B56"/>
    <w:rsid w:val="00FD6394"/>
    <w:rsid w:val="00FD6E0F"/>
    <w:rsid w:val="00FE0E6C"/>
    <w:rsid w:val="00FE1CDC"/>
    <w:rsid w:val="00FE271B"/>
    <w:rsid w:val="00FE68AA"/>
    <w:rsid w:val="00FE70C3"/>
    <w:rsid w:val="00FE75BB"/>
    <w:rsid w:val="00FE7B74"/>
    <w:rsid w:val="00FF03D2"/>
    <w:rsid w:val="00FF060C"/>
    <w:rsid w:val="00FF0C9D"/>
    <w:rsid w:val="00FF1016"/>
    <w:rsid w:val="00FF1138"/>
    <w:rsid w:val="00FF1A8B"/>
    <w:rsid w:val="00FF2AD9"/>
    <w:rsid w:val="00FF359F"/>
    <w:rsid w:val="00FF3959"/>
    <w:rsid w:val="00FF3DCF"/>
    <w:rsid w:val="00FF492C"/>
    <w:rsid w:val="00FF4A21"/>
    <w:rsid w:val="00FF5AA3"/>
    <w:rsid w:val="00FF5AD8"/>
    <w:rsid w:val="00FF7EF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4A84"/>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Caption 1,Figure caption,Figure caption1 Char Char,Figure Source,Caption Char1 Char,Caption Char Char Char,Caption Char1,Caption Table...,Caption Char1 + 8 pt,Not B....,Caption Table,...,Caption 3,figure,Caption-FUSA,12,12+,caption,c,Char"/>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Table Caption 1 Char,Figure caption Char,Figure caption1 Char Char Char,Figure Source Char,Caption Char1 Char Char,Caption Char Char Char Char,Caption Char1 Char1,Caption Table... Char,Caption Char1 + 8 pt Char,Not B.... Char,... Char"/>
    <w:link w:val="Caption"/>
    <w:uiPriority w:val="35"/>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BULLET,_CC_Bullet,Bullet1,Section 5,L"/>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RTI AMCP Table,new style,MSD Table Grid,PBAC table,Legemiddelverket 3,Dossier table,Summary Table,Tabellengitternetz 9pt,HTAtableplain"/>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CE6220"/>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Comment Text Char2 Char,Comment Text Char1 Char Char,Comment Text Char Char1 Char,Car17,Car17 Car,Annotationtext,Char Char Char,Comment Text Char Char1,- H19,Comment Text Char2"/>
    <w:basedOn w:val="Normal"/>
    <w:link w:val="CommentTextChar"/>
    <w:uiPriority w:val="99"/>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Comment Text Char2 Char Char,Comment Text Char1 Char Char Char,Comment Text Char Char1 Char Char,Car17 Char,Car17 Car Char,Annotationtext Char,Char Char Char Char,- H19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6"/>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character" w:customStyle="1" w:styleId="TableFigureFooterChar">
    <w:name w:val="Table/Figure Footer Char"/>
    <w:link w:val="TableFigureFooter"/>
    <w:locked/>
    <w:rsid w:val="00992E46"/>
    <w:rPr>
      <w:rFonts w:ascii="Arial Narrow" w:hAnsi="Arial Narrow" w:cs="Arial"/>
      <w:sz w:val="18"/>
      <w:szCs w:val="22"/>
    </w:rPr>
  </w:style>
  <w:style w:type="paragraph" w:customStyle="1" w:styleId="TableFigureFooter">
    <w:name w:val="Table/Figure Footer"/>
    <w:basedOn w:val="Normal"/>
    <w:link w:val="TableFigureFooterChar"/>
    <w:qFormat/>
    <w:rsid w:val="00992E46"/>
    <w:pPr>
      <w:snapToGrid w:val="0"/>
      <w:spacing w:after="120"/>
      <w:contextualSpacing/>
    </w:pPr>
    <w:rPr>
      <w:rFonts w:ascii="Arial Narrow" w:hAnsi="Arial Narrow"/>
      <w:sz w:val="18"/>
      <w:szCs w:val="22"/>
    </w:rPr>
  </w:style>
  <w:style w:type="paragraph" w:styleId="FootnoteText">
    <w:name w:val="footnote text"/>
    <w:basedOn w:val="Normal"/>
    <w:link w:val="FootnoteTextChar"/>
    <w:semiHidden/>
    <w:unhideWhenUsed/>
    <w:rsid w:val="001E5385"/>
    <w:rPr>
      <w:sz w:val="20"/>
      <w:szCs w:val="20"/>
    </w:rPr>
  </w:style>
  <w:style w:type="character" w:customStyle="1" w:styleId="FootnoteTextChar">
    <w:name w:val="Footnote Text Char"/>
    <w:basedOn w:val="DefaultParagraphFont"/>
    <w:link w:val="FootnoteText"/>
    <w:semiHidden/>
    <w:rsid w:val="001E5385"/>
    <w:rPr>
      <w:rFonts w:ascii="Calibri" w:hAnsi="Calibri" w:cs="Arial"/>
    </w:rPr>
  </w:style>
  <w:style w:type="character" w:styleId="FootnoteReference">
    <w:name w:val="footnote reference"/>
    <w:basedOn w:val="DefaultParagraphFont"/>
    <w:semiHidden/>
    <w:unhideWhenUsed/>
    <w:rsid w:val="001E5385"/>
    <w:rPr>
      <w:vertAlign w:val="superscript"/>
    </w:rPr>
  </w:style>
  <w:style w:type="paragraph" w:customStyle="1" w:styleId="pf0">
    <w:name w:val="pf0"/>
    <w:basedOn w:val="Normal"/>
    <w:rsid w:val="00A76B24"/>
    <w:pPr>
      <w:spacing w:before="100" w:beforeAutospacing="1" w:after="100" w:afterAutospacing="1"/>
      <w:jc w:val="left"/>
    </w:pPr>
    <w:rPr>
      <w:rFonts w:ascii="Times New Roman" w:hAnsi="Times New Roman" w:cs="Times New Roman"/>
    </w:rPr>
  </w:style>
  <w:style w:type="character" w:customStyle="1" w:styleId="cf01">
    <w:name w:val="cf01"/>
    <w:basedOn w:val="DefaultParagraphFont"/>
    <w:rsid w:val="00A76B24"/>
    <w:rPr>
      <w:rFonts w:ascii="Segoe UI" w:hAnsi="Segoe UI" w:cs="Segoe UI" w:hint="default"/>
      <w:color w:val="303030"/>
      <w:sz w:val="18"/>
      <w:szCs w:val="18"/>
    </w:rPr>
  </w:style>
  <w:style w:type="character" w:customStyle="1" w:styleId="cf11">
    <w:name w:val="cf11"/>
    <w:basedOn w:val="DefaultParagraphFont"/>
    <w:rsid w:val="00A76B24"/>
    <w:rPr>
      <w:rFonts w:ascii="Segoe UI" w:hAnsi="Segoe UI" w:cs="Segoe UI" w:hint="default"/>
      <w:i/>
      <w:iCs/>
      <w:color w:val="303030"/>
      <w:sz w:val="18"/>
      <w:szCs w:val="18"/>
    </w:rPr>
  </w:style>
  <w:style w:type="character" w:customStyle="1" w:styleId="cf21">
    <w:name w:val="cf21"/>
    <w:basedOn w:val="DefaultParagraphFont"/>
    <w:rsid w:val="00A76B24"/>
    <w:rPr>
      <w:rFonts w:ascii="Segoe UI" w:hAnsi="Segoe UI" w:cs="Segoe UI" w:hint="default"/>
      <w:color w:val="212121"/>
      <w:sz w:val="18"/>
      <w:szCs w:val="18"/>
    </w:rPr>
  </w:style>
  <w:style w:type="character" w:customStyle="1" w:styleId="Heading1Char">
    <w:name w:val="Heading 1 Char"/>
    <w:basedOn w:val="DefaultParagraphFont"/>
    <w:link w:val="Heading1"/>
    <w:uiPriority w:val="1"/>
    <w:rsid w:val="00AB0122"/>
    <w:rPr>
      <w:rFonts w:ascii="Calibri" w:hAnsi="Calibri" w:cs="Arial"/>
      <w:b/>
      <w:caps/>
      <w:sz w:val="32"/>
      <w:szCs w:val="24"/>
    </w:rPr>
  </w:style>
  <w:style w:type="character" w:customStyle="1" w:styleId="Heading3Char">
    <w:name w:val="Heading 3 Char"/>
    <w:basedOn w:val="DefaultParagraphFont"/>
    <w:link w:val="Heading3"/>
    <w:rsid w:val="00AB0122"/>
    <w:rPr>
      <w:rFonts w:ascii="Calibri" w:hAnsi="Calibri" w:cs="Arial"/>
      <w:sz w:val="24"/>
      <w:szCs w:val="24"/>
      <w:u w:val="single"/>
    </w:rPr>
  </w:style>
  <w:style w:type="character" w:customStyle="1" w:styleId="Heading4Char">
    <w:name w:val="Heading 4 Char"/>
    <w:basedOn w:val="DefaultParagraphFont"/>
    <w:link w:val="Heading4"/>
    <w:rsid w:val="00AB0122"/>
    <w:rPr>
      <w:rFonts w:ascii="Calibri" w:hAnsi="Calibri" w:cs="Arial"/>
      <w:b/>
      <w:bCs/>
      <w:i/>
      <w:sz w:val="26"/>
      <w:szCs w:val="28"/>
    </w:rPr>
  </w:style>
  <w:style w:type="character" w:customStyle="1" w:styleId="Heading5Char">
    <w:name w:val="Heading 5 Char"/>
    <w:basedOn w:val="DefaultParagraphFont"/>
    <w:link w:val="Heading5"/>
    <w:rsid w:val="00AB0122"/>
    <w:rPr>
      <w:rFonts w:ascii="Calibri" w:hAnsi="Calibri" w:cs="Arial"/>
      <w:b/>
      <w:bCs/>
      <w:iCs/>
      <w:sz w:val="26"/>
      <w:szCs w:val="26"/>
    </w:rPr>
  </w:style>
  <w:style w:type="character" w:customStyle="1" w:styleId="Heading6Char">
    <w:name w:val="Heading 6 Char"/>
    <w:basedOn w:val="DefaultParagraphFont"/>
    <w:link w:val="Heading6"/>
    <w:rsid w:val="00AB0122"/>
    <w:rPr>
      <w:rFonts w:ascii="Calibri" w:hAnsi="Calibri" w:cs="Arial"/>
      <w:b/>
      <w:bCs/>
      <w:i/>
      <w:sz w:val="24"/>
      <w:szCs w:val="24"/>
    </w:rPr>
  </w:style>
  <w:style w:type="paragraph" w:customStyle="1" w:styleId="Tableheadingrow">
    <w:name w:val="Table heading row"/>
    <w:qFormat/>
    <w:rsid w:val="00AB0122"/>
    <w:pPr>
      <w:keepNext/>
    </w:pPr>
    <w:rPr>
      <w:rFonts w:ascii="Arial Narrow" w:eastAsiaTheme="majorEastAsia" w:hAnsi="Arial Narrow"/>
      <w:b/>
      <w:szCs w:val="24"/>
      <w:lang w:val="en-US"/>
    </w:rPr>
  </w:style>
  <w:style w:type="paragraph" w:customStyle="1" w:styleId="BodytextAgency">
    <w:name w:val="Body text (Agency)"/>
    <w:basedOn w:val="Normal"/>
    <w:link w:val="BodytextAgencyChar"/>
    <w:qFormat/>
    <w:rsid w:val="00AB0122"/>
    <w:pPr>
      <w:spacing w:after="140" w:line="280" w:lineRule="atLeast"/>
      <w:jc w:val="left"/>
    </w:pPr>
    <w:rPr>
      <w:rFonts w:asciiTheme="minorHAnsi" w:eastAsia="Verdana" w:hAnsiTheme="minorHAnsi" w:cs="Verdana"/>
      <w:szCs w:val="18"/>
      <w:lang w:val="en-GB" w:eastAsia="en-GB"/>
    </w:rPr>
  </w:style>
  <w:style w:type="character" w:customStyle="1" w:styleId="BodytextAgencyChar">
    <w:name w:val="Body text (Agency) Char"/>
    <w:link w:val="BodytextAgency"/>
    <w:qFormat/>
    <w:locked/>
    <w:rsid w:val="00AB0122"/>
    <w:rPr>
      <w:rFonts w:asciiTheme="minorHAnsi" w:eastAsia="Verdana" w:hAnsiTheme="minorHAnsi" w:cs="Verdana"/>
      <w:sz w:val="24"/>
      <w:szCs w:val="18"/>
      <w:lang w:val="en-GB" w:eastAsia="en-GB"/>
    </w:rPr>
  </w:style>
  <w:style w:type="character" w:customStyle="1" w:styleId="TableHeadingChar">
    <w:name w:val="Table Heading Char"/>
    <w:link w:val="TableHeading0"/>
    <w:locked/>
    <w:rsid w:val="00AB0122"/>
    <w:rPr>
      <w:rFonts w:ascii="Arial Narrow" w:eastAsiaTheme="majorEastAsia" w:hAnsi="Arial Narrow" w:cs="Arial"/>
      <w:b/>
      <w:lang w:bidi="en-US"/>
    </w:rPr>
  </w:style>
  <w:style w:type="paragraph" w:customStyle="1" w:styleId="TableHeading0">
    <w:name w:val="Table Heading"/>
    <w:basedOn w:val="Tabletext"/>
    <w:link w:val="TableHeadingChar"/>
    <w:qFormat/>
    <w:rsid w:val="00AB0122"/>
    <w:pPr>
      <w:keepNext/>
      <w:keepLines/>
    </w:pPr>
    <w:rPr>
      <w:rFonts w:eastAsiaTheme="majorEastAsia" w:cs="Arial"/>
      <w:b/>
      <w:snapToGrid/>
      <w:szCs w:val="20"/>
      <w:lang w:bidi="en-US"/>
    </w:rPr>
  </w:style>
  <w:style w:type="table" w:customStyle="1" w:styleId="TableGrid7">
    <w:name w:val="Table Grid7"/>
    <w:basedOn w:val="TableNormal"/>
    <w:next w:val="TableGrid"/>
    <w:uiPriority w:val="59"/>
    <w:rsid w:val="00AB01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B0122"/>
    <w:rPr>
      <w:color w:val="605E5C"/>
      <w:shd w:val="clear" w:color="auto" w:fill="E1DFDD"/>
    </w:rPr>
  </w:style>
  <w:style w:type="character" w:customStyle="1" w:styleId="cf31">
    <w:name w:val="cf31"/>
    <w:basedOn w:val="DefaultParagraphFont"/>
    <w:rsid w:val="00AB0122"/>
    <w:rPr>
      <w:rFonts w:ascii="Segoe UI" w:hAnsi="Segoe UI" w:cs="Segoe UI" w:hint="default"/>
      <w:i/>
      <w:iCs/>
      <w:sz w:val="18"/>
      <w:szCs w:val="18"/>
    </w:rPr>
  </w:style>
  <w:style w:type="paragraph" w:customStyle="1" w:styleId="3-SubsectionHeading">
    <w:name w:val="3-Subsection Heading"/>
    <w:basedOn w:val="Heading2"/>
    <w:next w:val="Normal"/>
    <w:link w:val="3-SubsectionHeadingChar"/>
    <w:qFormat/>
    <w:rsid w:val="00E331B7"/>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E331B7"/>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02916">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82702837">
      <w:bodyDiv w:val="1"/>
      <w:marLeft w:val="0"/>
      <w:marRight w:val="0"/>
      <w:marTop w:val="0"/>
      <w:marBottom w:val="0"/>
      <w:divBdr>
        <w:top w:val="none" w:sz="0" w:space="0" w:color="auto"/>
        <w:left w:val="none" w:sz="0" w:space="0" w:color="auto"/>
        <w:bottom w:val="none" w:sz="0" w:space="0" w:color="auto"/>
        <w:right w:val="none" w:sz="0" w:space="0" w:color="auto"/>
      </w:divBdr>
    </w:div>
    <w:div w:id="498498055">
      <w:bodyDiv w:val="1"/>
      <w:marLeft w:val="0"/>
      <w:marRight w:val="0"/>
      <w:marTop w:val="0"/>
      <w:marBottom w:val="0"/>
      <w:divBdr>
        <w:top w:val="none" w:sz="0" w:space="0" w:color="auto"/>
        <w:left w:val="none" w:sz="0" w:space="0" w:color="auto"/>
        <w:bottom w:val="none" w:sz="0" w:space="0" w:color="auto"/>
        <w:right w:val="none" w:sz="0" w:space="0" w:color="auto"/>
      </w:divBdr>
    </w:div>
    <w:div w:id="602692498">
      <w:bodyDiv w:val="1"/>
      <w:marLeft w:val="0"/>
      <w:marRight w:val="0"/>
      <w:marTop w:val="0"/>
      <w:marBottom w:val="0"/>
      <w:divBdr>
        <w:top w:val="none" w:sz="0" w:space="0" w:color="auto"/>
        <w:left w:val="none" w:sz="0" w:space="0" w:color="auto"/>
        <w:bottom w:val="none" w:sz="0" w:space="0" w:color="auto"/>
        <w:right w:val="none" w:sz="0" w:space="0" w:color="auto"/>
      </w:divBdr>
    </w:div>
    <w:div w:id="784740303">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79511555">
      <w:bodyDiv w:val="1"/>
      <w:marLeft w:val="0"/>
      <w:marRight w:val="0"/>
      <w:marTop w:val="0"/>
      <w:marBottom w:val="0"/>
      <w:divBdr>
        <w:top w:val="none" w:sz="0" w:space="0" w:color="auto"/>
        <w:left w:val="none" w:sz="0" w:space="0" w:color="auto"/>
        <w:bottom w:val="none" w:sz="0" w:space="0" w:color="auto"/>
        <w:right w:val="none" w:sz="0" w:space="0" w:color="auto"/>
      </w:divBdr>
    </w:div>
    <w:div w:id="1026518179">
      <w:bodyDiv w:val="1"/>
      <w:marLeft w:val="0"/>
      <w:marRight w:val="0"/>
      <w:marTop w:val="0"/>
      <w:marBottom w:val="0"/>
      <w:divBdr>
        <w:top w:val="none" w:sz="0" w:space="0" w:color="auto"/>
        <w:left w:val="none" w:sz="0" w:space="0" w:color="auto"/>
        <w:bottom w:val="none" w:sz="0" w:space="0" w:color="auto"/>
        <w:right w:val="none" w:sz="0" w:space="0" w:color="auto"/>
      </w:divBdr>
    </w:div>
    <w:div w:id="1095399914">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05557137">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416321884">
      <w:bodyDiv w:val="1"/>
      <w:marLeft w:val="0"/>
      <w:marRight w:val="0"/>
      <w:marTop w:val="0"/>
      <w:marBottom w:val="0"/>
      <w:divBdr>
        <w:top w:val="none" w:sz="0" w:space="0" w:color="auto"/>
        <w:left w:val="none" w:sz="0" w:space="0" w:color="auto"/>
        <w:bottom w:val="none" w:sz="0" w:space="0" w:color="auto"/>
        <w:right w:val="none" w:sz="0" w:space="0" w:color="auto"/>
      </w:divBdr>
    </w:div>
    <w:div w:id="1551259992">
      <w:bodyDiv w:val="1"/>
      <w:marLeft w:val="0"/>
      <w:marRight w:val="0"/>
      <w:marTop w:val="0"/>
      <w:marBottom w:val="0"/>
      <w:divBdr>
        <w:top w:val="none" w:sz="0" w:space="0" w:color="auto"/>
        <w:left w:val="none" w:sz="0" w:space="0" w:color="auto"/>
        <w:bottom w:val="none" w:sz="0" w:space="0" w:color="auto"/>
        <w:right w:val="none" w:sz="0" w:space="0" w:color="auto"/>
      </w:divBdr>
    </w:div>
    <w:div w:id="1555459250">
      <w:bodyDiv w:val="1"/>
      <w:marLeft w:val="0"/>
      <w:marRight w:val="0"/>
      <w:marTop w:val="0"/>
      <w:marBottom w:val="0"/>
      <w:divBdr>
        <w:top w:val="none" w:sz="0" w:space="0" w:color="auto"/>
        <w:left w:val="none" w:sz="0" w:space="0" w:color="auto"/>
        <w:bottom w:val="none" w:sz="0" w:space="0" w:color="auto"/>
        <w:right w:val="none" w:sz="0" w:space="0" w:color="auto"/>
      </w:divBdr>
    </w:div>
    <w:div w:id="1830558646">
      <w:bodyDiv w:val="1"/>
      <w:marLeft w:val="0"/>
      <w:marRight w:val="0"/>
      <w:marTop w:val="0"/>
      <w:marBottom w:val="0"/>
      <w:divBdr>
        <w:top w:val="none" w:sz="0" w:space="0" w:color="auto"/>
        <w:left w:val="none" w:sz="0" w:space="0" w:color="auto"/>
        <w:bottom w:val="none" w:sz="0" w:space="0" w:color="auto"/>
        <w:right w:val="none" w:sz="0" w:space="0" w:color="auto"/>
      </w:divBdr>
    </w:div>
    <w:div w:id="1854800729">
      <w:bodyDiv w:val="1"/>
      <w:marLeft w:val="0"/>
      <w:marRight w:val="0"/>
      <w:marTop w:val="0"/>
      <w:marBottom w:val="0"/>
      <w:divBdr>
        <w:top w:val="none" w:sz="0" w:space="0" w:color="auto"/>
        <w:left w:val="none" w:sz="0" w:space="0" w:color="auto"/>
        <w:bottom w:val="none" w:sz="0" w:space="0" w:color="auto"/>
        <w:right w:val="none" w:sz="0" w:space="0" w:color="auto"/>
      </w:divBdr>
    </w:div>
    <w:div w:id="1927179937">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56270411">
      <w:bodyDiv w:val="1"/>
      <w:marLeft w:val="0"/>
      <w:marRight w:val="0"/>
      <w:marTop w:val="0"/>
      <w:marBottom w:val="0"/>
      <w:divBdr>
        <w:top w:val="none" w:sz="0" w:space="0" w:color="auto"/>
        <w:left w:val="none" w:sz="0" w:space="0" w:color="auto"/>
        <w:bottom w:val="none" w:sz="0" w:space="0" w:color="auto"/>
        <w:right w:val="none" w:sz="0" w:space="0" w:color="auto"/>
      </w:divBdr>
    </w:div>
    <w:div w:id="2123180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emf"/><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1.xml"/><Relationship Id="rId30"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anzctr.org.au/Trial/Registration/TrialReview.aspx?id=3792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14214</Words>
  <Characters>81021</Characters>
  <Application>Microsoft Office Word</Application>
  <DocSecurity>0</DocSecurity>
  <Lines>675</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2023-03-10T04:19:00Z</dcterms:created>
  <dcterms:modified xsi:type="dcterms:W3CDTF">2023-03-10T04:24:00Z</dcterms:modified>
</cp:coreProperties>
</file>